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04A035">
      <w:pPr>
        <w:rPr>
          <w:rFonts w:ascii="仿宋" w:hAnsi="仿宋" w:eastAsia="仿宋" w:cs="仿宋"/>
          <w:lang w:eastAsia="zh-CN"/>
        </w:rPr>
      </w:pPr>
    </w:p>
    <w:p w14:paraId="61607244">
      <w:pPr>
        <w:rPr>
          <w:rFonts w:ascii="宋体" w:hAnsi="宋体" w:eastAsia="仿宋" w:cs="仿宋_GB2312"/>
          <w:sz w:val="32"/>
          <w:szCs w:val="32"/>
          <w:lang w:eastAsia="zh-CN"/>
        </w:rPr>
      </w:pPr>
      <w:r>
        <w:rPr>
          <w:rFonts w:ascii="仿宋" w:hAnsi="仿宋" w:eastAsia="仿宋" w:cs="仿宋"/>
          <w:lang w:eastAsia="zh-CN"/>
        </w:rPr>
        <w:t>SF-202</w:t>
      </w:r>
      <w:r>
        <w:rPr>
          <w:rFonts w:hint="eastAsia" w:ascii="仿宋" w:hAnsi="仿宋" w:eastAsia="仿宋" w:cs="仿宋"/>
          <w:lang w:eastAsia="zh"/>
        </w:rPr>
        <w:t>2</w:t>
      </w:r>
      <w:r>
        <w:rPr>
          <w:rFonts w:ascii="仿宋" w:hAnsi="仿宋" w:eastAsia="仿宋" w:cs="仿宋"/>
          <w:lang w:eastAsia="zh-CN"/>
        </w:rPr>
        <w:t>-</w:t>
      </w:r>
      <w:r>
        <w:rPr>
          <w:rFonts w:hint="eastAsia" w:ascii="仿宋" w:hAnsi="仿宋" w:eastAsia="仿宋" w:cs="仿宋"/>
          <w:lang w:eastAsia="zh-CN"/>
        </w:rPr>
        <w:t>0210</w:t>
      </w:r>
    </w:p>
    <w:p w14:paraId="6CE33624">
      <w:pPr>
        <w:pStyle w:val="166"/>
        <w:spacing w:line="640" w:lineRule="exact"/>
        <w:jc w:val="right"/>
        <w:rPr>
          <w:rFonts w:ascii="华文中宋" w:hAnsi="华文中宋" w:eastAsia="华文中宋" w:cs="华文中宋"/>
          <w:color w:val="auto"/>
          <w:sz w:val="32"/>
          <w:szCs w:val="32"/>
          <w:u w:val="single"/>
        </w:rPr>
      </w:pPr>
      <w:r>
        <w:rPr>
          <w:rFonts w:hint="eastAsia" w:ascii="华文中宋" w:hAnsi="华文中宋" w:eastAsia="华文中宋" w:cs="华文中宋"/>
          <w:color w:val="auto"/>
          <w:sz w:val="32"/>
          <w:szCs w:val="32"/>
        </w:rPr>
        <w:t>项目编码：</w:t>
      </w:r>
      <w:r>
        <w:rPr>
          <w:rFonts w:hint="eastAsia" w:ascii="华文中宋" w:hAnsi="华文中宋" w:eastAsia="华文中宋" w:cs="华文中宋"/>
          <w:color w:val="auto"/>
          <w:sz w:val="32"/>
          <w:szCs w:val="32"/>
          <w:u w:val="single"/>
        </w:rPr>
        <w:t>2406-440106-04-01-344060</w:t>
      </w:r>
    </w:p>
    <w:p w14:paraId="6F812BC0">
      <w:pPr>
        <w:pStyle w:val="166"/>
        <w:spacing w:line="640" w:lineRule="exact"/>
        <w:ind w:firstLine="4160" w:firstLineChars="1300"/>
        <w:rPr>
          <w:rFonts w:ascii="华文中宋" w:hAnsi="华文中宋" w:eastAsia="华文中宋"/>
          <w:color w:val="auto"/>
          <w:sz w:val="32"/>
          <w:szCs w:val="32"/>
        </w:rPr>
      </w:pPr>
      <w:r>
        <w:rPr>
          <w:rFonts w:hint="eastAsia" w:ascii="华文中宋" w:hAnsi="华文中宋" w:eastAsia="华文中宋" w:cs="华文中宋"/>
          <w:color w:val="auto"/>
          <w:sz w:val="32"/>
          <w:szCs w:val="32"/>
        </w:rPr>
        <w:t>工程编码：</w:t>
      </w:r>
      <w:r>
        <w:rPr>
          <w:rFonts w:ascii="华文中宋" w:hAnsi="华文中宋" w:eastAsia="华文中宋" w:cs="华文中宋"/>
          <w:color w:val="auto"/>
          <w:sz w:val="32"/>
          <w:szCs w:val="32"/>
          <w:u w:val="single"/>
        </w:rPr>
        <w:t xml:space="preserve">             </w:t>
      </w:r>
    </w:p>
    <w:p w14:paraId="4574DCA1">
      <w:pPr>
        <w:pStyle w:val="166"/>
        <w:spacing w:line="640" w:lineRule="exact"/>
        <w:ind w:firstLine="4160" w:firstLineChars="1300"/>
        <w:rPr>
          <w:rFonts w:ascii="华文中宋" w:hAnsi="华文中宋" w:eastAsia="华文中宋"/>
          <w:color w:val="auto"/>
          <w:sz w:val="32"/>
          <w:szCs w:val="32"/>
        </w:rPr>
      </w:pPr>
      <w:r>
        <w:rPr>
          <w:rFonts w:hint="eastAsia" w:ascii="华文中宋" w:hAnsi="华文中宋" w:eastAsia="华文中宋" w:cs="华文中宋"/>
          <w:color w:val="auto"/>
          <w:sz w:val="32"/>
          <w:szCs w:val="32"/>
        </w:rPr>
        <w:t>合同编号：</w:t>
      </w:r>
      <w:r>
        <w:rPr>
          <w:rFonts w:ascii="华文中宋" w:hAnsi="华文中宋" w:eastAsia="华文中宋" w:cs="华文中宋"/>
          <w:color w:val="auto"/>
          <w:sz w:val="32"/>
          <w:szCs w:val="32"/>
          <w:u w:val="single"/>
        </w:rPr>
        <w:t xml:space="preserve">             </w:t>
      </w:r>
    </w:p>
    <w:p w14:paraId="22FF8370">
      <w:pPr>
        <w:tabs>
          <w:tab w:val="left" w:pos="3900"/>
          <w:tab w:val="right" w:pos="10245"/>
        </w:tabs>
        <w:wordWrap w:val="0"/>
        <w:spacing w:line="360" w:lineRule="auto"/>
        <w:rPr>
          <w:rFonts w:ascii="宋体"/>
          <w:sz w:val="32"/>
          <w:szCs w:val="32"/>
          <w:u w:val="single"/>
          <w:lang w:eastAsia="zh-CN"/>
        </w:rPr>
      </w:pPr>
    </w:p>
    <w:p w14:paraId="5CD32AEB">
      <w:pPr>
        <w:spacing w:line="360" w:lineRule="auto"/>
        <w:jc w:val="right"/>
        <w:rPr>
          <w:rFonts w:ascii="宋体"/>
          <w:sz w:val="32"/>
          <w:szCs w:val="32"/>
          <w:u w:val="single"/>
          <w:lang w:eastAsia="zh-CN"/>
        </w:rPr>
      </w:pPr>
    </w:p>
    <w:p w14:paraId="1D7CC453">
      <w:pPr>
        <w:spacing w:line="360" w:lineRule="auto"/>
        <w:jc w:val="center"/>
        <w:rPr>
          <w:rFonts w:ascii="宋体" w:hAnsi="宋体" w:cs="宋体"/>
          <w:b/>
          <w:bCs/>
          <w:spacing w:val="-40"/>
          <w:sz w:val="52"/>
          <w:szCs w:val="52"/>
          <w:lang w:eastAsia="zh-CN"/>
        </w:rPr>
      </w:pPr>
      <w:r>
        <w:rPr>
          <w:rFonts w:hint="eastAsia" w:ascii="宋体" w:hAnsi="宋体" w:cs="宋体"/>
          <w:b/>
          <w:bCs/>
          <w:spacing w:val="-40"/>
          <w:sz w:val="52"/>
          <w:szCs w:val="52"/>
          <w:lang w:eastAsia="zh-CN"/>
        </w:rPr>
        <w:t>广州市建设工程总承包合同</w:t>
      </w:r>
    </w:p>
    <w:p w14:paraId="112BDAF9">
      <w:pPr>
        <w:spacing w:line="360" w:lineRule="auto"/>
        <w:jc w:val="center"/>
        <w:rPr>
          <w:rFonts w:ascii="宋体"/>
          <w:bCs/>
          <w:spacing w:val="-40"/>
          <w:sz w:val="36"/>
          <w:szCs w:val="36"/>
          <w:lang w:eastAsia="zh-CN"/>
        </w:rPr>
      </w:pPr>
    </w:p>
    <w:p w14:paraId="7EE061BD">
      <w:pPr>
        <w:tabs>
          <w:tab w:val="left" w:pos="1380"/>
        </w:tabs>
        <w:spacing w:line="360" w:lineRule="auto"/>
        <w:rPr>
          <w:rFonts w:ascii="宋体"/>
          <w:sz w:val="32"/>
          <w:szCs w:val="32"/>
          <w:lang w:eastAsia="zh-CN"/>
        </w:rPr>
      </w:pPr>
    </w:p>
    <w:p w14:paraId="7D96A96C">
      <w:pPr>
        <w:spacing w:line="640" w:lineRule="exact"/>
        <w:ind w:firstLine="1699" w:firstLineChars="531"/>
        <w:rPr>
          <w:rFonts w:ascii="仿宋" w:hAnsi="仿宋" w:eastAsia="仿宋"/>
          <w:sz w:val="32"/>
          <w:szCs w:val="32"/>
          <w:u w:val="single"/>
          <w:lang w:eastAsia="zh-CN"/>
        </w:rPr>
      </w:pPr>
    </w:p>
    <w:p w14:paraId="1A48CBF7">
      <w:pPr>
        <w:spacing w:before="240" w:beforeLines="100" w:after="120" w:afterLines="50"/>
        <w:ind w:left="3398" w:leftChars="749" w:hanging="1600" w:hangingChars="500"/>
        <w:rPr>
          <w:rFonts w:ascii="仿宋" w:hAnsi="仿宋" w:eastAsia="仿宋" w:cs="仿宋"/>
          <w:sz w:val="32"/>
          <w:szCs w:val="32"/>
          <w:lang w:eastAsia="zh-CN"/>
        </w:rPr>
      </w:pPr>
      <w:r>
        <w:rPr>
          <w:rFonts w:hint="eastAsia" w:ascii="仿宋" w:hAnsi="仿宋" w:eastAsia="仿宋" w:cs="仿宋"/>
          <w:sz w:val="32"/>
          <w:szCs w:val="32"/>
          <w:lang w:eastAsia="zh-CN"/>
        </w:rPr>
        <w:t>工程名称：</w:t>
      </w:r>
      <w:r>
        <w:rPr>
          <w:rFonts w:hint="eastAsia" w:ascii="仿宋" w:hAnsi="仿宋" w:eastAsia="仿宋" w:cs="仿宋"/>
          <w:sz w:val="32"/>
          <w:szCs w:val="32"/>
          <w:u w:val="single"/>
          <w:lang w:eastAsia="zh-CN"/>
        </w:rPr>
        <w:t>天河区凌塘村城中村改造项目</w:t>
      </w:r>
      <w:r>
        <w:rPr>
          <w:rFonts w:ascii="仿宋" w:hAnsi="仿宋" w:eastAsia="仿宋" w:cs="仿宋"/>
          <w:sz w:val="32"/>
          <w:szCs w:val="32"/>
          <w:u w:val="single"/>
          <w:lang w:eastAsia="zh-CN"/>
        </w:rPr>
        <w:t>-首开区复建安置房及配套设施工程</w:t>
      </w:r>
      <w:r>
        <w:rPr>
          <w:rFonts w:hint="eastAsia" w:ascii="仿宋" w:hAnsi="仿宋" w:eastAsia="仿宋" w:cs="仿宋"/>
          <w:sz w:val="32"/>
          <w:szCs w:val="32"/>
          <w:u w:val="single"/>
          <w:lang w:eastAsia="zh-CN"/>
        </w:rPr>
        <w:t>设计施工总承包</w:t>
      </w:r>
    </w:p>
    <w:p w14:paraId="2E8396F6">
      <w:pPr>
        <w:spacing w:before="240" w:beforeLines="100" w:after="120" w:afterLines="50"/>
        <w:ind w:left="3073" w:leftChars="747" w:hanging="1280" w:hangingChars="400"/>
        <w:rPr>
          <w:rFonts w:ascii="仿宋" w:hAnsi="仿宋" w:eastAsia="仿宋" w:cs="仿宋"/>
          <w:sz w:val="32"/>
          <w:szCs w:val="32"/>
          <w:u w:val="single"/>
          <w:lang w:eastAsia="zh-CN"/>
        </w:rPr>
      </w:pPr>
      <w:r>
        <w:rPr>
          <w:rFonts w:hint="eastAsia" w:ascii="仿宋" w:hAnsi="仿宋" w:eastAsia="仿宋" w:cs="仿宋"/>
          <w:sz w:val="32"/>
          <w:szCs w:val="32"/>
          <w:lang w:eastAsia="zh-CN"/>
        </w:rPr>
        <w:t>工程地点：</w:t>
      </w:r>
      <w:r>
        <w:rPr>
          <w:rFonts w:hint="eastAsia" w:ascii="仿宋" w:hAnsi="仿宋" w:eastAsia="仿宋" w:cs="仿宋"/>
          <w:sz w:val="32"/>
          <w:szCs w:val="32"/>
          <w:u w:val="single"/>
          <w:lang w:eastAsia="zh-CN"/>
        </w:rPr>
        <w:t>广州市天河区</w:t>
      </w:r>
      <w:r>
        <w:rPr>
          <w:rFonts w:ascii="仿宋" w:hAnsi="仿宋" w:eastAsia="仿宋" w:cs="仿宋"/>
          <w:sz w:val="32"/>
          <w:szCs w:val="32"/>
          <w:u w:val="single"/>
          <w:lang w:eastAsia="zh-CN"/>
        </w:rPr>
        <w:t xml:space="preserve">  </w:t>
      </w:r>
    </w:p>
    <w:p w14:paraId="2D33728A">
      <w:pPr>
        <w:spacing w:before="240" w:beforeLines="100" w:after="120" w:afterLines="50"/>
        <w:ind w:left="809" w:leftChars="337" w:firstLine="992" w:firstLineChars="310"/>
        <w:rPr>
          <w:rFonts w:ascii="仿宋" w:hAnsi="仿宋" w:eastAsia="仿宋"/>
          <w:sz w:val="32"/>
          <w:szCs w:val="32"/>
          <w:lang w:eastAsia="zh-CN"/>
        </w:rPr>
      </w:pPr>
      <w:r>
        <w:rPr>
          <w:rFonts w:hint="eastAsia" w:ascii="仿宋" w:hAnsi="仿宋" w:eastAsia="仿宋" w:cs="仿宋"/>
          <w:sz w:val="32"/>
          <w:szCs w:val="32"/>
          <w:lang w:eastAsia="zh-CN"/>
        </w:rPr>
        <w:t>发</w:t>
      </w:r>
      <w:r>
        <w:rPr>
          <w:rFonts w:ascii="仿宋" w:hAnsi="仿宋" w:eastAsia="仿宋" w:cs="仿宋"/>
          <w:sz w:val="32"/>
          <w:szCs w:val="32"/>
          <w:lang w:eastAsia="zh-CN"/>
        </w:rPr>
        <w:t xml:space="preserve"> </w:t>
      </w:r>
      <w:r>
        <w:rPr>
          <w:rFonts w:hint="eastAsia" w:ascii="仿宋" w:hAnsi="仿宋" w:eastAsia="仿宋" w:cs="仿宋"/>
          <w:sz w:val="32"/>
          <w:szCs w:val="32"/>
          <w:lang w:eastAsia="zh-CN"/>
        </w:rPr>
        <w:t>包</w:t>
      </w:r>
      <w:r>
        <w:rPr>
          <w:rFonts w:ascii="仿宋" w:hAnsi="仿宋" w:eastAsia="仿宋" w:cs="仿宋"/>
          <w:sz w:val="32"/>
          <w:szCs w:val="32"/>
          <w:lang w:eastAsia="zh-CN"/>
        </w:rPr>
        <w:t xml:space="preserve"> </w:t>
      </w:r>
      <w:r>
        <w:rPr>
          <w:rFonts w:hint="eastAsia" w:ascii="仿宋" w:hAnsi="仿宋" w:eastAsia="仿宋" w:cs="仿宋"/>
          <w:sz w:val="32"/>
          <w:szCs w:val="32"/>
          <w:lang w:eastAsia="zh-CN"/>
        </w:rPr>
        <w:t>人：</w:t>
      </w:r>
      <w:r>
        <w:rPr>
          <w:rFonts w:hint="eastAsia" w:ascii="仿宋" w:hAnsi="仿宋" w:eastAsia="仿宋" w:cs="仿宋"/>
          <w:sz w:val="32"/>
          <w:szCs w:val="32"/>
          <w:u w:val="single"/>
          <w:lang w:eastAsia="zh-CN"/>
        </w:rPr>
        <w:t xml:space="preserve"> 广州天华科韵城市更新有限公司</w:t>
      </w:r>
      <w:r>
        <w:rPr>
          <w:rFonts w:ascii="仿宋" w:hAnsi="仿宋" w:eastAsia="仿宋" w:cs="仿宋"/>
          <w:sz w:val="32"/>
          <w:szCs w:val="32"/>
          <w:u w:val="single"/>
          <w:lang w:eastAsia="zh-CN"/>
        </w:rPr>
        <w:t xml:space="preserve"> </w:t>
      </w:r>
    </w:p>
    <w:p w14:paraId="1939CA1D">
      <w:pPr>
        <w:spacing w:before="240" w:beforeLines="100" w:after="120" w:afterLines="50"/>
        <w:ind w:left="809" w:leftChars="337" w:firstLine="992" w:firstLineChars="310"/>
        <w:rPr>
          <w:rFonts w:ascii="仿宋" w:hAnsi="仿宋" w:eastAsia="仿宋" w:cs="仿宋"/>
          <w:sz w:val="32"/>
          <w:szCs w:val="32"/>
          <w:u w:val="single"/>
          <w:lang w:eastAsia="zh-CN"/>
        </w:rPr>
      </w:pPr>
      <w:r>
        <w:rPr>
          <w:rFonts w:hint="eastAsia" w:ascii="仿宋" w:hAnsi="仿宋" w:eastAsia="仿宋" w:cs="仿宋"/>
          <w:sz w:val="32"/>
          <w:szCs w:val="32"/>
          <w:lang w:eastAsia="zh-CN"/>
        </w:rPr>
        <w:t>承</w:t>
      </w:r>
      <w:r>
        <w:rPr>
          <w:rFonts w:ascii="仿宋" w:hAnsi="仿宋" w:eastAsia="仿宋" w:cs="仿宋"/>
          <w:sz w:val="32"/>
          <w:szCs w:val="32"/>
          <w:lang w:eastAsia="zh-CN"/>
        </w:rPr>
        <w:t xml:space="preserve"> </w:t>
      </w:r>
      <w:r>
        <w:rPr>
          <w:rFonts w:hint="eastAsia" w:ascii="仿宋" w:hAnsi="仿宋" w:eastAsia="仿宋" w:cs="仿宋"/>
          <w:sz w:val="32"/>
          <w:szCs w:val="32"/>
          <w:lang w:eastAsia="zh-CN"/>
        </w:rPr>
        <w:t>包</w:t>
      </w:r>
      <w:r>
        <w:rPr>
          <w:rFonts w:ascii="仿宋" w:hAnsi="仿宋" w:eastAsia="仿宋" w:cs="仿宋"/>
          <w:sz w:val="32"/>
          <w:szCs w:val="32"/>
          <w:lang w:eastAsia="zh-CN"/>
        </w:rPr>
        <w:t xml:space="preserve"> </w:t>
      </w:r>
      <w:r>
        <w:rPr>
          <w:rFonts w:hint="eastAsia" w:ascii="仿宋" w:hAnsi="仿宋" w:eastAsia="仿宋" w:cs="仿宋"/>
          <w:sz w:val="32"/>
          <w:szCs w:val="32"/>
          <w:lang w:eastAsia="zh-CN"/>
        </w:rPr>
        <w:t>人：</w:t>
      </w:r>
      <w:r>
        <w:rPr>
          <w:rFonts w:ascii="仿宋" w:hAnsi="仿宋" w:eastAsia="仿宋" w:cs="仿宋"/>
          <w:sz w:val="32"/>
          <w:szCs w:val="32"/>
          <w:u w:val="single"/>
          <w:lang w:eastAsia="zh-CN"/>
        </w:rPr>
        <w:t xml:space="preserve">                           </w:t>
      </w:r>
    </w:p>
    <w:p w14:paraId="38F7C4DC">
      <w:pPr>
        <w:spacing w:line="360" w:lineRule="auto"/>
        <w:ind w:left="809" w:leftChars="337" w:firstLine="900" w:firstLineChars="300"/>
        <w:rPr>
          <w:rFonts w:ascii="宋体"/>
          <w:sz w:val="30"/>
          <w:szCs w:val="30"/>
          <w:u w:val="single"/>
          <w:lang w:eastAsia="zh-CN"/>
        </w:rPr>
      </w:pPr>
    </w:p>
    <w:p w14:paraId="33F0B123">
      <w:pPr>
        <w:spacing w:line="360" w:lineRule="auto"/>
        <w:ind w:firstLine="900" w:firstLineChars="300"/>
        <w:rPr>
          <w:rFonts w:ascii="宋体"/>
          <w:sz w:val="30"/>
          <w:szCs w:val="30"/>
          <w:u w:val="single"/>
          <w:lang w:eastAsia="zh-CN"/>
        </w:rPr>
      </w:pPr>
    </w:p>
    <w:p w14:paraId="2AB438CC">
      <w:pPr>
        <w:spacing w:line="360" w:lineRule="auto"/>
        <w:ind w:firstLine="900" w:firstLineChars="300"/>
        <w:rPr>
          <w:rFonts w:ascii="宋体"/>
          <w:sz w:val="30"/>
          <w:szCs w:val="30"/>
          <w:u w:val="single"/>
          <w:lang w:eastAsia="zh-CN"/>
        </w:rPr>
      </w:pPr>
    </w:p>
    <w:p w14:paraId="456B40F3">
      <w:pPr>
        <w:spacing w:line="360" w:lineRule="auto"/>
        <w:ind w:firstLine="900" w:firstLineChars="300"/>
        <w:rPr>
          <w:rFonts w:ascii="宋体"/>
          <w:sz w:val="30"/>
          <w:szCs w:val="30"/>
          <w:u w:val="single"/>
          <w:lang w:eastAsia="zh-CN"/>
        </w:rPr>
      </w:pPr>
    </w:p>
    <w:p w14:paraId="5E084DD2">
      <w:pPr>
        <w:spacing w:line="240" w:lineRule="atLeast"/>
        <w:jc w:val="center"/>
        <w:rPr>
          <w:rFonts w:ascii="宋体"/>
          <w:b/>
          <w:bCs/>
          <w:spacing w:val="50"/>
          <w:sz w:val="32"/>
          <w:szCs w:val="32"/>
          <w:lang w:eastAsia="zh-CN"/>
        </w:rPr>
      </w:pPr>
      <w:r>
        <w:rPr>
          <w:rFonts w:hint="eastAsia" w:ascii="宋体" w:hAnsi="宋体" w:cs="宋体"/>
          <w:b/>
          <w:bCs/>
          <w:spacing w:val="50"/>
          <w:sz w:val="32"/>
          <w:szCs w:val="32"/>
          <w:lang w:eastAsia="zh-CN"/>
        </w:rPr>
        <w:t>广州市住房和城乡建设局</w:t>
      </w:r>
    </w:p>
    <w:p w14:paraId="10769916">
      <w:pPr>
        <w:spacing w:line="240" w:lineRule="atLeast"/>
        <w:jc w:val="center"/>
        <w:rPr>
          <w:rFonts w:ascii="宋体"/>
          <w:b/>
          <w:bCs/>
          <w:spacing w:val="20"/>
          <w:sz w:val="32"/>
          <w:szCs w:val="32"/>
          <w:lang w:eastAsia="zh-CN"/>
        </w:rPr>
      </w:pPr>
      <w:r>
        <w:rPr>
          <w:rFonts w:ascii="宋体" w:hAnsi="宋体" w:cs="宋体"/>
          <w:b/>
          <w:bCs/>
          <w:spacing w:val="20"/>
          <w:sz w:val="32"/>
          <w:szCs w:val="32"/>
          <w:lang w:eastAsia="zh-CN"/>
        </w:rPr>
        <w:t xml:space="preserve">                            </w:t>
      </w:r>
      <w:r>
        <w:rPr>
          <w:rFonts w:hint="eastAsia" w:ascii="宋体" w:hAnsi="宋体" w:cs="宋体"/>
          <w:b/>
          <w:bCs/>
          <w:spacing w:val="20"/>
          <w:sz w:val="32"/>
          <w:szCs w:val="32"/>
          <w:lang w:eastAsia="zh-CN"/>
        </w:rPr>
        <w:t>制定</w:t>
      </w:r>
    </w:p>
    <w:p w14:paraId="7328A913">
      <w:pPr>
        <w:spacing w:line="240" w:lineRule="atLeast"/>
        <w:ind w:firstLine="2836" w:firstLineChars="607"/>
        <w:rPr>
          <w:rFonts w:ascii="宋体"/>
          <w:b/>
          <w:bCs/>
          <w:spacing w:val="73"/>
          <w:sz w:val="32"/>
          <w:szCs w:val="32"/>
          <w:lang w:eastAsia="zh-CN"/>
        </w:rPr>
      </w:pPr>
      <w:r>
        <w:rPr>
          <w:rFonts w:hint="eastAsia" w:ascii="宋体" w:hAnsi="宋体" w:cs="宋体"/>
          <w:b/>
          <w:bCs/>
          <w:spacing w:val="73"/>
          <w:sz w:val="32"/>
          <w:szCs w:val="32"/>
          <w:lang w:eastAsia="zh-CN"/>
        </w:rPr>
        <w:t>广州市市场监督管理局</w:t>
      </w:r>
    </w:p>
    <w:p w14:paraId="096C4B06">
      <w:pPr>
        <w:spacing w:line="240" w:lineRule="atLeast"/>
        <w:jc w:val="center"/>
        <w:rPr>
          <w:rFonts w:ascii="宋体"/>
          <w:b/>
          <w:bCs/>
          <w:spacing w:val="20"/>
          <w:sz w:val="32"/>
          <w:szCs w:val="32"/>
          <w:lang w:eastAsia="zh-CN"/>
        </w:rPr>
      </w:pPr>
    </w:p>
    <w:p w14:paraId="76899D0A">
      <w:pPr>
        <w:spacing w:line="360" w:lineRule="auto"/>
        <w:rPr>
          <w:rFonts w:ascii="宋体"/>
          <w:b/>
          <w:bCs/>
          <w:spacing w:val="80"/>
          <w:sz w:val="36"/>
          <w:szCs w:val="36"/>
          <w:lang w:eastAsia="zh-CN"/>
        </w:rPr>
        <w:sectPr>
          <w:headerReference r:id="rId3" w:type="default"/>
          <w:footerReference r:id="rId4" w:type="default"/>
          <w:endnotePr>
            <w:numFmt w:val="decimal"/>
          </w:endnotePr>
          <w:pgSz w:w="11906" w:h="16838"/>
          <w:pgMar w:top="851" w:right="924" w:bottom="851" w:left="737" w:header="0" w:footer="0" w:gutter="0"/>
          <w:pgNumType w:start="1"/>
          <w:cols w:space="720" w:num="1"/>
        </w:sectPr>
      </w:pPr>
    </w:p>
    <w:p w14:paraId="6DB4BD2E">
      <w:pPr>
        <w:jc w:val="center"/>
        <w:rPr>
          <w:rFonts w:cs="宋体"/>
          <w:b/>
          <w:sz w:val="36"/>
          <w:szCs w:val="36"/>
          <w:lang w:eastAsia="zh-CN"/>
        </w:rPr>
      </w:pPr>
      <w:r>
        <w:rPr>
          <w:rFonts w:hint="eastAsia" w:cs="宋体"/>
          <w:b/>
          <w:sz w:val="36"/>
          <w:szCs w:val="36"/>
          <w:lang w:eastAsia="zh-CN"/>
        </w:rPr>
        <w:t>目</w:t>
      </w:r>
      <w:r>
        <w:rPr>
          <w:b/>
          <w:sz w:val="36"/>
          <w:szCs w:val="36"/>
          <w:lang w:eastAsia="zh-CN"/>
        </w:rPr>
        <w:t xml:space="preserve">   </w:t>
      </w:r>
      <w:r>
        <w:rPr>
          <w:rFonts w:hint="eastAsia" w:cs="宋体"/>
          <w:b/>
          <w:sz w:val="36"/>
          <w:szCs w:val="36"/>
          <w:lang w:eastAsia="zh-CN"/>
        </w:rPr>
        <w:t>录</w:t>
      </w:r>
    </w:p>
    <w:p w14:paraId="374E2640">
      <w:pPr>
        <w:jc w:val="center"/>
        <w:rPr>
          <w:b/>
          <w:sz w:val="36"/>
          <w:szCs w:val="36"/>
          <w:lang w:eastAsia="zh-CN"/>
        </w:rPr>
      </w:pPr>
    </w:p>
    <w:p w14:paraId="5A1270D0">
      <w:pPr>
        <w:pStyle w:val="29"/>
        <w:tabs>
          <w:tab w:val="right" w:leader="dot" w:pos="10204"/>
        </w:tabs>
      </w:pPr>
      <w:bookmarkStart w:id="1187" w:name="_GoBack"/>
      <w:bookmarkEnd w:id="1187"/>
      <w:r>
        <w:rPr>
          <w:rFonts w:cs="仿宋"/>
          <w:b w:val="0"/>
          <w:bCs w:val="0"/>
          <w:lang w:eastAsia="zh-CN"/>
        </w:rPr>
        <w:fldChar w:fldCharType="begin"/>
      </w:r>
      <w:r>
        <w:rPr>
          <w:rStyle w:val="50"/>
          <w:rFonts w:hint="eastAsia" w:ascii="仿宋" w:hAnsi="仿宋" w:eastAsia="仿宋" w:cs="仿宋"/>
          <w:b w:val="0"/>
          <w:bCs w:val="0"/>
          <w:color w:val="auto"/>
          <w:lang w:eastAsia="zh-CN"/>
        </w:rPr>
        <w:instrText xml:space="preserve"> TOC \o "1-3" \h \z \u </w:instrText>
      </w:r>
      <w:r>
        <w:rPr>
          <w:rFonts w:cs="仿宋"/>
          <w:b w:val="0"/>
          <w:bCs w:val="0"/>
          <w:lang w:eastAsia="zh-CN"/>
        </w:rPr>
        <w:fldChar w:fldCharType="separate"/>
      </w:r>
      <w:r>
        <w:rPr>
          <w:rFonts w:cs="仿宋"/>
          <w:lang w:eastAsia="zh-CN"/>
        </w:rPr>
        <w:fldChar w:fldCharType="begin"/>
      </w:r>
      <w:r>
        <w:rPr>
          <w:rFonts w:cs="仿宋"/>
          <w:lang w:eastAsia="zh-CN"/>
        </w:rPr>
        <w:instrText xml:space="preserve"> HYPERLINK \l _Toc13270 </w:instrText>
      </w:r>
      <w:r>
        <w:rPr>
          <w:rFonts w:cs="仿宋"/>
          <w:lang w:eastAsia="zh-CN"/>
        </w:rPr>
        <w:fldChar w:fldCharType="separate"/>
      </w:r>
      <w:r>
        <w:rPr>
          <w:rFonts w:hint="eastAsia" w:ascii="宋体" w:hAnsi="宋体" w:cs="宋体"/>
          <w:bCs/>
          <w:szCs w:val="36"/>
          <w:lang w:eastAsia="zh-CN"/>
        </w:rPr>
        <w:t>第一部分</w:t>
      </w:r>
      <w:r>
        <w:rPr>
          <w:rFonts w:ascii="宋体" w:hAnsi="宋体" w:cs="宋体"/>
          <w:bCs/>
          <w:szCs w:val="36"/>
          <w:lang w:eastAsia="zh-CN"/>
        </w:rPr>
        <w:t xml:space="preserve">  </w:t>
      </w:r>
      <w:r>
        <w:rPr>
          <w:rFonts w:hint="eastAsia" w:ascii="宋体" w:hAnsi="宋体" w:cs="宋体"/>
          <w:bCs/>
          <w:szCs w:val="36"/>
          <w:lang w:eastAsia="zh-CN"/>
        </w:rPr>
        <w:t>协</w:t>
      </w:r>
      <w:r>
        <w:rPr>
          <w:rFonts w:ascii="宋体" w:hAnsi="宋体" w:cs="宋体"/>
          <w:bCs/>
          <w:szCs w:val="36"/>
          <w:lang w:eastAsia="zh-CN"/>
        </w:rPr>
        <w:t xml:space="preserve">  </w:t>
      </w:r>
      <w:r>
        <w:rPr>
          <w:rFonts w:hint="eastAsia" w:ascii="宋体" w:hAnsi="宋体" w:cs="宋体"/>
          <w:bCs/>
          <w:szCs w:val="36"/>
          <w:lang w:eastAsia="zh-CN"/>
        </w:rPr>
        <w:t>议</w:t>
      </w:r>
      <w:r>
        <w:rPr>
          <w:rFonts w:ascii="宋体" w:hAnsi="宋体" w:cs="宋体"/>
          <w:bCs/>
          <w:szCs w:val="36"/>
          <w:lang w:eastAsia="zh-CN"/>
        </w:rPr>
        <w:t xml:space="preserve">  </w:t>
      </w:r>
      <w:r>
        <w:rPr>
          <w:rFonts w:hint="eastAsia" w:ascii="宋体" w:hAnsi="宋体" w:cs="宋体"/>
          <w:bCs/>
          <w:szCs w:val="36"/>
          <w:lang w:eastAsia="zh-CN"/>
        </w:rPr>
        <w:t>书</w:t>
      </w:r>
      <w:r>
        <w:tab/>
      </w:r>
      <w:r>
        <w:fldChar w:fldCharType="begin"/>
      </w:r>
      <w:r>
        <w:instrText xml:space="preserve"> PAGEREF _Toc13270 \h </w:instrText>
      </w:r>
      <w:r>
        <w:fldChar w:fldCharType="separate"/>
      </w:r>
      <w:r>
        <w:t>1</w:t>
      </w:r>
      <w:r>
        <w:fldChar w:fldCharType="end"/>
      </w:r>
      <w:r>
        <w:rPr>
          <w:rFonts w:cs="仿宋"/>
          <w:lang w:eastAsia="zh-CN"/>
        </w:rPr>
        <w:fldChar w:fldCharType="end"/>
      </w:r>
    </w:p>
    <w:p w14:paraId="4275D2E7">
      <w:pPr>
        <w:pStyle w:val="34"/>
        <w:tabs>
          <w:tab w:val="right" w:leader="dot" w:pos="10204"/>
        </w:tabs>
      </w:pPr>
      <w:r>
        <w:rPr>
          <w:rFonts w:cs="仿宋"/>
          <w:lang w:eastAsia="zh-CN"/>
        </w:rPr>
        <w:fldChar w:fldCharType="begin"/>
      </w:r>
      <w:r>
        <w:rPr>
          <w:rFonts w:cs="仿宋"/>
          <w:lang w:eastAsia="zh-CN"/>
        </w:rPr>
        <w:instrText xml:space="preserve"> HYPERLINK \l _Toc10786 </w:instrText>
      </w:r>
      <w:r>
        <w:rPr>
          <w:rFonts w:cs="仿宋"/>
          <w:lang w:eastAsia="zh-CN"/>
        </w:rPr>
        <w:fldChar w:fldCharType="separate"/>
      </w:r>
      <w:r>
        <w:rPr>
          <w:rFonts w:hint="eastAsia" w:ascii="仿宋" w:hAnsi="仿宋" w:eastAsia="仿宋" w:cs="仿宋"/>
          <w:bCs/>
          <w:lang w:eastAsia="zh-CN"/>
        </w:rPr>
        <w:t>一、工程概况</w:t>
      </w:r>
      <w:r>
        <w:tab/>
      </w:r>
      <w:r>
        <w:fldChar w:fldCharType="begin"/>
      </w:r>
      <w:r>
        <w:instrText xml:space="preserve"> PAGEREF _Toc10786 \h </w:instrText>
      </w:r>
      <w:r>
        <w:fldChar w:fldCharType="separate"/>
      </w:r>
      <w:r>
        <w:t>1</w:t>
      </w:r>
      <w:r>
        <w:fldChar w:fldCharType="end"/>
      </w:r>
      <w:r>
        <w:rPr>
          <w:rFonts w:cs="仿宋"/>
          <w:lang w:eastAsia="zh-CN"/>
        </w:rPr>
        <w:fldChar w:fldCharType="end"/>
      </w:r>
    </w:p>
    <w:p w14:paraId="385CB40F">
      <w:pPr>
        <w:pStyle w:val="34"/>
        <w:tabs>
          <w:tab w:val="right" w:leader="dot" w:pos="10204"/>
        </w:tabs>
      </w:pPr>
      <w:r>
        <w:rPr>
          <w:rFonts w:cs="仿宋"/>
          <w:lang w:eastAsia="zh-CN"/>
        </w:rPr>
        <w:fldChar w:fldCharType="begin"/>
      </w:r>
      <w:r>
        <w:rPr>
          <w:rFonts w:cs="仿宋"/>
          <w:lang w:eastAsia="zh-CN"/>
        </w:rPr>
        <w:instrText xml:space="preserve"> HYPERLINK \l _Toc32449 </w:instrText>
      </w:r>
      <w:r>
        <w:rPr>
          <w:rFonts w:cs="仿宋"/>
          <w:lang w:eastAsia="zh-CN"/>
        </w:rPr>
        <w:fldChar w:fldCharType="separate"/>
      </w:r>
      <w:r>
        <w:rPr>
          <w:rFonts w:hint="eastAsia" w:ascii="仿宋" w:hAnsi="仿宋" w:eastAsia="仿宋" w:cs="仿宋"/>
          <w:bCs/>
          <w:lang w:eastAsia="zh-CN"/>
        </w:rPr>
        <w:t>二、总承包范围、工程内容、承包方式及投资控制</w:t>
      </w:r>
      <w:r>
        <w:tab/>
      </w:r>
      <w:r>
        <w:fldChar w:fldCharType="begin"/>
      </w:r>
      <w:r>
        <w:instrText xml:space="preserve"> PAGEREF _Toc32449 \h </w:instrText>
      </w:r>
      <w:r>
        <w:fldChar w:fldCharType="separate"/>
      </w:r>
      <w:r>
        <w:t>1</w:t>
      </w:r>
      <w:r>
        <w:fldChar w:fldCharType="end"/>
      </w:r>
      <w:r>
        <w:rPr>
          <w:rFonts w:cs="仿宋"/>
          <w:lang w:eastAsia="zh-CN"/>
        </w:rPr>
        <w:fldChar w:fldCharType="end"/>
      </w:r>
    </w:p>
    <w:p w14:paraId="0EA9AAD8">
      <w:pPr>
        <w:pStyle w:val="34"/>
        <w:tabs>
          <w:tab w:val="right" w:leader="dot" w:pos="10204"/>
        </w:tabs>
      </w:pPr>
      <w:r>
        <w:rPr>
          <w:rFonts w:cs="仿宋"/>
          <w:lang w:eastAsia="zh-CN"/>
        </w:rPr>
        <w:fldChar w:fldCharType="begin"/>
      </w:r>
      <w:r>
        <w:rPr>
          <w:rFonts w:cs="仿宋"/>
          <w:lang w:eastAsia="zh-CN"/>
        </w:rPr>
        <w:instrText xml:space="preserve"> HYPERLINK \l _Toc18510 </w:instrText>
      </w:r>
      <w:r>
        <w:rPr>
          <w:rFonts w:cs="仿宋"/>
          <w:lang w:eastAsia="zh-CN"/>
        </w:rPr>
        <w:fldChar w:fldCharType="separate"/>
      </w:r>
      <w:r>
        <w:rPr>
          <w:rFonts w:hint="eastAsia" w:ascii="仿宋" w:hAnsi="仿宋" w:eastAsia="仿宋" w:cs="仿宋"/>
          <w:bCs/>
          <w:lang w:eastAsia="zh-CN"/>
        </w:rPr>
        <w:t>★三、质量标准和要求</w:t>
      </w:r>
      <w:r>
        <w:tab/>
      </w:r>
      <w:r>
        <w:fldChar w:fldCharType="begin"/>
      </w:r>
      <w:r>
        <w:instrText xml:space="preserve"> PAGEREF _Toc18510 \h </w:instrText>
      </w:r>
      <w:r>
        <w:fldChar w:fldCharType="separate"/>
      </w:r>
      <w:r>
        <w:t>10</w:t>
      </w:r>
      <w:r>
        <w:fldChar w:fldCharType="end"/>
      </w:r>
      <w:r>
        <w:rPr>
          <w:rFonts w:cs="仿宋"/>
          <w:lang w:eastAsia="zh-CN"/>
        </w:rPr>
        <w:fldChar w:fldCharType="end"/>
      </w:r>
    </w:p>
    <w:p w14:paraId="3454E2D0">
      <w:pPr>
        <w:pStyle w:val="34"/>
        <w:tabs>
          <w:tab w:val="right" w:leader="dot" w:pos="10204"/>
        </w:tabs>
      </w:pPr>
      <w:r>
        <w:rPr>
          <w:rFonts w:cs="仿宋"/>
          <w:lang w:eastAsia="zh-CN"/>
        </w:rPr>
        <w:fldChar w:fldCharType="begin"/>
      </w:r>
      <w:r>
        <w:rPr>
          <w:rFonts w:cs="仿宋"/>
          <w:lang w:eastAsia="zh-CN"/>
        </w:rPr>
        <w:instrText xml:space="preserve"> HYPERLINK \l _Toc2975 </w:instrText>
      </w:r>
      <w:r>
        <w:rPr>
          <w:rFonts w:cs="仿宋"/>
          <w:lang w:eastAsia="zh-CN"/>
        </w:rPr>
        <w:fldChar w:fldCharType="separate"/>
      </w:r>
      <w:r>
        <w:rPr>
          <w:rFonts w:hint="eastAsia" w:ascii="仿宋" w:hAnsi="仿宋" w:eastAsia="仿宋" w:cs="仿宋"/>
          <w:bCs/>
          <w:lang w:eastAsia="zh-CN"/>
        </w:rPr>
        <w:t>四、创优目标</w:t>
      </w:r>
      <w:r>
        <w:tab/>
      </w:r>
      <w:r>
        <w:fldChar w:fldCharType="begin"/>
      </w:r>
      <w:r>
        <w:instrText xml:space="preserve"> PAGEREF _Toc2975 \h </w:instrText>
      </w:r>
      <w:r>
        <w:fldChar w:fldCharType="separate"/>
      </w:r>
      <w:r>
        <w:t>11</w:t>
      </w:r>
      <w:r>
        <w:fldChar w:fldCharType="end"/>
      </w:r>
      <w:r>
        <w:rPr>
          <w:rFonts w:cs="仿宋"/>
          <w:lang w:eastAsia="zh-CN"/>
        </w:rPr>
        <w:fldChar w:fldCharType="end"/>
      </w:r>
    </w:p>
    <w:p w14:paraId="12757577">
      <w:pPr>
        <w:pStyle w:val="34"/>
        <w:tabs>
          <w:tab w:val="right" w:leader="dot" w:pos="10204"/>
        </w:tabs>
      </w:pPr>
      <w:r>
        <w:rPr>
          <w:rFonts w:cs="仿宋"/>
          <w:lang w:eastAsia="zh-CN"/>
        </w:rPr>
        <w:fldChar w:fldCharType="begin"/>
      </w:r>
      <w:r>
        <w:rPr>
          <w:rFonts w:cs="仿宋"/>
          <w:lang w:eastAsia="zh-CN"/>
        </w:rPr>
        <w:instrText xml:space="preserve"> HYPERLINK \l _Toc16177 </w:instrText>
      </w:r>
      <w:r>
        <w:rPr>
          <w:rFonts w:cs="仿宋"/>
          <w:lang w:eastAsia="zh-CN"/>
        </w:rPr>
        <w:fldChar w:fldCharType="separate"/>
      </w:r>
      <w:r>
        <w:rPr>
          <w:rFonts w:hint="eastAsia" w:ascii="仿宋" w:hAnsi="仿宋" w:eastAsia="仿宋" w:cs="仿宋"/>
          <w:bCs/>
          <w:lang w:eastAsia="zh-CN"/>
        </w:rPr>
        <w:t>五、创建文明工地目标</w:t>
      </w:r>
      <w:r>
        <w:tab/>
      </w:r>
      <w:r>
        <w:fldChar w:fldCharType="begin"/>
      </w:r>
      <w:r>
        <w:instrText xml:space="preserve"> PAGEREF _Toc16177 \h </w:instrText>
      </w:r>
      <w:r>
        <w:fldChar w:fldCharType="separate"/>
      </w:r>
      <w:r>
        <w:t>11</w:t>
      </w:r>
      <w:r>
        <w:fldChar w:fldCharType="end"/>
      </w:r>
      <w:r>
        <w:rPr>
          <w:rFonts w:cs="仿宋"/>
          <w:lang w:eastAsia="zh-CN"/>
        </w:rPr>
        <w:fldChar w:fldCharType="end"/>
      </w:r>
    </w:p>
    <w:p w14:paraId="065A9D6A">
      <w:pPr>
        <w:pStyle w:val="34"/>
        <w:tabs>
          <w:tab w:val="right" w:leader="dot" w:pos="10204"/>
        </w:tabs>
      </w:pPr>
      <w:r>
        <w:rPr>
          <w:rFonts w:cs="仿宋"/>
          <w:lang w:eastAsia="zh-CN"/>
        </w:rPr>
        <w:fldChar w:fldCharType="begin"/>
      </w:r>
      <w:r>
        <w:rPr>
          <w:rFonts w:cs="仿宋"/>
          <w:lang w:eastAsia="zh-CN"/>
        </w:rPr>
        <w:instrText xml:space="preserve"> HYPERLINK \l _Toc21401 </w:instrText>
      </w:r>
      <w:r>
        <w:rPr>
          <w:rFonts w:cs="仿宋"/>
          <w:lang w:eastAsia="zh-CN"/>
        </w:rPr>
        <w:fldChar w:fldCharType="separate"/>
      </w:r>
      <w:r>
        <w:rPr>
          <w:rFonts w:hint="eastAsia" w:ascii="仿宋" w:hAnsi="仿宋" w:eastAsia="仿宋" w:cs="仿宋"/>
          <w:bCs/>
          <w:lang w:eastAsia="zh-CN"/>
        </w:rPr>
        <w:t>六、职业健康安全管理目标和环境管理目标</w:t>
      </w:r>
      <w:r>
        <w:tab/>
      </w:r>
      <w:r>
        <w:fldChar w:fldCharType="begin"/>
      </w:r>
      <w:r>
        <w:instrText xml:space="preserve"> PAGEREF _Toc21401 \h </w:instrText>
      </w:r>
      <w:r>
        <w:fldChar w:fldCharType="separate"/>
      </w:r>
      <w:r>
        <w:t>12</w:t>
      </w:r>
      <w:r>
        <w:fldChar w:fldCharType="end"/>
      </w:r>
      <w:r>
        <w:rPr>
          <w:rFonts w:cs="仿宋"/>
          <w:lang w:eastAsia="zh-CN"/>
        </w:rPr>
        <w:fldChar w:fldCharType="end"/>
      </w:r>
    </w:p>
    <w:p w14:paraId="00C9ED01">
      <w:pPr>
        <w:pStyle w:val="34"/>
        <w:tabs>
          <w:tab w:val="right" w:leader="dot" w:pos="10204"/>
        </w:tabs>
      </w:pPr>
      <w:r>
        <w:rPr>
          <w:rFonts w:cs="仿宋"/>
          <w:lang w:eastAsia="zh-CN"/>
        </w:rPr>
        <w:fldChar w:fldCharType="begin"/>
      </w:r>
      <w:r>
        <w:rPr>
          <w:rFonts w:cs="仿宋"/>
          <w:lang w:eastAsia="zh-CN"/>
        </w:rPr>
        <w:instrText xml:space="preserve"> HYPERLINK \l _Toc20984 </w:instrText>
      </w:r>
      <w:r>
        <w:rPr>
          <w:rFonts w:cs="仿宋"/>
          <w:lang w:eastAsia="zh-CN"/>
        </w:rPr>
        <w:fldChar w:fldCharType="separate"/>
      </w:r>
      <w:r>
        <w:rPr>
          <w:rFonts w:hint="eastAsia" w:ascii="仿宋" w:hAnsi="仿宋" w:eastAsia="仿宋" w:cs="仿宋"/>
          <w:bCs/>
          <w:lang w:eastAsia="zh-CN"/>
        </w:rPr>
        <w:t>七、合同工期</w:t>
      </w:r>
      <w:r>
        <w:tab/>
      </w:r>
      <w:r>
        <w:fldChar w:fldCharType="begin"/>
      </w:r>
      <w:r>
        <w:instrText xml:space="preserve"> PAGEREF _Toc20984 \h </w:instrText>
      </w:r>
      <w:r>
        <w:fldChar w:fldCharType="separate"/>
      </w:r>
      <w:r>
        <w:t>12</w:t>
      </w:r>
      <w:r>
        <w:fldChar w:fldCharType="end"/>
      </w:r>
      <w:r>
        <w:rPr>
          <w:rFonts w:cs="仿宋"/>
          <w:lang w:eastAsia="zh-CN"/>
        </w:rPr>
        <w:fldChar w:fldCharType="end"/>
      </w:r>
    </w:p>
    <w:p w14:paraId="0BDF6595">
      <w:pPr>
        <w:pStyle w:val="34"/>
        <w:tabs>
          <w:tab w:val="right" w:leader="dot" w:pos="10204"/>
        </w:tabs>
      </w:pPr>
      <w:r>
        <w:rPr>
          <w:rFonts w:cs="仿宋"/>
          <w:lang w:eastAsia="zh-CN"/>
        </w:rPr>
        <w:fldChar w:fldCharType="begin"/>
      </w:r>
      <w:r>
        <w:rPr>
          <w:rFonts w:cs="仿宋"/>
          <w:lang w:eastAsia="zh-CN"/>
        </w:rPr>
        <w:instrText xml:space="preserve"> HYPERLINK \l _Toc2371 </w:instrText>
      </w:r>
      <w:r>
        <w:rPr>
          <w:rFonts w:cs="仿宋"/>
          <w:lang w:eastAsia="zh-CN"/>
        </w:rPr>
        <w:fldChar w:fldCharType="separate"/>
      </w:r>
      <w:r>
        <w:rPr>
          <w:rFonts w:hint="eastAsia" w:ascii="仿宋" w:hAnsi="仿宋" w:eastAsia="仿宋" w:cs="仿宋"/>
          <w:bCs/>
          <w:lang w:eastAsia="zh-CN"/>
        </w:rPr>
        <w:t>八、签约合同价与合同价格形式</w:t>
      </w:r>
      <w:r>
        <w:tab/>
      </w:r>
      <w:r>
        <w:fldChar w:fldCharType="begin"/>
      </w:r>
      <w:r>
        <w:instrText xml:space="preserve"> PAGEREF _Toc2371 \h </w:instrText>
      </w:r>
      <w:r>
        <w:fldChar w:fldCharType="separate"/>
      </w:r>
      <w:r>
        <w:t>13</w:t>
      </w:r>
      <w:r>
        <w:fldChar w:fldCharType="end"/>
      </w:r>
      <w:r>
        <w:rPr>
          <w:rFonts w:cs="仿宋"/>
          <w:lang w:eastAsia="zh-CN"/>
        </w:rPr>
        <w:fldChar w:fldCharType="end"/>
      </w:r>
    </w:p>
    <w:p w14:paraId="526EB4A3">
      <w:pPr>
        <w:pStyle w:val="34"/>
        <w:tabs>
          <w:tab w:val="right" w:leader="dot" w:pos="10204"/>
        </w:tabs>
      </w:pPr>
      <w:r>
        <w:rPr>
          <w:rFonts w:cs="仿宋"/>
          <w:lang w:eastAsia="zh-CN"/>
        </w:rPr>
        <w:fldChar w:fldCharType="begin"/>
      </w:r>
      <w:r>
        <w:rPr>
          <w:rFonts w:cs="仿宋"/>
          <w:lang w:eastAsia="zh-CN"/>
        </w:rPr>
        <w:instrText xml:space="preserve"> HYPERLINK \l _Toc23702 </w:instrText>
      </w:r>
      <w:r>
        <w:rPr>
          <w:rFonts w:cs="仿宋"/>
          <w:lang w:eastAsia="zh-CN"/>
        </w:rPr>
        <w:fldChar w:fldCharType="separate"/>
      </w:r>
      <w:r>
        <w:rPr>
          <w:rFonts w:hint="eastAsia" w:ascii="仿宋" w:hAnsi="仿宋" w:eastAsia="仿宋" w:cs="仿宋"/>
          <w:bCs/>
          <w:lang w:eastAsia="zh-CN"/>
        </w:rPr>
        <w:t>★九、工人工资支付分账、建筑安装工程费支付专户</w:t>
      </w:r>
      <w:r>
        <w:tab/>
      </w:r>
      <w:r>
        <w:fldChar w:fldCharType="begin"/>
      </w:r>
      <w:r>
        <w:instrText xml:space="preserve"> PAGEREF _Toc23702 \h </w:instrText>
      </w:r>
      <w:r>
        <w:fldChar w:fldCharType="separate"/>
      </w:r>
      <w:r>
        <w:t>14</w:t>
      </w:r>
      <w:r>
        <w:fldChar w:fldCharType="end"/>
      </w:r>
      <w:r>
        <w:rPr>
          <w:rFonts w:cs="仿宋"/>
          <w:lang w:eastAsia="zh-CN"/>
        </w:rPr>
        <w:fldChar w:fldCharType="end"/>
      </w:r>
    </w:p>
    <w:p w14:paraId="31B3C33F">
      <w:pPr>
        <w:pStyle w:val="34"/>
        <w:tabs>
          <w:tab w:val="right" w:leader="dot" w:pos="10204"/>
        </w:tabs>
      </w:pPr>
      <w:r>
        <w:rPr>
          <w:rFonts w:cs="仿宋"/>
          <w:lang w:eastAsia="zh-CN"/>
        </w:rPr>
        <w:fldChar w:fldCharType="begin"/>
      </w:r>
      <w:r>
        <w:rPr>
          <w:rFonts w:cs="仿宋"/>
          <w:lang w:eastAsia="zh-CN"/>
        </w:rPr>
        <w:instrText xml:space="preserve"> HYPERLINK \l _Toc1458 </w:instrText>
      </w:r>
      <w:r>
        <w:rPr>
          <w:rFonts w:cs="仿宋"/>
          <w:lang w:eastAsia="zh-CN"/>
        </w:rPr>
        <w:fldChar w:fldCharType="separate"/>
      </w:r>
      <w:r>
        <w:rPr>
          <w:rFonts w:hint="eastAsia" w:ascii="仿宋" w:hAnsi="仿宋" w:eastAsia="仿宋" w:cs="仿宋"/>
          <w:bCs/>
          <w:lang w:eastAsia="zh-CN"/>
        </w:rPr>
        <w:t>十、组成合同的文件</w:t>
      </w:r>
      <w:r>
        <w:tab/>
      </w:r>
      <w:r>
        <w:fldChar w:fldCharType="begin"/>
      </w:r>
      <w:r>
        <w:instrText xml:space="preserve"> PAGEREF _Toc1458 \h </w:instrText>
      </w:r>
      <w:r>
        <w:fldChar w:fldCharType="separate"/>
      </w:r>
      <w:r>
        <w:t>15</w:t>
      </w:r>
      <w:r>
        <w:fldChar w:fldCharType="end"/>
      </w:r>
      <w:r>
        <w:rPr>
          <w:rFonts w:cs="仿宋"/>
          <w:lang w:eastAsia="zh-CN"/>
        </w:rPr>
        <w:fldChar w:fldCharType="end"/>
      </w:r>
    </w:p>
    <w:p w14:paraId="4BD6E033">
      <w:pPr>
        <w:pStyle w:val="34"/>
        <w:tabs>
          <w:tab w:val="right" w:leader="dot" w:pos="10204"/>
        </w:tabs>
      </w:pPr>
      <w:r>
        <w:rPr>
          <w:rFonts w:cs="仿宋"/>
          <w:lang w:eastAsia="zh-CN"/>
        </w:rPr>
        <w:fldChar w:fldCharType="begin"/>
      </w:r>
      <w:r>
        <w:rPr>
          <w:rFonts w:cs="仿宋"/>
          <w:lang w:eastAsia="zh-CN"/>
        </w:rPr>
        <w:instrText xml:space="preserve"> HYPERLINK \l _Toc13586 </w:instrText>
      </w:r>
      <w:r>
        <w:rPr>
          <w:rFonts w:cs="仿宋"/>
          <w:lang w:eastAsia="zh-CN"/>
        </w:rPr>
        <w:fldChar w:fldCharType="separate"/>
      </w:r>
      <w:r>
        <w:rPr>
          <w:rFonts w:hint="eastAsia" w:ascii="仿宋" w:hAnsi="仿宋" w:eastAsia="仿宋" w:cs="仿宋"/>
          <w:bCs/>
          <w:lang w:eastAsia="zh-CN"/>
        </w:rPr>
        <w:t>十一、词语含义</w:t>
      </w:r>
      <w:r>
        <w:tab/>
      </w:r>
      <w:r>
        <w:fldChar w:fldCharType="begin"/>
      </w:r>
      <w:r>
        <w:instrText xml:space="preserve"> PAGEREF _Toc13586 \h </w:instrText>
      </w:r>
      <w:r>
        <w:fldChar w:fldCharType="separate"/>
      </w:r>
      <w:r>
        <w:t>15</w:t>
      </w:r>
      <w:r>
        <w:fldChar w:fldCharType="end"/>
      </w:r>
      <w:r>
        <w:rPr>
          <w:rFonts w:cs="仿宋"/>
          <w:lang w:eastAsia="zh-CN"/>
        </w:rPr>
        <w:fldChar w:fldCharType="end"/>
      </w:r>
    </w:p>
    <w:p w14:paraId="55CB0710">
      <w:pPr>
        <w:pStyle w:val="34"/>
        <w:tabs>
          <w:tab w:val="right" w:leader="dot" w:pos="10204"/>
        </w:tabs>
      </w:pPr>
      <w:r>
        <w:rPr>
          <w:rFonts w:cs="仿宋"/>
          <w:lang w:eastAsia="zh-CN"/>
        </w:rPr>
        <w:fldChar w:fldCharType="begin"/>
      </w:r>
      <w:r>
        <w:rPr>
          <w:rFonts w:cs="仿宋"/>
          <w:lang w:eastAsia="zh-CN"/>
        </w:rPr>
        <w:instrText xml:space="preserve"> HYPERLINK \l _Toc11015 </w:instrText>
      </w:r>
      <w:r>
        <w:rPr>
          <w:rFonts w:cs="仿宋"/>
          <w:lang w:eastAsia="zh-CN"/>
        </w:rPr>
        <w:fldChar w:fldCharType="separate"/>
      </w:r>
      <w:r>
        <w:rPr>
          <w:rFonts w:hint="eastAsia" w:ascii="仿宋" w:hAnsi="仿宋" w:eastAsia="仿宋" w:cs="仿宋"/>
          <w:bCs/>
          <w:lang w:eastAsia="zh-CN"/>
        </w:rPr>
        <w:t>十二、承诺</w:t>
      </w:r>
      <w:r>
        <w:tab/>
      </w:r>
      <w:r>
        <w:fldChar w:fldCharType="begin"/>
      </w:r>
      <w:r>
        <w:instrText xml:space="preserve"> PAGEREF _Toc11015 \h </w:instrText>
      </w:r>
      <w:r>
        <w:fldChar w:fldCharType="separate"/>
      </w:r>
      <w:r>
        <w:t>15</w:t>
      </w:r>
      <w:r>
        <w:fldChar w:fldCharType="end"/>
      </w:r>
      <w:r>
        <w:rPr>
          <w:rFonts w:cs="仿宋"/>
          <w:lang w:eastAsia="zh-CN"/>
        </w:rPr>
        <w:fldChar w:fldCharType="end"/>
      </w:r>
    </w:p>
    <w:p w14:paraId="7709D4D9">
      <w:pPr>
        <w:pStyle w:val="34"/>
        <w:tabs>
          <w:tab w:val="right" w:leader="dot" w:pos="10204"/>
        </w:tabs>
      </w:pPr>
      <w:r>
        <w:rPr>
          <w:rFonts w:cs="仿宋"/>
          <w:lang w:eastAsia="zh-CN"/>
        </w:rPr>
        <w:fldChar w:fldCharType="begin"/>
      </w:r>
      <w:r>
        <w:rPr>
          <w:rFonts w:cs="仿宋"/>
          <w:lang w:eastAsia="zh-CN"/>
        </w:rPr>
        <w:instrText xml:space="preserve"> HYPERLINK \l _Toc28759 </w:instrText>
      </w:r>
      <w:r>
        <w:rPr>
          <w:rFonts w:cs="仿宋"/>
          <w:lang w:eastAsia="zh-CN"/>
        </w:rPr>
        <w:fldChar w:fldCharType="separate"/>
      </w:r>
      <w:r>
        <w:rPr>
          <w:rFonts w:hint="eastAsia" w:ascii="仿宋" w:hAnsi="仿宋" w:eastAsia="仿宋" w:cs="仿宋"/>
          <w:bCs/>
          <w:lang w:eastAsia="zh-CN"/>
        </w:rPr>
        <w:t>十</w:t>
      </w:r>
      <w:r>
        <w:rPr>
          <w:rFonts w:ascii="仿宋" w:hAnsi="仿宋" w:eastAsia="仿宋" w:cs="仿宋"/>
          <w:bCs/>
          <w:lang w:eastAsia="zh-CN"/>
        </w:rPr>
        <w:t>三</w:t>
      </w:r>
      <w:r>
        <w:rPr>
          <w:rFonts w:hint="eastAsia" w:ascii="仿宋" w:hAnsi="仿宋" w:eastAsia="仿宋" w:cs="仿宋"/>
          <w:bCs/>
          <w:lang w:eastAsia="zh-CN"/>
        </w:rPr>
        <w:t>、合同生效</w:t>
      </w:r>
      <w:r>
        <w:tab/>
      </w:r>
      <w:r>
        <w:fldChar w:fldCharType="begin"/>
      </w:r>
      <w:r>
        <w:instrText xml:space="preserve"> PAGEREF _Toc28759 \h </w:instrText>
      </w:r>
      <w:r>
        <w:fldChar w:fldCharType="separate"/>
      </w:r>
      <w:r>
        <w:t>16</w:t>
      </w:r>
      <w:r>
        <w:fldChar w:fldCharType="end"/>
      </w:r>
      <w:r>
        <w:rPr>
          <w:rFonts w:cs="仿宋"/>
          <w:lang w:eastAsia="zh-CN"/>
        </w:rPr>
        <w:fldChar w:fldCharType="end"/>
      </w:r>
    </w:p>
    <w:p w14:paraId="38F0F482">
      <w:pPr>
        <w:pStyle w:val="34"/>
        <w:tabs>
          <w:tab w:val="right" w:leader="dot" w:pos="10204"/>
        </w:tabs>
      </w:pPr>
      <w:r>
        <w:rPr>
          <w:rFonts w:cs="仿宋"/>
          <w:lang w:eastAsia="zh-CN"/>
        </w:rPr>
        <w:fldChar w:fldCharType="begin"/>
      </w:r>
      <w:r>
        <w:rPr>
          <w:rFonts w:cs="仿宋"/>
          <w:lang w:eastAsia="zh-CN"/>
        </w:rPr>
        <w:instrText xml:space="preserve"> HYPERLINK \l _Toc20623 </w:instrText>
      </w:r>
      <w:r>
        <w:rPr>
          <w:rFonts w:cs="仿宋"/>
          <w:lang w:eastAsia="zh-CN"/>
        </w:rPr>
        <w:fldChar w:fldCharType="separate"/>
      </w:r>
      <w:r>
        <w:rPr>
          <w:rFonts w:hint="eastAsia" w:ascii="仿宋" w:hAnsi="仿宋" w:eastAsia="仿宋" w:cs="仿宋"/>
          <w:bCs/>
          <w:lang w:eastAsia="zh-CN"/>
        </w:rPr>
        <w:t>十</w:t>
      </w:r>
      <w:r>
        <w:rPr>
          <w:rFonts w:ascii="仿宋" w:hAnsi="仿宋" w:eastAsia="仿宋" w:cs="仿宋"/>
          <w:bCs/>
          <w:lang w:eastAsia="zh-CN"/>
        </w:rPr>
        <w:t>四</w:t>
      </w:r>
      <w:r>
        <w:rPr>
          <w:rFonts w:hint="eastAsia" w:ascii="仿宋" w:hAnsi="仿宋" w:eastAsia="仿宋" w:cs="仿宋"/>
          <w:bCs/>
          <w:lang w:eastAsia="zh-CN"/>
        </w:rPr>
        <w:t>、合同份数</w:t>
      </w:r>
      <w:r>
        <w:tab/>
      </w:r>
      <w:r>
        <w:fldChar w:fldCharType="begin"/>
      </w:r>
      <w:r>
        <w:instrText xml:space="preserve"> PAGEREF _Toc20623 \h </w:instrText>
      </w:r>
      <w:r>
        <w:fldChar w:fldCharType="separate"/>
      </w:r>
      <w:r>
        <w:t>16</w:t>
      </w:r>
      <w:r>
        <w:fldChar w:fldCharType="end"/>
      </w:r>
      <w:r>
        <w:rPr>
          <w:rFonts w:cs="仿宋"/>
          <w:lang w:eastAsia="zh-CN"/>
        </w:rPr>
        <w:fldChar w:fldCharType="end"/>
      </w:r>
    </w:p>
    <w:p w14:paraId="7FE92E3E">
      <w:pPr>
        <w:pStyle w:val="29"/>
        <w:tabs>
          <w:tab w:val="right" w:leader="dot" w:pos="10204"/>
        </w:tabs>
      </w:pPr>
      <w:r>
        <w:rPr>
          <w:rFonts w:cs="仿宋"/>
          <w:lang w:eastAsia="zh-CN"/>
        </w:rPr>
        <w:fldChar w:fldCharType="begin"/>
      </w:r>
      <w:r>
        <w:rPr>
          <w:rFonts w:cs="仿宋"/>
          <w:lang w:eastAsia="zh-CN"/>
        </w:rPr>
        <w:instrText xml:space="preserve"> HYPERLINK \l _Toc28257 </w:instrText>
      </w:r>
      <w:r>
        <w:rPr>
          <w:rFonts w:cs="仿宋"/>
          <w:lang w:eastAsia="zh-CN"/>
        </w:rPr>
        <w:fldChar w:fldCharType="separate"/>
      </w:r>
      <w:r>
        <w:rPr>
          <w:rFonts w:hint="eastAsia" w:ascii="宋体" w:hAnsi="宋体" w:cs="宋体"/>
          <w:bCs/>
          <w:szCs w:val="36"/>
          <w:lang w:eastAsia="zh-CN"/>
        </w:rPr>
        <w:t>第二部分</w:t>
      </w:r>
      <w:r>
        <w:rPr>
          <w:rFonts w:ascii="宋体" w:hAnsi="宋体" w:cs="宋体"/>
          <w:bCs/>
          <w:szCs w:val="36"/>
          <w:lang w:eastAsia="zh-CN"/>
        </w:rPr>
        <w:t xml:space="preserve">  </w:t>
      </w:r>
      <w:r>
        <w:rPr>
          <w:rFonts w:hint="eastAsia" w:ascii="宋体" w:hAnsi="宋体" w:cs="宋体"/>
          <w:bCs/>
          <w:szCs w:val="36"/>
          <w:lang w:eastAsia="zh-CN"/>
        </w:rPr>
        <w:t>通用条款</w:t>
      </w:r>
      <w:r>
        <w:tab/>
      </w:r>
      <w:r>
        <w:fldChar w:fldCharType="begin"/>
      </w:r>
      <w:r>
        <w:instrText xml:space="preserve"> PAGEREF _Toc28257 \h </w:instrText>
      </w:r>
      <w:r>
        <w:fldChar w:fldCharType="separate"/>
      </w:r>
      <w:r>
        <w:t>18</w:t>
      </w:r>
      <w:r>
        <w:fldChar w:fldCharType="end"/>
      </w:r>
      <w:r>
        <w:rPr>
          <w:rFonts w:cs="仿宋"/>
          <w:lang w:eastAsia="zh-CN"/>
        </w:rPr>
        <w:fldChar w:fldCharType="end"/>
      </w:r>
    </w:p>
    <w:p w14:paraId="1FC7DBCA">
      <w:pPr>
        <w:pStyle w:val="34"/>
        <w:tabs>
          <w:tab w:val="right" w:leader="dot" w:pos="10204"/>
        </w:tabs>
      </w:pPr>
      <w:r>
        <w:rPr>
          <w:rFonts w:cs="仿宋"/>
          <w:lang w:eastAsia="zh-CN"/>
        </w:rPr>
        <w:fldChar w:fldCharType="begin"/>
      </w:r>
      <w:r>
        <w:rPr>
          <w:rFonts w:cs="仿宋"/>
          <w:lang w:eastAsia="zh-CN"/>
        </w:rPr>
        <w:instrText xml:space="preserve"> HYPERLINK \l _Toc11434 </w:instrText>
      </w:r>
      <w:r>
        <w:rPr>
          <w:rFonts w:cs="仿宋"/>
          <w:lang w:eastAsia="zh-CN"/>
        </w:rPr>
        <w:fldChar w:fldCharType="separate"/>
      </w:r>
      <w:r>
        <w:rPr>
          <w:rFonts w:hint="eastAsia" w:hAnsi="宋体"/>
          <w:bCs/>
          <w:szCs w:val="32"/>
          <w:lang w:eastAsia="zh-CN"/>
        </w:rPr>
        <w:t>一、总</w:t>
      </w:r>
      <w:r>
        <w:rPr>
          <w:rFonts w:hAnsi="宋体"/>
          <w:bCs/>
          <w:szCs w:val="32"/>
          <w:lang w:eastAsia="zh-CN"/>
        </w:rPr>
        <w:t xml:space="preserve">  </w:t>
      </w:r>
      <w:r>
        <w:rPr>
          <w:rFonts w:hint="eastAsia" w:hAnsi="宋体"/>
          <w:bCs/>
          <w:szCs w:val="32"/>
          <w:lang w:eastAsia="zh-CN"/>
        </w:rPr>
        <w:t>则</w:t>
      </w:r>
      <w:r>
        <w:tab/>
      </w:r>
      <w:r>
        <w:fldChar w:fldCharType="begin"/>
      </w:r>
      <w:r>
        <w:instrText xml:space="preserve"> PAGEREF _Toc11434 \h </w:instrText>
      </w:r>
      <w:r>
        <w:fldChar w:fldCharType="separate"/>
      </w:r>
      <w:r>
        <w:t>18</w:t>
      </w:r>
      <w:r>
        <w:fldChar w:fldCharType="end"/>
      </w:r>
      <w:r>
        <w:rPr>
          <w:rFonts w:cs="仿宋"/>
          <w:lang w:eastAsia="zh-CN"/>
        </w:rPr>
        <w:fldChar w:fldCharType="end"/>
      </w:r>
    </w:p>
    <w:p w14:paraId="6166FCB5">
      <w:pPr>
        <w:pStyle w:val="21"/>
        <w:tabs>
          <w:tab w:val="right" w:leader="dot" w:pos="10204"/>
        </w:tabs>
      </w:pPr>
      <w:r>
        <w:rPr>
          <w:rFonts w:cs="仿宋"/>
          <w:lang w:eastAsia="zh-CN"/>
        </w:rPr>
        <w:fldChar w:fldCharType="begin"/>
      </w:r>
      <w:r>
        <w:rPr>
          <w:rFonts w:cs="仿宋"/>
          <w:lang w:eastAsia="zh-CN"/>
        </w:rPr>
        <w:instrText xml:space="preserve"> HYPERLINK \l _Toc28929 </w:instrText>
      </w:r>
      <w:r>
        <w:rPr>
          <w:rFonts w:cs="仿宋"/>
          <w:lang w:eastAsia="zh-CN"/>
        </w:rPr>
        <w:fldChar w:fldCharType="separate"/>
      </w:r>
      <w:r>
        <w:rPr>
          <w:rFonts w:ascii="仿宋" w:hAnsi="仿宋" w:eastAsia="仿宋" w:cs="仿宋"/>
          <w:bCs/>
          <w:szCs w:val="24"/>
          <w:lang w:eastAsia="zh-CN"/>
        </w:rPr>
        <w:t xml:space="preserve">1 </w:t>
      </w:r>
      <w:r>
        <w:rPr>
          <w:rFonts w:hint="eastAsia" w:ascii="仿宋" w:hAnsi="仿宋" w:eastAsia="仿宋" w:cs="仿宋"/>
          <w:bCs/>
          <w:szCs w:val="24"/>
          <w:lang w:eastAsia="zh-CN"/>
        </w:rPr>
        <w:t>定义</w:t>
      </w:r>
      <w:r>
        <w:tab/>
      </w:r>
      <w:r>
        <w:fldChar w:fldCharType="begin"/>
      </w:r>
      <w:r>
        <w:instrText xml:space="preserve"> PAGEREF _Toc28929 \h </w:instrText>
      </w:r>
      <w:r>
        <w:fldChar w:fldCharType="separate"/>
      </w:r>
      <w:r>
        <w:t>18</w:t>
      </w:r>
      <w:r>
        <w:fldChar w:fldCharType="end"/>
      </w:r>
      <w:r>
        <w:rPr>
          <w:rFonts w:cs="仿宋"/>
          <w:lang w:eastAsia="zh-CN"/>
        </w:rPr>
        <w:fldChar w:fldCharType="end"/>
      </w:r>
    </w:p>
    <w:p w14:paraId="31DA4985">
      <w:pPr>
        <w:pStyle w:val="21"/>
        <w:tabs>
          <w:tab w:val="right" w:leader="dot" w:pos="10204"/>
        </w:tabs>
      </w:pPr>
      <w:r>
        <w:rPr>
          <w:rFonts w:cs="仿宋"/>
          <w:lang w:eastAsia="zh-CN"/>
        </w:rPr>
        <w:fldChar w:fldCharType="begin"/>
      </w:r>
      <w:r>
        <w:rPr>
          <w:rFonts w:cs="仿宋"/>
          <w:lang w:eastAsia="zh-CN"/>
        </w:rPr>
        <w:instrText xml:space="preserve"> HYPERLINK \l _Toc4882 </w:instrText>
      </w:r>
      <w:r>
        <w:rPr>
          <w:rFonts w:cs="仿宋"/>
          <w:lang w:eastAsia="zh-CN"/>
        </w:rPr>
        <w:fldChar w:fldCharType="separate"/>
      </w:r>
      <w:r>
        <w:rPr>
          <w:rFonts w:ascii="仿宋" w:hAnsi="仿宋" w:eastAsia="仿宋" w:cs="仿宋"/>
          <w:bCs w:val="0"/>
          <w:szCs w:val="24"/>
          <w:lang w:eastAsia="zh-CN"/>
        </w:rPr>
        <w:t xml:space="preserve">2 </w:t>
      </w:r>
      <w:r>
        <w:rPr>
          <w:rFonts w:hint="eastAsia" w:ascii="仿宋" w:hAnsi="仿宋" w:eastAsia="仿宋" w:cs="仿宋"/>
          <w:bCs w:val="0"/>
          <w:szCs w:val="24"/>
          <w:lang w:eastAsia="zh-CN"/>
        </w:rPr>
        <w:t>合同文件及解释</w:t>
      </w:r>
      <w:r>
        <w:tab/>
      </w:r>
      <w:r>
        <w:fldChar w:fldCharType="begin"/>
      </w:r>
      <w:r>
        <w:instrText xml:space="preserve"> PAGEREF _Toc4882 \h </w:instrText>
      </w:r>
      <w:r>
        <w:fldChar w:fldCharType="separate"/>
      </w:r>
      <w:r>
        <w:t>25</w:t>
      </w:r>
      <w:r>
        <w:fldChar w:fldCharType="end"/>
      </w:r>
      <w:r>
        <w:rPr>
          <w:rFonts w:cs="仿宋"/>
          <w:lang w:eastAsia="zh-CN"/>
        </w:rPr>
        <w:fldChar w:fldCharType="end"/>
      </w:r>
    </w:p>
    <w:p w14:paraId="4DCBA93E">
      <w:pPr>
        <w:pStyle w:val="21"/>
        <w:tabs>
          <w:tab w:val="right" w:leader="dot" w:pos="10204"/>
        </w:tabs>
      </w:pPr>
      <w:r>
        <w:rPr>
          <w:rFonts w:cs="仿宋"/>
          <w:lang w:eastAsia="zh-CN"/>
        </w:rPr>
        <w:fldChar w:fldCharType="begin"/>
      </w:r>
      <w:r>
        <w:rPr>
          <w:rFonts w:cs="仿宋"/>
          <w:lang w:eastAsia="zh-CN"/>
        </w:rPr>
        <w:instrText xml:space="preserve"> HYPERLINK \l _Toc22926 </w:instrText>
      </w:r>
      <w:r>
        <w:rPr>
          <w:rFonts w:cs="仿宋"/>
          <w:lang w:eastAsia="zh-CN"/>
        </w:rPr>
        <w:fldChar w:fldCharType="separate"/>
      </w:r>
      <w:r>
        <w:rPr>
          <w:rFonts w:ascii="仿宋" w:hAnsi="仿宋" w:eastAsia="仿宋" w:cs="仿宋"/>
          <w:bCs w:val="0"/>
          <w:szCs w:val="24"/>
          <w:lang w:eastAsia="zh-CN"/>
        </w:rPr>
        <w:t xml:space="preserve">3 </w:t>
      </w:r>
      <w:r>
        <w:rPr>
          <w:rFonts w:hint="eastAsia" w:ascii="仿宋" w:hAnsi="仿宋" w:eastAsia="仿宋" w:cs="仿宋"/>
          <w:bCs w:val="0"/>
          <w:szCs w:val="24"/>
          <w:lang w:eastAsia="zh-CN"/>
        </w:rPr>
        <w:t>阅读、理解与接受</w:t>
      </w:r>
      <w:r>
        <w:tab/>
      </w:r>
      <w:r>
        <w:fldChar w:fldCharType="begin"/>
      </w:r>
      <w:r>
        <w:instrText xml:space="preserve"> PAGEREF _Toc22926 \h </w:instrText>
      </w:r>
      <w:r>
        <w:fldChar w:fldCharType="separate"/>
      </w:r>
      <w:r>
        <w:t>26</w:t>
      </w:r>
      <w:r>
        <w:fldChar w:fldCharType="end"/>
      </w:r>
      <w:r>
        <w:rPr>
          <w:rFonts w:cs="仿宋"/>
          <w:lang w:eastAsia="zh-CN"/>
        </w:rPr>
        <w:fldChar w:fldCharType="end"/>
      </w:r>
    </w:p>
    <w:p w14:paraId="6FCF6FB8">
      <w:pPr>
        <w:pStyle w:val="21"/>
        <w:tabs>
          <w:tab w:val="right" w:leader="dot" w:pos="10204"/>
        </w:tabs>
      </w:pPr>
      <w:r>
        <w:rPr>
          <w:rFonts w:cs="仿宋"/>
          <w:lang w:eastAsia="zh-CN"/>
        </w:rPr>
        <w:fldChar w:fldCharType="begin"/>
      </w:r>
      <w:r>
        <w:rPr>
          <w:rFonts w:cs="仿宋"/>
          <w:lang w:eastAsia="zh-CN"/>
        </w:rPr>
        <w:instrText xml:space="preserve"> HYPERLINK \l _Toc21054 </w:instrText>
      </w:r>
      <w:r>
        <w:rPr>
          <w:rFonts w:cs="仿宋"/>
          <w:lang w:eastAsia="zh-CN"/>
        </w:rPr>
        <w:fldChar w:fldCharType="separate"/>
      </w:r>
      <w:r>
        <w:rPr>
          <w:rFonts w:ascii="仿宋" w:hAnsi="仿宋" w:eastAsia="仿宋" w:cs="仿宋"/>
          <w:bCs w:val="0"/>
          <w:szCs w:val="24"/>
          <w:lang w:eastAsia="zh-CN"/>
        </w:rPr>
        <w:t xml:space="preserve">4 </w:t>
      </w:r>
      <w:r>
        <w:rPr>
          <w:rFonts w:hint="eastAsia" w:ascii="仿宋" w:hAnsi="仿宋" w:eastAsia="仿宋" w:cs="仿宋"/>
          <w:bCs w:val="0"/>
          <w:szCs w:val="24"/>
          <w:lang w:eastAsia="zh-CN"/>
        </w:rPr>
        <w:t>语言及适用的法律、标准与规范</w:t>
      </w:r>
      <w:r>
        <w:tab/>
      </w:r>
      <w:r>
        <w:fldChar w:fldCharType="begin"/>
      </w:r>
      <w:r>
        <w:instrText xml:space="preserve"> PAGEREF _Toc21054 \h </w:instrText>
      </w:r>
      <w:r>
        <w:fldChar w:fldCharType="separate"/>
      </w:r>
      <w:r>
        <w:t>26</w:t>
      </w:r>
      <w:r>
        <w:fldChar w:fldCharType="end"/>
      </w:r>
      <w:r>
        <w:rPr>
          <w:rFonts w:cs="仿宋"/>
          <w:lang w:eastAsia="zh-CN"/>
        </w:rPr>
        <w:fldChar w:fldCharType="end"/>
      </w:r>
    </w:p>
    <w:p w14:paraId="4898E83F">
      <w:pPr>
        <w:pStyle w:val="21"/>
        <w:tabs>
          <w:tab w:val="right" w:leader="dot" w:pos="10204"/>
        </w:tabs>
      </w:pPr>
      <w:r>
        <w:rPr>
          <w:rFonts w:cs="仿宋"/>
          <w:lang w:eastAsia="zh-CN"/>
        </w:rPr>
        <w:fldChar w:fldCharType="begin"/>
      </w:r>
      <w:r>
        <w:rPr>
          <w:rFonts w:cs="仿宋"/>
          <w:lang w:eastAsia="zh-CN"/>
        </w:rPr>
        <w:instrText xml:space="preserve"> HYPERLINK \l _Toc19765 </w:instrText>
      </w:r>
      <w:r>
        <w:rPr>
          <w:rFonts w:cs="仿宋"/>
          <w:lang w:eastAsia="zh-CN"/>
        </w:rPr>
        <w:fldChar w:fldCharType="separate"/>
      </w:r>
      <w:r>
        <w:rPr>
          <w:rFonts w:hint="eastAsia" w:ascii="仿宋" w:hAnsi="仿宋" w:eastAsia="仿宋" w:cs="仿宋"/>
          <w:bCs w:val="0"/>
          <w:szCs w:val="24"/>
          <w:lang w:eastAsia="zh-CN"/>
        </w:rPr>
        <w:t>5 发包人要求</w:t>
      </w:r>
      <w:r>
        <w:tab/>
      </w:r>
      <w:r>
        <w:fldChar w:fldCharType="begin"/>
      </w:r>
      <w:r>
        <w:instrText xml:space="preserve"> PAGEREF _Toc19765 \h </w:instrText>
      </w:r>
      <w:r>
        <w:fldChar w:fldCharType="separate"/>
      </w:r>
      <w:r>
        <w:t>27</w:t>
      </w:r>
      <w:r>
        <w:fldChar w:fldCharType="end"/>
      </w:r>
      <w:r>
        <w:rPr>
          <w:rFonts w:cs="仿宋"/>
          <w:lang w:eastAsia="zh-CN"/>
        </w:rPr>
        <w:fldChar w:fldCharType="end"/>
      </w:r>
    </w:p>
    <w:p w14:paraId="0C4396A5">
      <w:pPr>
        <w:pStyle w:val="21"/>
        <w:tabs>
          <w:tab w:val="right" w:leader="dot" w:pos="10204"/>
        </w:tabs>
      </w:pPr>
      <w:r>
        <w:rPr>
          <w:rFonts w:cs="仿宋"/>
          <w:lang w:eastAsia="zh-CN"/>
        </w:rPr>
        <w:fldChar w:fldCharType="begin"/>
      </w:r>
      <w:r>
        <w:rPr>
          <w:rFonts w:cs="仿宋"/>
          <w:lang w:eastAsia="zh-CN"/>
        </w:rPr>
        <w:instrText xml:space="preserve"> HYPERLINK \l _Toc4335 </w:instrText>
      </w:r>
      <w:r>
        <w:rPr>
          <w:rFonts w:cs="仿宋"/>
          <w:lang w:eastAsia="zh-CN"/>
        </w:rPr>
        <w:fldChar w:fldCharType="separate"/>
      </w:r>
      <w:r>
        <w:rPr>
          <w:rFonts w:hint="eastAsia" w:ascii="仿宋" w:hAnsi="仿宋" w:eastAsia="仿宋" w:cs="仿宋"/>
          <w:bCs w:val="0"/>
          <w:szCs w:val="24"/>
          <w:lang w:eastAsia="zh-CN"/>
        </w:rPr>
        <w:t>6 项目基础资料</w:t>
      </w:r>
      <w:r>
        <w:tab/>
      </w:r>
      <w:r>
        <w:fldChar w:fldCharType="begin"/>
      </w:r>
      <w:r>
        <w:instrText xml:space="preserve"> PAGEREF _Toc4335 \h </w:instrText>
      </w:r>
      <w:r>
        <w:fldChar w:fldCharType="separate"/>
      </w:r>
      <w:r>
        <w:t>30</w:t>
      </w:r>
      <w:r>
        <w:fldChar w:fldCharType="end"/>
      </w:r>
      <w:r>
        <w:rPr>
          <w:rFonts w:cs="仿宋"/>
          <w:lang w:eastAsia="zh-CN"/>
        </w:rPr>
        <w:fldChar w:fldCharType="end"/>
      </w:r>
    </w:p>
    <w:p w14:paraId="5E22ABEB">
      <w:pPr>
        <w:pStyle w:val="21"/>
        <w:tabs>
          <w:tab w:val="right" w:leader="dot" w:pos="10204"/>
        </w:tabs>
      </w:pPr>
      <w:r>
        <w:rPr>
          <w:rFonts w:cs="仿宋"/>
          <w:lang w:eastAsia="zh-CN"/>
        </w:rPr>
        <w:fldChar w:fldCharType="begin"/>
      </w:r>
      <w:r>
        <w:rPr>
          <w:rFonts w:cs="仿宋"/>
          <w:lang w:eastAsia="zh-CN"/>
        </w:rPr>
        <w:instrText xml:space="preserve"> HYPERLINK \l _Toc15567 </w:instrText>
      </w:r>
      <w:r>
        <w:rPr>
          <w:rFonts w:cs="仿宋"/>
          <w:lang w:eastAsia="zh-CN"/>
        </w:rPr>
        <w:fldChar w:fldCharType="separate"/>
      </w:r>
      <w:r>
        <w:rPr>
          <w:rFonts w:hint="eastAsia" w:ascii="仿宋" w:hAnsi="仿宋" w:eastAsia="仿宋" w:cs="仿宋"/>
          <w:bCs w:val="0"/>
          <w:szCs w:val="24"/>
          <w:lang w:eastAsia="zh-CN"/>
        </w:rPr>
        <w:t>7 勘察报告、设计文件、建筑信息模型（BIM）</w:t>
      </w:r>
      <w:r>
        <w:tab/>
      </w:r>
      <w:r>
        <w:fldChar w:fldCharType="begin"/>
      </w:r>
      <w:r>
        <w:instrText xml:space="preserve"> PAGEREF _Toc15567 \h </w:instrText>
      </w:r>
      <w:r>
        <w:fldChar w:fldCharType="separate"/>
      </w:r>
      <w:r>
        <w:t>30</w:t>
      </w:r>
      <w:r>
        <w:fldChar w:fldCharType="end"/>
      </w:r>
      <w:r>
        <w:rPr>
          <w:rFonts w:cs="仿宋"/>
          <w:lang w:eastAsia="zh-CN"/>
        </w:rPr>
        <w:fldChar w:fldCharType="end"/>
      </w:r>
    </w:p>
    <w:p w14:paraId="6D842818">
      <w:pPr>
        <w:pStyle w:val="21"/>
        <w:tabs>
          <w:tab w:val="right" w:leader="dot" w:pos="10204"/>
        </w:tabs>
      </w:pPr>
      <w:r>
        <w:rPr>
          <w:rFonts w:cs="仿宋"/>
          <w:lang w:eastAsia="zh-CN"/>
        </w:rPr>
        <w:fldChar w:fldCharType="begin"/>
      </w:r>
      <w:r>
        <w:rPr>
          <w:rFonts w:cs="仿宋"/>
          <w:lang w:eastAsia="zh-CN"/>
        </w:rPr>
        <w:instrText xml:space="preserve"> HYPERLINK \l _Toc21814 </w:instrText>
      </w:r>
      <w:r>
        <w:rPr>
          <w:rFonts w:cs="仿宋"/>
          <w:lang w:eastAsia="zh-CN"/>
        </w:rPr>
        <w:fldChar w:fldCharType="separate"/>
      </w:r>
      <w:r>
        <w:rPr>
          <w:rFonts w:hint="eastAsia" w:ascii="仿宋" w:hAnsi="仿宋" w:eastAsia="仿宋" w:cs="仿宋"/>
          <w:bCs w:val="0"/>
          <w:szCs w:val="24"/>
        </w:rPr>
        <w:t>8 合同价格的控制原则</w:t>
      </w:r>
      <w:r>
        <w:tab/>
      </w:r>
      <w:r>
        <w:fldChar w:fldCharType="begin"/>
      </w:r>
      <w:r>
        <w:instrText xml:space="preserve"> PAGEREF _Toc21814 \h </w:instrText>
      </w:r>
      <w:r>
        <w:fldChar w:fldCharType="separate"/>
      </w:r>
      <w:r>
        <w:t>32</w:t>
      </w:r>
      <w:r>
        <w:fldChar w:fldCharType="end"/>
      </w:r>
      <w:r>
        <w:rPr>
          <w:rFonts w:cs="仿宋"/>
          <w:lang w:eastAsia="zh-CN"/>
        </w:rPr>
        <w:fldChar w:fldCharType="end"/>
      </w:r>
    </w:p>
    <w:p w14:paraId="064C27F3">
      <w:pPr>
        <w:pStyle w:val="21"/>
        <w:tabs>
          <w:tab w:val="right" w:leader="dot" w:pos="10204"/>
        </w:tabs>
      </w:pPr>
      <w:r>
        <w:rPr>
          <w:rFonts w:cs="仿宋"/>
          <w:lang w:eastAsia="zh-CN"/>
        </w:rPr>
        <w:fldChar w:fldCharType="begin"/>
      </w:r>
      <w:r>
        <w:rPr>
          <w:rFonts w:cs="仿宋"/>
          <w:lang w:eastAsia="zh-CN"/>
        </w:rPr>
        <w:instrText xml:space="preserve"> HYPERLINK \l _Toc29795 </w:instrText>
      </w:r>
      <w:r>
        <w:rPr>
          <w:rFonts w:cs="仿宋"/>
          <w:lang w:eastAsia="zh-CN"/>
        </w:rPr>
        <w:fldChar w:fldCharType="separate"/>
      </w:r>
      <w:r>
        <w:rPr>
          <w:rFonts w:hint="eastAsia" w:ascii="仿宋" w:hAnsi="仿宋" w:eastAsia="仿宋" w:cs="仿宋"/>
          <w:szCs w:val="24"/>
          <w:lang w:eastAsia="zh-CN"/>
        </w:rPr>
        <w:t>9</w:t>
      </w:r>
      <w:r>
        <w:rPr>
          <w:rFonts w:ascii="仿宋" w:hAnsi="仿宋" w:eastAsia="仿宋" w:cs="仿宋"/>
          <w:szCs w:val="24"/>
          <w:lang w:eastAsia="zh-CN"/>
        </w:rPr>
        <w:t xml:space="preserve"> </w:t>
      </w:r>
      <w:r>
        <w:rPr>
          <w:rFonts w:hint="eastAsia" w:ascii="仿宋" w:hAnsi="仿宋" w:eastAsia="仿宋" w:cs="仿宋"/>
          <w:szCs w:val="24"/>
          <w:lang w:eastAsia="zh-CN"/>
        </w:rPr>
        <w:t>通讯联络</w:t>
      </w:r>
      <w:r>
        <w:tab/>
      </w:r>
      <w:r>
        <w:fldChar w:fldCharType="begin"/>
      </w:r>
      <w:r>
        <w:instrText xml:space="preserve"> PAGEREF _Toc29795 \h </w:instrText>
      </w:r>
      <w:r>
        <w:fldChar w:fldCharType="separate"/>
      </w:r>
      <w:r>
        <w:t>35</w:t>
      </w:r>
      <w:r>
        <w:fldChar w:fldCharType="end"/>
      </w:r>
      <w:r>
        <w:rPr>
          <w:rFonts w:cs="仿宋"/>
          <w:lang w:eastAsia="zh-CN"/>
        </w:rPr>
        <w:fldChar w:fldCharType="end"/>
      </w:r>
    </w:p>
    <w:p w14:paraId="77DC82A5">
      <w:pPr>
        <w:pStyle w:val="21"/>
        <w:tabs>
          <w:tab w:val="right" w:leader="dot" w:pos="10204"/>
        </w:tabs>
      </w:pPr>
      <w:r>
        <w:rPr>
          <w:rFonts w:cs="仿宋"/>
          <w:lang w:eastAsia="zh-CN"/>
        </w:rPr>
        <w:fldChar w:fldCharType="begin"/>
      </w:r>
      <w:r>
        <w:rPr>
          <w:rFonts w:cs="仿宋"/>
          <w:lang w:eastAsia="zh-CN"/>
        </w:rPr>
        <w:instrText xml:space="preserve"> HYPERLINK \l _Toc26721 </w:instrText>
      </w:r>
      <w:r>
        <w:rPr>
          <w:rFonts w:cs="仿宋"/>
          <w:lang w:eastAsia="zh-CN"/>
        </w:rPr>
        <w:fldChar w:fldCharType="separate"/>
      </w:r>
      <w:r>
        <w:rPr>
          <w:rFonts w:hint="eastAsia" w:ascii="仿宋" w:hAnsi="仿宋" w:eastAsia="仿宋" w:cs="仿宋"/>
          <w:szCs w:val="24"/>
          <w:lang w:eastAsia="zh-CN"/>
        </w:rPr>
        <w:t>10</w:t>
      </w:r>
      <w:r>
        <w:rPr>
          <w:rFonts w:ascii="仿宋" w:hAnsi="仿宋" w:eastAsia="仿宋" w:cs="仿宋"/>
          <w:szCs w:val="24"/>
          <w:lang w:eastAsia="zh-CN"/>
        </w:rPr>
        <w:t xml:space="preserve"> </w:t>
      </w:r>
      <w:r>
        <w:rPr>
          <w:rFonts w:hint="eastAsia" w:ascii="仿宋" w:hAnsi="仿宋" w:eastAsia="仿宋" w:cs="仿宋"/>
          <w:szCs w:val="24"/>
          <w:lang w:eastAsia="zh-CN"/>
        </w:rPr>
        <w:t>分包</w:t>
      </w:r>
      <w:r>
        <w:tab/>
      </w:r>
      <w:r>
        <w:fldChar w:fldCharType="begin"/>
      </w:r>
      <w:r>
        <w:instrText xml:space="preserve"> PAGEREF _Toc26721 \h </w:instrText>
      </w:r>
      <w:r>
        <w:fldChar w:fldCharType="separate"/>
      </w:r>
      <w:r>
        <w:t>36</w:t>
      </w:r>
      <w:r>
        <w:fldChar w:fldCharType="end"/>
      </w:r>
      <w:r>
        <w:rPr>
          <w:rFonts w:cs="仿宋"/>
          <w:lang w:eastAsia="zh-CN"/>
        </w:rPr>
        <w:fldChar w:fldCharType="end"/>
      </w:r>
    </w:p>
    <w:p w14:paraId="0D7B6A90">
      <w:pPr>
        <w:pStyle w:val="21"/>
        <w:tabs>
          <w:tab w:val="right" w:leader="dot" w:pos="10204"/>
        </w:tabs>
      </w:pPr>
      <w:r>
        <w:rPr>
          <w:rFonts w:cs="仿宋"/>
          <w:lang w:eastAsia="zh-CN"/>
        </w:rPr>
        <w:fldChar w:fldCharType="begin"/>
      </w:r>
      <w:r>
        <w:rPr>
          <w:rFonts w:cs="仿宋"/>
          <w:lang w:eastAsia="zh-CN"/>
        </w:rPr>
        <w:instrText xml:space="preserve"> HYPERLINK \l _Toc14275 </w:instrText>
      </w:r>
      <w:r>
        <w:rPr>
          <w:rFonts w:cs="仿宋"/>
          <w:lang w:eastAsia="zh-CN"/>
        </w:rPr>
        <w:fldChar w:fldCharType="separate"/>
      </w:r>
      <w:r>
        <w:rPr>
          <w:rFonts w:hint="eastAsia" w:ascii="仿宋" w:hAnsi="仿宋" w:eastAsia="仿宋" w:cs="仿宋"/>
          <w:szCs w:val="24"/>
          <w:lang w:eastAsia="zh-CN"/>
        </w:rPr>
        <w:t>11</w:t>
      </w:r>
      <w:r>
        <w:rPr>
          <w:rFonts w:ascii="仿宋" w:hAnsi="仿宋" w:eastAsia="仿宋" w:cs="仿宋"/>
          <w:szCs w:val="24"/>
          <w:lang w:eastAsia="zh-CN"/>
        </w:rPr>
        <w:t xml:space="preserve"> </w:t>
      </w:r>
      <w:r>
        <w:rPr>
          <w:rFonts w:hint="eastAsia" w:ascii="仿宋" w:hAnsi="仿宋" w:eastAsia="仿宋" w:cs="仿宋"/>
          <w:szCs w:val="24"/>
          <w:lang w:eastAsia="zh-CN"/>
        </w:rPr>
        <w:t>现场查勘</w:t>
      </w:r>
      <w:r>
        <w:tab/>
      </w:r>
      <w:r>
        <w:fldChar w:fldCharType="begin"/>
      </w:r>
      <w:r>
        <w:instrText xml:space="preserve"> PAGEREF _Toc14275 \h </w:instrText>
      </w:r>
      <w:r>
        <w:fldChar w:fldCharType="separate"/>
      </w:r>
      <w:r>
        <w:t>37</w:t>
      </w:r>
      <w:r>
        <w:fldChar w:fldCharType="end"/>
      </w:r>
      <w:r>
        <w:rPr>
          <w:rFonts w:cs="仿宋"/>
          <w:lang w:eastAsia="zh-CN"/>
        </w:rPr>
        <w:fldChar w:fldCharType="end"/>
      </w:r>
    </w:p>
    <w:p w14:paraId="4C707E9E">
      <w:pPr>
        <w:pStyle w:val="21"/>
        <w:tabs>
          <w:tab w:val="right" w:leader="dot" w:pos="10204"/>
        </w:tabs>
      </w:pPr>
      <w:r>
        <w:rPr>
          <w:rFonts w:cs="仿宋"/>
          <w:lang w:eastAsia="zh-CN"/>
        </w:rPr>
        <w:fldChar w:fldCharType="begin"/>
      </w:r>
      <w:r>
        <w:rPr>
          <w:rFonts w:cs="仿宋"/>
          <w:lang w:eastAsia="zh-CN"/>
        </w:rPr>
        <w:instrText xml:space="preserve"> HYPERLINK \l _Toc10175 </w:instrText>
      </w:r>
      <w:r>
        <w:rPr>
          <w:rFonts w:cs="仿宋"/>
          <w:lang w:eastAsia="zh-CN"/>
        </w:rPr>
        <w:fldChar w:fldCharType="separate"/>
      </w:r>
      <w:r>
        <w:rPr>
          <w:rFonts w:hint="eastAsia" w:ascii="仿宋" w:hAnsi="仿宋" w:eastAsia="仿宋" w:cs="仿宋"/>
          <w:szCs w:val="24"/>
          <w:lang w:eastAsia="zh-CN"/>
        </w:rPr>
        <w:t>12</w:t>
      </w:r>
      <w:r>
        <w:rPr>
          <w:rFonts w:ascii="仿宋" w:hAnsi="仿宋" w:eastAsia="仿宋" w:cs="仿宋"/>
          <w:szCs w:val="24"/>
          <w:lang w:eastAsia="zh-CN"/>
        </w:rPr>
        <w:t xml:space="preserve"> </w:t>
      </w:r>
      <w:r>
        <w:rPr>
          <w:rFonts w:hint="eastAsia" w:ascii="仿宋" w:hAnsi="仿宋" w:eastAsia="仿宋" w:cs="仿宋"/>
          <w:szCs w:val="24"/>
          <w:lang w:eastAsia="zh-CN"/>
        </w:rPr>
        <w:t>招标错失的修正</w:t>
      </w:r>
      <w:r>
        <w:tab/>
      </w:r>
      <w:r>
        <w:fldChar w:fldCharType="begin"/>
      </w:r>
      <w:r>
        <w:instrText xml:space="preserve"> PAGEREF _Toc10175 \h </w:instrText>
      </w:r>
      <w:r>
        <w:fldChar w:fldCharType="separate"/>
      </w:r>
      <w:r>
        <w:t>38</w:t>
      </w:r>
      <w:r>
        <w:fldChar w:fldCharType="end"/>
      </w:r>
      <w:r>
        <w:rPr>
          <w:rFonts w:cs="仿宋"/>
          <w:lang w:eastAsia="zh-CN"/>
        </w:rPr>
        <w:fldChar w:fldCharType="end"/>
      </w:r>
    </w:p>
    <w:p w14:paraId="5FFFEAA8">
      <w:pPr>
        <w:pStyle w:val="21"/>
        <w:tabs>
          <w:tab w:val="right" w:leader="dot" w:pos="10204"/>
        </w:tabs>
      </w:pPr>
      <w:r>
        <w:rPr>
          <w:rFonts w:cs="仿宋"/>
          <w:lang w:eastAsia="zh-CN"/>
        </w:rPr>
        <w:fldChar w:fldCharType="begin"/>
      </w:r>
      <w:r>
        <w:rPr>
          <w:rFonts w:cs="仿宋"/>
          <w:lang w:eastAsia="zh-CN"/>
        </w:rPr>
        <w:instrText xml:space="preserve"> HYPERLINK \l _Toc23766 </w:instrText>
      </w:r>
      <w:r>
        <w:rPr>
          <w:rFonts w:cs="仿宋"/>
          <w:lang w:eastAsia="zh-CN"/>
        </w:rPr>
        <w:fldChar w:fldCharType="separate"/>
      </w:r>
      <w:r>
        <w:rPr>
          <w:rFonts w:ascii="仿宋" w:hAnsi="仿宋" w:eastAsia="仿宋" w:cs="仿宋"/>
          <w:szCs w:val="24"/>
          <w:lang w:eastAsia="zh-CN"/>
        </w:rPr>
        <w:t>1</w:t>
      </w:r>
      <w:r>
        <w:rPr>
          <w:rFonts w:hint="eastAsia" w:ascii="仿宋" w:hAnsi="仿宋" w:eastAsia="仿宋" w:cs="仿宋"/>
          <w:szCs w:val="24"/>
          <w:lang w:eastAsia="zh-CN"/>
        </w:rPr>
        <w:t>3</w:t>
      </w:r>
      <w:r>
        <w:rPr>
          <w:rFonts w:ascii="仿宋" w:hAnsi="仿宋" w:eastAsia="仿宋" w:cs="仿宋"/>
          <w:szCs w:val="24"/>
          <w:lang w:eastAsia="zh-CN"/>
        </w:rPr>
        <w:t xml:space="preserve"> </w:t>
      </w:r>
      <w:r>
        <w:rPr>
          <w:rFonts w:hint="eastAsia" w:ascii="仿宋" w:hAnsi="仿宋" w:eastAsia="仿宋" w:cs="仿宋"/>
          <w:szCs w:val="24"/>
          <w:lang w:eastAsia="zh-CN"/>
        </w:rPr>
        <w:t>投标文件的完备性</w:t>
      </w:r>
      <w:r>
        <w:tab/>
      </w:r>
      <w:r>
        <w:fldChar w:fldCharType="begin"/>
      </w:r>
      <w:r>
        <w:instrText xml:space="preserve"> PAGEREF _Toc23766 \h </w:instrText>
      </w:r>
      <w:r>
        <w:fldChar w:fldCharType="separate"/>
      </w:r>
      <w:r>
        <w:t>38</w:t>
      </w:r>
      <w:r>
        <w:fldChar w:fldCharType="end"/>
      </w:r>
      <w:r>
        <w:rPr>
          <w:rFonts w:cs="仿宋"/>
          <w:lang w:eastAsia="zh-CN"/>
        </w:rPr>
        <w:fldChar w:fldCharType="end"/>
      </w:r>
    </w:p>
    <w:p w14:paraId="65F1B28D">
      <w:pPr>
        <w:pStyle w:val="21"/>
        <w:tabs>
          <w:tab w:val="right" w:leader="dot" w:pos="10204"/>
        </w:tabs>
      </w:pPr>
      <w:r>
        <w:rPr>
          <w:rFonts w:cs="仿宋"/>
          <w:lang w:eastAsia="zh-CN"/>
        </w:rPr>
        <w:fldChar w:fldCharType="begin"/>
      </w:r>
      <w:r>
        <w:rPr>
          <w:rFonts w:cs="仿宋"/>
          <w:lang w:eastAsia="zh-CN"/>
        </w:rPr>
        <w:instrText xml:space="preserve"> HYPERLINK \l _Toc4124 </w:instrText>
      </w:r>
      <w:r>
        <w:rPr>
          <w:rFonts w:cs="仿宋"/>
          <w:lang w:eastAsia="zh-CN"/>
        </w:rPr>
        <w:fldChar w:fldCharType="separate"/>
      </w:r>
      <w:r>
        <w:rPr>
          <w:rFonts w:ascii="仿宋" w:hAnsi="仿宋" w:eastAsia="仿宋" w:cs="仿宋"/>
          <w:bCs w:val="0"/>
          <w:szCs w:val="24"/>
          <w:lang w:eastAsia="zh-CN"/>
        </w:rPr>
        <w:t>1</w:t>
      </w:r>
      <w:r>
        <w:rPr>
          <w:rFonts w:hint="eastAsia" w:ascii="仿宋" w:hAnsi="仿宋" w:eastAsia="仿宋" w:cs="仿宋"/>
          <w:bCs w:val="0"/>
          <w:szCs w:val="24"/>
          <w:lang w:eastAsia="zh-CN"/>
        </w:rPr>
        <w:t>4</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文物和地下障碍物</w:t>
      </w:r>
      <w:r>
        <w:tab/>
      </w:r>
      <w:r>
        <w:fldChar w:fldCharType="begin"/>
      </w:r>
      <w:r>
        <w:instrText xml:space="preserve"> PAGEREF _Toc4124 \h </w:instrText>
      </w:r>
      <w:r>
        <w:fldChar w:fldCharType="separate"/>
      </w:r>
      <w:r>
        <w:t>39</w:t>
      </w:r>
      <w:r>
        <w:fldChar w:fldCharType="end"/>
      </w:r>
      <w:r>
        <w:rPr>
          <w:rFonts w:cs="仿宋"/>
          <w:lang w:eastAsia="zh-CN"/>
        </w:rPr>
        <w:fldChar w:fldCharType="end"/>
      </w:r>
    </w:p>
    <w:p w14:paraId="3DDF2E57">
      <w:pPr>
        <w:pStyle w:val="21"/>
        <w:tabs>
          <w:tab w:val="right" w:leader="dot" w:pos="10204"/>
        </w:tabs>
      </w:pPr>
      <w:r>
        <w:rPr>
          <w:rFonts w:cs="仿宋"/>
          <w:lang w:eastAsia="zh-CN"/>
        </w:rPr>
        <w:fldChar w:fldCharType="begin"/>
      </w:r>
      <w:r>
        <w:rPr>
          <w:rFonts w:cs="仿宋"/>
          <w:lang w:eastAsia="zh-CN"/>
        </w:rPr>
        <w:instrText xml:space="preserve"> HYPERLINK \l _Toc6557 </w:instrText>
      </w:r>
      <w:r>
        <w:rPr>
          <w:rFonts w:cs="仿宋"/>
          <w:lang w:eastAsia="zh-CN"/>
        </w:rPr>
        <w:fldChar w:fldCharType="separate"/>
      </w:r>
      <w:r>
        <w:rPr>
          <w:rFonts w:ascii="仿宋" w:hAnsi="仿宋" w:eastAsia="仿宋" w:cs="仿宋"/>
          <w:bCs w:val="0"/>
          <w:szCs w:val="24"/>
          <w:lang w:eastAsia="zh-CN"/>
        </w:rPr>
        <w:t>1</w:t>
      </w:r>
      <w:r>
        <w:rPr>
          <w:rFonts w:hint="eastAsia" w:ascii="仿宋" w:hAnsi="仿宋" w:eastAsia="仿宋" w:cs="仿宋"/>
          <w:bCs w:val="0"/>
          <w:szCs w:val="24"/>
          <w:lang w:eastAsia="zh-CN"/>
        </w:rPr>
        <w:t>5</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事故处理</w:t>
      </w:r>
      <w:r>
        <w:tab/>
      </w:r>
      <w:r>
        <w:fldChar w:fldCharType="begin"/>
      </w:r>
      <w:r>
        <w:instrText xml:space="preserve"> PAGEREF _Toc6557 \h </w:instrText>
      </w:r>
      <w:r>
        <w:fldChar w:fldCharType="separate"/>
      </w:r>
      <w:r>
        <w:t>39</w:t>
      </w:r>
      <w:r>
        <w:fldChar w:fldCharType="end"/>
      </w:r>
      <w:r>
        <w:rPr>
          <w:rFonts w:cs="仿宋"/>
          <w:lang w:eastAsia="zh-CN"/>
        </w:rPr>
        <w:fldChar w:fldCharType="end"/>
      </w:r>
    </w:p>
    <w:p w14:paraId="76AD5C2B">
      <w:pPr>
        <w:pStyle w:val="21"/>
        <w:tabs>
          <w:tab w:val="right" w:leader="dot" w:pos="10204"/>
        </w:tabs>
      </w:pPr>
      <w:r>
        <w:rPr>
          <w:rFonts w:cs="仿宋"/>
          <w:lang w:eastAsia="zh-CN"/>
        </w:rPr>
        <w:fldChar w:fldCharType="begin"/>
      </w:r>
      <w:r>
        <w:rPr>
          <w:rFonts w:cs="仿宋"/>
          <w:lang w:eastAsia="zh-CN"/>
        </w:rPr>
        <w:instrText xml:space="preserve"> HYPERLINK \l _Toc596 </w:instrText>
      </w:r>
      <w:r>
        <w:rPr>
          <w:rFonts w:cs="仿宋"/>
          <w:lang w:eastAsia="zh-CN"/>
        </w:rPr>
        <w:fldChar w:fldCharType="separate"/>
      </w:r>
      <w:r>
        <w:rPr>
          <w:rFonts w:ascii="仿宋" w:hAnsi="仿宋" w:eastAsia="仿宋" w:cs="仿宋"/>
          <w:bCs w:val="0"/>
          <w:szCs w:val="24"/>
          <w:lang w:eastAsia="zh-CN"/>
        </w:rPr>
        <w:t>1</w:t>
      </w:r>
      <w:r>
        <w:rPr>
          <w:rFonts w:hint="eastAsia" w:ascii="仿宋" w:hAnsi="仿宋" w:eastAsia="仿宋" w:cs="仿宋"/>
          <w:bCs w:val="0"/>
          <w:szCs w:val="24"/>
          <w:lang w:eastAsia="zh-CN"/>
        </w:rPr>
        <w:t>6</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交通运输</w:t>
      </w:r>
      <w:r>
        <w:tab/>
      </w:r>
      <w:r>
        <w:fldChar w:fldCharType="begin"/>
      </w:r>
      <w:r>
        <w:instrText xml:space="preserve"> PAGEREF _Toc596 \h </w:instrText>
      </w:r>
      <w:r>
        <w:fldChar w:fldCharType="separate"/>
      </w:r>
      <w:r>
        <w:t>40</w:t>
      </w:r>
      <w:r>
        <w:fldChar w:fldCharType="end"/>
      </w:r>
      <w:r>
        <w:rPr>
          <w:rFonts w:cs="仿宋"/>
          <w:lang w:eastAsia="zh-CN"/>
        </w:rPr>
        <w:fldChar w:fldCharType="end"/>
      </w:r>
    </w:p>
    <w:p w14:paraId="6F4BA2CF">
      <w:pPr>
        <w:pStyle w:val="21"/>
        <w:tabs>
          <w:tab w:val="right" w:leader="dot" w:pos="10204"/>
        </w:tabs>
      </w:pPr>
      <w:r>
        <w:rPr>
          <w:rFonts w:cs="仿宋"/>
          <w:lang w:eastAsia="zh-CN"/>
        </w:rPr>
        <w:fldChar w:fldCharType="begin"/>
      </w:r>
      <w:r>
        <w:rPr>
          <w:rFonts w:cs="仿宋"/>
          <w:lang w:eastAsia="zh-CN"/>
        </w:rPr>
        <w:instrText xml:space="preserve"> HYPERLINK \l _Toc10993 </w:instrText>
      </w:r>
      <w:r>
        <w:rPr>
          <w:rFonts w:cs="仿宋"/>
          <w:lang w:eastAsia="zh-CN"/>
        </w:rPr>
        <w:fldChar w:fldCharType="separate"/>
      </w:r>
      <w:r>
        <w:rPr>
          <w:rFonts w:ascii="仿宋" w:hAnsi="仿宋" w:eastAsia="仿宋" w:cs="仿宋"/>
          <w:bCs w:val="0"/>
          <w:szCs w:val="24"/>
          <w:lang w:eastAsia="zh-CN"/>
        </w:rPr>
        <w:t>1</w:t>
      </w:r>
      <w:r>
        <w:rPr>
          <w:rFonts w:hint="eastAsia" w:ascii="仿宋" w:hAnsi="仿宋" w:eastAsia="仿宋" w:cs="仿宋"/>
          <w:bCs w:val="0"/>
          <w:szCs w:val="24"/>
          <w:lang w:eastAsia="zh-CN"/>
        </w:rPr>
        <w:t>7</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专项批准事项的签认</w:t>
      </w:r>
      <w:r>
        <w:tab/>
      </w:r>
      <w:r>
        <w:fldChar w:fldCharType="begin"/>
      </w:r>
      <w:r>
        <w:instrText xml:space="preserve"> PAGEREF _Toc10993 \h </w:instrText>
      </w:r>
      <w:r>
        <w:fldChar w:fldCharType="separate"/>
      </w:r>
      <w:r>
        <w:t>40</w:t>
      </w:r>
      <w:r>
        <w:fldChar w:fldCharType="end"/>
      </w:r>
      <w:r>
        <w:rPr>
          <w:rFonts w:cs="仿宋"/>
          <w:lang w:eastAsia="zh-CN"/>
        </w:rPr>
        <w:fldChar w:fldCharType="end"/>
      </w:r>
    </w:p>
    <w:p w14:paraId="76346BB0">
      <w:pPr>
        <w:pStyle w:val="21"/>
        <w:tabs>
          <w:tab w:val="right" w:leader="dot" w:pos="10204"/>
        </w:tabs>
      </w:pPr>
      <w:r>
        <w:rPr>
          <w:rFonts w:cs="仿宋"/>
          <w:lang w:eastAsia="zh-CN"/>
        </w:rPr>
        <w:fldChar w:fldCharType="begin"/>
      </w:r>
      <w:r>
        <w:rPr>
          <w:rFonts w:cs="仿宋"/>
          <w:lang w:eastAsia="zh-CN"/>
        </w:rPr>
        <w:instrText xml:space="preserve"> HYPERLINK \l _Toc29058 </w:instrText>
      </w:r>
      <w:r>
        <w:rPr>
          <w:rFonts w:cs="仿宋"/>
          <w:lang w:eastAsia="zh-CN"/>
        </w:rPr>
        <w:fldChar w:fldCharType="separate"/>
      </w:r>
      <w:r>
        <w:rPr>
          <w:rFonts w:ascii="仿宋" w:hAnsi="仿宋" w:eastAsia="仿宋" w:cs="仿宋"/>
          <w:bCs w:val="0"/>
          <w:szCs w:val="24"/>
          <w:lang w:eastAsia="zh-CN"/>
        </w:rPr>
        <w:t>1</w:t>
      </w:r>
      <w:r>
        <w:rPr>
          <w:rFonts w:hint="eastAsia" w:ascii="仿宋" w:hAnsi="仿宋" w:eastAsia="仿宋" w:cs="仿宋"/>
          <w:bCs w:val="0"/>
          <w:szCs w:val="24"/>
          <w:lang w:eastAsia="zh-CN"/>
        </w:rPr>
        <w:t>8</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专利技术和知识产权</w:t>
      </w:r>
      <w:r>
        <w:tab/>
      </w:r>
      <w:r>
        <w:fldChar w:fldCharType="begin"/>
      </w:r>
      <w:r>
        <w:instrText xml:space="preserve"> PAGEREF _Toc29058 \h </w:instrText>
      </w:r>
      <w:r>
        <w:fldChar w:fldCharType="separate"/>
      </w:r>
      <w:r>
        <w:t>41</w:t>
      </w:r>
      <w:r>
        <w:fldChar w:fldCharType="end"/>
      </w:r>
      <w:r>
        <w:rPr>
          <w:rFonts w:cs="仿宋"/>
          <w:lang w:eastAsia="zh-CN"/>
        </w:rPr>
        <w:fldChar w:fldCharType="end"/>
      </w:r>
    </w:p>
    <w:p w14:paraId="21DF52F8">
      <w:pPr>
        <w:pStyle w:val="21"/>
        <w:tabs>
          <w:tab w:val="right" w:leader="dot" w:pos="10204"/>
        </w:tabs>
      </w:pPr>
      <w:r>
        <w:rPr>
          <w:rFonts w:cs="仿宋"/>
          <w:lang w:eastAsia="zh-CN"/>
        </w:rPr>
        <w:fldChar w:fldCharType="begin"/>
      </w:r>
      <w:r>
        <w:rPr>
          <w:rFonts w:cs="仿宋"/>
          <w:lang w:eastAsia="zh-CN"/>
        </w:rPr>
        <w:instrText xml:space="preserve"> HYPERLINK \l _Toc25220 </w:instrText>
      </w:r>
      <w:r>
        <w:rPr>
          <w:rFonts w:cs="仿宋"/>
          <w:lang w:eastAsia="zh-CN"/>
        </w:rPr>
        <w:fldChar w:fldCharType="separate"/>
      </w:r>
      <w:r>
        <w:rPr>
          <w:rFonts w:ascii="仿宋" w:hAnsi="仿宋" w:eastAsia="仿宋" w:cs="仿宋"/>
          <w:bCs w:val="0"/>
          <w:szCs w:val="24"/>
          <w:lang w:eastAsia="zh-CN"/>
        </w:rPr>
        <w:t>1</w:t>
      </w:r>
      <w:r>
        <w:rPr>
          <w:rFonts w:hint="eastAsia" w:ascii="仿宋" w:hAnsi="仿宋" w:eastAsia="仿宋" w:cs="仿宋"/>
          <w:bCs w:val="0"/>
          <w:szCs w:val="24"/>
          <w:lang w:eastAsia="zh-CN"/>
        </w:rPr>
        <w:t>9</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 xml:space="preserve"> 联合体</w:t>
      </w:r>
      <w:r>
        <w:tab/>
      </w:r>
      <w:r>
        <w:fldChar w:fldCharType="begin"/>
      </w:r>
      <w:r>
        <w:instrText xml:space="preserve"> PAGEREF _Toc25220 \h </w:instrText>
      </w:r>
      <w:r>
        <w:fldChar w:fldCharType="separate"/>
      </w:r>
      <w:r>
        <w:t>42</w:t>
      </w:r>
      <w:r>
        <w:fldChar w:fldCharType="end"/>
      </w:r>
      <w:r>
        <w:rPr>
          <w:rFonts w:cs="仿宋"/>
          <w:lang w:eastAsia="zh-CN"/>
        </w:rPr>
        <w:fldChar w:fldCharType="end"/>
      </w:r>
    </w:p>
    <w:p w14:paraId="35B33DCA">
      <w:pPr>
        <w:pStyle w:val="21"/>
        <w:tabs>
          <w:tab w:val="right" w:leader="dot" w:pos="10204"/>
        </w:tabs>
      </w:pPr>
      <w:r>
        <w:rPr>
          <w:rFonts w:cs="仿宋"/>
          <w:lang w:eastAsia="zh-CN"/>
        </w:rPr>
        <w:fldChar w:fldCharType="begin"/>
      </w:r>
      <w:r>
        <w:rPr>
          <w:rFonts w:cs="仿宋"/>
          <w:lang w:eastAsia="zh-CN"/>
        </w:rPr>
        <w:instrText xml:space="preserve"> HYPERLINK \l _Toc28556 </w:instrText>
      </w:r>
      <w:r>
        <w:rPr>
          <w:rFonts w:cs="仿宋"/>
          <w:lang w:eastAsia="zh-CN"/>
        </w:rPr>
        <w:fldChar w:fldCharType="separate"/>
      </w:r>
      <w:r>
        <w:rPr>
          <w:rFonts w:hint="eastAsia" w:ascii="仿宋" w:hAnsi="仿宋" w:eastAsia="仿宋" w:cs="仿宋"/>
          <w:bCs w:val="0"/>
          <w:szCs w:val="24"/>
          <w:lang w:eastAsia="zh-CN"/>
        </w:rPr>
        <w:t>20</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保障</w:t>
      </w:r>
      <w:r>
        <w:tab/>
      </w:r>
      <w:r>
        <w:fldChar w:fldCharType="begin"/>
      </w:r>
      <w:r>
        <w:instrText xml:space="preserve"> PAGEREF _Toc28556 \h </w:instrText>
      </w:r>
      <w:r>
        <w:fldChar w:fldCharType="separate"/>
      </w:r>
      <w:r>
        <w:t>44</w:t>
      </w:r>
      <w:r>
        <w:fldChar w:fldCharType="end"/>
      </w:r>
      <w:r>
        <w:rPr>
          <w:rFonts w:cs="仿宋"/>
          <w:lang w:eastAsia="zh-CN"/>
        </w:rPr>
        <w:fldChar w:fldCharType="end"/>
      </w:r>
    </w:p>
    <w:p w14:paraId="7C3ED09D">
      <w:pPr>
        <w:pStyle w:val="21"/>
        <w:tabs>
          <w:tab w:val="right" w:leader="dot" w:pos="10204"/>
        </w:tabs>
      </w:pPr>
      <w:r>
        <w:rPr>
          <w:rFonts w:cs="仿宋"/>
          <w:lang w:eastAsia="zh-CN"/>
        </w:rPr>
        <w:fldChar w:fldCharType="begin"/>
      </w:r>
      <w:r>
        <w:rPr>
          <w:rFonts w:cs="仿宋"/>
          <w:lang w:eastAsia="zh-CN"/>
        </w:rPr>
        <w:instrText xml:space="preserve"> HYPERLINK \l _Toc23992 </w:instrText>
      </w:r>
      <w:r>
        <w:rPr>
          <w:rFonts w:cs="仿宋"/>
          <w:lang w:eastAsia="zh-CN"/>
        </w:rPr>
        <w:fldChar w:fldCharType="separate"/>
      </w:r>
      <w:r>
        <w:rPr>
          <w:rFonts w:hint="eastAsia" w:ascii="仿宋" w:hAnsi="仿宋" w:eastAsia="仿宋" w:cs="仿宋"/>
          <w:bCs w:val="0"/>
          <w:szCs w:val="24"/>
          <w:lang w:eastAsia="zh-CN"/>
        </w:rPr>
        <w:t>21</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财产</w:t>
      </w:r>
      <w:r>
        <w:tab/>
      </w:r>
      <w:r>
        <w:fldChar w:fldCharType="begin"/>
      </w:r>
      <w:r>
        <w:instrText xml:space="preserve"> PAGEREF _Toc23992 \h </w:instrText>
      </w:r>
      <w:r>
        <w:fldChar w:fldCharType="separate"/>
      </w:r>
      <w:r>
        <w:t>45</w:t>
      </w:r>
      <w:r>
        <w:fldChar w:fldCharType="end"/>
      </w:r>
      <w:r>
        <w:rPr>
          <w:rFonts w:cs="仿宋"/>
          <w:lang w:eastAsia="zh-CN"/>
        </w:rPr>
        <w:fldChar w:fldCharType="end"/>
      </w:r>
    </w:p>
    <w:p w14:paraId="36D56F53">
      <w:pPr>
        <w:pStyle w:val="34"/>
        <w:tabs>
          <w:tab w:val="right" w:leader="dot" w:pos="10204"/>
        </w:tabs>
      </w:pPr>
      <w:r>
        <w:rPr>
          <w:rFonts w:cs="仿宋"/>
          <w:lang w:eastAsia="zh-CN"/>
        </w:rPr>
        <w:fldChar w:fldCharType="begin"/>
      </w:r>
      <w:r>
        <w:rPr>
          <w:rFonts w:cs="仿宋"/>
          <w:lang w:eastAsia="zh-CN"/>
        </w:rPr>
        <w:instrText xml:space="preserve"> HYPERLINK \l _Toc29465 </w:instrText>
      </w:r>
      <w:r>
        <w:rPr>
          <w:rFonts w:cs="仿宋"/>
          <w:lang w:eastAsia="zh-CN"/>
        </w:rPr>
        <w:fldChar w:fldCharType="separate"/>
      </w:r>
      <w:r>
        <w:rPr>
          <w:rFonts w:hint="eastAsia" w:ascii="仿宋" w:hAnsi="仿宋" w:eastAsia="仿宋" w:cs="仿宋"/>
          <w:bCs/>
          <w:lang w:eastAsia="zh-CN"/>
        </w:rPr>
        <w:t>二、合同主体</w:t>
      </w:r>
      <w:r>
        <w:tab/>
      </w:r>
      <w:r>
        <w:fldChar w:fldCharType="begin"/>
      </w:r>
      <w:r>
        <w:instrText xml:space="preserve"> PAGEREF _Toc29465 \h </w:instrText>
      </w:r>
      <w:r>
        <w:fldChar w:fldCharType="separate"/>
      </w:r>
      <w:r>
        <w:t>45</w:t>
      </w:r>
      <w:r>
        <w:fldChar w:fldCharType="end"/>
      </w:r>
      <w:r>
        <w:rPr>
          <w:rFonts w:cs="仿宋"/>
          <w:lang w:eastAsia="zh-CN"/>
        </w:rPr>
        <w:fldChar w:fldCharType="end"/>
      </w:r>
    </w:p>
    <w:p w14:paraId="1A878D5A">
      <w:pPr>
        <w:pStyle w:val="21"/>
        <w:tabs>
          <w:tab w:val="right" w:leader="dot" w:pos="10204"/>
        </w:tabs>
      </w:pPr>
      <w:r>
        <w:rPr>
          <w:rFonts w:cs="仿宋"/>
          <w:lang w:eastAsia="zh-CN"/>
        </w:rPr>
        <w:fldChar w:fldCharType="begin"/>
      </w:r>
      <w:r>
        <w:rPr>
          <w:rFonts w:cs="仿宋"/>
          <w:lang w:eastAsia="zh-CN"/>
        </w:rPr>
        <w:instrText xml:space="preserve"> HYPERLINK \l _Toc29754 </w:instrText>
      </w:r>
      <w:r>
        <w:rPr>
          <w:rFonts w:cs="仿宋"/>
          <w:lang w:eastAsia="zh-CN"/>
        </w:rPr>
        <w:fldChar w:fldCharType="separate"/>
      </w:r>
      <w:r>
        <w:rPr>
          <w:rFonts w:hint="eastAsia" w:ascii="仿宋" w:hAnsi="仿宋" w:eastAsia="仿宋" w:cs="仿宋"/>
          <w:szCs w:val="24"/>
          <w:lang w:eastAsia="zh-CN"/>
        </w:rPr>
        <w:t>22</w:t>
      </w:r>
      <w:r>
        <w:rPr>
          <w:rFonts w:ascii="仿宋" w:hAnsi="仿宋" w:eastAsia="仿宋" w:cs="仿宋"/>
          <w:szCs w:val="24"/>
          <w:lang w:eastAsia="zh-CN"/>
        </w:rPr>
        <w:t xml:space="preserve">  </w:t>
      </w:r>
      <w:r>
        <w:rPr>
          <w:rFonts w:hint="eastAsia" w:ascii="仿宋" w:hAnsi="仿宋" w:eastAsia="仿宋" w:cs="仿宋"/>
          <w:szCs w:val="24"/>
          <w:lang w:eastAsia="zh-CN"/>
        </w:rPr>
        <w:t>发包人</w:t>
      </w:r>
      <w:r>
        <w:tab/>
      </w:r>
      <w:r>
        <w:fldChar w:fldCharType="begin"/>
      </w:r>
      <w:r>
        <w:instrText xml:space="preserve"> PAGEREF _Toc29754 \h </w:instrText>
      </w:r>
      <w:r>
        <w:fldChar w:fldCharType="separate"/>
      </w:r>
      <w:r>
        <w:t>45</w:t>
      </w:r>
      <w:r>
        <w:fldChar w:fldCharType="end"/>
      </w:r>
      <w:r>
        <w:rPr>
          <w:rFonts w:cs="仿宋"/>
          <w:lang w:eastAsia="zh-CN"/>
        </w:rPr>
        <w:fldChar w:fldCharType="end"/>
      </w:r>
    </w:p>
    <w:p w14:paraId="3CB09A20">
      <w:pPr>
        <w:pStyle w:val="21"/>
        <w:tabs>
          <w:tab w:val="right" w:leader="dot" w:pos="10204"/>
        </w:tabs>
      </w:pPr>
      <w:r>
        <w:rPr>
          <w:rFonts w:cs="仿宋"/>
          <w:lang w:eastAsia="zh-CN"/>
        </w:rPr>
        <w:fldChar w:fldCharType="begin"/>
      </w:r>
      <w:r>
        <w:rPr>
          <w:rFonts w:cs="仿宋"/>
          <w:lang w:eastAsia="zh-CN"/>
        </w:rPr>
        <w:instrText xml:space="preserve"> HYPERLINK \l _Toc18999 </w:instrText>
      </w:r>
      <w:r>
        <w:rPr>
          <w:rFonts w:cs="仿宋"/>
          <w:lang w:eastAsia="zh-CN"/>
        </w:rPr>
        <w:fldChar w:fldCharType="separate"/>
      </w:r>
      <w:r>
        <w:rPr>
          <w:rFonts w:ascii="仿宋" w:hAnsi="仿宋" w:eastAsia="仿宋" w:cs="仿宋"/>
          <w:szCs w:val="24"/>
          <w:lang w:eastAsia="zh-CN"/>
        </w:rPr>
        <w:t>2</w:t>
      </w:r>
      <w:r>
        <w:rPr>
          <w:rFonts w:hint="eastAsia" w:ascii="仿宋" w:hAnsi="仿宋" w:eastAsia="仿宋" w:cs="仿宋"/>
          <w:szCs w:val="24"/>
          <w:lang w:eastAsia="zh-CN"/>
        </w:rPr>
        <w:t>3</w:t>
      </w:r>
      <w:r>
        <w:rPr>
          <w:rFonts w:ascii="仿宋" w:hAnsi="仿宋" w:eastAsia="仿宋" w:cs="仿宋"/>
          <w:szCs w:val="24"/>
          <w:lang w:eastAsia="zh-CN"/>
        </w:rPr>
        <w:t xml:space="preserve">  </w:t>
      </w:r>
      <w:r>
        <w:rPr>
          <w:rFonts w:hint="eastAsia" w:ascii="仿宋" w:hAnsi="仿宋" w:eastAsia="仿宋" w:cs="仿宋"/>
          <w:szCs w:val="24"/>
          <w:lang w:eastAsia="zh-CN"/>
        </w:rPr>
        <w:t>承包人</w:t>
      </w:r>
      <w:r>
        <w:tab/>
      </w:r>
      <w:r>
        <w:fldChar w:fldCharType="begin"/>
      </w:r>
      <w:r>
        <w:instrText xml:space="preserve"> PAGEREF _Toc18999 \h </w:instrText>
      </w:r>
      <w:r>
        <w:fldChar w:fldCharType="separate"/>
      </w:r>
      <w:r>
        <w:t>47</w:t>
      </w:r>
      <w:r>
        <w:fldChar w:fldCharType="end"/>
      </w:r>
      <w:r>
        <w:rPr>
          <w:rFonts w:cs="仿宋"/>
          <w:lang w:eastAsia="zh-CN"/>
        </w:rPr>
        <w:fldChar w:fldCharType="end"/>
      </w:r>
    </w:p>
    <w:p w14:paraId="7B99DF5D">
      <w:pPr>
        <w:pStyle w:val="21"/>
        <w:tabs>
          <w:tab w:val="right" w:leader="dot" w:pos="10204"/>
        </w:tabs>
      </w:pPr>
      <w:r>
        <w:rPr>
          <w:rFonts w:cs="仿宋"/>
          <w:lang w:eastAsia="zh-CN"/>
        </w:rPr>
        <w:fldChar w:fldCharType="begin"/>
      </w:r>
      <w:r>
        <w:rPr>
          <w:rFonts w:cs="仿宋"/>
          <w:lang w:eastAsia="zh-CN"/>
        </w:rPr>
        <w:instrText xml:space="preserve"> HYPERLINK \l _Toc9362 </w:instrText>
      </w:r>
      <w:r>
        <w:rPr>
          <w:rFonts w:cs="仿宋"/>
          <w:lang w:eastAsia="zh-CN"/>
        </w:rPr>
        <w:fldChar w:fldCharType="separate"/>
      </w:r>
      <w:r>
        <w:rPr>
          <w:rFonts w:ascii="仿宋" w:hAnsi="仿宋" w:eastAsia="仿宋" w:cs="仿宋"/>
          <w:bCs w:val="0"/>
          <w:szCs w:val="24"/>
          <w:lang w:eastAsia="zh-CN"/>
        </w:rPr>
        <w:t>2</w:t>
      </w:r>
      <w:r>
        <w:rPr>
          <w:rFonts w:hint="eastAsia" w:ascii="仿宋" w:hAnsi="仿宋" w:eastAsia="仿宋" w:cs="仿宋"/>
          <w:bCs w:val="0"/>
          <w:szCs w:val="24"/>
          <w:lang w:eastAsia="zh-CN"/>
        </w:rPr>
        <w:t>4</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现场管理人员任命和更换</w:t>
      </w:r>
      <w:r>
        <w:tab/>
      </w:r>
      <w:r>
        <w:fldChar w:fldCharType="begin"/>
      </w:r>
      <w:r>
        <w:instrText xml:space="preserve"> PAGEREF _Toc9362 \h </w:instrText>
      </w:r>
      <w:r>
        <w:fldChar w:fldCharType="separate"/>
      </w:r>
      <w:r>
        <w:t>49</w:t>
      </w:r>
      <w:r>
        <w:fldChar w:fldCharType="end"/>
      </w:r>
      <w:r>
        <w:rPr>
          <w:rFonts w:cs="仿宋"/>
          <w:lang w:eastAsia="zh-CN"/>
        </w:rPr>
        <w:fldChar w:fldCharType="end"/>
      </w:r>
    </w:p>
    <w:p w14:paraId="227293AB">
      <w:pPr>
        <w:pStyle w:val="21"/>
        <w:tabs>
          <w:tab w:val="right" w:leader="dot" w:pos="10204"/>
        </w:tabs>
      </w:pPr>
      <w:r>
        <w:rPr>
          <w:rFonts w:cs="仿宋"/>
          <w:lang w:eastAsia="zh-CN"/>
        </w:rPr>
        <w:fldChar w:fldCharType="begin"/>
      </w:r>
      <w:r>
        <w:rPr>
          <w:rFonts w:cs="仿宋"/>
          <w:lang w:eastAsia="zh-CN"/>
        </w:rPr>
        <w:instrText xml:space="preserve"> HYPERLINK \l _Toc1853 </w:instrText>
      </w:r>
      <w:r>
        <w:rPr>
          <w:rFonts w:cs="仿宋"/>
          <w:lang w:eastAsia="zh-CN"/>
        </w:rPr>
        <w:fldChar w:fldCharType="separate"/>
      </w:r>
      <w:r>
        <w:rPr>
          <w:rFonts w:ascii="仿宋" w:hAnsi="仿宋" w:eastAsia="仿宋" w:cs="仿宋"/>
          <w:szCs w:val="24"/>
          <w:lang w:eastAsia="zh-CN"/>
        </w:rPr>
        <w:t>2</w:t>
      </w:r>
      <w:r>
        <w:rPr>
          <w:rFonts w:hint="eastAsia" w:ascii="仿宋" w:hAnsi="仿宋" w:eastAsia="仿宋" w:cs="仿宋"/>
          <w:szCs w:val="24"/>
          <w:lang w:eastAsia="zh-CN"/>
        </w:rPr>
        <w:t>5</w:t>
      </w:r>
      <w:r>
        <w:rPr>
          <w:rFonts w:ascii="仿宋" w:hAnsi="仿宋" w:eastAsia="仿宋" w:cs="仿宋"/>
          <w:szCs w:val="24"/>
          <w:lang w:eastAsia="zh-CN"/>
        </w:rPr>
        <w:t xml:space="preserve">  </w:t>
      </w:r>
      <w:r>
        <w:rPr>
          <w:rFonts w:hint="eastAsia" w:ascii="仿宋" w:hAnsi="仿宋" w:eastAsia="仿宋" w:cs="仿宋"/>
          <w:szCs w:val="24"/>
          <w:lang w:eastAsia="zh-CN"/>
        </w:rPr>
        <w:t>发包人代表</w:t>
      </w:r>
      <w:r>
        <w:tab/>
      </w:r>
      <w:r>
        <w:fldChar w:fldCharType="begin"/>
      </w:r>
      <w:r>
        <w:instrText xml:space="preserve"> PAGEREF _Toc1853 \h </w:instrText>
      </w:r>
      <w:r>
        <w:fldChar w:fldCharType="separate"/>
      </w:r>
      <w:r>
        <w:t>50</w:t>
      </w:r>
      <w:r>
        <w:fldChar w:fldCharType="end"/>
      </w:r>
      <w:r>
        <w:rPr>
          <w:rFonts w:cs="仿宋"/>
          <w:lang w:eastAsia="zh-CN"/>
        </w:rPr>
        <w:fldChar w:fldCharType="end"/>
      </w:r>
    </w:p>
    <w:p w14:paraId="1C9651B2">
      <w:pPr>
        <w:pStyle w:val="21"/>
        <w:tabs>
          <w:tab w:val="right" w:leader="dot" w:pos="10204"/>
        </w:tabs>
      </w:pPr>
      <w:r>
        <w:rPr>
          <w:rFonts w:cs="仿宋"/>
          <w:lang w:eastAsia="zh-CN"/>
        </w:rPr>
        <w:fldChar w:fldCharType="begin"/>
      </w:r>
      <w:r>
        <w:rPr>
          <w:rFonts w:cs="仿宋"/>
          <w:lang w:eastAsia="zh-CN"/>
        </w:rPr>
        <w:instrText xml:space="preserve"> HYPERLINK \l _Toc13820 </w:instrText>
      </w:r>
      <w:r>
        <w:rPr>
          <w:rFonts w:cs="仿宋"/>
          <w:lang w:eastAsia="zh-CN"/>
        </w:rPr>
        <w:fldChar w:fldCharType="separate"/>
      </w:r>
      <w:r>
        <w:rPr>
          <w:rFonts w:ascii="仿宋" w:hAnsi="仿宋" w:eastAsia="仿宋" w:cs="仿宋"/>
          <w:szCs w:val="24"/>
          <w:lang w:eastAsia="zh-CN"/>
        </w:rPr>
        <w:t>2</w:t>
      </w:r>
      <w:r>
        <w:rPr>
          <w:rFonts w:hint="eastAsia" w:ascii="仿宋" w:hAnsi="仿宋" w:eastAsia="仿宋" w:cs="仿宋"/>
          <w:szCs w:val="24"/>
          <w:lang w:eastAsia="zh-CN"/>
        </w:rPr>
        <w:t>6</w:t>
      </w:r>
      <w:r>
        <w:rPr>
          <w:rFonts w:ascii="仿宋" w:hAnsi="仿宋" w:eastAsia="仿宋" w:cs="仿宋"/>
          <w:szCs w:val="24"/>
          <w:lang w:eastAsia="zh-CN"/>
        </w:rPr>
        <w:t xml:space="preserve">  </w:t>
      </w:r>
      <w:r>
        <w:rPr>
          <w:rFonts w:hint="eastAsia" w:ascii="仿宋" w:hAnsi="仿宋" w:eastAsia="仿宋" w:cs="仿宋"/>
          <w:szCs w:val="24"/>
          <w:lang w:eastAsia="zh-CN"/>
        </w:rPr>
        <w:t>设计顾问人</w:t>
      </w:r>
      <w:r>
        <w:tab/>
      </w:r>
      <w:r>
        <w:fldChar w:fldCharType="begin"/>
      </w:r>
      <w:r>
        <w:instrText xml:space="preserve"> PAGEREF _Toc13820 \h </w:instrText>
      </w:r>
      <w:r>
        <w:fldChar w:fldCharType="separate"/>
      </w:r>
      <w:r>
        <w:t>50</w:t>
      </w:r>
      <w:r>
        <w:fldChar w:fldCharType="end"/>
      </w:r>
      <w:r>
        <w:rPr>
          <w:rFonts w:cs="仿宋"/>
          <w:lang w:eastAsia="zh-CN"/>
        </w:rPr>
        <w:fldChar w:fldCharType="end"/>
      </w:r>
    </w:p>
    <w:p w14:paraId="7E8D279B">
      <w:pPr>
        <w:pStyle w:val="21"/>
        <w:tabs>
          <w:tab w:val="right" w:leader="dot" w:pos="10204"/>
        </w:tabs>
      </w:pPr>
      <w:r>
        <w:rPr>
          <w:rFonts w:cs="仿宋"/>
          <w:lang w:eastAsia="zh-CN"/>
        </w:rPr>
        <w:fldChar w:fldCharType="begin"/>
      </w:r>
      <w:r>
        <w:rPr>
          <w:rFonts w:cs="仿宋"/>
          <w:lang w:eastAsia="zh-CN"/>
        </w:rPr>
        <w:instrText xml:space="preserve"> HYPERLINK \l _Toc25002 </w:instrText>
      </w:r>
      <w:r>
        <w:rPr>
          <w:rFonts w:cs="仿宋"/>
          <w:lang w:eastAsia="zh-CN"/>
        </w:rPr>
        <w:fldChar w:fldCharType="separate"/>
      </w:r>
      <w:r>
        <w:rPr>
          <w:rFonts w:ascii="仿宋" w:hAnsi="仿宋" w:eastAsia="仿宋" w:cs="仿宋"/>
          <w:bCs w:val="0"/>
          <w:szCs w:val="24"/>
          <w:lang w:eastAsia="zh-CN"/>
        </w:rPr>
        <w:t>2</w:t>
      </w:r>
      <w:r>
        <w:rPr>
          <w:rFonts w:hint="eastAsia" w:ascii="仿宋" w:hAnsi="仿宋" w:eastAsia="仿宋" w:cs="仿宋"/>
          <w:bCs w:val="0"/>
          <w:szCs w:val="24"/>
          <w:lang w:eastAsia="zh-CN"/>
        </w:rPr>
        <w:t>7</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监理人</w:t>
      </w:r>
      <w:r>
        <w:tab/>
      </w:r>
      <w:r>
        <w:fldChar w:fldCharType="begin"/>
      </w:r>
      <w:r>
        <w:instrText xml:space="preserve"> PAGEREF _Toc25002 \h </w:instrText>
      </w:r>
      <w:r>
        <w:fldChar w:fldCharType="separate"/>
      </w:r>
      <w:r>
        <w:t>52</w:t>
      </w:r>
      <w:r>
        <w:fldChar w:fldCharType="end"/>
      </w:r>
      <w:r>
        <w:rPr>
          <w:rFonts w:cs="仿宋"/>
          <w:lang w:eastAsia="zh-CN"/>
        </w:rPr>
        <w:fldChar w:fldCharType="end"/>
      </w:r>
    </w:p>
    <w:p w14:paraId="3057EF39">
      <w:pPr>
        <w:pStyle w:val="21"/>
        <w:tabs>
          <w:tab w:val="right" w:leader="dot" w:pos="10204"/>
        </w:tabs>
      </w:pPr>
      <w:r>
        <w:rPr>
          <w:rFonts w:cs="仿宋"/>
          <w:lang w:eastAsia="zh-CN"/>
        </w:rPr>
        <w:fldChar w:fldCharType="begin"/>
      </w:r>
      <w:r>
        <w:rPr>
          <w:rFonts w:cs="仿宋"/>
          <w:lang w:eastAsia="zh-CN"/>
        </w:rPr>
        <w:instrText xml:space="preserve"> HYPERLINK \l _Toc16972 </w:instrText>
      </w:r>
      <w:r>
        <w:rPr>
          <w:rFonts w:cs="仿宋"/>
          <w:lang w:eastAsia="zh-CN"/>
        </w:rPr>
        <w:fldChar w:fldCharType="separate"/>
      </w:r>
      <w:r>
        <w:rPr>
          <w:rFonts w:ascii="仿宋" w:hAnsi="仿宋" w:eastAsia="仿宋" w:cs="仿宋"/>
          <w:szCs w:val="24"/>
          <w:lang w:eastAsia="zh-CN"/>
        </w:rPr>
        <w:t>2</w:t>
      </w:r>
      <w:r>
        <w:rPr>
          <w:rFonts w:hint="eastAsia" w:ascii="仿宋" w:hAnsi="仿宋" w:eastAsia="仿宋" w:cs="仿宋"/>
          <w:szCs w:val="24"/>
          <w:lang w:eastAsia="zh-CN"/>
        </w:rPr>
        <w:t>8</w:t>
      </w:r>
      <w:r>
        <w:rPr>
          <w:rFonts w:ascii="仿宋" w:hAnsi="仿宋" w:eastAsia="仿宋" w:cs="仿宋"/>
          <w:szCs w:val="24"/>
          <w:lang w:eastAsia="zh-CN"/>
        </w:rPr>
        <w:t xml:space="preserve">  </w:t>
      </w:r>
      <w:r>
        <w:rPr>
          <w:rFonts w:hint="eastAsia" w:ascii="仿宋" w:hAnsi="仿宋" w:eastAsia="仿宋" w:cs="仿宋"/>
          <w:szCs w:val="24"/>
          <w:lang w:eastAsia="zh-CN"/>
        </w:rPr>
        <w:t>造价咨询人</w:t>
      </w:r>
      <w:r>
        <w:tab/>
      </w:r>
      <w:r>
        <w:fldChar w:fldCharType="begin"/>
      </w:r>
      <w:r>
        <w:instrText xml:space="preserve"> PAGEREF _Toc16972 \h </w:instrText>
      </w:r>
      <w:r>
        <w:fldChar w:fldCharType="separate"/>
      </w:r>
      <w:r>
        <w:t>53</w:t>
      </w:r>
      <w:r>
        <w:fldChar w:fldCharType="end"/>
      </w:r>
      <w:r>
        <w:rPr>
          <w:rFonts w:cs="仿宋"/>
          <w:lang w:eastAsia="zh-CN"/>
        </w:rPr>
        <w:fldChar w:fldCharType="end"/>
      </w:r>
    </w:p>
    <w:p w14:paraId="0912833C">
      <w:pPr>
        <w:pStyle w:val="21"/>
        <w:tabs>
          <w:tab w:val="right" w:leader="dot" w:pos="10204"/>
        </w:tabs>
      </w:pPr>
      <w:r>
        <w:rPr>
          <w:rFonts w:cs="仿宋"/>
          <w:lang w:eastAsia="zh-CN"/>
        </w:rPr>
        <w:fldChar w:fldCharType="begin"/>
      </w:r>
      <w:r>
        <w:rPr>
          <w:rFonts w:cs="仿宋"/>
          <w:lang w:eastAsia="zh-CN"/>
        </w:rPr>
        <w:instrText xml:space="preserve"> HYPERLINK \l _Toc12202 </w:instrText>
      </w:r>
      <w:r>
        <w:rPr>
          <w:rFonts w:cs="仿宋"/>
          <w:lang w:eastAsia="zh-CN"/>
        </w:rPr>
        <w:fldChar w:fldCharType="separate"/>
      </w:r>
      <w:r>
        <w:rPr>
          <w:rFonts w:ascii="仿宋" w:hAnsi="仿宋" w:eastAsia="仿宋" w:cs="仿宋"/>
          <w:szCs w:val="24"/>
          <w:lang w:eastAsia="zh-CN"/>
        </w:rPr>
        <w:t>2</w:t>
      </w:r>
      <w:r>
        <w:rPr>
          <w:rFonts w:hint="eastAsia" w:ascii="仿宋" w:hAnsi="仿宋" w:eastAsia="仿宋" w:cs="仿宋"/>
          <w:szCs w:val="24"/>
          <w:lang w:eastAsia="zh-CN"/>
        </w:rPr>
        <w:t>9</w:t>
      </w:r>
      <w:r>
        <w:rPr>
          <w:rFonts w:ascii="仿宋" w:hAnsi="仿宋" w:eastAsia="仿宋" w:cs="仿宋"/>
          <w:szCs w:val="24"/>
          <w:lang w:eastAsia="zh-CN"/>
        </w:rPr>
        <w:t xml:space="preserve">  </w:t>
      </w:r>
      <w:r>
        <w:rPr>
          <w:rFonts w:hint="eastAsia" w:ascii="仿宋" w:hAnsi="仿宋" w:eastAsia="仿宋" w:cs="仿宋"/>
          <w:szCs w:val="24"/>
          <w:lang w:eastAsia="zh-CN"/>
        </w:rPr>
        <w:t>承包人代表及其专业负责人</w:t>
      </w:r>
      <w:r>
        <w:tab/>
      </w:r>
      <w:r>
        <w:fldChar w:fldCharType="begin"/>
      </w:r>
      <w:r>
        <w:instrText xml:space="preserve"> PAGEREF _Toc12202 \h </w:instrText>
      </w:r>
      <w:r>
        <w:fldChar w:fldCharType="separate"/>
      </w:r>
      <w:r>
        <w:t>55</w:t>
      </w:r>
      <w:r>
        <w:fldChar w:fldCharType="end"/>
      </w:r>
      <w:r>
        <w:rPr>
          <w:rFonts w:cs="仿宋"/>
          <w:lang w:eastAsia="zh-CN"/>
        </w:rPr>
        <w:fldChar w:fldCharType="end"/>
      </w:r>
    </w:p>
    <w:p w14:paraId="7F1DC969">
      <w:pPr>
        <w:pStyle w:val="21"/>
        <w:tabs>
          <w:tab w:val="right" w:leader="dot" w:pos="10204"/>
        </w:tabs>
      </w:pPr>
      <w:r>
        <w:rPr>
          <w:rFonts w:cs="仿宋"/>
          <w:lang w:eastAsia="zh-CN"/>
        </w:rPr>
        <w:fldChar w:fldCharType="begin"/>
      </w:r>
      <w:r>
        <w:rPr>
          <w:rFonts w:cs="仿宋"/>
          <w:lang w:eastAsia="zh-CN"/>
        </w:rPr>
        <w:instrText xml:space="preserve"> HYPERLINK \l _Toc14423 </w:instrText>
      </w:r>
      <w:r>
        <w:rPr>
          <w:rFonts w:cs="仿宋"/>
          <w:lang w:eastAsia="zh-CN"/>
        </w:rPr>
        <w:fldChar w:fldCharType="separate"/>
      </w:r>
      <w:r>
        <w:rPr>
          <w:rFonts w:hint="eastAsia" w:ascii="仿宋" w:hAnsi="仿宋" w:eastAsia="仿宋" w:cs="仿宋"/>
          <w:bCs w:val="0"/>
          <w:szCs w:val="24"/>
          <w:lang w:eastAsia="zh-CN"/>
        </w:rPr>
        <w:t>30</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指定分包人</w:t>
      </w:r>
      <w:r>
        <w:tab/>
      </w:r>
      <w:r>
        <w:fldChar w:fldCharType="begin"/>
      </w:r>
      <w:r>
        <w:instrText xml:space="preserve"> PAGEREF _Toc14423 \h </w:instrText>
      </w:r>
      <w:r>
        <w:fldChar w:fldCharType="separate"/>
      </w:r>
      <w:r>
        <w:t>55</w:t>
      </w:r>
      <w:r>
        <w:fldChar w:fldCharType="end"/>
      </w:r>
      <w:r>
        <w:rPr>
          <w:rFonts w:cs="仿宋"/>
          <w:lang w:eastAsia="zh-CN"/>
        </w:rPr>
        <w:fldChar w:fldCharType="end"/>
      </w:r>
    </w:p>
    <w:p w14:paraId="169E50AA">
      <w:pPr>
        <w:pStyle w:val="21"/>
        <w:tabs>
          <w:tab w:val="right" w:leader="dot" w:pos="10204"/>
        </w:tabs>
      </w:pPr>
      <w:r>
        <w:rPr>
          <w:rFonts w:cs="仿宋"/>
          <w:lang w:eastAsia="zh-CN"/>
        </w:rPr>
        <w:fldChar w:fldCharType="begin"/>
      </w:r>
      <w:r>
        <w:rPr>
          <w:rFonts w:cs="仿宋"/>
          <w:lang w:eastAsia="zh-CN"/>
        </w:rPr>
        <w:instrText xml:space="preserve"> HYPERLINK \l _Toc8546 </w:instrText>
      </w:r>
      <w:r>
        <w:rPr>
          <w:rFonts w:cs="仿宋"/>
          <w:lang w:eastAsia="zh-CN"/>
        </w:rPr>
        <w:fldChar w:fldCharType="separate"/>
      </w:r>
      <w:r>
        <w:rPr>
          <w:rFonts w:hint="eastAsia" w:ascii="仿宋" w:hAnsi="仿宋" w:eastAsia="仿宋" w:cs="仿宋"/>
          <w:bCs w:val="0"/>
          <w:szCs w:val="24"/>
          <w:lang w:eastAsia="zh-CN"/>
        </w:rPr>
        <w:t>31</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 xml:space="preserve"> 承包人劳务</w:t>
      </w:r>
      <w:r>
        <w:tab/>
      </w:r>
      <w:r>
        <w:fldChar w:fldCharType="begin"/>
      </w:r>
      <w:r>
        <w:instrText xml:space="preserve"> PAGEREF _Toc8546 \h </w:instrText>
      </w:r>
      <w:r>
        <w:fldChar w:fldCharType="separate"/>
      </w:r>
      <w:r>
        <w:t>56</w:t>
      </w:r>
      <w:r>
        <w:fldChar w:fldCharType="end"/>
      </w:r>
      <w:r>
        <w:rPr>
          <w:rFonts w:cs="仿宋"/>
          <w:lang w:eastAsia="zh-CN"/>
        </w:rPr>
        <w:fldChar w:fldCharType="end"/>
      </w:r>
    </w:p>
    <w:p w14:paraId="003DE2D5">
      <w:pPr>
        <w:pStyle w:val="34"/>
        <w:tabs>
          <w:tab w:val="right" w:leader="dot" w:pos="10204"/>
        </w:tabs>
      </w:pPr>
      <w:r>
        <w:rPr>
          <w:rFonts w:cs="仿宋"/>
          <w:lang w:eastAsia="zh-CN"/>
        </w:rPr>
        <w:fldChar w:fldCharType="begin"/>
      </w:r>
      <w:r>
        <w:rPr>
          <w:rFonts w:cs="仿宋"/>
          <w:lang w:eastAsia="zh-CN"/>
        </w:rPr>
        <w:instrText xml:space="preserve"> HYPERLINK \l _Toc16829 </w:instrText>
      </w:r>
      <w:r>
        <w:rPr>
          <w:rFonts w:cs="仿宋"/>
          <w:lang w:eastAsia="zh-CN"/>
        </w:rPr>
        <w:fldChar w:fldCharType="separate"/>
      </w:r>
      <w:r>
        <w:rPr>
          <w:rFonts w:hint="eastAsia" w:ascii="仿宋" w:hAnsi="仿宋" w:eastAsia="仿宋" w:cs="仿宋"/>
          <w:bCs/>
          <w:szCs w:val="24"/>
          <w:lang w:eastAsia="zh-CN"/>
        </w:rPr>
        <w:t>三、担保、保险与风险</w:t>
      </w:r>
      <w:r>
        <w:tab/>
      </w:r>
      <w:r>
        <w:fldChar w:fldCharType="begin"/>
      </w:r>
      <w:r>
        <w:instrText xml:space="preserve"> PAGEREF _Toc16829 \h </w:instrText>
      </w:r>
      <w:r>
        <w:fldChar w:fldCharType="separate"/>
      </w:r>
      <w:r>
        <w:t>57</w:t>
      </w:r>
      <w:r>
        <w:fldChar w:fldCharType="end"/>
      </w:r>
      <w:r>
        <w:rPr>
          <w:rFonts w:cs="仿宋"/>
          <w:lang w:eastAsia="zh-CN"/>
        </w:rPr>
        <w:fldChar w:fldCharType="end"/>
      </w:r>
    </w:p>
    <w:p w14:paraId="1FBCE919">
      <w:pPr>
        <w:pStyle w:val="21"/>
        <w:tabs>
          <w:tab w:val="right" w:leader="dot" w:pos="10204"/>
        </w:tabs>
      </w:pPr>
      <w:r>
        <w:rPr>
          <w:rFonts w:cs="仿宋"/>
          <w:lang w:eastAsia="zh-CN"/>
        </w:rPr>
        <w:fldChar w:fldCharType="begin"/>
      </w:r>
      <w:r>
        <w:rPr>
          <w:rFonts w:cs="仿宋"/>
          <w:lang w:eastAsia="zh-CN"/>
        </w:rPr>
        <w:instrText xml:space="preserve"> HYPERLINK \l _Toc24616 </w:instrText>
      </w:r>
      <w:r>
        <w:rPr>
          <w:rFonts w:cs="仿宋"/>
          <w:lang w:eastAsia="zh-CN"/>
        </w:rPr>
        <w:fldChar w:fldCharType="separate"/>
      </w:r>
      <w:r>
        <w:rPr>
          <w:rFonts w:hint="eastAsia" w:ascii="仿宋" w:hAnsi="仿宋" w:eastAsia="仿宋" w:cs="仿宋"/>
          <w:bCs w:val="0"/>
          <w:szCs w:val="24"/>
          <w:lang w:eastAsia="zh-CN"/>
        </w:rPr>
        <w:t>32</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工程担保</w:t>
      </w:r>
      <w:r>
        <w:tab/>
      </w:r>
      <w:r>
        <w:fldChar w:fldCharType="begin"/>
      </w:r>
      <w:r>
        <w:instrText xml:space="preserve"> PAGEREF _Toc24616 \h </w:instrText>
      </w:r>
      <w:r>
        <w:fldChar w:fldCharType="separate"/>
      </w:r>
      <w:r>
        <w:t>57</w:t>
      </w:r>
      <w:r>
        <w:fldChar w:fldCharType="end"/>
      </w:r>
      <w:r>
        <w:rPr>
          <w:rFonts w:cs="仿宋"/>
          <w:lang w:eastAsia="zh-CN"/>
        </w:rPr>
        <w:fldChar w:fldCharType="end"/>
      </w:r>
    </w:p>
    <w:p w14:paraId="4BD73D49">
      <w:pPr>
        <w:pStyle w:val="21"/>
        <w:tabs>
          <w:tab w:val="right" w:leader="dot" w:pos="10204"/>
        </w:tabs>
      </w:pPr>
      <w:r>
        <w:rPr>
          <w:rFonts w:cs="仿宋"/>
          <w:lang w:eastAsia="zh-CN"/>
        </w:rPr>
        <w:fldChar w:fldCharType="begin"/>
      </w:r>
      <w:r>
        <w:rPr>
          <w:rFonts w:cs="仿宋"/>
          <w:lang w:eastAsia="zh-CN"/>
        </w:rPr>
        <w:instrText xml:space="preserve"> HYPERLINK \l _Toc4257 </w:instrText>
      </w:r>
      <w:r>
        <w:rPr>
          <w:rFonts w:cs="仿宋"/>
          <w:lang w:eastAsia="zh-CN"/>
        </w:rPr>
        <w:fldChar w:fldCharType="separate"/>
      </w:r>
      <w:r>
        <w:rPr>
          <w:rFonts w:hint="eastAsia" w:ascii="仿宋" w:hAnsi="仿宋" w:eastAsia="仿宋" w:cs="仿宋"/>
          <w:bCs w:val="0"/>
          <w:szCs w:val="24"/>
          <w:lang w:eastAsia="zh-CN"/>
        </w:rPr>
        <w:t>33</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发包人风险</w:t>
      </w:r>
      <w:r>
        <w:tab/>
      </w:r>
      <w:r>
        <w:fldChar w:fldCharType="begin"/>
      </w:r>
      <w:r>
        <w:instrText xml:space="preserve"> PAGEREF _Toc4257 \h </w:instrText>
      </w:r>
      <w:r>
        <w:fldChar w:fldCharType="separate"/>
      </w:r>
      <w:r>
        <w:t>58</w:t>
      </w:r>
      <w:r>
        <w:fldChar w:fldCharType="end"/>
      </w:r>
      <w:r>
        <w:rPr>
          <w:rFonts w:cs="仿宋"/>
          <w:lang w:eastAsia="zh-CN"/>
        </w:rPr>
        <w:fldChar w:fldCharType="end"/>
      </w:r>
    </w:p>
    <w:p w14:paraId="04695283">
      <w:pPr>
        <w:pStyle w:val="21"/>
        <w:tabs>
          <w:tab w:val="right" w:leader="dot" w:pos="10204"/>
        </w:tabs>
      </w:pPr>
      <w:r>
        <w:rPr>
          <w:rFonts w:cs="仿宋"/>
          <w:lang w:eastAsia="zh-CN"/>
        </w:rPr>
        <w:fldChar w:fldCharType="begin"/>
      </w:r>
      <w:r>
        <w:rPr>
          <w:rFonts w:cs="仿宋"/>
          <w:lang w:eastAsia="zh-CN"/>
        </w:rPr>
        <w:instrText xml:space="preserve"> HYPERLINK \l _Toc32122 </w:instrText>
      </w:r>
      <w:r>
        <w:rPr>
          <w:rFonts w:cs="仿宋"/>
          <w:lang w:eastAsia="zh-CN"/>
        </w:rPr>
        <w:fldChar w:fldCharType="separate"/>
      </w:r>
      <w:r>
        <w:rPr>
          <w:rFonts w:ascii="仿宋" w:hAnsi="仿宋" w:eastAsia="仿宋" w:cs="仿宋"/>
          <w:bCs w:val="0"/>
          <w:szCs w:val="24"/>
        </w:rPr>
        <w:t>3</w:t>
      </w:r>
      <w:r>
        <w:rPr>
          <w:rFonts w:hint="eastAsia" w:ascii="仿宋" w:hAnsi="仿宋" w:eastAsia="仿宋" w:cs="仿宋"/>
          <w:bCs w:val="0"/>
          <w:szCs w:val="24"/>
        </w:rPr>
        <w:t>4</w:t>
      </w:r>
      <w:r>
        <w:rPr>
          <w:rFonts w:ascii="仿宋" w:hAnsi="仿宋" w:eastAsia="仿宋" w:cs="仿宋"/>
          <w:bCs w:val="0"/>
          <w:szCs w:val="24"/>
        </w:rPr>
        <w:t xml:space="preserve">  </w:t>
      </w:r>
      <w:r>
        <w:rPr>
          <w:rFonts w:hint="eastAsia" w:ascii="仿宋" w:hAnsi="仿宋" w:eastAsia="仿宋" w:cs="仿宋"/>
          <w:bCs w:val="0"/>
          <w:szCs w:val="24"/>
        </w:rPr>
        <w:t>承包人风险</w:t>
      </w:r>
      <w:r>
        <w:tab/>
      </w:r>
      <w:r>
        <w:fldChar w:fldCharType="begin"/>
      </w:r>
      <w:r>
        <w:instrText xml:space="preserve"> PAGEREF _Toc32122 \h </w:instrText>
      </w:r>
      <w:r>
        <w:fldChar w:fldCharType="separate"/>
      </w:r>
      <w:r>
        <w:t>59</w:t>
      </w:r>
      <w:r>
        <w:fldChar w:fldCharType="end"/>
      </w:r>
      <w:r>
        <w:rPr>
          <w:rFonts w:cs="仿宋"/>
          <w:lang w:eastAsia="zh-CN"/>
        </w:rPr>
        <w:fldChar w:fldCharType="end"/>
      </w:r>
    </w:p>
    <w:p w14:paraId="1DDC8BC6">
      <w:pPr>
        <w:pStyle w:val="21"/>
        <w:tabs>
          <w:tab w:val="right" w:leader="dot" w:pos="10204"/>
        </w:tabs>
      </w:pPr>
      <w:r>
        <w:rPr>
          <w:rFonts w:cs="仿宋"/>
          <w:lang w:eastAsia="zh-CN"/>
        </w:rPr>
        <w:fldChar w:fldCharType="begin"/>
      </w:r>
      <w:r>
        <w:rPr>
          <w:rFonts w:cs="仿宋"/>
          <w:lang w:eastAsia="zh-CN"/>
        </w:rPr>
        <w:instrText xml:space="preserve"> HYPERLINK \l _Toc6100 </w:instrText>
      </w:r>
      <w:r>
        <w:rPr>
          <w:rFonts w:cs="仿宋"/>
          <w:lang w:eastAsia="zh-CN"/>
        </w:rPr>
        <w:fldChar w:fldCharType="separate"/>
      </w:r>
      <w:r>
        <w:rPr>
          <w:rFonts w:ascii="仿宋" w:hAnsi="仿宋" w:eastAsia="仿宋" w:cs="仿宋"/>
          <w:bCs w:val="0"/>
          <w:szCs w:val="24"/>
          <w:lang w:eastAsia="zh-CN"/>
        </w:rPr>
        <w:t>3</w:t>
      </w:r>
      <w:r>
        <w:rPr>
          <w:rFonts w:hint="eastAsia" w:ascii="仿宋" w:hAnsi="仿宋" w:eastAsia="仿宋" w:cs="仿宋"/>
          <w:bCs w:val="0"/>
          <w:szCs w:val="24"/>
          <w:lang w:eastAsia="zh-CN"/>
        </w:rPr>
        <w:t>5</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不可抗力</w:t>
      </w:r>
      <w:r>
        <w:tab/>
      </w:r>
      <w:r>
        <w:fldChar w:fldCharType="begin"/>
      </w:r>
      <w:r>
        <w:instrText xml:space="preserve"> PAGEREF _Toc6100 \h </w:instrText>
      </w:r>
      <w:r>
        <w:fldChar w:fldCharType="separate"/>
      </w:r>
      <w:r>
        <w:t>59</w:t>
      </w:r>
      <w:r>
        <w:fldChar w:fldCharType="end"/>
      </w:r>
      <w:r>
        <w:rPr>
          <w:rFonts w:cs="仿宋"/>
          <w:lang w:eastAsia="zh-CN"/>
        </w:rPr>
        <w:fldChar w:fldCharType="end"/>
      </w:r>
    </w:p>
    <w:p w14:paraId="2CC64376">
      <w:pPr>
        <w:pStyle w:val="21"/>
        <w:tabs>
          <w:tab w:val="right" w:leader="dot" w:pos="10204"/>
        </w:tabs>
      </w:pPr>
      <w:r>
        <w:rPr>
          <w:rFonts w:cs="仿宋"/>
          <w:lang w:eastAsia="zh-CN"/>
        </w:rPr>
        <w:fldChar w:fldCharType="begin"/>
      </w:r>
      <w:r>
        <w:rPr>
          <w:rFonts w:cs="仿宋"/>
          <w:lang w:eastAsia="zh-CN"/>
        </w:rPr>
        <w:instrText xml:space="preserve"> HYPERLINK \l _Toc21252 </w:instrText>
      </w:r>
      <w:r>
        <w:rPr>
          <w:rFonts w:cs="仿宋"/>
          <w:lang w:eastAsia="zh-CN"/>
        </w:rPr>
        <w:fldChar w:fldCharType="separate"/>
      </w:r>
      <w:r>
        <w:rPr>
          <w:rFonts w:ascii="仿宋" w:hAnsi="仿宋" w:eastAsia="仿宋" w:cs="仿宋"/>
          <w:bCs w:val="0"/>
          <w:szCs w:val="24"/>
          <w:lang w:eastAsia="zh-CN"/>
        </w:rPr>
        <w:t>3</w:t>
      </w:r>
      <w:r>
        <w:rPr>
          <w:rFonts w:hint="eastAsia" w:ascii="仿宋" w:hAnsi="仿宋" w:eastAsia="仿宋" w:cs="仿宋"/>
          <w:bCs w:val="0"/>
          <w:szCs w:val="24"/>
          <w:lang w:eastAsia="zh-CN"/>
        </w:rPr>
        <w:t>6</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保险</w:t>
      </w:r>
      <w:r>
        <w:tab/>
      </w:r>
      <w:r>
        <w:fldChar w:fldCharType="begin"/>
      </w:r>
      <w:r>
        <w:instrText xml:space="preserve"> PAGEREF _Toc21252 \h </w:instrText>
      </w:r>
      <w:r>
        <w:fldChar w:fldCharType="separate"/>
      </w:r>
      <w:r>
        <w:t>60</w:t>
      </w:r>
      <w:r>
        <w:fldChar w:fldCharType="end"/>
      </w:r>
      <w:r>
        <w:rPr>
          <w:rFonts w:cs="仿宋"/>
          <w:lang w:eastAsia="zh-CN"/>
        </w:rPr>
        <w:fldChar w:fldCharType="end"/>
      </w:r>
    </w:p>
    <w:p w14:paraId="4B0CFA5D">
      <w:pPr>
        <w:pStyle w:val="34"/>
        <w:tabs>
          <w:tab w:val="right" w:leader="dot" w:pos="10204"/>
        </w:tabs>
      </w:pPr>
      <w:r>
        <w:rPr>
          <w:rFonts w:cs="仿宋"/>
          <w:lang w:eastAsia="zh-CN"/>
        </w:rPr>
        <w:fldChar w:fldCharType="begin"/>
      </w:r>
      <w:r>
        <w:rPr>
          <w:rFonts w:cs="仿宋"/>
          <w:lang w:eastAsia="zh-CN"/>
        </w:rPr>
        <w:instrText xml:space="preserve"> HYPERLINK \l _Toc15342 </w:instrText>
      </w:r>
      <w:r>
        <w:rPr>
          <w:rFonts w:cs="仿宋"/>
          <w:lang w:eastAsia="zh-CN"/>
        </w:rPr>
        <w:fldChar w:fldCharType="separate"/>
      </w:r>
      <w:r>
        <w:rPr>
          <w:rFonts w:hint="eastAsia" w:ascii="仿宋" w:hAnsi="仿宋" w:eastAsia="仿宋" w:cs="仿宋"/>
          <w:bCs/>
          <w:lang w:eastAsia="zh-CN"/>
        </w:rPr>
        <w:t>四、勘察、设计与BIM技术应用</w:t>
      </w:r>
      <w:r>
        <w:tab/>
      </w:r>
      <w:r>
        <w:fldChar w:fldCharType="begin"/>
      </w:r>
      <w:r>
        <w:instrText xml:space="preserve"> PAGEREF _Toc15342 \h </w:instrText>
      </w:r>
      <w:r>
        <w:fldChar w:fldCharType="separate"/>
      </w:r>
      <w:r>
        <w:t>62</w:t>
      </w:r>
      <w:r>
        <w:fldChar w:fldCharType="end"/>
      </w:r>
      <w:r>
        <w:rPr>
          <w:rFonts w:cs="仿宋"/>
          <w:lang w:eastAsia="zh-CN"/>
        </w:rPr>
        <w:fldChar w:fldCharType="end"/>
      </w:r>
    </w:p>
    <w:p w14:paraId="2CBF23E7">
      <w:pPr>
        <w:pStyle w:val="21"/>
        <w:tabs>
          <w:tab w:val="right" w:leader="dot" w:pos="10204"/>
        </w:tabs>
      </w:pPr>
      <w:r>
        <w:rPr>
          <w:rFonts w:cs="仿宋"/>
          <w:lang w:eastAsia="zh-CN"/>
        </w:rPr>
        <w:fldChar w:fldCharType="begin"/>
      </w:r>
      <w:r>
        <w:rPr>
          <w:rFonts w:cs="仿宋"/>
          <w:lang w:eastAsia="zh-CN"/>
        </w:rPr>
        <w:instrText xml:space="preserve"> HYPERLINK \l _Toc17970 </w:instrText>
      </w:r>
      <w:r>
        <w:rPr>
          <w:rFonts w:cs="仿宋"/>
          <w:lang w:eastAsia="zh-CN"/>
        </w:rPr>
        <w:fldChar w:fldCharType="separate"/>
      </w:r>
      <w:r>
        <w:rPr>
          <w:rFonts w:hint="eastAsia" w:ascii="仿宋" w:hAnsi="仿宋" w:eastAsia="仿宋" w:cs="仿宋"/>
          <w:bCs w:val="0"/>
          <w:szCs w:val="24"/>
          <w:lang w:eastAsia="zh-CN"/>
        </w:rPr>
        <w:t>37  工程勘察</w:t>
      </w:r>
      <w:r>
        <w:tab/>
      </w:r>
      <w:r>
        <w:fldChar w:fldCharType="begin"/>
      </w:r>
      <w:r>
        <w:instrText xml:space="preserve"> PAGEREF _Toc17970 \h </w:instrText>
      </w:r>
      <w:r>
        <w:fldChar w:fldCharType="separate"/>
      </w:r>
      <w:r>
        <w:t>62</w:t>
      </w:r>
      <w:r>
        <w:fldChar w:fldCharType="end"/>
      </w:r>
      <w:r>
        <w:rPr>
          <w:rFonts w:cs="仿宋"/>
          <w:lang w:eastAsia="zh-CN"/>
        </w:rPr>
        <w:fldChar w:fldCharType="end"/>
      </w:r>
    </w:p>
    <w:p w14:paraId="6F3B3EF7">
      <w:pPr>
        <w:pStyle w:val="21"/>
        <w:tabs>
          <w:tab w:val="right" w:leader="dot" w:pos="10204"/>
        </w:tabs>
      </w:pPr>
      <w:r>
        <w:rPr>
          <w:rFonts w:cs="仿宋"/>
          <w:lang w:eastAsia="zh-CN"/>
        </w:rPr>
        <w:fldChar w:fldCharType="begin"/>
      </w:r>
      <w:r>
        <w:rPr>
          <w:rFonts w:cs="仿宋"/>
          <w:lang w:eastAsia="zh-CN"/>
        </w:rPr>
        <w:instrText xml:space="preserve"> HYPERLINK \l _Toc23314 </w:instrText>
      </w:r>
      <w:r>
        <w:rPr>
          <w:rFonts w:cs="仿宋"/>
          <w:lang w:eastAsia="zh-CN"/>
        </w:rPr>
        <w:fldChar w:fldCharType="separate"/>
      </w:r>
      <w:r>
        <w:rPr>
          <w:rFonts w:hint="eastAsia" w:ascii="仿宋" w:hAnsi="仿宋" w:eastAsia="仿宋" w:cs="仿宋"/>
          <w:bCs w:val="0"/>
          <w:szCs w:val="24"/>
          <w:lang w:eastAsia="zh-CN"/>
        </w:rPr>
        <w:t>38  工程设计</w:t>
      </w:r>
      <w:r>
        <w:tab/>
      </w:r>
      <w:r>
        <w:fldChar w:fldCharType="begin"/>
      </w:r>
      <w:r>
        <w:instrText xml:space="preserve"> PAGEREF _Toc23314 \h </w:instrText>
      </w:r>
      <w:r>
        <w:fldChar w:fldCharType="separate"/>
      </w:r>
      <w:r>
        <w:t>63</w:t>
      </w:r>
      <w:r>
        <w:fldChar w:fldCharType="end"/>
      </w:r>
      <w:r>
        <w:rPr>
          <w:rFonts w:cs="仿宋"/>
          <w:lang w:eastAsia="zh-CN"/>
        </w:rPr>
        <w:fldChar w:fldCharType="end"/>
      </w:r>
    </w:p>
    <w:p w14:paraId="497058E3">
      <w:pPr>
        <w:pStyle w:val="21"/>
        <w:tabs>
          <w:tab w:val="right" w:leader="dot" w:pos="10204"/>
        </w:tabs>
      </w:pPr>
      <w:r>
        <w:rPr>
          <w:rFonts w:cs="仿宋"/>
          <w:lang w:eastAsia="zh-CN"/>
        </w:rPr>
        <w:fldChar w:fldCharType="begin"/>
      </w:r>
      <w:r>
        <w:rPr>
          <w:rFonts w:cs="仿宋"/>
          <w:lang w:eastAsia="zh-CN"/>
        </w:rPr>
        <w:instrText xml:space="preserve"> HYPERLINK \l _Toc14681 </w:instrText>
      </w:r>
      <w:r>
        <w:rPr>
          <w:rFonts w:cs="仿宋"/>
          <w:lang w:eastAsia="zh-CN"/>
        </w:rPr>
        <w:fldChar w:fldCharType="separate"/>
      </w:r>
      <w:r>
        <w:rPr>
          <w:rFonts w:hint="eastAsia" w:ascii="仿宋" w:hAnsi="仿宋" w:eastAsia="仿宋" w:cs="仿宋"/>
          <w:bCs w:val="0"/>
          <w:szCs w:val="24"/>
          <w:lang w:eastAsia="zh-CN"/>
        </w:rPr>
        <w:t>39  BIM技术应用</w:t>
      </w:r>
      <w:r>
        <w:tab/>
      </w:r>
      <w:r>
        <w:fldChar w:fldCharType="begin"/>
      </w:r>
      <w:r>
        <w:instrText xml:space="preserve"> PAGEREF _Toc14681 \h </w:instrText>
      </w:r>
      <w:r>
        <w:fldChar w:fldCharType="separate"/>
      </w:r>
      <w:r>
        <w:t>67</w:t>
      </w:r>
      <w:r>
        <w:fldChar w:fldCharType="end"/>
      </w:r>
      <w:r>
        <w:rPr>
          <w:rFonts w:cs="仿宋"/>
          <w:lang w:eastAsia="zh-CN"/>
        </w:rPr>
        <w:fldChar w:fldCharType="end"/>
      </w:r>
    </w:p>
    <w:p w14:paraId="447B6A17">
      <w:pPr>
        <w:pStyle w:val="34"/>
        <w:tabs>
          <w:tab w:val="right" w:leader="dot" w:pos="10204"/>
        </w:tabs>
      </w:pPr>
      <w:r>
        <w:rPr>
          <w:rFonts w:cs="仿宋"/>
          <w:lang w:eastAsia="zh-CN"/>
        </w:rPr>
        <w:fldChar w:fldCharType="begin"/>
      </w:r>
      <w:r>
        <w:rPr>
          <w:rFonts w:cs="仿宋"/>
          <w:lang w:eastAsia="zh-CN"/>
        </w:rPr>
        <w:instrText xml:space="preserve"> HYPERLINK \l _Toc24573 </w:instrText>
      </w:r>
      <w:r>
        <w:rPr>
          <w:rFonts w:cs="仿宋"/>
          <w:lang w:eastAsia="zh-CN"/>
        </w:rPr>
        <w:fldChar w:fldCharType="separate"/>
      </w:r>
      <w:r>
        <w:rPr>
          <w:rFonts w:hint="eastAsia" w:ascii="仿宋" w:hAnsi="仿宋" w:eastAsia="仿宋" w:cs="仿宋"/>
          <w:bCs/>
          <w:szCs w:val="24"/>
          <w:lang w:eastAsia="zh-CN"/>
        </w:rPr>
        <w:t>五、工</w:t>
      </w:r>
      <w:r>
        <w:rPr>
          <w:rFonts w:ascii="仿宋" w:hAnsi="仿宋" w:eastAsia="仿宋" w:cs="仿宋"/>
          <w:bCs/>
          <w:szCs w:val="24"/>
          <w:lang w:eastAsia="zh-CN"/>
        </w:rPr>
        <w:t xml:space="preserve">  </w:t>
      </w:r>
      <w:r>
        <w:rPr>
          <w:rFonts w:hint="eastAsia" w:ascii="仿宋" w:hAnsi="仿宋" w:eastAsia="仿宋" w:cs="仿宋"/>
          <w:bCs/>
          <w:szCs w:val="24"/>
          <w:lang w:eastAsia="zh-CN"/>
        </w:rPr>
        <w:t>期</w:t>
      </w:r>
      <w:r>
        <w:tab/>
      </w:r>
      <w:r>
        <w:fldChar w:fldCharType="begin"/>
      </w:r>
      <w:r>
        <w:instrText xml:space="preserve"> PAGEREF _Toc24573 \h </w:instrText>
      </w:r>
      <w:r>
        <w:fldChar w:fldCharType="separate"/>
      </w:r>
      <w:r>
        <w:t>68</w:t>
      </w:r>
      <w:r>
        <w:fldChar w:fldCharType="end"/>
      </w:r>
      <w:r>
        <w:rPr>
          <w:rFonts w:cs="仿宋"/>
          <w:lang w:eastAsia="zh-CN"/>
        </w:rPr>
        <w:fldChar w:fldCharType="end"/>
      </w:r>
    </w:p>
    <w:p w14:paraId="64CDBE1F">
      <w:pPr>
        <w:pStyle w:val="21"/>
        <w:tabs>
          <w:tab w:val="right" w:leader="dot" w:pos="10204"/>
        </w:tabs>
      </w:pPr>
      <w:r>
        <w:rPr>
          <w:rFonts w:cs="仿宋"/>
          <w:lang w:eastAsia="zh-CN"/>
        </w:rPr>
        <w:fldChar w:fldCharType="begin"/>
      </w:r>
      <w:r>
        <w:rPr>
          <w:rFonts w:cs="仿宋"/>
          <w:lang w:eastAsia="zh-CN"/>
        </w:rPr>
        <w:instrText xml:space="preserve"> HYPERLINK \l _Toc7963 </w:instrText>
      </w:r>
      <w:r>
        <w:rPr>
          <w:rFonts w:cs="仿宋"/>
          <w:lang w:eastAsia="zh-CN"/>
        </w:rPr>
        <w:fldChar w:fldCharType="separate"/>
      </w:r>
      <w:r>
        <w:rPr>
          <w:rFonts w:hint="eastAsia" w:ascii="仿宋" w:hAnsi="仿宋" w:eastAsia="仿宋" w:cs="仿宋"/>
          <w:bCs w:val="0"/>
          <w:szCs w:val="24"/>
          <w:lang w:eastAsia="zh-CN"/>
        </w:rPr>
        <w:t>40</w:t>
      </w:r>
      <w:r>
        <w:rPr>
          <w:rFonts w:ascii="仿宋" w:hAnsi="仿宋" w:eastAsia="仿宋" w:cs="仿宋"/>
          <w:bCs w:val="0"/>
          <w:szCs w:val="24"/>
          <w:lang w:eastAsia="zh-CN"/>
        </w:rPr>
        <w:t xml:space="preserve">  </w:t>
      </w:r>
      <w:r>
        <w:rPr>
          <w:rFonts w:hint="eastAsia" w:ascii="仿宋" w:hAnsi="仿宋" w:eastAsia="仿宋" w:cs="仿宋"/>
          <w:szCs w:val="24"/>
          <w:lang w:eastAsia="zh-CN"/>
        </w:rPr>
        <w:t>进度计划和报告</w:t>
      </w:r>
      <w:r>
        <w:tab/>
      </w:r>
      <w:r>
        <w:fldChar w:fldCharType="begin"/>
      </w:r>
      <w:r>
        <w:instrText xml:space="preserve"> PAGEREF _Toc7963 \h </w:instrText>
      </w:r>
      <w:r>
        <w:fldChar w:fldCharType="separate"/>
      </w:r>
      <w:r>
        <w:t>68</w:t>
      </w:r>
      <w:r>
        <w:fldChar w:fldCharType="end"/>
      </w:r>
      <w:r>
        <w:rPr>
          <w:rFonts w:cs="仿宋"/>
          <w:lang w:eastAsia="zh-CN"/>
        </w:rPr>
        <w:fldChar w:fldCharType="end"/>
      </w:r>
    </w:p>
    <w:p w14:paraId="1452DE99">
      <w:pPr>
        <w:pStyle w:val="21"/>
        <w:tabs>
          <w:tab w:val="right" w:leader="dot" w:pos="10204"/>
        </w:tabs>
      </w:pPr>
      <w:r>
        <w:rPr>
          <w:rFonts w:cs="仿宋"/>
          <w:lang w:eastAsia="zh-CN"/>
        </w:rPr>
        <w:fldChar w:fldCharType="begin"/>
      </w:r>
      <w:r>
        <w:rPr>
          <w:rFonts w:cs="仿宋"/>
          <w:lang w:eastAsia="zh-CN"/>
        </w:rPr>
        <w:instrText xml:space="preserve"> HYPERLINK \l _Toc8784 </w:instrText>
      </w:r>
      <w:r>
        <w:rPr>
          <w:rFonts w:cs="仿宋"/>
          <w:lang w:eastAsia="zh-CN"/>
        </w:rPr>
        <w:fldChar w:fldCharType="separate"/>
      </w:r>
      <w:r>
        <w:rPr>
          <w:rFonts w:hint="eastAsia" w:ascii="仿宋" w:hAnsi="仿宋" w:eastAsia="仿宋" w:cs="仿宋"/>
          <w:bCs w:val="0"/>
          <w:szCs w:val="24"/>
          <w:lang w:eastAsia="zh-CN"/>
        </w:rPr>
        <w:t>41</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开始工作或开工</w:t>
      </w:r>
      <w:r>
        <w:tab/>
      </w:r>
      <w:r>
        <w:fldChar w:fldCharType="begin"/>
      </w:r>
      <w:r>
        <w:instrText xml:space="preserve"> PAGEREF _Toc8784 \h </w:instrText>
      </w:r>
      <w:r>
        <w:fldChar w:fldCharType="separate"/>
      </w:r>
      <w:r>
        <w:t>70</w:t>
      </w:r>
      <w:r>
        <w:fldChar w:fldCharType="end"/>
      </w:r>
      <w:r>
        <w:rPr>
          <w:rFonts w:cs="仿宋"/>
          <w:lang w:eastAsia="zh-CN"/>
        </w:rPr>
        <w:fldChar w:fldCharType="end"/>
      </w:r>
    </w:p>
    <w:p w14:paraId="199AEBBC">
      <w:pPr>
        <w:pStyle w:val="21"/>
        <w:tabs>
          <w:tab w:val="right" w:leader="dot" w:pos="10204"/>
        </w:tabs>
      </w:pPr>
      <w:r>
        <w:rPr>
          <w:rFonts w:cs="仿宋"/>
          <w:lang w:eastAsia="zh-CN"/>
        </w:rPr>
        <w:fldChar w:fldCharType="begin"/>
      </w:r>
      <w:r>
        <w:rPr>
          <w:rFonts w:cs="仿宋"/>
          <w:lang w:eastAsia="zh-CN"/>
        </w:rPr>
        <w:instrText xml:space="preserve"> HYPERLINK \l _Toc2547 </w:instrText>
      </w:r>
      <w:r>
        <w:rPr>
          <w:rFonts w:cs="仿宋"/>
          <w:lang w:eastAsia="zh-CN"/>
        </w:rPr>
        <w:fldChar w:fldCharType="separate"/>
      </w:r>
      <w:r>
        <w:rPr>
          <w:rFonts w:hint="eastAsia" w:ascii="仿宋" w:hAnsi="仿宋" w:eastAsia="仿宋" w:cs="仿宋"/>
          <w:bCs w:val="0"/>
          <w:szCs w:val="24"/>
          <w:lang w:eastAsia="zh-CN"/>
        </w:rPr>
        <w:t>42</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暂停工作、暂停施工和复工</w:t>
      </w:r>
      <w:r>
        <w:tab/>
      </w:r>
      <w:r>
        <w:fldChar w:fldCharType="begin"/>
      </w:r>
      <w:r>
        <w:instrText xml:space="preserve"> PAGEREF _Toc2547 \h </w:instrText>
      </w:r>
      <w:r>
        <w:fldChar w:fldCharType="separate"/>
      </w:r>
      <w:r>
        <w:t>71</w:t>
      </w:r>
      <w:r>
        <w:fldChar w:fldCharType="end"/>
      </w:r>
      <w:r>
        <w:rPr>
          <w:rFonts w:cs="仿宋"/>
          <w:lang w:eastAsia="zh-CN"/>
        </w:rPr>
        <w:fldChar w:fldCharType="end"/>
      </w:r>
    </w:p>
    <w:p w14:paraId="2C24099D">
      <w:pPr>
        <w:pStyle w:val="21"/>
        <w:tabs>
          <w:tab w:val="right" w:leader="dot" w:pos="10204"/>
        </w:tabs>
      </w:pPr>
      <w:r>
        <w:rPr>
          <w:rFonts w:cs="仿宋"/>
          <w:lang w:eastAsia="zh-CN"/>
        </w:rPr>
        <w:fldChar w:fldCharType="begin"/>
      </w:r>
      <w:r>
        <w:rPr>
          <w:rFonts w:cs="仿宋"/>
          <w:lang w:eastAsia="zh-CN"/>
        </w:rPr>
        <w:instrText xml:space="preserve"> HYPERLINK \l _Toc9850 </w:instrText>
      </w:r>
      <w:r>
        <w:rPr>
          <w:rFonts w:cs="仿宋"/>
          <w:lang w:eastAsia="zh-CN"/>
        </w:rPr>
        <w:fldChar w:fldCharType="separate"/>
      </w:r>
      <w:r>
        <w:rPr>
          <w:rFonts w:hint="eastAsia" w:ascii="仿宋" w:hAnsi="仿宋" w:eastAsia="仿宋" w:cs="仿宋"/>
          <w:bCs w:val="0"/>
          <w:szCs w:val="24"/>
          <w:lang w:eastAsia="zh-CN"/>
        </w:rPr>
        <w:t>43</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工期和工期延误</w:t>
      </w:r>
      <w:r>
        <w:tab/>
      </w:r>
      <w:r>
        <w:fldChar w:fldCharType="begin"/>
      </w:r>
      <w:r>
        <w:instrText xml:space="preserve"> PAGEREF _Toc9850 \h </w:instrText>
      </w:r>
      <w:r>
        <w:fldChar w:fldCharType="separate"/>
      </w:r>
      <w:r>
        <w:t>72</w:t>
      </w:r>
      <w:r>
        <w:fldChar w:fldCharType="end"/>
      </w:r>
      <w:r>
        <w:rPr>
          <w:rFonts w:cs="仿宋"/>
          <w:lang w:eastAsia="zh-CN"/>
        </w:rPr>
        <w:fldChar w:fldCharType="end"/>
      </w:r>
    </w:p>
    <w:p w14:paraId="399E9C55">
      <w:pPr>
        <w:pStyle w:val="21"/>
        <w:tabs>
          <w:tab w:val="right" w:leader="dot" w:pos="10204"/>
        </w:tabs>
      </w:pPr>
      <w:r>
        <w:rPr>
          <w:rFonts w:cs="仿宋"/>
          <w:lang w:eastAsia="zh-CN"/>
        </w:rPr>
        <w:fldChar w:fldCharType="begin"/>
      </w:r>
      <w:r>
        <w:rPr>
          <w:rFonts w:cs="仿宋"/>
          <w:lang w:eastAsia="zh-CN"/>
        </w:rPr>
        <w:instrText xml:space="preserve"> HYPERLINK \l _Toc8453 </w:instrText>
      </w:r>
      <w:r>
        <w:rPr>
          <w:rFonts w:cs="仿宋"/>
          <w:lang w:eastAsia="zh-CN"/>
        </w:rPr>
        <w:fldChar w:fldCharType="separate"/>
      </w:r>
      <w:r>
        <w:rPr>
          <w:rFonts w:hint="eastAsia" w:ascii="仿宋" w:hAnsi="仿宋" w:eastAsia="仿宋" w:cs="仿宋"/>
          <w:bCs w:val="0"/>
          <w:szCs w:val="24"/>
          <w:lang w:eastAsia="zh-CN"/>
        </w:rPr>
        <w:t>44</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加快进度</w:t>
      </w:r>
      <w:r>
        <w:tab/>
      </w:r>
      <w:r>
        <w:fldChar w:fldCharType="begin"/>
      </w:r>
      <w:r>
        <w:instrText xml:space="preserve"> PAGEREF _Toc8453 \h </w:instrText>
      </w:r>
      <w:r>
        <w:fldChar w:fldCharType="separate"/>
      </w:r>
      <w:r>
        <w:t>75</w:t>
      </w:r>
      <w:r>
        <w:fldChar w:fldCharType="end"/>
      </w:r>
      <w:r>
        <w:rPr>
          <w:rFonts w:cs="仿宋"/>
          <w:lang w:eastAsia="zh-CN"/>
        </w:rPr>
        <w:fldChar w:fldCharType="end"/>
      </w:r>
    </w:p>
    <w:p w14:paraId="5F172DDD">
      <w:pPr>
        <w:pStyle w:val="21"/>
        <w:tabs>
          <w:tab w:val="right" w:leader="dot" w:pos="10204"/>
        </w:tabs>
      </w:pPr>
      <w:r>
        <w:rPr>
          <w:rFonts w:cs="仿宋"/>
          <w:lang w:eastAsia="zh-CN"/>
        </w:rPr>
        <w:fldChar w:fldCharType="begin"/>
      </w:r>
      <w:r>
        <w:rPr>
          <w:rFonts w:cs="仿宋"/>
          <w:lang w:eastAsia="zh-CN"/>
        </w:rPr>
        <w:instrText xml:space="preserve"> HYPERLINK \l _Toc8624 </w:instrText>
      </w:r>
      <w:r>
        <w:rPr>
          <w:rFonts w:cs="仿宋"/>
          <w:lang w:eastAsia="zh-CN"/>
        </w:rPr>
        <w:fldChar w:fldCharType="separate"/>
      </w:r>
      <w:r>
        <w:rPr>
          <w:rFonts w:hint="eastAsia" w:ascii="仿宋" w:hAnsi="仿宋" w:eastAsia="仿宋" w:cs="仿宋"/>
          <w:bCs w:val="0"/>
          <w:szCs w:val="24"/>
          <w:lang w:eastAsia="zh-CN"/>
        </w:rPr>
        <w:t>45</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竣工日期</w:t>
      </w:r>
      <w:r>
        <w:tab/>
      </w:r>
      <w:r>
        <w:fldChar w:fldCharType="begin"/>
      </w:r>
      <w:r>
        <w:instrText xml:space="preserve"> PAGEREF _Toc8624 \h </w:instrText>
      </w:r>
      <w:r>
        <w:fldChar w:fldCharType="separate"/>
      </w:r>
      <w:r>
        <w:t>75</w:t>
      </w:r>
      <w:r>
        <w:fldChar w:fldCharType="end"/>
      </w:r>
      <w:r>
        <w:rPr>
          <w:rFonts w:cs="仿宋"/>
          <w:lang w:eastAsia="zh-CN"/>
        </w:rPr>
        <w:fldChar w:fldCharType="end"/>
      </w:r>
    </w:p>
    <w:p w14:paraId="17A7E772">
      <w:pPr>
        <w:pStyle w:val="21"/>
        <w:tabs>
          <w:tab w:val="right" w:leader="dot" w:pos="10204"/>
        </w:tabs>
      </w:pPr>
      <w:r>
        <w:rPr>
          <w:rFonts w:cs="仿宋"/>
          <w:lang w:eastAsia="zh-CN"/>
        </w:rPr>
        <w:fldChar w:fldCharType="begin"/>
      </w:r>
      <w:r>
        <w:rPr>
          <w:rFonts w:cs="仿宋"/>
          <w:lang w:eastAsia="zh-CN"/>
        </w:rPr>
        <w:instrText xml:space="preserve"> HYPERLINK \l _Toc27827 </w:instrText>
      </w:r>
      <w:r>
        <w:rPr>
          <w:rFonts w:cs="仿宋"/>
          <w:lang w:eastAsia="zh-CN"/>
        </w:rPr>
        <w:fldChar w:fldCharType="separate"/>
      </w:r>
      <w:r>
        <w:rPr>
          <w:rFonts w:hint="eastAsia" w:ascii="仿宋" w:hAnsi="仿宋" w:eastAsia="仿宋" w:cs="仿宋"/>
          <w:bCs w:val="0"/>
          <w:szCs w:val="24"/>
          <w:lang w:eastAsia="zh-CN"/>
        </w:rPr>
        <w:t>46</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提前竣工</w:t>
      </w:r>
      <w:r>
        <w:tab/>
      </w:r>
      <w:r>
        <w:fldChar w:fldCharType="begin"/>
      </w:r>
      <w:r>
        <w:instrText xml:space="preserve"> PAGEREF _Toc27827 \h </w:instrText>
      </w:r>
      <w:r>
        <w:fldChar w:fldCharType="separate"/>
      </w:r>
      <w:r>
        <w:t>76</w:t>
      </w:r>
      <w:r>
        <w:fldChar w:fldCharType="end"/>
      </w:r>
      <w:r>
        <w:rPr>
          <w:rFonts w:cs="仿宋"/>
          <w:lang w:eastAsia="zh-CN"/>
        </w:rPr>
        <w:fldChar w:fldCharType="end"/>
      </w:r>
    </w:p>
    <w:p w14:paraId="3A89036C">
      <w:pPr>
        <w:pStyle w:val="21"/>
        <w:tabs>
          <w:tab w:val="right" w:leader="dot" w:pos="10204"/>
        </w:tabs>
      </w:pPr>
      <w:r>
        <w:rPr>
          <w:rFonts w:cs="仿宋"/>
          <w:lang w:eastAsia="zh-CN"/>
        </w:rPr>
        <w:fldChar w:fldCharType="begin"/>
      </w:r>
      <w:r>
        <w:rPr>
          <w:rFonts w:cs="仿宋"/>
          <w:lang w:eastAsia="zh-CN"/>
        </w:rPr>
        <w:instrText xml:space="preserve"> HYPERLINK \l _Toc2767 </w:instrText>
      </w:r>
      <w:r>
        <w:rPr>
          <w:rFonts w:cs="仿宋"/>
          <w:lang w:eastAsia="zh-CN"/>
        </w:rPr>
        <w:fldChar w:fldCharType="separate"/>
      </w:r>
      <w:r>
        <w:rPr>
          <w:rFonts w:ascii="仿宋" w:hAnsi="仿宋" w:eastAsia="仿宋" w:cs="仿宋"/>
          <w:bCs w:val="0"/>
          <w:szCs w:val="24"/>
          <w:lang w:eastAsia="zh-CN"/>
        </w:rPr>
        <w:t>4</w:t>
      </w:r>
      <w:r>
        <w:rPr>
          <w:rFonts w:hint="eastAsia" w:ascii="仿宋" w:hAnsi="仿宋" w:eastAsia="仿宋" w:cs="仿宋"/>
          <w:bCs w:val="0"/>
          <w:szCs w:val="24"/>
          <w:lang w:eastAsia="zh-CN"/>
        </w:rPr>
        <w:t>7</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误期赔偿</w:t>
      </w:r>
      <w:r>
        <w:tab/>
      </w:r>
      <w:r>
        <w:fldChar w:fldCharType="begin"/>
      </w:r>
      <w:r>
        <w:instrText xml:space="preserve"> PAGEREF _Toc2767 \h </w:instrText>
      </w:r>
      <w:r>
        <w:fldChar w:fldCharType="separate"/>
      </w:r>
      <w:r>
        <w:t>76</w:t>
      </w:r>
      <w:r>
        <w:fldChar w:fldCharType="end"/>
      </w:r>
      <w:r>
        <w:rPr>
          <w:rFonts w:cs="仿宋"/>
          <w:lang w:eastAsia="zh-CN"/>
        </w:rPr>
        <w:fldChar w:fldCharType="end"/>
      </w:r>
    </w:p>
    <w:p w14:paraId="06ABB3FD">
      <w:pPr>
        <w:pStyle w:val="34"/>
        <w:tabs>
          <w:tab w:val="right" w:leader="dot" w:pos="10204"/>
        </w:tabs>
      </w:pPr>
      <w:r>
        <w:rPr>
          <w:rFonts w:cs="仿宋"/>
          <w:lang w:eastAsia="zh-CN"/>
        </w:rPr>
        <w:fldChar w:fldCharType="begin"/>
      </w:r>
      <w:r>
        <w:rPr>
          <w:rFonts w:cs="仿宋"/>
          <w:lang w:eastAsia="zh-CN"/>
        </w:rPr>
        <w:instrText xml:space="preserve"> HYPERLINK \l _Toc16510 </w:instrText>
      </w:r>
      <w:r>
        <w:rPr>
          <w:rFonts w:cs="仿宋"/>
          <w:lang w:eastAsia="zh-CN"/>
        </w:rPr>
        <w:fldChar w:fldCharType="separate"/>
      </w:r>
      <w:r>
        <w:rPr>
          <w:rFonts w:hint="eastAsia" w:ascii="仿宋" w:hAnsi="仿宋" w:eastAsia="仿宋" w:cs="仿宋"/>
          <w:bCs/>
          <w:szCs w:val="24"/>
          <w:lang w:eastAsia="zh-CN"/>
        </w:rPr>
        <w:t>六、质量与安全</w:t>
      </w:r>
      <w:r>
        <w:tab/>
      </w:r>
      <w:r>
        <w:fldChar w:fldCharType="begin"/>
      </w:r>
      <w:r>
        <w:instrText xml:space="preserve"> PAGEREF _Toc16510 \h </w:instrText>
      </w:r>
      <w:r>
        <w:fldChar w:fldCharType="separate"/>
      </w:r>
      <w:r>
        <w:t>77</w:t>
      </w:r>
      <w:r>
        <w:fldChar w:fldCharType="end"/>
      </w:r>
      <w:r>
        <w:rPr>
          <w:rFonts w:cs="仿宋"/>
          <w:lang w:eastAsia="zh-CN"/>
        </w:rPr>
        <w:fldChar w:fldCharType="end"/>
      </w:r>
    </w:p>
    <w:p w14:paraId="38E18B5A">
      <w:pPr>
        <w:pStyle w:val="21"/>
        <w:tabs>
          <w:tab w:val="right" w:leader="dot" w:pos="10204"/>
        </w:tabs>
      </w:pPr>
      <w:r>
        <w:rPr>
          <w:rFonts w:cs="仿宋"/>
          <w:lang w:eastAsia="zh-CN"/>
        </w:rPr>
        <w:fldChar w:fldCharType="begin"/>
      </w:r>
      <w:r>
        <w:rPr>
          <w:rFonts w:cs="仿宋"/>
          <w:lang w:eastAsia="zh-CN"/>
        </w:rPr>
        <w:instrText xml:space="preserve"> HYPERLINK \l _Toc1820 </w:instrText>
      </w:r>
      <w:r>
        <w:rPr>
          <w:rFonts w:cs="仿宋"/>
          <w:lang w:eastAsia="zh-CN"/>
        </w:rPr>
        <w:fldChar w:fldCharType="separate"/>
      </w:r>
      <w:r>
        <w:rPr>
          <w:rFonts w:hint="eastAsia" w:ascii="仿宋" w:hAnsi="仿宋" w:eastAsia="仿宋" w:cs="仿宋"/>
          <w:bCs w:val="0"/>
          <w:szCs w:val="24"/>
          <w:lang w:eastAsia="zh-CN"/>
        </w:rPr>
        <w:t>★</w:t>
      </w:r>
      <w:r>
        <w:rPr>
          <w:rFonts w:ascii="仿宋" w:hAnsi="仿宋" w:eastAsia="仿宋" w:cs="仿宋"/>
          <w:bCs w:val="0"/>
          <w:szCs w:val="24"/>
          <w:lang w:eastAsia="zh-CN"/>
        </w:rPr>
        <w:t>4</w:t>
      </w:r>
      <w:r>
        <w:rPr>
          <w:rFonts w:hint="eastAsia" w:ascii="仿宋" w:hAnsi="仿宋" w:eastAsia="仿宋" w:cs="仿宋"/>
          <w:bCs w:val="0"/>
          <w:szCs w:val="24"/>
          <w:lang w:eastAsia="zh-CN"/>
        </w:rPr>
        <w:t>8</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质量与安全管理</w:t>
      </w:r>
      <w:r>
        <w:tab/>
      </w:r>
      <w:r>
        <w:fldChar w:fldCharType="begin"/>
      </w:r>
      <w:r>
        <w:instrText xml:space="preserve"> PAGEREF _Toc1820 \h </w:instrText>
      </w:r>
      <w:r>
        <w:fldChar w:fldCharType="separate"/>
      </w:r>
      <w:r>
        <w:t>77</w:t>
      </w:r>
      <w:r>
        <w:fldChar w:fldCharType="end"/>
      </w:r>
      <w:r>
        <w:rPr>
          <w:rFonts w:cs="仿宋"/>
          <w:lang w:eastAsia="zh-CN"/>
        </w:rPr>
        <w:fldChar w:fldCharType="end"/>
      </w:r>
    </w:p>
    <w:p w14:paraId="5DC01EA9">
      <w:pPr>
        <w:pStyle w:val="21"/>
        <w:tabs>
          <w:tab w:val="right" w:leader="dot" w:pos="10204"/>
        </w:tabs>
      </w:pPr>
      <w:r>
        <w:rPr>
          <w:rFonts w:cs="仿宋"/>
          <w:lang w:eastAsia="zh-CN"/>
        </w:rPr>
        <w:fldChar w:fldCharType="begin"/>
      </w:r>
      <w:r>
        <w:rPr>
          <w:rFonts w:cs="仿宋"/>
          <w:lang w:eastAsia="zh-CN"/>
        </w:rPr>
        <w:instrText xml:space="preserve"> HYPERLINK \l _Toc30005 </w:instrText>
      </w:r>
      <w:r>
        <w:rPr>
          <w:rFonts w:cs="仿宋"/>
          <w:lang w:eastAsia="zh-CN"/>
        </w:rPr>
        <w:fldChar w:fldCharType="separate"/>
      </w:r>
      <w:r>
        <w:rPr>
          <w:rFonts w:hint="eastAsia" w:ascii="仿宋" w:hAnsi="仿宋" w:eastAsia="仿宋" w:cs="仿宋"/>
          <w:bCs w:val="0"/>
          <w:szCs w:val="24"/>
          <w:lang w:eastAsia="zh-CN"/>
        </w:rPr>
        <w:t>★49</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质量标准</w:t>
      </w:r>
      <w:r>
        <w:tab/>
      </w:r>
      <w:r>
        <w:fldChar w:fldCharType="begin"/>
      </w:r>
      <w:r>
        <w:instrText xml:space="preserve"> PAGEREF _Toc30005 \h </w:instrText>
      </w:r>
      <w:r>
        <w:fldChar w:fldCharType="separate"/>
      </w:r>
      <w:r>
        <w:t>78</w:t>
      </w:r>
      <w:r>
        <w:fldChar w:fldCharType="end"/>
      </w:r>
      <w:r>
        <w:rPr>
          <w:rFonts w:cs="仿宋"/>
          <w:lang w:eastAsia="zh-CN"/>
        </w:rPr>
        <w:fldChar w:fldCharType="end"/>
      </w:r>
    </w:p>
    <w:p w14:paraId="30DDC659">
      <w:pPr>
        <w:pStyle w:val="21"/>
        <w:tabs>
          <w:tab w:val="right" w:leader="dot" w:pos="10204"/>
        </w:tabs>
      </w:pPr>
      <w:r>
        <w:rPr>
          <w:rFonts w:cs="仿宋"/>
          <w:lang w:eastAsia="zh-CN"/>
        </w:rPr>
        <w:fldChar w:fldCharType="begin"/>
      </w:r>
      <w:r>
        <w:rPr>
          <w:rFonts w:cs="仿宋"/>
          <w:lang w:eastAsia="zh-CN"/>
        </w:rPr>
        <w:instrText xml:space="preserve"> HYPERLINK \l _Toc14910 </w:instrText>
      </w:r>
      <w:r>
        <w:rPr>
          <w:rFonts w:cs="仿宋"/>
          <w:lang w:eastAsia="zh-CN"/>
        </w:rPr>
        <w:fldChar w:fldCharType="separate"/>
      </w:r>
      <w:r>
        <w:rPr>
          <w:rFonts w:hint="eastAsia" w:ascii="仿宋" w:hAnsi="仿宋" w:eastAsia="仿宋" w:cs="仿宋"/>
          <w:bCs w:val="0"/>
          <w:szCs w:val="24"/>
          <w:lang w:eastAsia="zh-CN"/>
        </w:rPr>
        <w:t>★50</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工程质量创优</w:t>
      </w:r>
      <w:r>
        <w:tab/>
      </w:r>
      <w:r>
        <w:fldChar w:fldCharType="begin"/>
      </w:r>
      <w:r>
        <w:instrText xml:space="preserve"> PAGEREF _Toc14910 \h </w:instrText>
      </w:r>
      <w:r>
        <w:fldChar w:fldCharType="separate"/>
      </w:r>
      <w:r>
        <w:t>79</w:t>
      </w:r>
      <w:r>
        <w:fldChar w:fldCharType="end"/>
      </w:r>
      <w:r>
        <w:rPr>
          <w:rFonts w:cs="仿宋"/>
          <w:lang w:eastAsia="zh-CN"/>
        </w:rPr>
        <w:fldChar w:fldCharType="end"/>
      </w:r>
    </w:p>
    <w:p w14:paraId="5008BE4F">
      <w:pPr>
        <w:pStyle w:val="21"/>
        <w:tabs>
          <w:tab w:val="right" w:leader="dot" w:pos="10204"/>
        </w:tabs>
      </w:pPr>
      <w:r>
        <w:rPr>
          <w:rFonts w:cs="仿宋"/>
          <w:lang w:eastAsia="zh-CN"/>
        </w:rPr>
        <w:fldChar w:fldCharType="begin"/>
      </w:r>
      <w:r>
        <w:rPr>
          <w:rFonts w:cs="仿宋"/>
          <w:lang w:eastAsia="zh-CN"/>
        </w:rPr>
        <w:instrText xml:space="preserve"> HYPERLINK \l _Toc32149 </w:instrText>
      </w:r>
      <w:r>
        <w:rPr>
          <w:rFonts w:cs="仿宋"/>
          <w:lang w:eastAsia="zh-CN"/>
        </w:rPr>
        <w:fldChar w:fldCharType="separate"/>
      </w:r>
      <w:r>
        <w:rPr>
          <w:rFonts w:hint="eastAsia" w:ascii="仿宋" w:hAnsi="仿宋" w:eastAsia="仿宋" w:cs="仿宋"/>
          <w:bCs w:val="0"/>
          <w:szCs w:val="24"/>
          <w:lang w:eastAsia="zh-CN"/>
        </w:rPr>
        <w:t>51</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工程的照管</w:t>
      </w:r>
      <w:r>
        <w:tab/>
      </w:r>
      <w:r>
        <w:fldChar w:fldCharType="begin"/>
      </w:r>
      <w:r>
        <w:instrText xml:space="preserve"> PAGEREF _Toc32149 \h </w:instrText>
      </w:r>
      <w:r>
        <w:fldChar w:fldCharType="separate"/>
      </w:r>
      <w:r>
        <w:t>79</w:t>
      </w:r>
      <w:r>
        <w:fldChar w:fldCharType="end"/>
      </w:r>
      <w:r>
        <w:rPr>
          <w:rFonts w:cs="仿宋"/>
          <w:lang w:eastAsia="zh-CN"/>
        </w:rPr>
        <w:fldChar w:fldCharType="end"/>
      </w:r>
    </w:p>
    <w:p w14:paraId="7CF1E140">
      <w:pPr>
        <w:pStyle w:val="21"/>
        <w:tabs>
          <w:tab w:val="right" w:leader="dot" w:pos="10204"/>
        </w:tabs>
      </w:pPr>
      <w:r>
        <w:rPr>
          <w:rFonts w:cs="仿宋"/>
          <w:lang w:eastAsia="zh-CN"/>
        </w:rPr>
        <w:fldChar w:fldCharType="begin"/>
      </w:r>
      <w:r>
        <w:rPr>
          <w:rFonts w:cs="仿宋"/>
          <w:lang w:eastAsia="zh-CN"/>
        </w:rPr>
        <w:instrText xml:space="preserve"> HYPERLINK \l _Toc31471 </w:instrText>
      </w:r>
      <w:r>
        <w:rPr>
          <w:rFonts w:cs="仿宋"/>
          <w:lang w:eastAsia="zh-CN"/>
        </w:rPr>
        <w:fldChar w:fldCharType="separate"/>
      </w:r>
      <w:r>
        <w:rPr>
          <w:rFonts w:hint="eastAsia" w:ascii="仿宋" w:hAnsi="仿宋" w:eastAsia="仿宋" w:cs="仿宋"/>
          <w:bCs w:val="0"/>
          <w:szCs w:val="24"/>
          <w:lang w:eastAsia="zh-CN"/>
        </w:rPr>
        <w:t>★52</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绿色施工安全防护</w:t>
      </w:r>
      <w:r>
        <w:tab/>
      </w:r>
      <w:r>
        <w:fldChar w:fldCharType="begin"/>
      </w:r>
      <w:r>
        <w:instrText xml:space="preserve"> PAGEREF _Toc31471 \h </w:instrText>
      </w:r>
      <w:r>
        <w:fldChar w:fldCharType="separate"/>
      </w:r>
      <w:r>
        <w:t>80</w:t>
      </w:r>
      <w:r>
        <w:fldChar w:fldCharType="end"/>
      </w:r>
      <w:r>
        <w:rPr>
          <w:rFonts w:cs="仿宋"/>
          <w:lang w:eastAsia="zh-CN"/>
        </w:rPr>
        <w:fldChar w:fldCharType="end"/>
      </w:r>
    </w:p>
    <w:p w14:paraId="7696BAA5">
      <w:pPr>
        <w:pStyle w:val="21"/>
        <w:tabs>
          <w:tab w:val="right" w:leader="dot" w:pos="10204"/>
        </w:tabs>
      </w:pPr>
      <w:r>
        <w:rPr>
          <w:rFonts w:cs="仿宋"/>
          <w:lang w:eastAsia="zh-CN"/>
        </w:rPr>
        <w:fldChar w:fldCharType="begin"/>
      </w:r>
      <w:r>
        <w:rPr>
          <w:rFonts w:cs="仿宋"/>
          <w:lang w:eastAsia="zh-CN"/>
        </w:rPr>
        <w:instrText xml:space="preserve"> HYPERLINK \l _Toc28849 </w:instrText>
      </w:r>
      <w:r>
        <w:rPr>
          <w:rFonts w:cs="仿宋"/>
          <w:lang w:eastAsia="zh-CN"/>
        </w:rPr>
        <w:fldChar w:fldCharType="separate"/>
      </w:r>
      <w:r>
        <w:rPr>
          <w:rFonts w:hint="eastAsia" w:ascii="仿宋" w:hAnsi="仿宋" w:eastAsia="仿宋" w:cs="仿宋"/>
          <w:bCs w:val="0"/>
          <w:szCs w:val="24"/>
          <w:lang w:eastAsia="zh-CN"/>
        </w:rPr>
        <w:t>53</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测量放线</w:t>
      </w:r>
      <w:r>
        <w:tab/>
      </w:r>
      <w:r>
        <w:fldChar w:fldCharType="begin"/>
      </w:r>
      <w:r>
        <w:instrText xml:space="preserve"> PAGEREF _Toc28849 \h </w:instrText>
      </w:r>
      <w:r>
        <w:fldChar w:fldCharType="separate"/>
      </w:r>
      <w:r>
        <w:t>83</w:t>
      </w:r>
      <w:r>
        <w:fldChar w:fldCharType="end"/>
      </w:r>
      <w:r>
        <w:rPr>
          <w:rFonts w:cs="仿宋"/>
          <w:lang w:eastAsia="zh-CN"/>
        </w:rPr>
        <w:fldChar w:fldCharType="end"/>
      </w:r>
    </w:p>
    <w:p w14:paraId="5BEACEF9">
      <w:pPr>
        <w:pStyle w:val="21"/>
        <w:tabs>
          <w:tab w:val="right" w:leader="dot" w:pos="10204"/>
        </w:tabs>
      </w:pPr>
      <w:r>
        <w:rPr>
          <w:rFonts w:cs="仿宋"/>
          <w:lang w:eastAsia="zh-CN"/>
        </w:rPr>
        <w:fldChar w:fldCharType="begin"/>
      </w:r>
      <w:r>
        <w:rPr>
          <w:rFonts w:cs="仿宋"/>
          <w:lang w:eastAsia="zh-CN"/>
        </w:rPr>
        <w:instrText xml:space="preserve"> HYPERLINK \l _Toc14892 </w:instrText>
      </w:r>
      <w:r>
        <w:rPr>
          <w:rFonts w:cs="仿宋"/>
          <w:lang w:eastAsia="zh-CN"/>
        </w:rPr>
        <w:fldChar w:fldCharType="separate"/>
      </w:r>
      <w:r>
        <w:rPr>
          <w:rFonts w:hint="eastAsia" w:ascii="仿宋" w:hAnsi="仿宋" w:eastAsia="仿宋" w:cs="仿宋"/>
          <w:bCs w:val="0"/>
          <w:szCs w:val="24"/>
          <w:lang w:eastAsia="zh-CN"/>
        </w:rPr>
        <w:t>54</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钻孔与勘探性开挖</w:t>
      </w:r>
      <w:r>
        <w:tab/>
      </w:r>
      <w:r>
        <w:fldChar w:fldCharType="begin"/>
      </w:r>
      <w:r>
        <w:instrText xml:space="preserve"> PAGEREF _Toc14892 \h </w:instrText>
      </w:r>
      <w:r>
        <w:fldChar w:fldCharType="separate"/>
      </w:r>
      <w:r>
        <w:t>83</w:t>
      </w:r>
      <w:r>
        <w:fldChar w:fldCharType="end"/>
      </w:r>
      <w:r>
        <w:rPr>
          <w:rFonts w:cs="仿宋"/>
          <w:lang w:eastAsia="zh-CN"/>
        </w:rPr>
        <w:fldChar w:fldCharType="end"/>
      </w:r>
    </w:p>
    <w:p w14:paraId="2350DBAF">
      <w:pPr>
        <w:pStyle w:val="21"/>
        <w:tabs>
          <w:tab w:val="right" w:leader="dot" w:pos="10204"/>
        </w:tabs>
      </w:pPr>
      <w:r>
        <w:rPr>
          <w:rFonts w:cs="仿宋"/>
          <w:lang w:eastAsia="zh-CN"/>
        </w:rPr>
        <w:fldChar w:fldCharType="begin"/>
      </w:r>
      <w:r>
        <w:rPr>
          <w:rFonts w:cs="仿宋"/>
          <w:lang w:eastAsia="zh-CN"/>
        </w:rPr>
        <w:instrText xml:space="preserve"> HYPERLINK \l _Toc16612 </w:instrText>
      </w:r>
      <w:r>
        <w:rPr>
          <w:rFonts w:cs="仿宋"/>
          <w:lang w:eastAsia="zh-CN"/>
        </w:rPr>
        <w:fldChar w:fldCharType="separate"/>
      </w:r>
      <w:r>
        <w:rPr>
          <w:rFonts w:hint="eastAsia" w:ascii="仿宋" w:hAnsi="仿宋" w:eastAsia="仿宋" w:cs="仿宋"/>
          <w:bCs w:val="0"/>
          <w:szCs w:val="24"/>
          <w:lang w:eastAsia="zh-CN"/>
        </w:rPr>
        <w:t>55</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发包人供应工程材料和工程设备</w:t>
      </w:r>
      <w:r>
        <w:tab/>
      </w:r>
      <w:r>
        <w:fldChar w:fldCharType="begin"/>
      </w:r>
      <w:r>
        <w:instrText xml:space="preserve"> PAGEREF _Toc16612 \h </w:instrText>
      </w:r>
      <w:r>
        <w:fldChar w:fldCharType="separate"/>
      </w:r>
      <w:r>
        <w:t>84</w:t>
      </w:r>
      <w:r>
        <w:fldChar w:fldCharType="end"/>
      </w:r>
      <w:r>
        <w:rPr>
          <w:rFonts w:cs="仿宋"/>
          <w:lang w:eastAsia="zh-CN"/>
        </w:rPr>
        <w:fldChar w:fldCharType="end"/>
      </w:r>
    </w:p>
    <w:p w14:paraId="4DA12C1F">
      <w:pPr>
        <w:pStyle w:val="21"/>
        <w:tabs>
          <w:tab w:val="right" w:leader="dot" w:pos="10204"/>
        </w:tabs>
      </w:pPr>
      <w:r>
        <w:rPr>
          <w:rFonts w:cs="仿宋"/>
          <w:lang w:eastAsia="zh-CN"/>
        </w:rPr>
        <w:fldChar w:fldCharType="begin"/>
      </w:r>
      <w:r>
        <w:rPr>
          <w:rFonts w:cs="仿宋"/>
          <w:lang w:eastAsia="zh-CN"/>
        </w:rPr>
        <w:instrText xml:space="preserve"> HYPERLINK \l _Toc6385 </w:instrText>
      </w:r>
      <w:r>
        <w:rPr>
          <w:rFonts w:cs="仿宋"/>
          <w:lang w:eastAsia="zh-CN"/>
        </w:rPr>
        <w:fldChar w:fldCharType="separate"/>
      </w:r>
      <w:r>
        <w:rPr>
          <w:rFonts w:hint="eastAsia" w:ascii="仿宋" w:hAnsi="仿宋" w:eastAsia="仿宋" w:cs="仿宋"/>
          <w:bCs w:val="0"/>
          <w:szCs w:val="24"/>
          <w:lang w:eastAsia="zh-CN"/>
        </w:rPr>
        <w:t>56</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 xml:space="preserve"> 承包人购置设备及工器具、采购工程材料和工程设备</w:t>
      </w:r>
      <w:r>
        <w:tab/>
      </w:r>
      <w:r>
        <w:fldChar w:fldCharType="begin"/>
      </w:r>
      <w:r>
        <w:instrText xml:space="preserve"> PAGEREF _Toc6385 \h </w:instrText>
      </w:r>
      <w:r>
        <w:fldChar w:fldCharType="separate"/>
      </w:r>
      <w:r>
        <w:t>85</w:t>
      </w:r>
      <w:r>
        <w:fldChar w:fldCharType="end"/>
      </w:r>
      <w:r>
        <w:rPr>
          <w:rFonts w:cs="仿宋"/>
          <w:lang w:eastAsia="zh-CN"/>
        </w:rPr>
        <w:fldChar w:fldCharType="end"/>
      </w:r>
    </w:p>
    <w:p w14:paraId="528F04E9">
      <w:pPr>
        <w:pStyle w:val="21"/>
        <w:tabs>
          <w:tab w:val="right" w:leader="dot" w:pos="10204"/>
        </w:tabs>
      </w:pPr>
      <w:r>
        <w:rPr>
          <w:rFonts w:cs="仿宋"/>
          <w:lang w:eastAsia="zh-CN"/>
        </w:rPr>
        <w:fldChar w:fldCharType="begin"/>
      </w:r>
      <w:r>
        <w:rPr>
          <w:rFonts w:cs="仿宋"/>
          <w:lang w:eastAsia="zh-CN"/>
        </w:rPr>
        <w:instrText xml:space="preserve"> HYPERLINK \l _Toc19231 </w:instrText>
      </w:r>
      <w:r>
        <w:rPr>
          <w:rFonts w:cs="仿宋"/>
          <w:lang w:eastAsia="zh-CN"/>
        </w:rPr>
        <w:fldChar w:fldCharType="separate"/>
      </w:r>
      <w:r>
        <w:rPr>
          <w:rFonts w:ascii="仿宋" w:hAnsi="仿宋" w:eastAsia="仿宋" w:cs="仿宋"/>
          <w:bCs w:val="0"/>
          <w:szCs w:val="24"/>
          <w:lang w:eastAsia="zh-CN"/>
        </w:rPr>
        <w:t>5</w:t>
      </w:r>
      <w:r>
        <w:rPr>
          <w:rFonts w:hint="eastAsia" w:ascii="仿宋" w:hAnsi="仿宋" w:eastAsia="仿宋" w:cs="仿宋"/>
          <w:bCs w:val="0"/>
          <w:szCs w:val="24"/>
          <w:lang w:eastAsia="zh-CN"/>
        </w:rPr>
        <w:t>7</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设备及工器具的验收、工程材料和工程设备的检验试验</w:t>
      </w:r>
      <w:r>
        <w:tab/>
      </w:r>
      <w:r>
        <w:fldChar w:fldCharType="begin"/>
      </w:r>
      <w:r>
        <w:instrText xml:space="preserve"> PAGEREF _Toc19231 \h </w:instrText>
      </w:r>
      <w:r>
        <w:fldChar w:fldCharType="separate"/>
      </w:r>
      <w:r>
        <w:t>86</w:t>
      </w:r>
      <w:r>
        <w:fldChar w:fldCharType="end"/>
      </w:r>
      <w:r>
        <w:rPr>
          <w:rFonts w:cs="仿宋"/>
          <w:lang w:eastAsia="zh-CN"/>
        </w:rPr>
        <w:fldChar w:fldCharType="end"/>
      </w:r>
    </w:p>
    <w:p w14:paraId="710F170D">
      <w:pPr>
        <w:pStyle w:val="21"/>
        <w:tabs>
          <w:tab w:val="right" w:leader="dot" w:pos="10204"/>
        </w:tabs>
      </w:pPr>
      <w:r>
        <w:rPr>
          <w:rFonts w:cs="仿宋"/>
          <w:lang w:eastAsia="zh-CN"/>
        </w:rPr>
        <w:fldChar w:fldCharType="begin"/>
      </w:r>
      <w:r>
        <w:rPr>
          <w:rFonts w:cs="仿宋"/>
          <w:lang w:eastAsia="zh-CN"/>
        </w:rPr>
        <w:instrText xml:space="preserve"> HYPERLINK \l _Toc18624 </w:instrText>
      </w:r>
      <w:r>
        <w:rPr>
          <w:rFonts w:cs="仿宋"/>
          <w:lang w:eastAsia="zh-CN"/>
        </w:rPr>
        <w:fldChar w:fldCharType="separate"/>
      </w:r>
      <w:r>
        <w:rPr>
          <w:rFonts w:ascii="仿宋" w:hAnsi="仿宋" w:eastAsia="仿宋" w:cs="仿宋"/>
          <w:bCs w:val="0"/>
          <w:szCs w:val="24"/>
          <w:lang w:eastAsia="zh-CN"/>
        </w:rPr>
        <w:t>5</w:t>
      </w:r>
      <w:r>
        <w:rPr>
          <w:rFonts w:hint="eastAsia" w:ascii="仿宋" w:hAnsi="仿宋" w:eastAsia="仿宋" w:cs="仿宋"/>
          <w:bCs w:val="0"/>
          <w:szCs w:val="24"/>
          <w:lang w:eastAsia="zh-CN"/>
        </w:rPr>
        <w:t>8</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施工设备和临时设施</w:t>
      </w:r>
      <w:r>
        <w:tab/>
      </w:r>
      <w:r>
        <w:fldChar w:fldCharType="begin"/>
      </w:r>
      <w:r>
        <w:instrText xml:space="preserve"> PAGEREF _Toc18624 \h </w:instrText>
      </w:r>
      <w:r>
        <w:fldChar w:fldCharType="separate"/>
      </w:r>
      <w:r>
        <w:t>88</w:t>
      </w:r>
      <w:r>
        <w:fldChar w:fldCharType="end"/>
      </w:r>
      <w:r>
        <w:rPr>
          <w:rFonts w:cs="仿宋"/>
          <w:lang w:eastAsia="zh-CN"/>
        </w:rPr>
        <w:fldChar w:fldCharType="end"/>
      </w:r>
    </w:p>
    <w:p w14:paraId="6312875C">
      <w:pPr>
        <w:pStyle w:val="21"/>
        <w:tabs>
          <w:tab w:val="right" w:leader="dot" w:pos="10204"/>
        </w:tabs>
      </w:pPr>
      <w:r>
        <w:rPr>
          <w:rFonts w:cs="仿宋"/>
          <w:lang w:eastAsia="zh-CN"/>
        </w:rPr>
        <w:fldChar w:fldCharType="begin"/>
      </w:r>
      <w:r>
        <w:rPr>
          <w:rFonts w:cs="仿宋"/>
          <w:lang w:eastAsia="zh-CN"/>
        </w:rPr>
        <w:instrText xml:space="preserve"> HYPERLINK \l _Toc2509 </w:instrText>
      </w:r>
      <w:r>
        <w:rPr>
          <w:rFonts w:cs="仿宋"/>
          <w:lang w:eastAsia="zh-CN"/>
        </w:rPr>
        <w:fldChar w:fldCharType="separate"/>
      </w:r>
      <w:r>
        <w:rPr>
          <w:rFonts w:hint="eastAsia" w:ascii="仿宋" w:hAnsi="仿宋" w:eastAsia="仿宋" w:cs="仿宋"/>
          <w:bCs w:val="0"/>
          <w:szCs w:val="24"/>
          <w:lang w:eastAsia="zh-CN"/>
        </w:rPr>
        <w:t>★59</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工程质量检查</w:t>
      </w:r>
      <w:r>
        <w:tab/>
      </w:r>
      <w:r>
        <w:fldChar w:fldCharType="begin"/>
      </w:r>
      <w:r>
        <w:instrText xml:space="preserve"> PAGEREF _Toc2509 \h </w:instrText>
      </w:r>
      <w:r>
        <w:fldChar w:fldCharType="separate"/>
      </w:r>
      <w:r>
        <w:t>89</w:t>
      </w:r>
      <w:r>
        <w:fldChar w:fldCharType="end"/>
      </w:r>
      <w:r>
        <w:rPr>
          <w:rFonts w:cs="仿宋"/>
          <w:lang w:eastAsia="zh-CN"/>
        </w:rPr>
        <w:fldChar w:fldCharType="end"/>
      </w:r>
    </w:p>
    <w:p w14:paraId="160F4ADE">
      <w:pPr>
        <w:pStyle w:val="21"/>
        <w:tabs>
          <w:tab w:val="right" w:leader="dot" w:pos="10204"/>
        </w:tabs>
      </w:pPr>
      <w:r>
        <w:rPr>
          <w:rFonts w:cs="仿宋"/>
          <w:lang w:eastAsia="zh-CN"/>
        </w:rPr>
        <w:fldChar w:fldCharType="begin"/>
      </w:r>
      <w:r>
        <w:rPr>
          <w:rFonts w:cs="仿宋"/>
          <w:lang w:eastAsia="zh-CN"/>
        </w:rPr>
        <w:instrText xml:space="preserve"> HYPERLINK \l _Toc30089 </w:instrText>
      </w:r>
      <w:r>
        <w:rPr>
          <w:rFonts w:cs="仿宋"/>
          <w:lang w:eastAsia="zh-CN"/>
        </w:rPr>
        <w:fldChar w:fldCharType="separate"/>
      </w:r>
      <w:r>
        <w:rPr>
          <w:rFonts w:hint="eastAsia" w:ascii="仿宋" w:hAnsi="仿宋" w:eastAsia="仿宋" w:cs="仿宋"/>
          <w:bCs w:val="0"/>
          <w:szCs w:val="24"/>
          <w:lang w:eastAsia="zh-CN"/>
        </w:rPr>
        <w:t>★60</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隐蔽工程和中间验收</w:t>
      </w:r>
      <w:r>
        <w:tab/>
      </w:r>
      <w:r>
        <w:fldChar w:fldCharType="begin"/>
      </w:r>
      <w:r>
        <w:instrText xml:space="preserve"> PAGEREF _Toc30089 \h </w:instrText>
      </w:r>
      <w:r>
        <w:fldChar w:fldCharType="separate"/>
      </w:r>
      <w:r>
        <w:t>90</w:t>
      </w:r>
      <w:r>
        <w:fldChar w:fldCharType="end"/>
      </w:r>
      <w:r>
        <w:rPr>
          <w:rFonts w:cs="仿宋"/>
          <w:lang w:eastAsia="zh-CN"/>
        </w:rPr>
        <w:fldChar w:fldCharType="end"/>
      </w:r>
    </w:p>
    <w:p w14:paraId="4B021505">
      <w:pPr>
        <w:pStyle w:val="21"/>
        <w:tabs>
          <w:tab w:val="right" w:leader="dot" w:pos="10204"/>
        </w:tabs>
      </w:pPr>
      <w:r>
        <w:rPr>
          <w:rFonts w:cs="仿宋"/>
          <w:lang w:eastAsia="zh-CN"/>
        </w:rPr>
        <w:fldChar w:fldCharType="begin"/>
      </w:r>
      <w:r>
        <w:rPr>
          <w:rFonts w:cs="仿宋"/>
          <w:lang w:eastAsia="zh-CN"/>
        </w:rPr>
        <w:instrText xml:space="preserve"> HYPERLINK \l _Toc20383 </w:instrText>
      </w:r>
      <w:r>
        <w:rPr>
          <w:rFonts w:cs="仿宋"/>
          <w:lang w:eastAsia="zh-CN"/>
        </w:rPr>
        <w:fldChar w:fldCharType="separate"/>
      </w:r>
      <w:r>
        <w:rPr>
          <w:rFonts w:hint="eastAsia" w:ascii="仿宋" w:hAnsi="仿宋" w:eastAsia="仿宋" w:cs="仿宋"/>
          <w:bCs w:val="0"/>
          <w:szCs w:val="24"/>
          <w:lang w:eastAsia="zh-CN"/>
        </w:rPr>
        <w:t>★61</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重新验收和额外检查检验</w:t>
      </w:r>
      <w:r>
        <w:tab/>
      </w:r>
      <w:r>
        <w:fldChar w:fldCharType="begin"/>
      </w:r>
      <w:r>
        <w:instrText xml:space="preserve"> PAGEREF _Toc20383 \h </w:instrText>
      </w:r>
      <w:r>
        <w:fldChar w:fldCharType="separate"/>
      </w:r>
      <w:r>
        <w:t>90</w:t>
      </w:r>
      <w:r>
        <w:fldChar w:fldCharType="end"/>
      </w:r>
      <w:r>
        <w:rPr>
          <w:rFonts w:cs="仿宋"/>
          <w:lang w:eastAsia="zh-CN"/>
        </w:rPr>
        <w:fldChar w:fldCharType="end"/>
      </w:r>
    </w:p>
    <w:p w14:paraId="6E54E24A">
      <w:pPr>
        <w:pStyle w:val="21"/>
        <w:tabs>
          <w:tab w:val="right" w:leader="dot" w:pos="10204"/>
        </w:tabs>
      </w:pPr>
      <w:r>
        <w:rPr>
          <w:rFonts w:cs="仿宋"/>
          <w:lang w:eastAsia="zh-CN"/>
        </w:rPr>
        <w:fldChar w:fldCharType="begin"/>
      </w:r>
      <w:r>
        <w:rPr>
          <w:rFonts w:cs="仿宋"/>
          <w:lang w:eastAsia="zh-CN"/>
        </w:rPr>
        <w:instrText xml:space="preserve"> HYPERLINK \l _Toc11181 </w:instrText>
      </w:r>
      <w:r>
        <w:rPr>
          <w:rFonts w:cs="仿宋"/>
          <w:lang w:eastAsia="zh-CN"/>
        </w:rPr>
        <w:fldChar w:fldCharType="separate"/>
      </w:r>
      <w:r>
        <w:rPr>
          <w:rFonts w:hint="eastAsia" w:ascii="仿宋" w:hAnsi="仿宋" w:eastAsia="仿宋" w:cs="仿宋"/>
          <w:bCs w:val="0"/>
          <w:szCs w:val="24"/>
          <w:lang w:eastAsia="zh-CN"/>
        </w:rPr>
        <w:t>62</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工程试车</w:t>
      </w:r>
      <w:r>
        <w:tab/>
      </w:r>
      <w:r>
        <w:fldChar w:fldCharType="begin"/>
      </w:r>
      <w:r>
        <w:instrText xml:space="preserve"> PAGEREF _Toc11181 \h </w:instrText>
      </w:r>
      <w:r>
        <w:fldChar w:fldCharType="separate"/>
      </w:r>
      <w:r>
        <w:t>91</w:t>
      </w:r>
      <w:r>
        <w:fldChar w:fldCharType="end"/>
      </w:r>
      <w:r>
        <w:rPr>
          <w:rFonts w:cs="仿宋"/>
          <w:lang w:eastAsia="zh-CN"/>
        </w:rPr>
        <w:fldChar w:fldCharType="end"/>
      </w:r>
    </w:p>
    <w:p w14:paraId="6073690A">
      <w:pPr>
        <w:pStyle w:val="21"/>
        <w:tabs>
          <w:tab w:val="right" w:leader="dot" w:pos="10204"/>
        </w:tabs>
      </w:pPr>
      <w:r>
        <w:rPr>
          <w:rFonts w:cs="仿宋"/>
          <w:lang w:eastAsia="zh-CN"/>
        </w:rPr>
        <w:fldChar w:fldCharType="begin"/>
      </w:r>
      <w:r>
        <w:rPr>
          <w:rFonts w:cs="仿宋"/>
          <w:lang w:eastAsia="zh-CN"/>
        </w:rPr>
        <w:instrText xml:space="preserve"> HYPERLINK \l _Toc20995 </w:instrText>
      </w:r>
      <w:r>
        <w:rPr>
          <w:rFonts w:cs="仿宋"/>
          <w:lang w:eastAsia="zh-CN"/>
        </w:rPr>
        <w:fldChar w:fldCharType="separate"/>
      </w:r>
      <w:r>
        <w:rPr>
          <w:rFonts w:hint="eastAsia" w:ascii="仿宋" w:hAnsi="仿宋" w:eastAsia="仿宋" w:cs="仿宋"/>
          <w:bCs w:val="0"/>
          <w:szCs w:val="24"/>
          <w:lang w:eastAsia="zh-CN"/>
        </w:rPr>
        <w:t>★63</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工程变更</w:t>
      </w:r>
      <w:r>
        <w:tab/>
      </w:r>
      <w:r>
        <w:fldChar w:fldCharType="begin"/>
      </w:r>
      <w:r>
        <w:instrText xml:space="preserve"> PAGEREF _Toc20995 \h </w:instrText>
      </w:r>
      <w:r>
        <w:fldChar w:fldCharType="separate"/>
      </w:r>
      <w:r>
        <w:t>92</w:t>
      </w:r>
      <w:r>
        <w:fldChar w:fldCharType="end"/>
      </w:r>
      <w:r>
        <w:rPr>
          <w:rFonts w:cs="仿宋"/>
          <w:lang w:eastAsia="zh-CN"/>
        </w:rPr>
        <w:fldChar w:fldCharType="end"/>
      </w:r>
    </w:p>
    <w:p w14:paraId="4F849D8A">
      <w:pPr>
        <w:pStyle w:val="21"/>
        <w:tabs>
          <w:tab w:val="right" w:leader="dot" w:pos="10204"/>
        </w:tabs>
      </w:pPr>
      <w:r>
        <w:rPr>
          <w:rFonts w:cs="仿宋"/>
          <w:lang w:eastAsia="zh-CN"/>
        </w:rPr>
        <w:fldChar w:fldCharType="begin"/>
      </w:r>
      <w:r>
        <w:rPr>
          <w:rFonts w:cs="仿宋"/>
          <w:lang w:eastAsia="zh-CN"/>
        </w:rPr>
        <w:instrText xml:space="preserve"> HYPERLINK \l _Toc814 </w:instrText>
      </w:r>
      <w:r>
        <w:rPr>
          <w:rFonts w:cs="仿宋"/>
          <w:lang w:eastAsia="zh-CN"/>
        </w:rPr>
        <w:fldChar w:fldCharType="separate"/>
      </w:r>
      <w:r>
        <w:rPr>
          <w:rFonts w:hint="eastAsia" w:ascii="仿宋" w:hAnsi="仿宋" w:eastAsia="仿宋" w:cs="仿宋"/>
          <w:bCs w:val="0"/>
          <w:szCs w:val="24"/>
          <w:lang w:eastAsia="zh-CN"/>
        </w:rPr>
        <w:t>64</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竣工验收条件</w:t>
      </w:r>
      <w:r>
        <w:tab/>
      </w:r>
      <w:r>
        <w:fldChar w:fldCharType="begin"/>
      </w:r>
      <w:r>
        <w:instrText xml:space="preserve"> PAGEREF _Toc814 \h </w:instrText>
      </w:r>
      <w:r>
        <w:fldChar w:fldCharType="separate"/>
      </w:r>
      <w:r>
        <w:t>94</w:t>
      </w:r>
      <w:r>
        <w:fldChar w:fldCharType="end"/>
      </w:r>
      <w:r>
        <w:rPr>
          <w:rFonts w:cs="仿宋"/>
          <w:lang w:eastAsia="zh-CN"/>
        </w:rPr>
        <w:fldChar w:fldCharType="end"/>
      </w:r>
    </w:p>
    <w:p w14:paraId="7DC2C6F0">
      <w:pPr>
        <w:pStyle w:val="21"/>
        <w:tabs>
          <w:tab w:val="right" w:leader="dot" w:pos="10204"/>
        </w:tabs>
      </w:pPr>
      <w:r>
        <w:rPr>
          <w:rFonts w:cs="仿宋"/>
          <w:lang w:eastAsia="zh-CN"/>
        </w:rPr>
        <w:fldChar w:fldCharType="begin"/>
      </w:r>
      <w:r>
        <w:rPr>
          <w:rFonts w:cs="仿宋"/>
          <w:lang w:eastAsia="zh-CN"/>
        </w:rPr>
        <w:instrText xml:space="preserve"> HYPERLINK \l _Toc18455 </w:instrText>
      </w:r>
      <w:r>
        <w:rPr>
          <w:rFonts w:cs="仿宋"/>
          <w:lang w:eastAsia="zh-CN"/>
        </w:rPr>
        <w:fldChar w:fldCharType="separate"/>
      </w:r>
      <w:r>
        <w:rPr>
          <w:rFonts w:hint="eastAsia" w:ascii="仿宋" w:hAnsi="仿宋" w:eastAsia="仿宋" w:cs="仿宋"/>
          <w:bCs w:val="0"/>
          <w:szCs w:val="24"/>
          <w:lang w:eastAsia="zh-CN"/>
        </w:rPr>
        <w:t>65</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竣工验收</w:t>
      </w:r>
      <w:r>
        <w:tab/>
      </w:r>
      <w:r>
        <w:fldChar w:fldCharType="begin"/>
      </w:r>
      <w:r>
        <w:instrText xml:space="preserve"> PAGEREF _Toc18455 \h </w:instrText>
      </w:r>
      <w:r>
        <w:fldChar w:fldCharType="separate"/>
      </w:r>
      <w:r>
        <w:t>94</w:t>
      </w:r>
      <w:r>
        <w:fldChar w:fldCharType="end"/>
      </w:r>
      <w:r>
        <w:rPr>
          <w:rFonts w:cs="仿宋"/>
          <w:lang w:eastAsia="zh-CN"/>
        </w:rPr>
        <w:fldChar w:fldCharType="end"/>
      </w:r>
    </w:p>
    <w:p w14:paraId="3CAF9DBA">
      <w:pPr>
        <w:pStyle w:val="21"/>
        <w:tabs>
          <w:tab w:val="right" w:leader="dot" w:pos="10204"/>
        </w:tabs>
      </w:pPr>
      <w:r>
        <w:rPr>
          <w:rFonts w:cs="仿宋"/>
          <w:lang w:eastAsia="zh-CN"/>
        </w:rPr>
        <w:fldChar w:fldCharType="begin"/>
      </w:r>
      <w:r>
        <w:rPr>
          <w:rFonts w:cs="仿宋"/>
          <w:lang w:eastAsia="zh-CN"/>
        </w:rPr>
        <w:instrText xml:space="preserve"> HYPERLINK \l _Toc24908 </w:instrText>
      </w:r>
      <w:r>
        <w:rPr>
          <w:rFonts w:cs="仿宋"/>
          <w:lang w:eastAsia="zh-CN"/>
        </w:rPr>
        <w:fldChar w:fldCharType="separate"/>
      </w:r>
      <w:r>
        <w:rPr>
          <w:rFonts w:hint="eastAsia" w:ascii="仿宋" w:hAnsi="仿宋" w:eastAsia="仿宋" w:cs="仿宋"/>
          <w:bCs w:val="0"/>
          <w:szCs w:val="24"/>
          <w:lang w:eastAsia="zh-CN"/>
        </w:rPr>
        <w:t>66</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缺陷责任与质量保修</w:t>
      </w:r>
      <w:r>
        <w:tab/>
      </w:r>
      <w:r>
        <w:fldChar w:fldCharType="begin"/>
      </w:r>
      <w:r>
        <w:instrText xml:space="preserve"> PAGEREF _Toc24908 \h </w:instrText>
      </w:r>
      <w:r>
        <w:fldChar w:fldCharType="separate"/>
      </w:r>
      <w:r>
        <w:t>97</w:t>
      </w:r>
      <w:r>
        <w:fldChar w:fldCharType="end"/>
      </w:r>
      <w:r>
        <w:rPr>
          <w:rFonts w:cs="仿宋"/>
          <w:lang w:eastAsia="zh-CN"/>
        </w:rPr>
        <w:fldChar w:fldCharType="end"/>
      </w:r>
    </w:p>
    <w:p w14:paraId="01E34758">
      <w:pPr>
        <w:pStyle w:val="34"/>
        <w:tabs>
          <w:tab w:val="right" w:leader="dot" w:pos="10204"/>
        </w:tabs>
      </w:pPr>
      <w:r>
        <w:rPr>
          <w:rFonts w:cs="仿宋"/>
          <w:lang w:eastAsia="zh-CN"/>
        </w:rPr>
        <w:fldChar w:fldCharType="begin"/>
      </w:r>
      <w:r>
        <w:rPr>
          <w:rFonts w:cs="仿宋"/>
          <w:lang w:eastAsia="zh-CN"/>
        </w:rPr>
        <w:instrText xml:space="preserve"> HYPERLINK \l _Toc19020 </w:instrText>
      </w:r>
      <w:r>
        <w:rPr>
          <w:rFonts w:cs="仿宋"/>
          <w:lang w:eastAsia="zh-CN"/>
        </w:rPr>
        <w:fldChar w:fldCharType="separate"/>
      </w:r>
      <w:r>
        <w:rPr>
          <w:rFonts w:hint="eastAsia" w:ascii="仿宋" w:hAnsi="仿宋" w:eastAsia="仿宋" w:cs="仿宋"/>
          <w:bCs/>
          <w:lang w:eastAsia="zh-CN"/>
        </w:rPr>
        <w:t>七、合同价格</w:t>
      </w:r>
      <w:r>
        <w:tab/>
      </w:r>
      <w:r>
        <w:fldChar w:fldCharType="begin"/>
      </w:r>
      <w:r>
        <w:instrText xml:space="preserve"> PAGEREF _Toc19020 \h </w:instrText>
      </w:r>
      <w:r>
        <w:fldChar w:fldCharType="separate"/>
      </w:r>
      <w:r>
        <w:t>98</w:t>
      </w:r>
      <w:r>
        <w:fldChar w:fldCharType="end"/>
      </w:r>
      <w:r>
        <w:rPr>
          <w:rFonts w:cs="仿宋"/>
          <w:lang w:eastAsia="zh-CN"/>
        </w:rPr>
        <w:fldChar w:fldCharType="end"/>
      </w:r>
    </w:p>
    <w:p w14:paraId="0F9F34B1">
      <w:pPr>
        <w:pStyle w:val="21"/>
        <w:tabs>
          <w:tab w:val="right" w:leader="dot" w:pos="10204"/>
        </w:tabs>
      </w:pPr>
      <w:r>
        <w:rPr>
          <w:rFonts w:cs="仿宋"/>
          <w:lang w:eastAsia="zh-CN"/>
        </w:rPr>
        <w:fldChar w:fldCharType="begin"/>
      </w:r>
      <w:r>
        <w:rPr>
          <w:rFonts w:cs="仿宋"/>
          <w:lang w:eastAsia="zh-CN"/>
        </w:rPr>
        <w:instrText xml:space="preserve"> HYPERLINK \l _Toc27679 </w:instrText>
      </w:r>
      <w:r>
        <w:rPr>
          <w:rFonts w:cs="仿宋"/>
          <w:lang w:eastAsia="zh-CN"/>
        </w:rPr>
        <w:fldChar w:fldCharType="separate"/>
      </w:r>
      <w:r>
        <w:rPr>
          <w:rFonts w:ascii="仿宋" w:hAnsi="仿宋" w:eastAsia="仿宋" w:cs="仿宋"/>
          <w:bCs w:val="0"/>
          <w:szCs w:val="24"/>
          <w:lang w:eastAsia="zh-CN"/>
        </w:rPr>
        <w:t>6</w:t>
      </w:r>
      <w:r>
        <w:rPr>
          <w:rFonts w:hint="eastAsia" w:ascii="仿宋" w:hAnsi="仿宋" w:eastAsia="仿宋" w:cs="仿宋"/>
          <w:bCs w:val="0"/>
          <w:szCs w:val="24"/>
          <w:lang w:eastAsia="zh-CN"/>
        </w:rPr>
        <w:t>7</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资金计划和安排</w:t>
      </w:r>
      <w:r>
        <w:tab/>
      </w:r>
      <w:r>
        <w:fldChar w:fldCharType="begin"/>
      </w:r>
      <w:r>
        <w:instrText xml:space="preserve"> PAGEREF _Toc27679 \h </w:instrText>
      </w:r>
      <w:r>
        <w:fldChar w:fldCharType="separate"/>
      </w:r>
      <w:r>
        <w:t>98</w:t>
      </w:r>
      <w:r>
        <w:fldChar w:fldCharType="end"/>
      </w:r>
      <w:r>
        <w:rPr>
          <w:rFonts w:cs="仿宋"/>
          <w:lang w:eastAsia="zh-CN"/>
        </w:rPr>
        <w:fldChar w:fldCharType="end"/>
      </w:r>
    </w:p>
    <w:p w14:paraId="157EA6EF">
      <w:pPr>
        <w:pStyle w:val="21"/>
        <w:tabs>
          <w:tab w:val="right" w:leader="dot" w:pos="10204"/>
        </w:tabs>
      </w:pPr>
      <w:r>
        <w:rPr>
          <w:rFonts w:cs="仿宋"/>
          <w:lang w:eastAsia="zh-CN"/>
        </w:rPr>
        <w:fldChar w:fldCharType="begin"/>
      </w:r>
      <w:r>
        <w:rPr>
          <w:rFonts w:cs="仿宋"/>
          <w:lang w:eastAsia="zh-CN"/>
        </w:rPr>
        <w:instrText xml:space="preserve"> HYPERLINK \l _Toc16414 </w:instrText>
      </w:r>
      <w:r>
        <w:rPr>
          <w:rFonts w:cs="仿宋"/>
          <w:lang w:eastAsia="zh-CN"/>
        </w:rPr>
        <w:fldChar w:fldCharType="separate"/>
      </w:r>
      <w:r>
        <w:rPr>
          <w:rFonts w:hint="eastAsia" w:ascii="仿宋" w:hAnsi="仿宋" w:eastAsia="仿宋" w:cs="仿宋"/>
          <w:bCs w:val="0"/>
          <w:szCs w:val="24"/>
          <w:lang w:eastAsia="zh-CN"/>
        </w:rPr>
        <w:t>68</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联合体牵头人项目管理费</w:t>
      </w:r>
      <w:r>
        <w:tab/>
      </w:r>
      <w:r>
        <w:fldChar w:fldCharType="begin"/>
      </w:r>
      <w:r>
        <w:instrText xml:space="preserve"> PAGEREF _Toc16414 \h </w:instrText>
      </w:r>
      <w:r>
        <w:fldChar w:fldCharType="separate"/>
      </w:r>
      <w:r>
        <w:t>99</w:t>
      </w:r>
      <w:r>
        <w:fldChar w:fldCharType="end"/>
      </w:r>
      <w:r>
        <w:rPr>
          <w:rFonts w:cs="仿宋"/>
          <w:lang w:eastAsia="zh-CN"/>
        </w:rPr>
        <w:fldChar w:fldCharType="end"/>
      </w:r>
    </w:p>
    <w:p w14:paraId="707A2788">
      <w:pPr>
        <w:pStyle w:val="21"/>
        <w:tabs>
          <w:tab w:val="right" w:leader="dot" w:pos="10204"/>
        </w:tabs>
      </w:pPr>
      <w:r>
        <w:rPr>
          <w:rFonts w:cs="仿宋"/>
          <w:lang w:eastAsia="zh-CN"/>
        </w:rPr>
        <w:fldChar w:fldCharType="begin"/>
      </w:r>
      <w:r>
        <w:rPr>
          <w:rFonts w:cs="仿宋"/>
          <w:lang w:eastAsia="zh-CN"/>
        </w:rPr>
        <w:instrText xml:space="preserve"> HYPERLINK \l _Toc26606 </w:instrText>
      </w:r>
      <w:r>
        <w:rPr>
          <w:rFonts w:cs="仿宋"/>
          <w:lang w:eastAsia="zh-CN"/>
        </w:rPr>
        <w:fldChar w:fldCharType="separate"/>
      </w:r>
      <w:r>
        <w:rPr>
          <w:rFonts w:hint="eastAsia" w:ascii="仿宋" w:hAnsi="仿宋" w:eastAsia="仿宋" w:cs="仿宋"/>
          <w:bCs w:val="0"/>
          <w:szCs w:val="24"/>
          <w:lang w:eastAsia="zh-CN"/>
        </w:rPr>
        <w:t>★69</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合同价格的约定与调整</w:t>
      </w:r>
      <w:r>
        <w:tab/>
      </w:r>
      <w:r>
        <w:fldChar w:fldCharType="begin"/>
      </w:r>
      <w:r>
        <w:instrText xml:space="preserve"> PAGEREF _Toc26606 \h </w:instrText>
      </w:r>
      <w:r>
        <w:fldChar w:fldCharType="separate"/>
      </w:r>
      <w:r>
        <w:t>99</w:t>
      </w:r>
      <w:r>
        <w:fldChar w:fldCharType="end"/>
      </w:r>
      <w:r>
        <w:rPr>
          <w:rFonts w:cs="仿宋"/>
          <w:lang w:eastAsia="zh-CN"/>
        </w:rPr>
        <w:fldChar w:fldCharType="end"/>
      </w:r>
    </w:p>
    <w:p w14:paraId="0C400C87">
      <w:pPr>
        <w:pStyle w:val="21"/>
        <w:tabs>
          <w:tab w:val="right" w:leader="dot" w:pos="10204"/>
        </w:tabs>
      </w:pPr>
      <w:r>
        <w:rPr>
          <w:rFonts w:cs="仿宋"/>
          <w:lang w:eastAsia="zh-CN"/>
        </w:rPr>
        <w:fldChar w:fldCharType="begin"/>
      </w:r>
      <w:r>
        <w:rPr>
          <w:rFonts w:cs="仿宋"/>
          <w:lang w:eastAsia="zh-CN"/>
        </w:rPr>
        <w:instrText xml:space="preserve"> HYPERLINK \l _Toc21638 </w:instrText>
      </w:r>
      <w:r>
        <w:rPr>
          <w:rFonts w:cs="仿宋"/>
          <w:lang w:eastAsia="zh-CN"/>
        </w:rPr>
        <w:fldChar w:fldCharType="separate"/>
      </w:r>
      <w:r>
        <w:rPr>
          <w:rFonts w:hint="eastAsia" w:ascii="仿宋" w:hAnsi="仿宋" w:eastAsia="仿宋" w:cs="仿宋"/>
          <w:bCs w:val="0"/>
          <w:szCs w:val="24"/>
          <w:lang w:eastAsia="zh-CN"/>
        </w:rPr>
        <w:t>★70</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合同价格调整程序</w:t>
      </w:r>
      <w:r>
        <w:tab/>
      </w:r>
      <w:r>
        <w:fldChar w:fldCharType="begin"/>
      </w:r>
      <w:r>
        <w:instrText xml:space="preserve"> PAGEREF _Toc21638 \h </w:instrText>
      </w:r>
      <w:r>
        <w:fldChar w:fldCharType="separate"/>
      </w:r>
      <w:r>
        <w:t>100</w:t>
      </w:r>
      <w:r>
        <w:fldChar w:fldCharType="end"/>
      </w:r>
      <w:r>
        <w:rPr>
          <w:rFonts w:cs="仿宋"/>
          <w:lang w:eastAsia="zh-CN"/>
        </w:rPr>
        <w:fldChar w:fldCharType="end"/>
      </w:r>
    </w:p>
    <w:p w14:paraId="46E8A665">
      <w:pPr>
        <w:pStyle w:val="21"/>
        <w:tabs>
          <w:tab w:val="right" w:leader="dot" w:pos="10204"/>
        </w:tabs>
      </w:pPr>
      <w:r>
        <w:rPr>
          <w:rFonts w:cs="仿宋"/>
          <w:lang w:eastAsia="zh-CN"/>
        </w:rPr>
        <w:fldChar w:fldCharType="begin"/>
      </w:r>
      <w:r>
        <w:rPr>
          <w:rFonts w:cs="仿宋"/>
          <w:lang w:eastAsia="zh-CN"/>
        </w:rPr>
        <w:instrText xml:space="preserve"> HYPERLINK \l _Toc13396 </w:instrText>
      </w:r>
      <w:r>
        <w:rPr>
          <w:rFonts w:cs="仿宋"/>
          <w:lang w:eastAsia="zh-CN"/>
        </w:rPr>
        <w:fldChar w:fldCharType="separate"/>
      </w:r>
      <w:r>
        <w:rPr>
          <w:rFonts w:hint="eastAsia" w:ascii="仿宋" w:hAnsi="仿宋" w:eastAsia="仿宋" w:cs="仿宋"/>
          <w:bCs w:val="0"/>
          <w:szCs w:val="24"/>
          <w:lang w:eastAsia="zh-CN"/>
        </w:rPr>
        <w:t>★71</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工作量或工程量</w:t>
      </w:r>
      <w:r>
        <w:tab/>
      </w:r>
      <w:r>
        <w:fldChar w:fldCharType="begin"/>
      </w:r>
      <w:r>
        <w:instrText xml:space="preserve"> PAGEREF _Toc13396 \h </w:instrText>
      </w:r>
      <w:r>
        <w:fldChar w:fldCharType="separate"/>
      </w:r>
      <w:r>
        <w:t>101</w:t>
      </w:r>
      <w:r>
        <w:fldChar w:fldCharType="end"/>
      </w:r>
      <w:r>
        <w:rPr>
          <w:rFonts w:cs="仿宋"/>
          <w:lang w:eastAsia="zh-CN"/>
        </w:rPr>
        <w:fldChar w:fldCharType="end"/>
      </w:r>
    </w:p>
    <w:p w14:paraId="41AF9CAF">
      <w:pPr>
        <w:pStyle w:val="21"/>
        <w:tabs>
          <w:tab w:val="right" w:leader="dot" w:pos="10204"/>
        </w:tabs>
      </w:pPr>
      <w:r>
        <w:rPr>
          <w:rFonts w:cs="仿宋"/>
          <w:lang w:eastAsia="zh-CN"/>
        </w:rPr>
        <w:fldChar w:fldCharType="begin"/>
      </w:r>
      <w:r>
        <w:rPr>
          <w:rFonts w:cs="仿宋"/>
          <w:lang w:eastAsia="zh-CN"/>
        </w:rPr>
        <w:instrText xml:space="preserve"> HYPERLINK \l _Toc28441 </w:instrText>
      </w:r>
      <w:r>
        <w:rPr>
          <w:rFonts w:cs="仿宋"/>
          <w:lang w:eastAsia="zh-CN"/>
        </w:rPr>
        <w:fldChar w:fldCharType="separate"/>
      </w:r>
      <w:r>
        <w:rPr>
          <w:rFonts w:hint="eastAsia" w:ascii="仿宋" w:hAnsi="仿宋" w:eastAsia="仿宋" w:cs="仿宋"/>
          <w:bCs w:val="0"/>
          <w:szCs w:val="24"/>
          <w:lang w:eastAsia="zh-CN"/>
        </w:rPr>
        <w:t>★72</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计量和计价</w:t>
      </w:r>
      <w:r>
        <w:tab/>
      </w:r>
      <w:r>
        <w:fldChar w:fldCharType="begin"/>
      </w:r>
      <w:r>
        <w:instrText xml:space="preserve"> PAGEREF _Toc28441 \h </w:instrText>
      </w:r>
      <w:r>
        <w:fldChar w:fldCharType="separate"/>
      </w:r>
      <w:r>
        <w:t>102</w:t>
      </w:r>
      <w:r>
        <w:fldChar w:fldCharType="end"/>
      </w:r>
      <w:r>
        <w:rPr>
          <w:rFonts w:cs="仿宋"/>
          <w:lang w:eastAsia="zh-CN"/>
        </w:rPr>
        <w:fldChar w:fldCharType="end"/>
      </w:r>
    </w:p>
    <w:p w14:paraId="356A6181">
      <w:pPr>
        <w:pStyle w:val="21"/>
        <w:tabs>
          <w:tab w:val="right" w:leader="dot" w:pos="10204"/>
        </w:tabs>
      </w:pPr>
      <w:r>
        <w:rPr>
          <w:rFonts w:cs="仿宋"/>
          <w:lang w:eastAsia="zh-CN"/>
        </w:rPr>
        <w:fldChar w:fldCharType="begin"/>
      </w:r>
      <w:r>
        <w:rPr>
          <w:rFonts w:cs="仿宋"/>
          <w:lang w:eastAsia="zh-CN"/>
        </w:rPr>
        <w:instrText xml:space="preserve"> HYPERLINK \l _Toc3952 </w:instrText>
      </w:r>
      <w:r>
        <w:rPr>
          <w:rFonts w:cs="仿宋"/>
          <w:lang w:eastAsia="zh-CN"/>
        </w:rPr>
        <w:fldChar w:fldCharType="separate"/>
      </w:r>
      <w:r>
        <w:rPr>
          <w:rFonts w:hint="eastAsia" w:ascii="仿宋" w:hAnsi="仿宋" w:eastAsia="仿宋" w:cs="仿宋"/>
          <w:bCs w:val="0"/>
          <w:szCs w:val="24"/>
          <w:lang w:eastAsia="zh-CN"/>
        </w:rPr>
        <w:t>★73</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暂列金额</w:t>
      </w:r>
      <w:r>
        <w:tab/>
      </w:r>
      <w:r>
        <w:fldChar w:fldCharType="begin"/>
      </w:r>
      <w:r>
        <w:instrText xml:space="preserve"> PAGEREF _Toc3952 \h </w:instrText>
      </w:r>
      <w:r>
        <w:fldChar w:fldCharType="separate"/>
      </w:r>
      <w:r>
        <w:t>103</w:t>
      </w:r>
      <w:r>
        <w:fldChar w:fldCharType="end"/>
      </w:r>
      <w:r>
        <w:rPr>
          <w:rFonts w:cs="仿宋"/>
          <w:lang w:eastAsia="zh-CN"/>
        </w:rPr>
        <w:fldChar w:fldCharType="end"/>
      </w:r>
    </w:p>
    <w:p w14:paraId="0F8BA86E">
      <w:pPr>
        <w:pStyle w:val="21"/>
        <w:tabs>
          <w:tab w:val="right" w:leader="dot" w:pos="10204"/>
        </w:tabs>
      </w:pPr>
      <w:r>
        <w:rPr>
          <w:rFonts w:cs="仿宋"/>
          <w:lang w:eastAsia="zh-CN"/>
        </w:rPr>
        <w:fldChar w:fldCharType="begin"/>
      </w:r>
      <w:r>
        <w:rPr>
          <w:rFonts w:cs="仿宋"/>
          <w:lang w:eastAsia="zh-CN"/>
        </w:rPr>
        <w:instrText xml:space="preserve"> HYPERLINK \l _Toc24296 </w:instrText>
      </w:r>
      <w:r>
        <w:rPr>
          <w:rFonts w:cs="仿宋"/>
          <w:lang w:eastAsia="zh-CN"/>
        </w:rPr>
        <w:fldChar w:fldCharType="separate"/>
      </w:r>
      <w:r>
        <w:rPr>
          <w:rFonts w:hint="eastAsia" w:ascii="仿宋" w:hAnsi="仿宋" w:eastAsia="仿宋" w:cs="仿宋"/>
          <w:bCs w:val="0"/>
          <w:szCs w:val="24"/>
          <w:lang w:eastAsia="zh-CN"/>
        </w:rPr>
        <w:t>★74</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计日工</w:t>
      </w:r>
      <w:r>
        <w:tab/>
      </w:r>
      <w:r>
        <w:fldChar w:fldCharType="begin"/>
      </w:r>
      <w:r>
        <w:instrText xml:space="preserve"> PAGEREF _Toc24296 \h </w:instrText>
      </w:r>
      <w:r>
        <w:fldChar w:fldCharType="separate"/>
      </w:r>
      <w:r>
        <w:t>104</w:t>
      </w:r>
      <w:r>
        <w:fldChar w:fldCharType="end"/>
      </w:r>
      <w:r>
        <w:rPr>
          <w:rFonts w:cs="仿宋"/>
          <w:lang w:eastAsia="zh-CN"/>
        </w:rPr>
        <w:fldChar w:fldCharType="end"/>
      </w:r>
    </w:p>
    <w:p w14:paraId="6DF67987">
      <w:pPr>
        <w:pStyle w:val="21"/>
        <w:tabs>
          <w:tab w:val="right" w:leader="dot" w:pos="10204"/>
        </w:tabs>
      </w:pPr>
      <w:r>
        <w:rPr>
          <w:rFonts w:cs="仿宋"/>
          <w:lang w:eastAsia="zh-CN"/>
        </w:rPr>
        <w:fldChar w:fldCharType="begin"/>
      </w:r>
      <w:r>
        <w:rPr>
          <w:rFonts w:cs="仿宋"/>
          <w:lang w:eastAsia="zh-CN"/>
        </w:rPr>
        <w:instrText xml:space="preserve"> HYPERLINK \l _Toc14260 </w:instrText>
      </w:r>
      <w:r>
        <w:rPr>
          <w:rFonts w:cs="仿宋"/>
          <w:lang w:eastAsia="zh-CN"/>
        </w:rPr>
        <w:fldChar w:fldCharType="separate"/>
      </w:r>
      <w:r>
        <w:rPr>
          <w:rFonts w:hint="eastAsia" w:ascii="仿宋" w:hAnsi="仿宋" w:eastAsia="仿宋" w:cs="仿宋"/>
          <w:bCs w:val="0"/>
          <w:szCs w:val="24"/>
          <w:lang w:eastAsia="zh-CN"/>
        </w:rPr>
        <w:t>★75</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暂估价</w:t>
      </w:r>
      <w:r>
        <w:tab/>
      </w:r>
      <w:r>
        <w:fldChar w:fldCharType="begin"/>
      </w:r>
      <w:r>
        <w:instrText xml:space="preserve"> PAGEREF _Toc14260 \h </w:instrText>
      </w:r>
      <w:r>
        <w:fldChar w:fldCharType="separate"/>
      </w:r>
      <w:r>
        <w:t>104</w:t>
      </w:r>
      <w:r>
        <w:fldChar w:fldCharType="end"/>
      </w:r>
      <w:r>
        <w:rPr>
          <w:rFonts w:cs="仿宋"/>
          <w:lang w:eastAsia="zh-CN"/>
        </w:rPr>
        <w:fldChar w:fldCharType="end"/>
      </w:r>
    </w:p>
    <w:p w14:paraId="01164180">
      <w:pPr>
        <w:pStyle w:val="21"/>
        <w:tabs>
          <w:tab w:val="right" w:leader="dot" w:pos="10204"/>
        </w:tabs>
      </w:pPr>
      <w:r>
        <w:rPr>
          <w:rFonts w:cs="仿宋"/>
          <w:lang w:eastAsia="zh-CN"/>
        </w:rPr>
        <w:fldChar w:fldCharType="begin"/>
      </w:r>
      <w:r>
        <w:rPr>
          <w:rFonts w:cs="仿宋"/>
          <w:lang w:eastAsia="zh-CN"/>
        </w:rPr>
        <w:instrText xml:space="preserve"> HYPERLINK \l _Toc3491 </w:instrText>
      </w:r>
      <w:r>
        <w:rPr>
          <w:rFonts w:cs="仿宋"/>
          <w:lang w:eastAsia="zh-CN"/>
        </w:rPr>
        <w:fldChar w:fldCharType="separate"/>
      </w:r>
      <w:r>
        <w:rPr>
          <w:rFonts w:hint="eastAsia" w:ascii="仿宋" w:hAnsi="仿宋" w:eastAsia="仿宋" w:cs="仿宋"/>
          <w:bCs w:val="0"/>
          <w:szCs w:val="24"/>
          <w:lang w:eastAsia="zh-CN"/>
        </w:rPr>
        <w:t>★76</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提前竣工奖与误期赔偿费</w:t>
      </w:r>
      <w:r>
        <w:tab/>
      </w:r>
      <w:r>
        <w:fldChar w:fldCharType="begin"/>
      </w:r>
      <w:r>
        <w:instrText xml:space="preserve"> PAGEREF _Toc3491 \h </w:instrText>
      </w:r>
      <w:r>
        <w:fldChar w:fldCharType="separate"/>
      </w:r>
      <w:r>
        <w:t>105</w:t>
      </w:r>
      <w:r>
        <w:fldChar w:fldCharType="end"/>
      </w:r>
      <w:r>
        <w:rPr>
          <w:rFonts w:cs="仿宋"/>
          <w:lang w:eastAsia="zh-CN"/>
        </w:rPr>
        <w:fldChar w:fldCharType="end"/>
      </w:r>
    </w:p>
    <w:p w14:paraId="21464AB6">
      <w:pPr>
        <w:pStyle w:val="21"/>
        <w:tabs>
          <w:tab w:val="right" w:leader="dot" w:pos="10204"/>
        </w:tabs>
      </w:pPr>
      <w:r>
        <w:rPr>
          <w:rFonts w:cs="仿宋"/>
          <w:lang w:eastAsia="zh-CN"/>
        </w:rPr>
        <w:fldChar w:fldCharType="begin"/>
      </w:r>
      <w:r>
        <w:rPr>
          <w:rFonts w:cs="仿宋"/>
          <w:lang w:eastAsia="zh-CN"/>
        </w:rPr>
        <w:instrText xml:space="preserve"> HYPERLINK \l _Toc2320 </w:instrText>
      </w:r>
      <w:r>
        <w:rPr>
          <w:rFonts w:cs="仿宋"/>
          <w:lang w:eastAsia="zh-CN"/>
        </w:rPr>
        <w:fldChar w:fldCharType="separate"/>
      </w:r>
      <w:r>
        <w:rPr>
          <w:rFonts w:hint="eastAsia" w:ascii="仿宋" w:hAnsi="仿宋" w:eastAsia="仿宋" w:cs="仿宋"/>
          <w:bCs w:val="0"/>
          <w:szCs w:val="24"/>
          <w:lang w:eastAsia="zh-CN"/>
        </w:rPr>
        <w:t>★77</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优质优价费用</w:t>
      </w:r>
      <w:r>
        <w:tab/>
      </w:r>
      <w:r>
        <w:fldChar w:fldCharType="begin"/>
      </w:r>
      <w:r>
        <w:instrText xml:space="preserve"> PAGEREF _Toc2320 \h </w:instrText>
      </w:r>
      <w:r>
        <w:fldChar w:fldCharType="separate"/>
      </w:r>
      <w:r>
        <w:t>106</w:t>
      </w:r>
      <w:r>
        <w:fldChar w:fldCharType="end"/>
      </w:r>
      <w:r>
        <w:rPr>
          <w:rFonts w:cs="仿宋"/>
          <w:lang w:eastAsia="zh-CN"/>
        </w:rPr>
        <w:fldChar w:fldCharType="end"/>
      </w:r>
    </w:p>
    <w:p w14:paraId="6B049676">
      <w:pPr>
        <w:pStyle w:val="21"/>
        <w:tabs>
          <w:tab w:val="right" w:leader="dot" w:pos="10204"/>
        </w:tabs>
      </w:pPr>
      <w:r>
        <w:rPr>
          <w:rFonts w:cs="仿宋"/>
          <w:lang w:eastAsia="zh-CN"/>
        </w:rPr>
        <w:fldChar w:fldCharType="begin"/>
      </w:r>
      <w:r>
        <w:rPr>
          <w:rFonts w:cs="仿宋"/>
          <w:lang w:eastAsia="zh-CN"/>
        </w:rPr>
        <w:instrText xml:space="preserve"> HYPERLINK \l _Toc1163 </w:instrText>
      </w:r>
      <w:r>
        <w:rPr>
          <w:rFonts w:cs="仿宋"/>
          <w:lang w:eastAsia="zh-CN"/>
        </w:rPr>
        <w:fldChar w:fldCharType="separate"/>
      </w:r>
      <w:r>
        <w:rPr>
          <w:rFonts w:hint="eastAsia" w:ascii="仿宋" w:hAnsi="仿宋" w:eastAsia="仿宋" w:cs="仿宋"/>
          <w:bCs w:val="0"/>
          <w:szCs w:val="24"/>
          <w:lang w:eastAsia="zh-CN"/>
        </w:rPr>
        <w:t>★78</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后继法律变化引起的价格调整</w:t>
      </w:r>
      <w:r>
        <w:tab/>
      </w:r>
      <w:r>
        <w:fldChar w:fldCharType="begin"/>
      </w:r>
      <w:r>
        <w:instrText xml:space="preserve"> PAGEREF _Toc1163 \h </w:instrText>
      </w:r>
      <w:r>
        <w:fldChar w:fldCharType="separate"/>
      </w:r>
      <w:r>
        <w:t>106</w:t>
      </w:r>
      <w:r>
        <w:fldChar w:fldCharType="end"/>
      </w:r>
      <w:r>
        <w:rPr>
          <w:rFonts w:cs="仿宋"/>
          <w:lang w:eastAsia="zh-CN"/>
        </w:rPr>
        <w:fldChar w:fldCharType="end"/>
      </w:r>
    </w:p>
    <w:p w14:paraId="45C88EC0">
      <w:pPr>
        <w:pStyle w:val="21"/>
        <w:tabs>
          <w:tab w:val="right" w:leader="dot" w:pos="10204"/>
        </w:tabs>
      </w:pPr>
      <w:r>
        <w:rPr>
          <w:rFonts w:cs="仿宋"/>
          <w:lang w:eastAsia="zh-CN"/>
        </w:rPr>
        <w:fldChar w:fldCharType="begin"/>
      </w:r>
      <w:r>
        <w:rPr>
          <w:rFonts w:cs="仿宋"/>
          <w:lang w:eastAsia="zh-CN"/>
        </w:rPr>
        <w:instrText xml:space="preserve"> HYPERLINK \l _Toc22664 </w:instrText>
      </w:r>
      <w:r>
        <w:rPr>
          <w:rFonts w:cs="仿宋"/>
          <w:lang w:eastAsia="zh-CN"/>
        </w:rPr>
        <w:fldChar w:fldCharType="separate"/>
      </w:r>
      <w:r>
        <w:rPr>
          <w:rFonts w:hint="eastAsia" w:ascii="仿宋" w:hAnsi="仿宋" w:eastAsia="仿宋" w:cs="仿宋"/>
          <w:bCs w:val="0"/>
          <w:szCs w:val="24"/>
          <w:lang w:eastAsia="zh-CN"/>
        </w:rPr>
        <w:t>★79</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 xml:space="preserve"> 可调价变更定价</w:t>
      </w:r>
      <w:r>
        <w:tab/>
      </w:r>
      <w:r>
        <w:fldChar w:fldCharType="begin"/>
      </w:r>
      <w:r>
        <w:instrText xml:space="preserve"> PAGEREF _Toc22664 \h </w:instrText>
      </w:r>
      <w:r>
        <w:fldChar w:fldCharType="separate"/>
      </w:r>
      <w:r>
        <w:t>106</w:t>
      </w:r>
      <w:r>
        <w:fldChar w:fldCharType="end"/>
      </w:r>
      <w:r>
        <w:rPr>
          <w:rFonts w:cs="仿宋"/>
          <w:lang w:eastAsia="zh-CN"/>
        </w:rPr>
        <w:fldChar w:fldCharType="end"/>
      </w:r>
    </w:p>
    <w:p w14:paraId="7EACD2D9">
      <w:pPr>
        <w:pStyle w:val="21"/>
        <w:tabs>
          <w:tab w:val="right" w:leader="dot" w:pos="10204"/>
        </w:tabs>
      </w:pPr>
      <w:r>
        <w:rPr>
          <w:rFonts w:cs="仿宋"/>
          <w:lang w:eastAsia="zh-CN"/>
        </w:rPr>
        <w:fldChar w:fldCharType="begin"/>
      </w:r>
      <w:r>
        <w:rPr>
          <w:rFonts w:cs="仿宋"/>
          <w:lang w:eastAsia="zh-CN"/>
        </w:rPr>
        <w:instrText xml:space="preserve"> HYPERLINK \l _Toc6707 </w:instrText>
      </w:r>
      <w:r>
        <w:rPr>
          <w:rFonts w:cs="仿宋"/>
          <w:lang w:eastAsia="zh-CN"/>
        </w:rPr>
        <w:fldChar w:fldCharType="separate"/>
      </w:r>
      <w:r>
        <w:rPr>
          <w:rFonts w:hint="eastAsia" w:ascii="仿宋" w:hAnsi="仿宋" w:eastAsia="仿宋" w:cs="仿宋"/>
          <w:bCs w:val="0"/>
          <w:szCs w:val="24"/>
          <w:lang w:eastAsia="zh-CN"/>
        </w:rPr>
        <w:t>★80</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费用索赔</w:t>
      </w:r>
      <w:r>
        <w:tab/>
      </w:r>
      <w:r>
        <w:fldChar w:fldCharType="begin"/>
      </w:r>
      <w:r>
        <w:instrText xml:space="preserve"> PAGEREF _Toc6707 \h </w:instrText>
      </w:r>
      <w:r>
        <w:fldChar w:fldCharType="separate"/>
      </w:r>
      <w:r>
        <w:t>108</w:t>
      </w:r>
      <w:r>
        <w:fldChar w:fldCharType="end"/>
      </w:r>
      <w:r>
        <w:rPr>
          <w:rFonts w:cs="仿宋"/>
          <w:lang w:eastAsia="zh-CN"/>
        </w:rPr>
        <w:fldChar w:fldCharType="end"/>
      </w:r>
    </w:p>
    <w:p w14:paraId="378B870A">
      <w:pPr>
        <w:pStyle w:val="21"/>
        <w:tabs>
          <w:tab w:val="right" w:leader="dot" w:pos="10204"/>
        </w:tabs>
      </w:pPr>
      <w:r>
        <w:rPr>
          <w:rFonts w:cs="仿宋"/>
          <w:lang w:eastAsia="zh-CN"/>
        </w:rPr>
        <w:fldChar w:fldCharType="begin"/>
      </w:r>
      <w:r>
        <w:rPr>
          <w:rFonts w:cs="仿宋"/>
          <w:lang w:eastAsia="zh-CN"/>
        </w:rPr>
        <w:instrText xml:space="preserve"> HYPERLINK \l _Toc10622 </w:instrText>
      </w:r>
      <w:r>
        <w:rPr>
          <w:rFonts w:cs="仿宋"/>
          <w:lang w:eastAsia="zh-CN"/>
        </w:rPr>
        <w:fldChar w:fldCharType="separate"/>
      </w:r>
      <w:r>
        <w:rPr>
          <w:rFonts w:hint="eastAsia" w:ascii="仿宋" w:hAnsi="仿宋" w:eastAsia="仿宋" w:cs="仿宋"/>
          <w:bCs w:val="0"/>
          <w:szCs w:val="24"/>
          <w:lang w:eastAsia="zh-CN"/>
        </w:rPr>
        <w:t>★81</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现场签证价格的确定</w:t>
      </w:r>
      <w:r>
        <w:tab/>
      </w:r>
      <w:r>
        <w:fldChar w:fldCharType="begin"/>
      </w:r>
      <w:r>
        <w:instrText xml:space="preserve"> PAGEREF _Toc10622 \h </w:instrText>
      </w:r>
      <w:r>
        <w:fldChar w:fldCharType="separate"/>
      </w:r>
      <w:r>
        <w:t>109</w:t>
      </w:r>
      <w:r>
        <w:fldChar w:fldCharType="end"/>
      </w:r>
      <w:r>
        <w:rPr>
          <w:rFonts w:cs="仿宋"/>
          <w:lang w:eastAsia="zh-CN"/>
        </w:rPr>
        <w:fldChar w:fldCharType="end"/>
      </w:r>
    </w:p>
    <w:p w14:paraId="7AA8F6A3">
      <w:pPr>
        <w:pStyle w:val="21"/>
        <w:tabs>
          <w:tab w:val="right" w:leader="dot" w:pos="10204"/>
        </w:tabs>
      </w:pPr>
      <w:r>
        <w:rPr>
          <w:rFonts w:cs="仿宋"/>
          <w:lang w:eastAsia="zh-CN"/>
        </w:rPr>
        <w:fldChar w:fldCharType="begin"/>
      </w:r>
      <w:r>
        <w:rPr>
          <w:rFonts w:cs="仿宋"/>
          <w:lang w:eastAsia="zh-CN"/>
        </w:rPr>
        <w:instrText xml:space="preserve"> HYPERLINK \l _Toc5929 </w:instrText>
      </w:r>
      <w:r>
        <w:rPr>
          <w:rFonts w:cs="仿宋"/>
          <w:lang w:eastAsia="zh-CN"/>
        </w:rPr>
        <w:fldChar w:fldCharType="separate"/>
      </w:r>
      <w:r>
        <w:rPr>
          <w:rFonts w:hint="eastAsia" w:ascii="仿宋" w:hAnsi="仿宋" w:eastAsia="仿宋" w:cs="仿宋"/>
          <w:bCs w:val="0"/>
          <w:szCs w:val="24"/>
          <w:lang w:eastAsia="zh-CN"/>
        </w:rPr>
        <w:t>★82</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物价涨落的价格调整</w:t>
      </w:r>
      <w:r>
        <w:tab/>
      </w:r>
      <w:r>
        <w:fldChar w:fldCharType="begin"/>
      </w:r>
      <w:r>
        <w:instrText xml:space="preserve"> PAGEREF _Toc5929 \h </w:instrText>
      </w:r>
      <w:r>
        <w:fldChar w:fldCharType="separate"/>
      </w:r>
      <w:r>
        <w:t>110</w:t>
      </w:r>
      <w:r>
        <w:fldChar w:fldCharType="end"/>
      </w:r>
      <w:r>
        <w:rPr>
          <w:rFonts w:cs="仿宋"/>
          <w:lang w:eastAsia="zh-CN"/>
        </w:rPr>
        <w:fldChar w:fldCharType="end"/>
      </w:r>
    </w:p>
    <w:p w14:paraId="15AEDFE1">
      <w:pPr>
        <w:pStyle w:val="21"/>
        <w:tabs>
          <w:tab w:val="right" w:leader="dot" w:pos="10204"/>
        </w:tabs>
      </w:pPr>
      <w:r>
        <w:rPr>
          <w:rFonts w:cs="仿宋"/>
          <w:lang w:eastAsia="zh-CN"/>
        </w:rPr>
        <w:fldChar w:fldCharType="begin"/>
      </w:r>
      <w:r>
        <w:rPr>
          <w:rFonts w:cs="仿宋"/>
          <w:lang w:eastAsia="zh-CN"/>
        </w:rPr>
        <w:instrText xml:space="preserve"> HYPERLINK \l _Toc29232 </w:instrText>
      </w:r>
      <w:r>
        <w:rPr>
          <w:rFonts w:cs="仿宋"/>
          <w:lang w:eastAsia="zh-CN"/>
        </w:rPr>
        <w:fldChar w:fldCharType="separate"/>
      </w:r>
      <w:r>
        <w:rPr>
          <w:rFonts w:hint="eastAsia" w:ascii="仿宋" w:hAnsi="仿宋" w:eastAsia="仿宋" w:cs="仿宋"/>
          <w:bCs w:val="0"/>
          <w:szCs w:val="24"/>
          <w:lang w:eastAsia="zh-CN"/>
        </w:rPr>
        <w:t>★83</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支付事项</w:t>
      </w:r>
      <w:r>
        <w:tab/>
      </w:r>
      <w:r>
        <w:fldChar w:fldCharType="begin"/>
      </w:r>
      <w:r>
        <w:instrText xml:space="preserve"> PAGEREF _Toc29232 \h </w:instrText>
      </w:r>
      <w:r>
        <w:fldChar w:fldCharType="separate"/>
      </w:r>
      <w:r>
        <w:t>111</w:t>
      </w:r>
      <w:r>
        <w:fldChar w:fldCharType="end"/>
      </w:r>
      <w:r>
        <w:rPr>
          <w:rFonts w:cs="仿宋"/>
          <w:lang w:eastAsia="zh-CN"/>
        </w:rPr>
        <w:fldChar w:fldCharType="end"/>
      </w:r>
    </w:p>
    <w:p w14:paraId="42F11CC7">
      <w:pPr>
        <w:pStyle w:val="21"/>
        <w:tabs>
          <w:tab w:val="right" w:leader="dot" w:pos="10204"/>
        </w:tabs>
      </w:pPr>
      <w:r>
        <w:rPr>
          <w:rFonts w:cs="仿宋"/>
          <w:lang w:eastAsia="zh-CN"/>
        </w:rPr>
        <w:fldChar w:fldCharType="begin"/>
      </w:r>
      <w:r>
        <w:rPr>
          <w:rFonts w:cs="仿宋"/>
          <w:lang w:eastAsia="zh-CN"/>
        </w:rPr>
        <w:instrText xml:space="preserve"> HYPERLINK \l _Toc20728 </w:instrText>
      </w:r>
      <w:r>
        <w:rPr>
          <w:rFonts w:cs="仿宋"/>
          <w:lang w:eastAsia="zh-CN"/>
        </w:rPr>
        <w:fldChar w:fldCharType="separate"/>
      </w:r>
      <w:r>
        <w:rPr>
          <w:rFonts w:hint="eastAsia" w:ascii="仿宋" w:hAnsi="仿宋" w:eastAsia="仿宋" w:cs="仿宋"/>
          <w:bCs w:val="0"/>
          <w:szCs w:val="24"/>
          <w:lang w:eastAsia="zh-CN"/>
        </w:rPr>
        <w:t>★84</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预付款</w:t>
      </w:r>
      <w:r>
        <w:tab/>
      </w:r>
      <w:r>
        <w:fldChar w:fldCharType="begin"/>
      </w:r>
      <w:r>
        <w:instrText xml:space="preserve"> PAGEREF _Toc20728 \h </w:instrText>
      </w:r>
      <w:r>
        <w:fldChar w:fldCharType="separate"/>
      </w:r>
      <w:r>
        <w:t>112</w:t>
      </w:r>
      <w:r>
        <w:fldChar w:fldCharType="end"/>
      </w:r>
      <w:r>
        <w:rPr>
          <w:rFonts w:cs="仿宋"/>
          <w:lang w:eastAsia="zh-CN"/>
        </w:rPr>
        <w:fldChar w:fldCharType="end"/>
      </w:r>
    </w:p>
    <w:p w14:paraId="2CAEBAC8">
      <w:pPr>
        <w:pStyle w:val="21"/>
        <w:tabs>
          <w:tab w:val="right" w:leader="dot" w:pos="10204"/>
        </w:tabs>
      </w:pPr>
      <w:r>
        <w:rPr>
          <w:rFonts w:cs="仿宋"/>
          <w:lang w:eastAsia="zh-CN"/>
        </w:rPr>
        <w:fldChar w:fldCharType="begin"/>
      </w:r>
      <w:r>
        <w:rPr>
          <w:rFonts w:cs="仿宋"/>
          <w:lang w:eastAsia="zh-CN"/>
        </w:rPr>
        <w:instrText xml:space="preserve"> HYPERLINK \l _Toc4407 </w:instrText>
      </w:r>
      <w:r>
        <w:rPr>
          <w:rFonts w:cs="仿宋"/>
          <w:lang w:eastAsia="zh-CN"/>
        </w:rPr>
        <w:fldChar w:fldCharType="separate"/>
      </w:r>
      <w:r>
        <w:rPr>
          <w:rFonts w:hint="eastAsia" w:ascii="仿宋" w:hAnsi="仿宋" w:eastAsia="仿宋" w:cs="仿宋"/>
          <w:bCs w:val="0"/>
          <w:szCs w:val="24"/>
          <w:lang w:eastAsia="zh-CN"/>
        </w:rPr>
        <w:t>★85</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绿色施工安全防护费</w:t>
      </w:r>
      <w:r>
        <w:tab/>
      </w:r>
      <w:r>
        <w:fldChar w:fldCharType="begin"/>
      </w:r>
      <w:r>
        <w:instrText xml:space="preserve"> PAGEREF _Toc4407 \h </w:instrText>
      </w:r>
      <w:r>
        <w:fldChar w:fldCharType="separate"/>
      </w:r>
      <w:r>
        <w:t>113</w:t>
      </w:r>
      <w:r>
        <w:fldChar w:fldCharType="end"/>
      </w:r>
      <w:r>
        <w:rPr>
          <w:rFonts w:cs="仿宋"/>
          <w:lang w:eastAsia="zh-CN"/>
        </w:rPr>
        <w:fldChar w:fldCharType="end"/>
      </w:r>
    </w:p>
    <w:p w14:paraId="3AD2E122">
      <w:pPr>
        <w:pStyle w:val="21"/>
        <w:tabs>
          <w:tab w:val="right" w:leader="dot" w:pos="10204"/>
        </w:tabs>
      </w:pPr>
      <w:r>
        <w:rPr>
          <w:rFonts w:cs="仿宋"/>
          <w:lang w:eastAsia="zh-CN"/>
        </w:rPr>
        <w:fldChar w:fldCharType="begin"/>
      </w:r>
      <w:r>
        <w:rPr>
          <w:rFonts w:cs="仿宋"/>
          <w:lang w:eastAsia="zh-CN"/>
        </w:rPr>
        <w:instrText xml:space="preserve"> HYPERLINK \l _Toc30244 </w:instrText>
      </w:r>
      <w:r>
        <w:rPr>
          <w:rFonts w:cs="仿宋"/>
          <w:lang w:eastAsia="zh-CN"/>
        </w:rPr>
        <w:fldChar w:fldCharType="separate"/>
      </w:r>
      <w:r>
        <w:rPr>
          <w:rFonts w:hint="eastAsia" w:ascii="仿宋" w:hAnsi="仿宋" w:eastAsia="仿宋" w:cs="仿宋"/>
          <w:bCs w:val="0"/>
          <w:szCs w:val="24"/>
          <w:lang w:eastAsia="zh-CN"/>
        </w:rPr>
        <w:t>★86</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进度款</w:t>
      </w:r>
      <w:r>
        <w:tab/>
      </w:r>
      <w:r>
        <w:fldChar w:fldCharType="begin"/>
      </w:r>
      <w:r>
        <w:instrText xml:space="preserve"> PAGEREF _Toc30244 \h </w:instrText>
      </w:r>
      <w:r>
        <w:fldChar w:fldCharType="separate"/>
      </w:r>
      <w:r>
        <w:t>114</w:t>
      </w:r>
      <w:r>
        <w:fldChar w:fldCharType="end"/>
      </w:r>
      <w:r>
        <w:rPr>
          <w:rFonts w:cs="仿宋"/>
          <w:lang w:eastAsia="zh-CN"/>
        </w:rPr>
        <w:fldChar w:fldCharType="end"/>
      </w:r>
    </w:p>
    <w:p w14:paraId="31B1CC53">
      <w:pPr>
        <w:pStyle w:val="21"/>
        <w:tabs>
          <w:tab w:val="right" w:leader="dot" w:pos="10204"/>
        </w:tabs>
      </w:pPr>
      <w:r>
        <w:rPr>
          <w:rFonts w:cs="仿宋"/>
          <w:lang w:eastAsia="zh-CN"/>
        </w:rPr>
        <w:fldChar w:fldCharType="begin"/>
      </w:r>
      <w:r>
        <w:rPr>
          <w:rFonts w:cs="仿宋"/>
          <w:lang w:eastAsia="zh-CN"/>
        </w:rPr>
        <w:instrText xml:space="preserve"> HYPERLINK \l _Toc25620 </w:instrText>
      </w:r>
      <w:r>
        <w:rPr>
          <w:rFonts w:cs="仿宋"/>
          <w:lang w:eastAsia="zh-CN"/>
        </w:rPr>
        <w:fldChar w:fldCharType="separate"/>
      </w:r>
      <w:r>
        <w:rPr>
          <w:rFonts w:hint="eastAsia" w:ascii="仿宋" w:hAnsi="仿宋" w:eastAsia="仿宋" w:cs="仿宋"/>
          <w:bCs w:val="0"/>
          <w:szCs w:val="24"/>
          <w:lang w:eastAsia="zh-CN"/>
        </w:rPr>
        <w:t>★</w:t>
      </w:r>
      <w:r>
        <w:rPr>
          <w:rFonts w:ascii="仿宋" w:hAnsi="仿宋" w:eastAsia="仿宋" w:cs="仿宋"/>
          <w:bCs w:val="0"/>
          <w:szCs w:val="24"/>
          <w:lang w:eastAsia="zh-CN"/>
        </w:rPr>
        <w:t>8</w:t>
      </w:r>
      <w:r>
        <w:rPr>
          <w:rFonts w:hint="eastAsia" w:ascii="仿宋" w:hAnsi="仿宋" w:eastAsia="仿宋" w:cs="仿宋"/>
          <w:bCs w:val="0"/>
          <w:szCs w:val="24"/>
          <w:lang w:eastAsia="zh-CN"/>
        </w:rPr>
        <w:t>7</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竣工结算</w:t>
      </w:r>
      <w:r>
        <w:tab/>
      </w:r>
      <w:r>
        <w:fldChar w:fldCharType="begin"/>
      </w:r>
      <w:r>
        <w:instrText xml:space="preserve"> PAGEREF _Toc25620 \h </w:instrText>
      </w:r>
      <w:r>
        <w:fldChar w:fldCharType="separate"/>
      </w:r>
      <w:r>
        <w:t>116</w:t>
      </w:r>
      <w:r>
        <w:fldChar w:fldCharType="end"/>
      </w:r>
      <w:r>
        <w:rPr>
          <w:rFonts w:cs="仿宋"/>
          <w:lang w:eastAsia="zh-CN"/>
        </w:rPr>
        <w:fldChar w:fldCharType="end"/>
      </w:r>
    </w:p>
    <w:p w14:paraId="3225ED98">
      <w:pPr>
        <w:pStyle w:val="21"/>
        <w:tabs>
          <w:tab w:val="right" w:leader="dot" w:pos="10204"/>
        </w:tabs>
      </w:pPr>
      <w:r>
        <w:rPr>
          <w:rFonts w:cs="仿宋"/>
          <w:lang w:eastAsia="zh-CN"/>
        </w:rPr>
        <w:fldChar w:fldCharType="begin"/>
      </w:r>
      <w:r>
        <w:rPr>
          <w:rFonts w:cs="仿宋"/>
          <w:lang w:eastAsia="zh-CN"/>
        </w:rPr>
        <w:instrText xml:space="preserve"> HYPERLINK \l _Toc23304 </w:instrText>
      </w:r>
      <w:r>
        <w:rPr>
          <w:rFonts w:cs="仿宋"/>
          <w:lang w:eastAsia="zh-CN"/>
        </w:rPr>
        <w:fldChar w:fldCharType="separate"/>
      </w:r>
      <w:r>
        <w:rPr>
          <w:rFonts w:hint="eastAsia" w:ascii="仿宋" w:hAnsi="仿宋" w:eastAsia="仿宋" w:cs="仿宋"/>
          <w:bCs w:val="0"/>
          <w:szCs w:val="24"/>
          <w:lang w:eastAsia="zh-CN"/>
        </w:rPr>
        <w:t>★</w:t>
      </w:r>
      <w:r>
        <w:rPr>
          <w:rFonts w:ascii="仿宋" w:hAnsi="仿宋" w:eastAsia="仿宋" w:cs="仿宋"/>
          <w:bCs w:val="0"/>
          <w:szCs w:val="24"/>
          <w:lang w:eastAsia="zh-CN"/>
        </w:rPr>
        <w:t>8</w:t>
      </w:r>
      <w:r>
        <w:rPr>
          <w:rFonts w:hint="eastAsia" w:ascii="仿宋" w:hAnsi="仿宋" w:eastAsia="仿宋" w:cs="仿宋"/>
          <w:bCs w:val="0"/>
          <w:szCs w:val="24"/>
          <w:lang w:eastAsia="zh-CN"/>
        </w:rPr>
        <w:t>8</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结算款</w:t>
      </w:r>
      <w:r>
        <w:tab/>
      </w:r>
      <w:r>
        <w:fldChar w:fldCharType="begin"/>
      </w:r>
      <w:r>
        <w:instrText xml:space="preserve"> PAGEREF _Toc23304 \h </w:instrText>
      </w:r>
      <w:r>
        <w:fldChar w:fldCharType="separate"/>
      </w:r>
      <w:r>
        <w:t>117</w:t>
      </w:r>
      <w:r>
        <w:fldChar w:fldCharType="end"/>
      </w:r>
      <w:r>
        <w:rPr>
          <w:rFonts w:cs="仿宋"/>
          <w:lang w:eastAsia="zh-CN"/>
        </w:rPr>
        <w:fldChar w:fldCharType="end"/>
      </w:r>
    </w:p>
    <w:p w14:paraId="797C7ED9">
      <w:pPr>
        <w:pStyle w:val="21"/>
        <w:tabs>
          <w:tab w:val="right" w:leader="dot" w:pos="10204"/>
        </w:tabs>
      </w:pPr>
      <w:r>
        <w:rPr>
          <w:rFonts w:cs="仿宋"/>
          <w:lang w:eastAsia="zh-CN"/>
        </w:rPr>
        <w:fldChar w:fldCharType="begin"/>
      </w:r>
      <w:r>
        <w:rPr>
          <w:rFonts w:cs="仿宋"/>
          <w:lang w:eastAsia="zh-CN"/>
        </w:rPr>
        <w:instrText xml:space="preserve"> HYPERLINK \l _Toc12046 </w:instrText>
      </w:r>
      <w:r>
        <w:rPr>
          <w:rFonts w:cs="仿宋"/>
          <w:lang w:eastAsia="zh-CN"/>
        </w:rPr>
        <w:fldChar w:fldCharType="separate"/>
      </w:r>
      <w:r>
        <w:rPr>
          <w:rFonts w:hint="eastAsia" w:ascii="仿宋" w:hAnsi="仿宋" w:eastAsia="仿宋" w:cs="仿宋"/>
          <w:bCs w:val="0"/>
          <w:szCs w:val="24"/>
          <w:lang w:eastAsia="zh-CN"/>
        </w:rPr>
        <w:t>★89</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质量保证金</w:t>
      </w:r>
      <w:r>
        <w:tab/>
      </w:r>
      <w:r>
        <w:fldChar w:fldCharType="begin"/>
      </w:r>
      <w:r>
        <w:instrText xml:space="preserve"> PAGEREF _Toc12046 \h </w:instrText>
      </w:r>
      <w:r>
        <w:fldChar w:fldCharType="separate"/>
      </w:r>
      <w:r>
        <w:t>118</w:t>
      </w:r>
      <w:r>
        <w:fldChar w:fldCharType="end"/>
      </w:r>
      <w:r>
        <w:rPr>
          <w:rFonts w:cs="仿宋"/>
          <w:lang w:eastAsia="zh-CN"/>
        </w:rPr>
        <w:fldChar w:fldCharType="end"/>
      </w:r>
    </w:p>
    <w:p w14:paraId="49791BC3">
      <w:pPr>
        <w:pStyle w:val="21"/>
        <w:tabs>
          <w:tab w:val="right" w:leader="dot" w:pos="10204"/>
        </w:tabs>
      </w:pPr>
      <w:r>
        <w:rPr>
          <w:rFonts w:cs="仿宋"/>
          <w:lang w:eastAsia="zh-CN"/>
        </w:rPr>
        <w:fldChar w:fldCharType="begin"/>
      </w:r>
      <w:r>
        <w:rPr>
          <w:rFonts w:cs="仿宋"/>
          <w:lang w:eastAsia="zh-CN"/>
        </w:rPr>
        <w:instrText xml:space="preserve"> HYPERLINK \l _Toc22218 </w:instrText>
      </w:r>
      <w:r>
        <w:rPr>
          <w:rFonts w:cs="仿宋"/>
          <w:lang w:eastAsia="zh-CN"/>
        </w:rPr>
        <w:fldChar w:fldCharType="separate"/>
      </w:r>
      <w:r>
        <w:rPr>
          <w:rFonts w:hint="eastAsia" w:ascii="仿宋" w:hAnsi="仿宋" w:eastAsia="仿宋" w:cs="仿宋"/>
          <w:bCs w:val="0"/>
          <w:szCs w:val="24"/>
          <w:lang w:eastAsia="zh-CN"/>
        </w:rPr>
        <w:t>90</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最终清算款</w:t>
      </w:r>
      <w:r>
        <w:tab/>
      </w:r>
      <w:r>
        <w:fldChar w:fldCharType="begin"/>
      </w:r>
      <w:r>
        <w:instrText xml:space="preserve"> PAGEREF _Toc22218 \h </w:instrText>
      </w:r>
      <w:r>
        <w:fldChar w:fldCharType="separate"/>
      </w:r>
      <w:r>
        <w:t>119</w:t>
      </w:r>
      <w:r>
        <w:fldChar w:fldCharType="end"/>
      </w:r>
      <w:r>
        <w:rPr>
          <w:rFonts w:cs="仿宋"/>
          <w:lang w:eastAsia="zh-CN"/>
        </w:rPr>
        <w:fldChar w:fldCharType="end"/>
      </w:r>
    </w:p>
    <w:p w14:paraId="264DFDA7">
      <w:pPr>
        <w:pStyle w:val="34"/>
        <w:tabs>
          <w:tab w:val="right" w:leader="dot" w:pos="10204"/>
        </w:tabs>
      </w:pPr>
      <w:r>
        <w:rPr>
          <w:rFonts w:cs="仿宋"/>
          <w:lang w:eastAsia="zh-CN"/>
        </w:rPr>
        <w:fldChar w:fldCharType="begin"/>
      </w:r>
      <w:r>
        <w:rPr>
          <w:rFonts w:cs="仿宋"/>
          <w:lang w:eastAsia="zh-CN"/>
        </w:rPr>
        <w:instrText xml:space="preserve"> HYPERLINK \l _Toc18654 </w:instrText>
      </w:r>
      <w:r>
        <w:rPr>
          <w:rFonts w:cs="仿宋"/>
          <w:lang w:eastAsia="zh-CN"/>
        </w:rPr>
        <w:fldChar w:fldCharType="separate"/>
      </w:r>
      <w:r>
        <w:rPr>
          <w:rFonts w:hint="eastAsia" w:ascii="仿宋" w:hAnsi="仿宋" w:eastAsia="仿宋" w:cs="仿宋"/>
          <w:bCs/>
          <w:szCs w:val="24"/>
          <w:lang w:eastAsia="zh-CN"/>
        </w:rPr>
        <w:t>八、合同争议、解除与终止</w:t>
      </w:r>
      <w:r>
        <w:tab/>
      </w:r>
      <w:r>
        <w:fldChar w:fldCharType="begin"/>
      </w:r>
      <w:r>
        <w:instrText xml:space="preserve"> PAGEREF _Toc18654 \h </w:instrText>
      </w:r>
      <w:r>
        <w:fldChar w:fldCharType="separate"/>
      </w:r>
      <w:r>
        <w:t>120</w:t>
      </w:r>
      <w:r>
        <w:fldChar w:fldCharType="end"/>
      </w:r>
      <w:r>
        <w:rPr>
          <w:rFonts w:cs="仿宋"/>
          <w:lang w:eastAsia="zh-CN"/>
        </w:rPr>
        <w:fldChar w:fldCharType="end"/>
      </w:r>
    </w:p>
    <w:p w14:paraId="565DD356">
      <w:pPr>
        <w:pStyle w:val="21"/>
        <w:tabs>
          <w:tab w:val="right" w:leader="dot" w:pos="10204"/>
        </w:tabs>
      </w:pPr>
      <w:r>
        <w:rPr>
          <w:rFonts w:cs="仿宋"/>
          <w:lang w:eastAsia="zh-CN"/>
        </w:rPr>
        <w:fldChar w:fldCharType="begin"/>
      </w:r>
      <w:r>
        <w:rPr>
          <w:rFonts w:cs="仿宋"/>
          <w:lang w:eastAsia="zh-CN"/>
        </w:rPr>
        <w:instrText xml:space="preserve"> HYPERLINK \l _Toc30906 </w:instrText>
      </w:r>
      <w:r>
        <w:rPr>
          <w:rFonts w:cs="仿宋"/>
          <w:lang w:eastAsia="zh-CN"/>
        </w:rPr>
        <w:fldChar w:fldCharType="separate"/>
      </w:r>
      <w:r>
        <w:rPr>
          <w:rFonts w:hint="eastAsia" w:ascii="仿宋" w:hAnsi="仿宋" w:eastAsia="仿宋" w:cs="仿宋"/>
          <w:bCs w:val="0"/>
          <w:szCs w:val="24"/>
          <w:lang w:eastAsia="zh-CN"/>
        </w:rPr>
        <w:t>91</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 xml:space="preserve"> 合同争议</w:t>
      </w:r>
      <w:r>
        <w:tab/>
      </w:r>
      <w:r>
        <w:fldChar w:fldCharType="begin"/>
      </w:r>
      <w:r>
        <w:instrText xml:space="preserve"> PAGEREF _Toc30906 \h </w:instrText>
      </w:r>
      <w:r>
        <w:fldChar w:fldCharType="separate"/>
      </w:r>
      <w:r>
        <w:t>120</w:t>
      </w:r>
      <w:r>
        <w:fldChar w:fldCharType="end"/>
      </w:r>
      <w:r>
        <w:rPr>
          <w:rFonts w:cs="仿宋"/>
          <w:lang w:eastAsia="zh-CN"/>
        </w:rPr>
        <w:fldChar w:fldCharType="end"/>
      </w:r>
    </w:p>
    <w:p w14:paraId="1E5870FC">
      <w:pPr>
        <w:pStyle w:val="21"/>
        <w:tabs>
          <w:tab w:val="right" w:leader="dot" w:pos="10204"/>
        </w:tabs>
      </w:pPr>
      <w:r>
        <w:rPr>
          <w:rFonts w:cs="仿宋"/>
          <w:lang w:eastAsia="zh-CN"/>
        </w:rPr>
        <w:fldChar w:fldCharType="begin"/>
      </w:r>
      <w:r>
        <w:rPr>
          <w:rFonts w:cs="仿宋"/>
          <w:lang w:eastAsia="zh-CN"/>
        </w:rPr>
        <w:instrText xml:space="preserve"> HYPERLINK \l _Toc20747 </w:instrText>
      </w:r>
      <w:r>
        <w:rPr>
          <w:rFonts w:cs="仿宋"/>
          <w:lang w:eastAsia="zh-CN"/>
        </w:rPr>
        <w:fldChar w:fldCharType="separate"/>
      </w:r>
      <w:r>
        <w:rPr>
          <w:rFonts w:hint="eastAsia" w:ascii="仿宋" w:hAnsi="仿宋" w:eastAsia="仿宋" w:cs="仿宋"/>
          <w:bCs w:val="0"/>
          <w:szCs w:val="24"/>
          <w:lang w:eastAsia="zh-CN"/>
        </w:rPr>
        <w:t>92</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合同解除</w:t>
      </w:r>
      <w:r>
        <w:tab/>
      </w:r>
      <w:r>
        <w:fldChar w:fldCharType="begin"/>
      </w:r>
      <w:r>
        <w:instrText xml:space="preserve"> PAGEREF _Toc20747 \h </w:instrText>
      </w:r>
      <w:r>
        <w:fldChar w:fldCharType="separate"/>
      </w:r>
      <w:r>
        <w:t>121</w:t>
      </w:r>
      <w:r>
        <w:fldChar w:fldCharType="end"/>
      </w:r>
      <w:r>
        <w:rPr>
          <w:rFonts w:cs="仿宋"/>
          <w:lang w:eastAsia="zh-CN"/>
        </w:rPr>
        <w:fldChar w:fldCharType="end"/>
      </w:r>
    </w:p>
    <w:p w14:paraId="36A34559">
      <w:pPr>
        <w:pStyle w:val="21"/>
        <w:tabs>
          <w:tab w:val="right" w:leader="dot" w:pos="10204"/>
        </w:tabs>
      </w:pPr>
      <w:r>
        <w:rPr>
          <w:rFonts w:cs="仿宋"/>
          <w:lang w:eastAsia="zh-CN"/>
        </w:rPr>
        <w:fldChar w:fldCharType="begin"/>
      </w:r>
      <w:r>
        <w:rPr>
          <w:rFonts w:cs="仿宋"/>
          <w:lang w:eastAsia="zh-CN"/>
        </w:rPr>
        <w:instrText xml:space="preserve"> HYPERLINK \l _Toc25047 </w:instrText>
      </w:r>
      <w:r>
        <w:rPr>
          <w:rFonts w:cs="仿宋"/>
          <w:lang w:eastAsia="zh-CN"/>
        </w:rPr>
        <w:fldChar w:fldCharType="separate"/>
      </w:r>
      <w:r>
        <w:rPr>
          <w:rFonts w:hint="eastAsia" w:ascii="仿宋" w:hAnsi="仿宋" w:eastAsia="仿宋" w:cs="仿宋"/>
          <w:bCs w:val="0"/>
          <w:szCs w:val="24"/>
          <w:lang w:eastAsia="zh-CN"/>
        </w:rPr>
        <w:t>93</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合同解除的支付</w:t>
      </w:r>
      <w:r>
        <w:tab/>
      </w:r>
      <w:r>
        <w:fldChar w:fldCharType="begin"/>
      </w:r>
      <w:r>
        <w:instrText xml:space="preserve"> PAGEREF _Toc25047 \h </w:instrText>
      </w:r>
      <w:r>
        <w:fldChar w:fldCharType="separate"/>
      </w:r>
      <w:r>
        <w:t>123</w:t>
      </w:r>
      <w:r>
        <w:fldChar w:fldCharType="end"/>
      </w:r>
      <w:r>
        <w:rPr>
          <w:rFonts w:cs="仿宋"/>
          <w:lang w:eastAsia="zh-CN"/>
        </w:rPr>
        <w:fldChar w:fldCharType="end"/>
      </w:r>
    </w:p>
    <w:p w14:paraId="555F110B">
      <w:pPr>
        <w:pStyle w:val="21"/>
        <w:tabs>
          <w:tab w:val="right" w:leader="dot" w:pos="10204"/>
        </w:tabs>
      </w:pPr>
      <w:r>
        <w:rPr>
          <w:rFonts w:cs="仿宋"/>
          <w:lang w:eastAsia="zh-CN"/>
        </w:rPr>
        <w:fldChar w:fldCharType="begin"/>
      </w:r>
      <w:r>
        <w:rPr>
          <w:rFonts w:cs="仿宋"/>
          <w:lang w:eastAsia="zh-CN"/>
        </w:rPr>
        <w:instrText xml:space="preserve"> HYPERLINK \l _Toc11751 </w:instrText>
      </w:r>
      <w:r>
        <w:rPr>
          <w:rFonts w:cs="仿宋"/>
          <w:lang w:eastAsia="zh-CN"/>
        </w:rPr>
        <w:fldChar w:fldCharType="separate"/>
      </w:r>
      <w:r>
        <w:rPr>
          <w:rFonts w:hint="eastAsia" w:ascii="仿宋" w:hAnsi="仿宋" w:eastAsia="仿宋" w:cs="仿宋"/>
          <w:bCs w:val="0"/>
          <w:szCs w:val="24"/>
          <w:lang w:eastAsia="zh-CN"/>
        </w:rPr>
        <w:t>94</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合同终止</w:t>
      </w:r>
      <w:r>
        <w:tab/>
      </w:r>
      <w:r>
        <w:fldChar w:fldCharType="begin"/>
      </w:r>
      <w:r>
        <w:instrText xml:space="preserve"> PAGEREF _Toc11751 \h </w:instrText>
      </w:r>
      <w:r>
        <w:fldChar w:fldCharType="separate"/>
      </w:r>
      <w:r>
        <w:t>124</w:t>
      </w:r>
      <w:r>
        <w:fldChar w:fldCharType="end"/>
      </w:r>
      <w:r>
        <w:rPr>
          <w:rFonts w:cs="仿宋"/>
          <w:lang w:eastAsia="zh-CN"/>
        </w:rPr>
        <w:fldChar w:fldCharType="end"/>
      </w:r>
    </w:p>
    <w:p w14:paraId="2C1D8C6F">
      <w:pPr>
        <w:pStyle w:val="34"/>
        <w:tabs>
          <w:tab w:val="right" w:leader="dot" w:pos="10204"/>
        </w:tabs>
      </w:pPr>
      <w:r>
        <w:rPr>
          <w:rFonts w:cs="仿宋"/>
          <w:lang w:eastAsia="zh-CN"/>
        </w:rPr>
        <w:fldChar w:fldCharType="begin"/>
      </w:r>
      <w:r>
        <w:rPr>
          <w:rFonts w:cs="仿宋"/>
          <w:lang w:eastAsia="zh-CN"/>
        </w:rPr>
        <w:instrText xml:space="preserve"> HYPERLINK \l _Toc11088 </w:instrText>
      </w:r>
      <w:r>
        <w:rPr>
          <w:rFonts w:cs="仿宋"/>
          <w:lang w:eastAsia="zh-CN"/>
        </w:rPr>
        <w:fldChar w:fldCharType="separate"/>
      </w:r>
      <w:r>
        <w:rPr>
          <w:rFonts w:hint="eastAsia" w:ascii="仿宋" w:hAnsi="仿宋" w:eastAsia="仿宋" w:cs="仿宋"/>
          <w:bCs/>
          <w:szCs w:val="24"/>
          <w:lang w:eastAsia="zh-CN"/>
        </w:rPr>
        <w:t>九、违约</w:t>
      </w:r>
      <w:r>
        <w:tab/>
      </w:r>
      <w:r>
        <w:fldChar w:fldCharType="begin"/>
      </w:r>
      <w:r>
        <w:instrText xml:space="preserve"> PAGEREF _Toc11088 \h </w:instrText>
      </w:r>
      <w:r>
        <w:fldChar w:fldCharType="separate"/>
      </w:r>
      <w:r>
        <w:t>124</w:t>
      </w:r>
      <w:r>
        <w:fldChar w:fldCharType="end"/>
      </w:r>
      <w:r>
        <w:rPr>
          <w:rFonts w:cs="仿宋"/>
          <w:lang w:eastAsia="zh-CN"/>
        </w:rPr>
        <w:fldChar w:fldCharType="end"/>
      </w:r>
    </w:p>
    <w:p w14:paraId="19C96653">
      <w:pPr>
        <w:pStyle w:val="21"/>
        <w:tabs>
          <w:tab w:val="right" w:leader="dot" w:pos="10204"/>
        </w:tabs>
      </w:pPr>
      <w:r>
        <w:rPr>
          <w:rFonts w:cs="仿宋"/>
          <w:lang w:eastAsia="zh-CN"/>
        </w:rPr>
        <w:fldChar w:fldCharType="begin"/>
      </w:r>
      <w:r>
        <w:rPr>
          <w:rFonts w:cs="仿宋"/>
          <w:lang w:eastAsia="zh-CN"/>
        </w:rPr>
        <w:instrText xml:space="preserve"> HYPERLINK \l _Toc14201 </w:instrText>
      </w:r>
      <w:r>
        <w:rPr>
          <w:rFonts w:cs="仿宋"/>
          <w:lang w:eastAsia="zh-CN"/>
        </w:rPr>
        <w:fldChar w:fldCharType="separate"/>
      </w:r>
      <w:r>
        <w:rPr>
          <w:rFonts w:hint="eastAsia" w:ascii="仿宋" w:hAnsi="仿宋" w:eastAsia="仿宋" w:cs="仿宋"/>
          <w:bCs w:val="0"/>
          <w:szCs w:val="24"/>
          <w:lang w:eastAsia="zh-CN"/>
        </w:rPr>
        <w:t>★95</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承包人违约</w:t>
      </w:r>
      <w:r>
        <w:tab/>
      </w:r>
      <w:r>
        <w:fldChar w:fldCharType="begin"/>
      </w:r>
      <w:r>
        <w:instrText xml:space="preserve"> PAGEREF _Toc14201 \h </w:instrText>
      </w:r>
      <w:r>
        <w:fldChar w:fldCharType="separate"/>
      </w:r>
      <w:r>
        <w:t>124</w:t>
      </w:r>
      <w:r>
        <w:fldChar w:fldCharType="end"/>
      </w:r>
      <w:r>
        <w:rPr>
          <w:rFonts w:cs="仿宋"/>
          <w:lang w:eastAsia="zh-CN"/>
        </w:rPr>
        <w:fldChar w:fldCharType="end"/>
      </w:r>
    </w:p>
    <w:p w14:paraId="28151B6D">
      <w:pPr>
        <w:pStyle w:val="21"/>
        <w:tabs>
          <w:tab w:val="right" w:leader="dot" w:pos="10204"/>
        </w:tabs>
      </w:pPr>
      <w:r>
        <w:rPr>
          <w:rFonts w:cs="仿宋"/>
          <w:lang w:eastAsia="zh-CN"/>
        </w:rPr>
        <w:fldChar w:fldCharType="begin"/>
      </w:r>
      <w:r>
        <w:rPr>
          <w:rFonts w:cs="仿宋"/>
          <w:lang w:eastAsia="zh-CN"/>
        </w:rPr>
        <w:instrText xml:space="preserve"> HYPERLINK \l _Toc19003 </w:instrText>
      </w:r>
      <w:r>
        <w:rPr>
          <w:rFonts w:cs="仿宋"/>
          <w:lang w:eastAsia="zh-CN"/>
        </w:rPr>
        <w:fldChar w:fldCharType="separate"/>
      </w:r>
      <w:r>
        <w:rPr>
          <w:rFonts w:hint="eastAsia" w:ascii="仿宋" w:hAnsi="仿宋" w:eastAsia="仿宋" w:cs="仿宋"/>
          <w:bCs w:val="0"/>
          <w:szCs w:val="24"/>
          <w:lang w:eastAsia="zh-CN"/>
        </w:rPr>
        <w:t>★96</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 xml:space="preserve"> 发包人违约</w:t>
      </w:r>
      <w:r>
        <w:tab/>
      </w:r>
      <w:r>
        <w:fldChar w:fldCharType="begin"/>
      </w:r>
      <w:r>
        <w:instrText xml:space="preserve"> PAGEREF _Toc19003 \h </w:instrText>
      </w:r>
      <w:r>
        <w:fldChar w:fldCharType="separate"/>
      </w:r>
      <w:r>
        <w:t>125</w:t>
      </w:r>
      <w:r>
        <w:fldChar w:fldCharType="end"/>
      </w:r>
      <w:r>
        <w:rPr>
          <w:rFonts w:cs="仿宋"/>
          <w:lang w:eastAsia="zh-CN"/>
        </w:rPr>
        <w:fldChar w:fldCharType="end"/>
      </w:r>
    </w:p>
    <w:p w14:paraId="65373DF2">
      <w:pPr>
        <w:pStyle w:val="21"/>
        <w:tabs>
          <w:tab w:val="right" w:leader="dot" w:pos="10204"/>
        </w:tabs>
      </w:pPr>
      <w:r>
        <w:rPr>
          <w:rFonts w:cs="仿宋"/>
          <w:lang w:eastAsia="zh-CN"/>
        </w:rPr>
        <w:fldChar w:fldCharType="begin"/>
      </w:r>
      <w:r>
        <w:rPr>
          <w:rFonts w:cs="仿宋"/>
          <w:lang w:eastAsia="zh-CN"/>
        </w:rPr>
        <w:instrText xml:space="preserve"> HYPERLINK \l _Toc24302 </w:instrText>
      </w:r>
      <w:r>
        <w:rPr>
          <w:rFonts w:cs="仿宋"/>
          <w:lang w:eastAsia="zh-CN"/>
        </w:rPr>
        <w:fldChar w:fldCharType="separate"/>
      </w:r>
      <w:r>
        <w:rPr>
          <w:rFonts w:hint="eastAsia" w:ascii="仿宋" w:hAnsi="仿宋" w:eastAsia="仿宋" w:cs="仿宋"/>
          <w:bCs w:val="0"/>
          <w:szCs w:val="24"/>
          <w:lang w:eastAsia="zh-CN"/>
        </w:rPr>
        <w:t>★</w:t>
      </w:r>
      <w:r>
        <w:rPr>
          <w:rFonts w:ascii="仿宋" w:hAnsi="仿宋" w:eastAsia="仿宋" w:cs="仿宋"/>
          <w:bCs w:val="0"/>
          <w:szCs w:val="24"/>
          <w:lang w:eastAsia="zh-CN"/>
        </w:rPr>
        <w:t>9</w:t>
      </w:r>
      <w:r>
        <w:rPr>
          <w:rFonts w:hint="eastAsia" w:ascii="仿宋" w:hAnsi="仿宋" w:eastAsia="仿宋" w:cs="仿宋"/>
          <w:bCs w:val="0"/>
          <w:szCs w:val="24"/>
          <w:lang w:eastAsia="zh-CN"/>
        </w:rPr>
        <w:t>7</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第三方违约与除外责任</w:t>
      </w:r>
      <w:r>
        <w:tab/>
      </w:r>
      <w:r>
        <w:fldChar w:fldCharType="begin"/>
      </w:r>
      <w:r>
        <w:instrText xml:space="preserve"> PAGEREF _Toc24302 \h </w:instrText>
      </w:r>
      <w:r>
        <w:fldChar w:fldCharType="separate"/>
      </w:r>
      <w:r>
        <w:t>126</w:t>
      </w:r>
      <w:r>
        <w:fldChar w:fldCharType="end"/>
      </w:r>
      <w:r>
        <w:rPr>
          <w:rFonts w:cs="仿宋"/>
          <w:lang w:eastAsia="zh-CN"/>
        </w:rPr>
        <w:fldChar w:fldCharType="end"/>
      </w:r>
    </w:p>
    <w:p w14:paraId="3F655A3C">
      <w:pPr>
        <w:pStyle w:val="34"/>
        <w:tabs>
          <w:tab w:val="right" w:leader="dot" w:pos="10204"/>
        </w:tabs>
      </w:pPr>
      <w:r>
        <w:rPr>
          <w:rFonts w:cs="仿宋"/>
          <w:lang w:eastAsia="zh-CN"/>
        </w:rPr>
        <w:fldChar w:fldCharType="begin"/>
      </w:r>
      <w:r>
        <w:rPr>
          <w:rFonts w:cs="仿宋"/>
          <w:lang w:eastAsia="zh-CN"/>
        </w:rPr>
        <w:instrText xml:space="preserve"> HYPERLINK \l _Toc8666 </w:instrText>
      </w:r>
      <w:r>
        <w:rPr>
          <w:rFonts w:cs="仿宋"/>
          <w:lang w:eastAsia="zh-CN"/>
        </w:rPr>
        <w:fldChar w:fldCharType="separate"/>
      </w:r>
      <w:r>
        <w:rPr>
          <w:rFonts w:hint="eastAsia" w:ascii="仿宋" w:hAnsi="仿宋" w:eastAsia="仿宋" w:cs="仿宋"/>
          <w:bCs/>
          <w:szCs w:val="24"/>
          <w:lang w:eastAsia="zh-CN"/>
        </w:rPr>
        <w:t>十、其</w:t>
      </w:r>
      <w:r>
        <w:rPr>
          <w:rFonts w:ascii="仿宋" w:hAnsi="仿宋" w:eastAsia="仿宋" w:cs="仿宋"/>
          <w:bCs/>
          <w:szCs w:val="24"/>
          <w:lang w:eastAsia="zh-CN"/>
        </w:rPr>
        <w:t xml:space="preserve">  </w:t>
      </w:r>
      <w:r>
        <w:rPr>
          <w:rFonts w:hint="eastAsia" w:ascii="仿宋" w:hAnsi="仿宋" w:eastAsia="仿宋" w:cs="仿宋"/>
          <w:bCs/>
          <w:szCs w:val="24"/>
          <w:lang w:eastAsia="zh-CN"/>
        </w:rPr>
        <w:t>他</w:t>
      </w:r>
      <w:r>
        <w:tab/>
      </w:r>
      <w:r>
        <w:fldChar w:fldCharType="begin"/>
      </w:r>
      <w:r>
        <w:instrText xml:space="preserve"> PAGEREF _Toc8666 \h </w:instrText>
      </w:r>
      <w:r>
        <w:fldChar w:fldCharType="separate"/>
      </w:r>
      <w:r>
        <w:t>126</w:t>
      </w:r>
      <w:r>
        <w:fldChar w:fldCharType="end"/>
      </w:r>
      <w:r>
        <w:rPr>
          <w:rFonts w:cs="仿宋"/>
          <w:lang w:eastAsia="zh-CN"/>
        </w:rPr>
        <w:fldChar w:fldCharType="end"/>
      </w:r>
    </w:p>
    <w:p w14:paraId="6AF764E0">
      <w:pPr>
        <w:pStyle w:val="21"/>
        <w:tabs>
          <w:tab w:val="right" w:leader="dot" w:pos="10204"/>
        </w:tabs>
      </w:pPr>
      <w:r>
        <w:rPr>
          <w:rFonts w:cs="仿宋"/>
          <w:lang w:eastAsia="zh-CN"/>
        </w:rPr>
        <w:fldChar w:fldCharType="begin"/>
      </w:r>
      <w:r>
        <w:rPr>
          <w:rFonts w:cs="仿宋"/>
          <w:lang w:eastAsia="zh-CN"/>
        </w:rPr>
        <w:instrText xml:space="preserve"> HYPERLINK \l _Toc24123 </w:instrText>
      </w:r>
      <w:r>
        <w:rPr>
          <w:rFonts w:cs="仿宋"/>
          <w:lang w:eastAsia="zh-CN"/>
        </w:rPr>
        <w:fldChar w:fldCharType="separate"/>
      </w:r>
      <w:r>
        <w:rPr>
          <w:rFonts w:ascii="仿宋" w:hAnsi="仿宋" w:eastAsia="仿宋" w:cs="仿宋"/>
          <w:bCs w:val="0"/>
          <w:szCs w:val="24"/>
          <w:lang w:eastAsia="zh-CN"/>
        </w:rPr>
        <w:t>9</w:t>
      </w:r>
      <w:r>
        <w:rPr>
          <w:rFonts w:hint="eastAsia" w:ascii="仿宋" w:hAnsi="仿宋" w:eastAsia="仿宋" w:cs="仿宋"/>
          <w:bCs w:val="0"/>
          <w:szCs w:val="24"/>
          <w:lang w:eastAsia="zh-CN"/>
        </w:rPr>
        <w:t>8</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缴纳税费</w:t>
      </w:r>
      <w:r>
        <w:tab/>
      </w:r>
      <w:r>
        <w:fldChar w:fldCharType="begin"/>
      </w:r>
      <w:r>
        <w:instrText xml:space="preserve"> PAGEREF _Toc24123 \h </w:instrText>
      </w:r>
      <w:r>
        <w:fldChar w:fldCharType="separate"/>
      </w:r>
      <w:r>
        <w:t>126</w:t>
      </w:r>
      <w:r>
        <w:fldChar w:fldCharType="end"/>
      </w:r>
      <w:r>
        <w:rPr>
          <w:rFonts w:cs="仿宋"/>
          <w:lang w:eastAsia="zh-CN"/>
        </w:rPr>
        <w:fldChar w:fldCharType="end"/>
      </w:r>
    </w:p>
    <w:p w14:paraId="5F9A19A1">
      <w:pPr>
        <w:pStyle w:val="21"/>
        <w:tabs>
          <w:tab w:val="right" w:leader="dot" w:pos="10204"/>
        </w:tabs>
      </w:pPr>
      <w:r>
        <w:rPr>
          <w:rFonts w:cs="仿宋"/>
          <w:lang w:eastAsia="zh-CN"/>
        </w:rPr>
        <w:fldChar w:fldCharType="begin"/>
      </w:r>
      <w:r>
        <w:rPr>
          <w:rFonts w:cs="仿宋"/>
          <w:lang w:eastAsia="zh-CN"/>
        </w:rPr>
        <w:instrText xml:space="preserve"> HYPERLINK \l _Toc16670 </w:instrText>
      </w:r>
      <w:r>
        <w:rPr>
          <w:rFonts w:cs="仿宋"/>
          <w:lang w:eastAsia="zh-CN"/>
        </w:rPr>
        <w:fldChar w:fldCharType="separate"/>
      </w:r>
      <w:r>
        <w:rPr>
          <w:rFonts w:hint="eastAsia" w:ascii="仿宋" w:hAnsi="仿宋" w:eastAsia="仿宋" w:cs="仿宋"/>
          <w:bCs w:val="0"/>
          <w:szCs w:val="24"/>
          <w:lang w:eastAsia="zh-CN"/>
        </w:rPr>
        <w:t>99</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保密要求</w:t>
      </w:r>
      <w:r>
        <w:tab/>
      </w:r>
      <w:r>
        <w:fldChar w:fldCharType="begin"/>
      </w:r>
      <w:r>
        <w:instrText xml:space="preserve"> PAGEREF _Toc16670 \h </w:instrText>
      </w:r>
      <w:r>
        <w:fldChar w:fldCharType="separate"/>
      </w:r>
      <w:r>
        <w:t>126</w:t>
      </w:r>
      <w:r>
        <w:fldChar w:fldCharType="end"/>
      </w:r>
      <w:r>
        <w:rPr>
          <w:rFonts w:cs="仿宋"/>
          <w:lang w:eastAsia="zh-CN"/>
        </w:rPr>
        <w:fldChar w:fldCharType="end"/>
      </w:r>
    </w:p>
    <w:p w14:paraId="60C1BCD8">
      <w:pPr>
        <w:pStyle w:val="21"/>
        <w:tabs>
          <w:tab w:val="right" w:leader="dot" w:pos="10204"/>
        </w:tabs>
      </w:pPr>
      <w:r>
        <w:rPr>
          <w:rFonts w:cs="仿宋"/>
          <w:lang w:eastAsia="zh-CN"/>
        </w:rPr>
        <w:fldChar w:fldCharType="begin"/>
      </w:r>
      <w:r>
        <w:rPr>
          <w:rFonts w:cs="仿宋"/>
          <w:lang w:eastAsia="zh-CN"/>
        </w:rPr>
        <w:instrText xml:space="preserve"> HYPERLINK \l _Toc6672 </w:instrText>
      </w:r>
      <w:r>
        <w:rPr>
          <w:rFonts w:cs="仿宋"/>
          <w:lang w:eastAsia="zh-CN"/>
        </w:rPr>
        <w:fldChar w:fldCharType="separate"/>
      </w:r>
      <w:r>
        <w:rPr>
          <w:rFonts w:hint="eastAsia" w:ascii="仿宋" w:hAnsi="仿宋" w:eastAsia="仿宋" w:cs="仿宋"/>
          <w:bCs w:val="0"/>
          <w:szCs w:val="24"/>
          <w:lang w:eastAsia="zh-CN"/>
        </w:rPr>
        <w:t>100</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 xml:space="preserve"> 廉政建设</w:t>
      </w:r>
      <w:r>
        <w:tab/>
      </w:r>
      <w:r>
        <w:fldChar w:fldCharType="begin"/>
      </w:r>
      <w:r>
        <w:instrText xml:space="preserve"> PAGEREF _Toc6672 \h </w:instrText>
      </w:r>
      <w:r>
        <w:fldChar w:fldCharType="separate"/>
      </w:r>
      <w:r>
        <w:t>127</w:t>
      </w:r>
      <w:r>
        <w:fldChar w:fldCharType="end"/>
      </w:r>
      <w:r>
        <w:rPr>
          <w:rFonts w:cs="仿宋"/>
          <w:lang w:eastAsia="zh-CN"/>
        </w:rPr>
        <w:fldChar w:fldCharType="end"/>
      </w:r>
    </w:p>
    <w:p w14:paraId="57B298B1">
      <w:pPr>
        <w:pStyle w:val="21"/>
        <w:tabs>
          <w:tab w:val="right" w:leader="dot" w:pos="10204"/>
        </w:tabs>
      </w:pPr>
      <w:r>
        <w:rPr>
          <w:rFonts w:cs="仿宋"/>
          <w:lang w:eastAsia="zh-CN"/>
        </w:rPr>
        <w:fldChar w:fldCharType="begin"/>
      </w:r>
      <w:r>
        <w:rPr>
          <w:rFonts w:cs="仿宋"/>
          <w:lang w:eastAsia="zh-CN"/>
        </w:rPr>
        <w:instrText xml:space="preserve"> HYPERLINK \l _Toc27991 </w:instrText>
      </w:r>
      <w:r>
        <w:rPr>
          <w:rFonts w:cs="仿宋"/>
          <w:lang w:eastAsia="zh-CN"/>
        </w:rPr>
        <w:fldChar w:fldCharType="separate"/>
      </w:r>
      <w:r>
        <w:rPr>
          <w:rFonts w:hint="eastAsia" w:ascii="仿宋" w:hAnsi="仿宋" w:eastAsia="仿宋" w:cs="仿宋"/>
          <w:bCs w:val="0"/>
          <w:szCs w:val="24"/>
          <w:lang w:eastAsia="zh-CN"/>
        </w:rPr>
        <w:t>101</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禁止转让</w:t>
      </w:r>
      <w:r>
        <w:tab/>
      </w:r>
      <w:r>
        <w:fldChar w:fldCharType="begin"/>
      </w:r>
      <w:r>
        <w:instrText xml:space="preserve"> PAGEREF _Toc27991 \h </w:instrText>
      </w:r>
      <w:r>
        <w:fldChar w:fldCharType="separate"/>
      </w:r>
      <w:r>
        <w:t>128</w:t>
      </w:r>
      <w:r>
        <w:fldChar w:fldCharType="end"/>
      </w:r>
      <w:r>
        <w:rPr>
          <w:rFonts w:cs="仿宋"/>
          <w:lang w:eastAsia="zh-CN"/>
        </w:rPr>
        <w:fldChar w:fldCharType="end"/>
      </w:r>
    </w:p>
    <w:p w14:paraId="51C59B27">
      <w:pPr>
        <w:pStyle w:val="21"/>
        <w:tabs>
          <w:tab w:val="right" w:leader="dot" w:pos="10204"/>
        </w:tabs>
      </w:pPr>
      <w:r>
        <w:rPr>
          <w:rFonts w:cs="仿宋"/>
          <w:lang w:eastAsia="zh-CN"/>
        </w:rPr>
        <w:fldChar w:fldCharType="begin"/>
      </w:r>
      <w:r>
        <w:rPr>
          <w:rFonts w:cs="仿宋"/>
          <w:lang w:eastAsia="zh-CN"/>
        </w:rPr>
        <w:instrText xml:space="preserve"> HYPERLINK \l _Toc28767 </w:instrText>
      </w:r>
      <w:r>
        <w:rPr>
          <w:rFonts w:cs="仿宋"/>
          <w:lang w:eastAsia="zh-CN"/>
        </w:rPr>
        <w:fldChar w:fldCharType="separate"/>
      </w:r>
      <w:r>
        <w:rPr>
          <w:rFonts w:hint="eastAsia" w:ascii="仿宋" w:hAnsi="仿宋" w:eastAsia="仿宋" w:cs="仿宋"/>
          <w:bCs w:val="0"/>
          <w:szCs w:val="24"/>
          <w:lang w:eastAsia="zh-CN"/>
        </w:rPr>
        <w:t>102</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合同份数</w:t>
      </w:r>
      <w:r>
        <w:tab/>
      </w:r>
      <w:r>
        <w:fldChar w:fldCharType="begin"/>
      </w:r>
      <w:r>
        <w:instrText xml:space="preserve"> PAGEREF _Toc28767 \h </w:instrText>
      </w:r>
      <w:r>
        <w:fldChar w:fldCharType="separate"/>
      </w:r>
      <w:r>
        <w:t>128</w:t>
      </w:r>
      <w:r>
        <w:fldChar w:fldCharType="end"/>
      </w:r>
      <w:r>
        <w:rPr>
          <w:rFonts w:cs="仿宋"/>
          <w:lang w:eastAsia="zh-CN"/>
        </w:rPr>
        <w:fldChar w:fldCharType="end"/>
      </w:r>
    </w:p>
    <w:p w14:paraId="064C93F2">
      <w:pPr>
        <w:pStyle w:val="21"/>
        <w:tabs>
          <w:tab w:val="right" w:leader="dot" w:pos="10204"/>
        </w:tabs>
      </w:pPr>
      <w:r>
        <w:rPr>
          <w:rFonts w:cs="仿宋"/>
          <w:lang w:eastAsia="zh-CN"/>
        </w:rPr>
        <w:fldChar w:fldCharType="begin"/>
      </w:r>
      <w:r>
        <w:rPr>
          <w:rFonts w:cs="仿宋"/>
          <w:lang w:eastAsia="zh-CN"/>
        </w:rPr>
        <w:instrText xml:space="preserve"> HYPERLINK \l _Toc27426 </w:instrText>
      </w:r>
      <w:r>
        <w:rPr>
          <w:rFonts w:cs="仿宋"/>
          <w:lang w:eastAsia="zh-CN"/>
        </w:rPr>
        <w:fldChar w:fldCharType="separate"/>
      </w:r>
      <w:r>
        <w:rPr>
          <w:rFonts w:hint="eastAsia" w:ascii="仿宋" w:hAnsi="仿宋" w:eastAsia="仿宋" w:cs="仿宋"/>
          <w:bCs w:val="0"/>
          <w:szCs w:val="24"/>
          <w:lang w:eastAsia="zh-CN"/>
        </w:rPr>
        <w:t>103</w:t>
      </w:r>
      <w:r>
        <w:rPr>
          <w:rFonts w:ascii="仿宋" w:hAnsi="仿宋" w:eastAsia="仿宋" w:cs="仿宋"/>
          <w:bCs w:val="0"/>
          <w:szCs w:val="24"/>
          <w:lang w:eastAsia="zh-CN"/>
        </w:rPr>
        <w:t xml:space="preserve">  </w:t>
      </w:r>
      <w:r>
        <w:rPr>
          <w:rFonts w:hint="eastAsia" w:ascii="仿宋" w:hAnsi="仿宋" w:eastAsia="仿宋" w:cs="仿宋"/>
          <w:bCs w:val="0"/>
          <w:szCs w:val="24"/>
          <w:lang w:eastAsia="zh-CN"/>
        </w:rPr>
        <w:t>合同管理</w:t>
      </w:r>
      <w:r>
        <w:tab/>
      </w:r>
      <w:r>
        <w:fldChar w:fldCharType="begin"/>
      </w:r>
      <w:r>
        <w:instrText xml:space="preserve"> PAGEREF _Toc27426 \h </w:instrText>
      </w:r>
      <w:r>
        <w:fldChar w:fldCharType="separate"/>
      </w:r>
      <w:r>
        <w:t>128</w:t>
      </w:r>
      <w:r>
        <w:fldChar w:fldCharType="end"/>
      </w:r>
      <w:r>
        <w:rPr>
          <w:rFonts w:cs="仿宋"/>
          <w:lang w:eastAsia="zh-CN"/>
        </w:rPr>
        <w:fldChar w:fldCharType="end"/>
      </w:r>
    </w:p>
    <w:p w14:paraId="23F14897">
      <w:pPr>
        <w:pStyle w:val="29"/>
        <w:tabs>
          <w:tab w:val="right" w:leader="dot" w:pos="10204"/>
        </w:tabs>
      </w:pPr>
      <w:r>
        <w:rPr>
          <w:rFonts w:cs="仿宋"/>
          <w:lang w:eastAsia="zh-CN"/>
        </w:rPr>
        <w:fldChar w:fldCharType="begin"/>
      </w:r>
      <w:r>
        <w:rPr>
          <w:rFonts w:cs="仿宋"/>
          <w:lang w:eastAsia="zh-CN"/>
        </w:rPr>
        <w:instrText xml:space="preserve"> HYPERLINK \l _Toc16372 </w:instrText>
      </w:r>
      <w:r>
        <w:rPr>
          <w:rFonts w:cs="仿宋"/>
          <w:lang w:eastAsia="zh-CN"/>
        </w:rPr>
        <w:fldChar w:fldCharType="separate"/>
      </w:r>
      <w:r>
        <w:rPr>
          <w:rFonts w:hint="eastAsia" w:hAnsi="宋体"/>
          <w:bCs w:val="0"/>
          <w:szCs w:val="36"/>
          <w:lang w:eastAsia="zh-CN"/>
        </w:rPr>
        <w:t>第三部分  专用条款</w:t>
      </w:r>
      <w:r>
        <w:tab/>
      </w:r>
      <w:r>
        <w:fldChar w:fldCharType="begin"/>
      </w:r>
      <w:r>
        <w:instrText xml:space="preserve"> PAGEREF _Toc16372 \h </w:instrText>
      </w:r>
      <w:r>
        <w:fldChar w:fldCharType="separate"/>
      </w:r>
      <w:r>
        <w:t>129</w:t>
      </w:r>
      <w:r>
        <w:fldChar w:fldCharType="end"/>
      </w:r>
      <w:r>
        <w:rPr>
          <w:rFonts w:cs="仿宋"/>
          <w:lang w:eastAsia="zh-CN"/>
        </w:rPr>
        <w:fldChar w:fldCharType="end"/>
      </w:r>
    </w:p>
    <w:p w14:paraId="1040598C">
      <w:pPr>
        <w:pStyle w:val="34"/>
        <w:tabs>
          <w:tab w:val="right" w:leader="dot" w:pos="10204"/>
        </w:tabs>
      </w:pPr>
      <w:r>
        <w:rPr>
          <w:rFonts w:cs="仿宋"/>
          <w:lang w:eastAsia="zh-CN"/>
        </w:rPr>
        <w:fldChar w:fldCharType="begin"/>
      </w:r>
      <w:r>
        <w:rPr>
          <w:rFonts w:cs="仿宋"/>
          <w:lang w:eastAsia="zh-CN"/>
        </w:rPr>
        <w:instrText xml:space="preserve"> HYPERLINK \l _Toc16412 </w:instrText>
      </w:r>
      <w:r>
        <w:rPr>
          <w:rFonts w:cs="仿宋"/>
          <w:lang w:eastAsia="zh-CN"/>
        </w:rPr>
        <w:fldChar w:fldCharType="separate"/>
      </w:r>
      <w:r>
        <w:rPr>
          <w:rFonts w:hint="eastAsia" w:ascii="仿宋" w:hAnsi="仿宋" w:eastAsia="仿宋" w:cs="仿宋"/>
          <w:bCs w:val="0"/>
          <w:i w:val="0"/>
          <w:szCs w:val="24"/>
          <w:lang w:eastAsia="zh-CN"/>
        </w:rPr>
        <w:t>1．定义</w:t>
      </w:r>
      <w:r>
        <w:tab/>
      </w:r>
      <w:r>
        <w:fldChar w:fldCharType="begin"/>
      </w:r>
      <w:r>
        <w:instrText xml:space="preserve"> PAGEREF _Toc16412 \h </w:instrText>
      </w:r>
      <w:r>
        <w:fldChar w:fldCharType="separate"/>
      </w:r>
      <w:r>
        <w:t>129</w:t>
      </w:r>
      <w:r>
        <w:fldChar w:fldCharType="end"/>
      </w:r>
      <w:r>
        <w:rPr>
          <w:rFonts w:cs="仿宋"/>
          <w:lang w:eastAsia="zh-CN"/>
        </w:rPr>
        <w:fldChar w:fldCharType="end"/>
      </w:r>
    </w:p>
    <w:p w14:paraId="22692754">
      <w:pPr>
        <w:pStyle w:val="34"/>
        <w:tabs>
          <w:tab w:val="right" w:leader="dot" w:pos="10204"/>
        </w:tabs>
      </w:pPr>
      <w:r>
        <w:rPr>
          <w:rFonts w:cs="仿宋"/>
          <w:lang w:eastAsia="zh-CN"/>
        </w:rPr>
        <w:fldChar w:fldCharType="begin"/>
      </w:r>
      <w:r>
        <w:rPr>
          <w:rFonts w:cs="仿宋"/>
          <w:lang w:eastAsia="zh-CN"/>
        </w:rPr>
        <w:instrText xml:space="preserve"> HYPERLINK \l _Toc6646 </w:instrText>
      </w:r>
      <w:r>
        <w:rPr>
          <w:rFonts w:cs="仿宋"/>
          <w:lang w:eastAsia="zh-CN"/>
        </w:rPr>
        <w:fldChar w:fldCharType="separate"/>
      </w:r>
      <w:r>
        <w:rPr>
          <w:rFonts w:hint="eastAsia" w:ascii="仿宋" w:hAnsi="仿宋" w:eastAsia="仿宋" w:cs="仿宋"/>
          <w:bCs w:val="0"/>
          <w:i w:val="0"/>
          <w:szCs w:val="24"/>
          <w:lang w:eastAsia="zh-CN"/>
        </w:rPr>
        <w:t>2．合同文件及解释</w:t>
      </w:r>
      <w:r>
        <w:tab/>
      </w:r>
      <w:r>
        <w:fldChar w:fldCharType="begin"/>
      </w:r>
      <w:r>
        <w:instrText xml:space="preserve"> PAGEREF _Toc6646 \h </w:instrText>
      </w:r>
      <w:r>
        <w:fldChar w:fldCharType="separate"/>
      </w:r>
      <w:r>
        <w:t>129</w:t>
      </w:r>
      <w:r>
        <w:fldChar w:fldCharType="end"/>
      </w:r>
      <w:r>
        <w:rPr>
          <w:rFonts w:cs="仿宋"/>
          <w:lang w:eastAsia="zh-CN"/>
        </w:rPr>
        <w:fldChar w:fldCharType="end"/>
      </w:r>
    </w:p>
    <w:p w14:paraId="5CF03602">
      <w:pPr>
        <w:pStyle w:val="34"/>
        <w:tabs>
          <w:tab w:val="right" w:leader="dot" w:pos="10204"/>
        </w:tabs>
      </w:pPr>
      <w:r>
        <w:rPr>
          <w:rFonts w:cs="仿宋"/>
          <w:lang w:eastAsia="zh-CN"/>
        </w:rPr>
        <w:fldChar w:fldCharType="begin"/>
      </w:r>
      <w:r>
        <w:rPr>
          <w:rFonts w:cs="仿宋"/>
          <w:lang w:eastAsia="zh-CN"/>
        </w:rPr>
        <w:instrText xml:space="preserve"> HYPERLINK \l _Toc15080 </w:instrText>
      </w:r>
      <w:r>
        <w:rPr>
          <w:rFonts w:cs="仿宋"/>
          <w:lang w:eastAsia="zh-CN"/>
        </w:rPr>
        <w:fldChar w:fldCharType="separate"/>
      </w:r>
      <w:r>
        <w:rPr>
          <w:rFonts w:hint="eastAsia" w:ascii="仿宋" w:hAnsi="仿宋" w:eastAsia="仿宋" w:cs="仿宋"/>
          <w:bCs w:val="0"/>
          <w:i w:val="0"/>
          <w:szCs w:val="24"/>
          <w:lang w:eastAsia="zh-CN"/>
        </w:rPr>
        <w:t>4．语言及适用的法律、标准与</w:t>
      </w:r>
      <w:r>
        <w:rPr>
          <w:rFonts w:hint="eastAsia" w:ascii="仿宋" w:hAnsi="仿宋" w:eastAsia="仿宋"/>
          <w:bCs w:val="0"/>
          <w:i w:val="0"/>
          <w:szCs w:val="24"/>
          <w:lang w:eastAsia="zh-CN"/>
        </w:rPr>
        <w:t>规范</w:t>
      </w:r>
      <w:r>
        <w:tab/>
      </w:r>
      <w:r>
        <w:fldChar w:fldCharType="begin"/>
      </w:r>
      <w:r>
        <w:instrText xml:space="preserve"> PAGEREF _Toc15080 \h </w:instrText>
      </w:r>
      <w:r>
        <w:fldChar w:fldCharType="separate"/>
      </w:r>
      <w:r>
        <w:t>129</w:t>
      </w:r>
      <w:r>
        <w:fldChar w:fldCharType="end"/>
      </w:r>
      <w:r>
        <w:rPr>
          <w:rFonts w:cs="仿宋"/>
          <w:lang w:eastAsia="zh-CN"/>
        </w:rPr>
        <w:fldChar w:fldCharType="end"/>
      </w:r>
    </w:p>
    <w:p w14:paraId="3191F4F9">
      <w:pPr>
        <w:pStyle w:val="34"/>
        <w:tabs>
          <w:tab w:val="right" w:leader="dot" w:pos="10204"/>
        </w:tabs>
      </w:pPr>
      <w:r>
        <w:rPr>
          <w:rFonts w:cs="仿宋"/>
          <w:lang w:eastAsia="zh-CN"/>
        </w:rPr>
        <w:fldChar w:fldCharType="begin"/>
      </w:r>
      <w:r>
        <w:rPr>
          <w:rFonts w:cs="仿宋"/>
          <w:lang w:eastAsia="zh-CN"/>
        </w:rPr>
        <w:instrText xml:space="preserve"> HYPERLINK \l _Toc21575 </w:instrText>
      </w:r>
      <w:r>
        <w:rPr>
          <w:rFonts w:cs="仿宋"/>
          <w:lang w:eastAsia="zh-CN"/>
        </w:rPr>
        <w:fldChar w:fldCharType="separate"/>
      </w:r>
      <w:r>
        <w:rPr>
          <w:rFonts w:hint="eastAsia" w:ascii="仿宋" w:hAnsi="仿宋" w:eastAsia="仿宋" w:cs="仿宋"/>
          <w:bCs w:val="0"/>
          <w:i w:val="0"/>
          <w:szCs w:val="24"/>
          <w:lang w:eastAsia="zh-CN"/>
        </w:rPr>
        <w:t>5.  发包人要求</w:t>
      </w:r>
      <w:r>
        <w:tab/>
      </w:r>
      <w:r>
        <w:fldChar w:fldCharType="begin"/>
      </w:r>
      <w:r>
        <w:instrText xml:space="preserve"> PAGEREF _Toc21575 \h </w:instrText>
      </w:r>
      <w:r>
        <w:fldChar w:fldCharType="separate"/>
      </w:r>
      <w:r>
        <w:t>130</w:t>
      </w:r>
      <w:r>
        <w:fldChar w:fldCharType="end"/>
      </w:r>
      <w:r>
        <w:rPr>
          <w:rFonts w:cs="仿宋"/>
          <w:lang w:eastAsia="zh-CN"/>
        </w:rPr>
        <w:fldChar w:fldCharType="end"/>
      </w:r>
    </w:p>
    <w:p w14:paraId="5DF99751">
      <w:pPr>
        <w:pStyle w:val="34"/>
        <w:tabs>
          <w:tab w:val="right" w:leader="dot" w:pos="10204"/>
        </w:tabs>
      </w:pPr>
      <w:r>
        <w:rPr>
          <w:rFonts w:cs="仿宋"/>
          <w:lang w:eastAsia="zh-CN"/>
        </w:rPr>
        <w:fldChar w:fldCharType="begin"/>
      </w:r>
      <w:r>
        <w:rPr>
          <w:rFonts w:cs="仿宋"/>
          <w:lang w:eastAsia="zh-CN"/>
        </w:rPr>
        <w:instrText xml:space="preserve"> HYPERLINK \l _Toc15482 </w:instrText>
      </w:r>
      <w:r>
        <w:rPr>
          <w:rFonts w:cs="仿宋"/>
          <w:lang w:eastAsia="zh-CN"/>
        </w:rPr>
        <w:fldChar w:fldCharType="separate"/>
      </w:r>
      <w:r>
        <w:rPr>
          <w:rFonts w:hint="eastAsia" w:ascii="仿宋" w:hAnsi="仿宋" w:eastAsia="仿宋" w:cs="仿宋"/>
          <w:bCs w:val="0"/>
          <w:i w:val="0"/>
          <w:szCs w:val="24"/>
          <w:lang w:eastAsia="zh-CN"/>
        </w:rPr>
        <w:t>6. 项目基础资料的提供</w:t>
      </w:r>
      <w:r>
        <w:tab/>
      </w:r>
      <w:r>
        <w:fldChar w:fldCharType="begin"/>
      </w:r>
      <w:r>
        <w:instrText xml:space="preserve"> PAGEREF _Toc15482 \h </w:instrText>
      </w:r>
      <w:r>
        <w:fldChar w:fldCharType="separate"/>
      </w:r>
      <w:r>
        <w:t>130</w:t>
      </w:r>
      <w:r>
        <w:fldChar w:fldCharType="end"/>
      </w:r>
      <w:r>
        <w:rPr>
          <w:rFonts w:cs="仿宋"/>
          <w:lang w:eastAsia="zh-CN"/>
        </w:rPr>
        <w:fldChar w:fldCharType="end"/>
      </w:r>
    </w:p>
    <w:p w14:paraId="0AD29D99">
      <w:pPr>
        <w:pStyle w:val="34"/>
        <w:tabs>
          <w:tab w:val="right" w:leader="dot" w:pos="10204"/>
        </w:tabs>
      </w:pPr>
      <w:r>
        <w:rPr>
          <w:rFonts w:cs="仿宋"/>
          <w:lang w:eastAsia="zh-CN"/>
        </w:rPr>
        <w:fldChar w:fldCharType="begin"/>
      </w:r>
      <w:r>
        <w:rPr>
          <w:rFonts w:cs="仿宋"/>
          <w:lang w:eastAsia="zh-CN"/>
        </w:rPr>
        <w:instrText xml:space="preserve"> HYPERLINK \l _Toc11298 </w:instrText>
      </w:r>
      <w:r>
        <w:rPr>
          <w:rFonts w:cs="仿宋"/>
          <w:lang w:eastAsia="zh-CN"/>
        </w:rPr>
        <w:fldChar w:fldCharType="separate"/>
      </w:r>
      <w:r>
        <w:rPr>
          <w:rFonts w:hint="eastAsia" w:ascii="仿宋" w:hAnsi="仿宋" w:eastAsia="仿宋" w:cs="仿宋"/>
          <w:bCs w:val="0"/>
          <w:i w:val="0"/>
          <w:szCs w:val="24"/>
          <w:lang w:eastAsia="zh-CN"/>
        </w:rPr>
        <w:t>7.  勘察报告、设计文件、建筑信息模型（BIM）</w:t>
      </w:r>
      <w:r>
        <w:tab/>
      </w:r>
      <w:r>
        <w:fldChar w:fldCharType="begin"/>
      </w:r>
      <w:r>
        <w:instrText xml:space="preserve"> PAGEREF _Toc11298 \h </w:instrText>
      </w:r>
      <w:r>
        <w:fldChar w:fldCharType="separate"/>
      </w:r>
      <w:r>
        <w:t>130</w:t>
      </w:r>
      <w:r>
        <w:fldChar w:fldCharType="end"/>
      </w:r>
      <w:r>
        <w:rPr>
          <w:rFonts w:cs="仿宋"/>
          <w:lang w:eastAsia="zh-CN"/>
        </w:rPr>
        <w:fldChar w:fldCharType="end"/>
      </w:r>
    </w:p>
    <w:p w14:paraId="32995FCC">
      <w:pPr>
        <w:pStyle w:val="34"/>
        <w:tabs>
          <w:tab w:val="right" w:leader="dot" w:pos="10204"/>
        </w:tabs>
      </w:pPr>
      <w:r>
        <w:rPr>
          <w:rFonts w:cs="仿宋"/>
          <w:lang w:eastAsia="zh-CN"/>
        </w:rPr>
        <w:fldChar w:fldCharType="begin"/>
      </w:r>
      <w:r>
        <w:rPr>
          <w:rFonts w:cs="仿宋"/>
          <w:lang w:eastAsia="zh-CN"/>
        </w:rPr>
        <w:instrText xml:space="preserve"> HYPERLINK \l _Toc21717 </w:instrText>
      </w:r>
      <w:r>
        <w:rPr>
          <w:rFonts w:cs="仿宋"/>
          <w:lang w:eastAsia="zh-CN"/>
        </w:rPr>
        <w:fldChar w:fldCharType="separate"/>
      </w:r>
      <w:r>
        <w:rPr>
          <w:rFonts w:hint="eastAsia" w:ascii="仿宋" w:hAnsi="仿宋" w:eastAsia="仿宋" w:cs="仿宋"/>
          <w:bCs w:val="0"/>
          <w:i w:val="0"/>
          <w:iCs w:val="0"/>
          <w:szCs w:val="24"/>
          <w:lang w:eastAsia="zh-CN"/>
        </w:rPr>
        <w:t>8.  合同价格的控制原则</w:t>
      </w:r>
      <w:r>
        <w:tab/>
      </w:r>
      <w:r>
        <w:fldChar w:fldCharType="begin"/>
      </w:r>
      <w:r>
        <w:instrText xml:space="preserve"> PAGEREF _Toc21717 \h </w:instrText>
      </w:r>
      <w:r>
        <w:fldChar w:fldCharType="separate"/>
      </w:r>
      <w:r>
        <w:t>131</w:t>
      </w:r>
      <w:r>
        <w:fldChar w:fldCharType="end"/>
      </w:r>
      <w:r>
        <w:rPr>
          <w:rFonts w:cs="仿宋"/>
          <w:lang w:eastAsia="zh-CN"/>
        </w:rPr>
        <w:fldChar w:fldCharType="end"/>
      </w:r>
    </w:p>
    <w:p w14:paraId="5DA719E9">
      <w:pPr>
        <w:pStyle w:val="34"/>
        <w:tabs>
          <w:tab w:val="right" w:leader="dot" w:pos="10204"/>
        </w:tabs>
      </w:pPr>
      <w:r>
        <w:rPr>
          <w:rFonts w:cs="仿宋"/>
          <w:lang w:eastAsia="zh-CN"/>
        </w:rPr>
        <w:fldChar w:fldCharType="begin"/>
      </w:r>
      <w:r>
        <w:rPr>
          <w:rFonts w:cs="仿宋"/>
          <w:lang w:eastAsia="zh-CN"/>
        </w:rPr>
        <w:instrText xml:space="preserve"> HYPERLINK \l _Toc25192 </w:instrText>
      </w:r>
      <w:r>
        <w:rPr>
          <w:rFonts w:cs="仿宋"/>
          <w:lang w:eastAsia="zh-CN"/>
        </w:rPr>
        <w:fldChar w:fldCharType="separate"/>
      </w:r>
      <w:r>
        <w:rPr>
          <w:rFonts w:hint="eastAsia" w:ascii="仿宋" w:hAnsi="仿宋" w:eastAsia="仿宋" w:cs="仿宋"/>
          <w:bCs w:val="0"/>
          <w:i w:val="0"/>
          <w:szCs w:val="24"/>
          <w:lang w:eastAsia="zh-CN"/>
        </w:rPr>
        <w:t>9.  通信联络</w:t>
      </w:r>
      <w:r>
        <w:tab/>
      </w:r>
      <w:r>
        <w:fldChar w:fldCharType="begin"/>
      </w:r>
      <w:r>
        <w:instrText xml:space="preserve"> PAGEREF _Toc25192 \h </w:instrText>
      </w:r>
      <w:r>
        <w:fldChar w:fldCharType="separate"/>
      </w:r>
      <w:r>
        <w:t>133</w:t>
      </w:r>
      <w:r>
        <w:fldChar w:fldCharType="end"/>
      </w:r>
      <w:r>
        <w:rPr>
          <w:rFonts w:cs="仿宋"/>
          <w:lang w:eastAsia="zh-CN"/>
        </w:rPr>
        <w:fldChar w:fldCharType="end"/>
      </w:r>
    </w:p>
    <w:p w14:paraId="4CA3FCED">
      <w:pPr>
        <w:pStyle w:val="34"/>
        <w:tabs>
          <w:tab w:val="right" w:leader="dot" w:pos="10204"/>
        </w:tabs>
      </w:pPr>
      <w:r>
        <w:rPr>
          <w:rFonts w:cs="仿宋"/>
          <w:lang w:eastAsia="zh-CN"/>
        </w:rPr>
        <w:fldChar w:fldCharType="begin"/>
      </w:r>
      <w:r>
        <w:rPr>
          <w:rFonts w:cs="仿宋"/>
          <w:lang w:eastAsia="zh-CN"/>
        </w:rPr>
        <w:instrText xml:space="preserve"> HYPERLINK \l _Toc5787 </w:instrText>
      </w:r>
      <w:r>
        <w:rPr>
          <w:rFonts w:cs="仿宋"/>
          <w:lang w:eastAsia="zh-CN"/>
        </w:rPr>
        <w:fldChar w:fldCharType="separate"/>
      </w:r>
      <w:r>
        <w:rPr>
          <w:rFonts w:hint="eastAsia" w:ascii="仿宋" w:hAnsi="仿宋" w:eastAsia="仿宋" w:cs="仿宋"/>
          <w:bCs w:val="0"/>
          <w:i w:val="0"/>
          <w:szCs w:val="24"/>
          <w:lang w:eastAsia="zh-CN"/>
        </w:rPr>
        <w:t>16.  交通运输</w:t>
      </w:r>
      <w:r>
        <w:tab/>
      </w:r>
      <w:r>
        <w:fldChar w:fldCharType="begin"/>
      </w:r>
      <w:r>
        <w:instrText xml:space="preserve"> PAGEREF _Toc5787 \h </w:instrText>
      </w:r>
      <w:r>
        <w:fldChar w:fldCharType="separate"/>
      </w:r>
      <w:r>
        <w:t>133</w:t>
      </w:r>
      <w:r>
        <w:fldChar w:fldCharType="end"/>
      </w:r>
      <w:r>
        <w:rPr>
          <w:rFonts w:cs="仿宋"/>
          <w:lang w:eastAsia="zh-CN"/>
        </w:rPr>
        <w:fldChar w:fldCharType="end"/>
      </w:r>
    </w:p>
    <w:p w14:paraId="3C3B16DD">
      <w:pPr>
        <w:pStyle w:val="34"/>
        <w:tabs>
          <w:tab w:val="right" w:leader="dot" w:pos="10204"/>
        </w:tabs>
      </w:pPr>
      <w:r>
        <w:rPr>
          <w:rFonts w:cs="仿宋"/>
          <w:lang w:eastAsia="zh-CN"/>
        </w:rPr>
        <w:fldChar w:fldCharType="begin"/>
      </w:r>
      <w:r>
        <w:rPr>
          <w:rFonts w:cs="仿宋"/>
          <w:lang w:eastAsia="zh-CN"/>
        </w:rPr>
        <w:instrText xml:space="preserve"> HYPERLINK \l _Toc18288 </w:instrText>
      </w:r>
      <w:r>
        <w:rPr>
          <w:rFonts w:cs="仿宋"/>
          <w:lang w:eastAsia="zh-CN"/>
        </w:rPr>
        <w:fldChar w:fldCharType="separate"/>
      </w:r>
      <w:r>
        <w:rPr>
          <w:rFonts w:hint="eastAsia" w:ascii="仿宋" w:hAnsi="仿宋" w:eastAsia="仿宋" w:cs="仿宋"/>
          <w:bCs w:val="0"/>
          <w:i w:val="0"/>
          <w:szCs w:val="24"/>
          <w:lang w:eastAsia="zh-CN"/>
        </w:rPr>
        <w:t>17.  专项批准事项的签认</w:t>
      </w:r>
      <w:r>
        <w:tab/>
      </w:r>
      <w:r>
        <w:fldChar w:fldCharType="begin"/>
      </w:r>
      <w:r>
        <w:instrText xml:space="preserve"> PAGEREF _Toc18288 \h </w:instrText>
      </w:r>
      <w:r>
        <w:fldChar w:fldCharType="separate"/>
      </w:r>
      <w:r>
        <w:t>134</w:t>
      </w:r>
      <w:r>
        <w:fldChar w:fldCharType="end"/>
      </w:r>
      <w:r>
        <w:rPr>
          <w:rFonts w:cs="仿宋"/>
          <w:lang w:eastAsia="zh-CN"/>
        </w:rPr>
        <w:fldChar w:fldCharType="end"/>
      </w:r>
    </w:p>
    <w:p w14:paraId="4C4611B0">
      <w:pPr>
        <w:pStyle w:val="34"/>
        <w:tabs>
          <w:tab w:val="right" w:leader="dot" w:pos="10204"/>
        </w:tabs>
      </w:pPr>
      <w:r>
        <w:rPr>
          <w:rFonts w:cs="仿宋"/>
          <w:lang w:eastAsia="zh-CN"/>
        </w:rPr>
        <w:fldChar w:fldCharType="begin"/>
      </w:r>
      <w:r>
        <w:rPr>
          <w:rFonts w:cs="仿宋"/>
          <w:lang w:eastAsia="zh-CN"/>
        </w:rPr>
        <w:instrText xml:space="preserve"> HYPERLINK \l _Toc24598 </w:instrText>
      </w:r>
      <w:r>
        <w:rPr>
          <w:rFonts w:cs="仿宋"/>
          <w:lang w:eastAsia="zh-CN"/>
        </w:rPr>
        <w:fldChar w:fldCharType="separate"/>
      </w:r>
      <w:r>
        <w:rPr>
          <w:rFonts w:hint="eastAsia" w:ascii="仿宋" w:hAnsi="仿宋" w:eastAsia="仿宋" w:cs="仿宋"/>
          <w:bCs w:val="0"/>
          <w:i w:val="0"/>
          <w:szCs w:val="24"/>
          <w:lang w:eastAsia="zh-CN"/>
        </w:rPr>
        <w:t xml:space="preserve">18. </w:t>
      </w:r>
      <w:r>
        <w:rPr>
          <w:rFonts w:hint="eastAsia" w:ascii="仿宋" w:hAnsi="仿宋" w:eastAsia="仿宋" w:cs="仿宋"/>
          <w:bCs w:val="0"/>
          <w:i w:val="0"/>
          <w:iCs w:val="0"/>
          <w:szCs w:val="24"/>
          <w:lang w:eastAsia="zh-CN"/>
        </w:rPr>
        <w:t xml:space="preserve"> 专利技术和知识产权</w:t>
      </w:r>
      <w:r>
        <w:tab/>
      </w:r>
      <w:r>
        <w:fldChar w:fldCharType="begin"/>
      </w:r>
      <w:r>
        <w:instrText xml:space="preserve"> PAGEREF _Toc24598 \h </w:instrText>
      </w:r>
      <w:r>
        <w:fldChar w:fldCharType="separate"/>
      </w:r>
      <w:r>
        <w:t>134</w:t>
      </w:r>
      <w:r>
        <w:fldChar w:fldCharType="end"/>
      </w:r>
      <w:r>
        <w:rPr>
          <w:rFonts w:cs="仿宋"/>
          <w:lang w:eastAsia="zh-CN"/>
        </w:rPr>
        <w:fldChar w:fldCharType="end"/>
      </w:r>
    </w:p>
    <w:p w14:paraId="6C378FA1">
      <w:pPr>
        <w:pStyle w:val="34"/>
        <w:tabs>
          <w:tab w:val="right" w:leader="dot" w:pos="10204"/>
        </w:tabs>
      </w:pPr>
      <w:r>
        <w:rPr>
          <w:rFonts w:cs="仿宋"/>
          <w:lang w:eastAsia="zh-CN"/>
        </w:rPr>
        <w:fldChar w:fldCharType="begin"/>
      </w:r>
      <w:r>
        <w:rPr>
          <w:rFonts w:cs="仿宋"/>
          <w:lang w:eastAsia="zh-CN"/>
        </w:rPr>
        <w:instrText xml:space="preserve"> HYPERLINK \l _Toc6756 </w:instrText>
      </w:r>
      <w:r>
        <w:rPr>
          <w:rFonts w:cs="仿宋"/>
          <w:lang w:eastAsia="zh-CN"/>
        </w:rPr>
        <w:fldChar w:fldCharType="separate"/>
      </w:r>
      <w:r>
        <w:rPr>
          <w:rFonts w:hint="eastAsia" w:ascii="仿宋" w:hAnsi="仿宋" w:eastAsia="仿宋" w:cs="仿宋"/>
          <w:bCs w:val="0"/>
          <w:i w:val="0"/>
          <w:szCs w:val="24"/>
          <w:lang w:eastAsia="zh-CN"/>
        </w:rPr>
        <w:t>19.  联合体的责任</w:t>
      </w:r>
      <w:r>
        <w:tab/>
      </w:r>
      <w:r>
        <w:fldChar w:fldCharType="begin"/>
      </w:r>
      <w:r>
        <w:instrText xml:space="preserve"> PAGEREF _Toc6756 \h </w:instrText>
      </w:r>
      <w:r>
        <w:fldChar w:fldCharType="separate"/>
      </w:r>
      <w:r>
        <w:t>135</w:t>
      </w:r>
      <w:r>
        <w:fldChar w:fldCharType="end"/>
      </w:r>
      <w:r>
        <w:rPr>
          <w:rFonts w:cs="仿宋"/>
          <w:lang w:eastAsia="zh-CN"/>
        </w:rPr>
        <w:fldChar w:fldCharType="end"/>
      </w:r>
    </w:p>
    <w:p w14:paraId="44C10AD0">
      <w:pPr>
        <w:pStyle w:val="34"/>
        <w:tabs>
          <w:tab w:val="right" w:leader="dot" w:pos="10204"/>
        </w:tabs>
      </w:pPr>
      <w:r>
        <w:rPr>
          <w:rFonts w:cs="仿宋"/>
          <w:lang w:eastAsia="zh-CN"/>
        </w:rPr>
        <w:fldChar w:fldCharType="begin"/>
      </w:r>
      <w:r>
        <w:rPr>
          <w:rFonts w:cs="仿宋"/>
          <w:lang w:eastAsia="zh-CN"/>
        </w:rPr>
        <w:instrText xml:space="preserve"> HYPERLINK \l _Toc3501 </w:instrText>
      </w:r>
      <w:r>
        <w:rPr>
          <w:rFonts w:cs="仿宋"/>
          <w:lang w:eastAsia="zh-CN"/>
        </w:rPr>
        <w:fldChar w:fldCharType="separate"/>
      </w:r>
      <w:r>
        <w:rPr>
          <w:rFonts w:hint="eastAsia" w:ascii="仿宋" w:hAnsi="仿宋" w:eastAsia="仿宋" w:cs="仿宋"/>
          <w:bCs w:val="0"/>
          <w:i w:val="0"/>
          <w:szCs w:val="24"/>
          <w:lang w:eastAsia="zh-CN"/>
        </w:rPr>
        <w:t>22.  发包人</w:t>
      </w:r>
      <w:r>
        <w:tab/>
      </w:r>
      <w:r>
        <w:fldChar w:fldCharType="begin"/>
      </w:r>
      <w:r>
        <w:instrText xml:space="preserve"> PAGEREF _Toc3501 \h </w:instrText>
      </w:r>
      <w:r>
        <w:fldChar w:fldCharType="separate"/>
      </w:r>
      <w:r>
        <w:t>136</w:t>
      </w:r>
      <w:r>
        <w:fldChar w:fldCharType="end"/>
      </w:r>
      <w:r>
        <w:rPr>
          <w:rFonts w:cs="仿宋"/>
          <w:lang w:eastAsia="zh-CN"/>
        </w:rPr>
        <w:fldChar w:fldCharType="end"/>
      </w:r>
    </w:p>
    <w:p w14:paraId="702226B8">
      <w:pPr>
        <w:pStyle w:val="34"/>
        <w:tabs>
          <w:tab w:val="right" w:leader="dot" w:pos="10204"/>
        </w:tabs>
      </w:pPr>
      <w:r>
        <w:rPr>
          <w:rFonts w:cs="仿宋"/>
          <w:lang w:eastAsia="zh-CN"/>
        </w:rPr>
        <w:fldChar w:fldCharType="begin"/>
      </w:r>
      <w:r>
        <w:rPr>
          <w:rFonts w:cs="仿宋"/>
          <w:lang w:eastAsia="zh-CN"/>
        </w:rPr>
        <w:instrText xml:space="preserve"> HYPERLINK \l _Toc104 </w:instrText>
      </w:r>
      <w:r>
        <w:rPr>
          <w:rFonts w:cs="仿宋"/>
          <w:lang w:eastAsia="zh-CN"/>
        </w:rPr>
        <w:fldChar w:fldCharType="separate"/>
      </w:r>
      <w:r>
        <w:rPr>
          <w:rFonts w:hint="eastAsia" w:ascii="仿宋" w:hAnsi="仿宋" w:eastAsia="仿宋" w:cs="仿宋"/>
          <w:bCs w:val="0"/>
          <w:i w:val="0"/>
          <w:szCs w:val="24"/>
          <w:lang w:eastAsia="zh-CN"/>
        </w:rPr>
        <w:t>23.  承包人</w:t>
      </w:r>
      <w:r>
        <w:tab/>
      </w:r>
      <w:r>
        <w:fldChar w:fldCharType="begin"/>
      </w:r>
      <w:r>
        <w:instrText xml:space="preserve"> PAGEREF _Toc104 \h </w:instrText>
      </w:r>
      <w:r>
        <w:fldChar w:fldCharType="separate"/>
      </w:r>
      <w:r>
        <w:t>137</w:t>
      </w:r>
      <w:r>
        <w:fldChar w:fldCharType="end"/>
      </w:r>
      <w:r>
        <w:rPr>
          <w:rFonts w:cs="仿宋"/>
          <w:lang w:eastAsia="zh-CN"/>
        </w:rPr>
        <w:fldChar w:fldCharType="end"/>
      </w:r>
    </w:p>
    <w:p w14:paraId="039A576D">
      <w:pPr>
        <w:pStyle w:val="34"/>
        <w:tabs>
          <w:tab w:val="right" w:leader="dot" w:pos="10204"/>
        </w:tabs>
      </w:pPr>
      <w:r>
        <w:rPr>
          <w:rFonts w:cs="仿宋"/>
          <w:lang w:eastAsia="zh-CN"/>
        </w:rPr>
        <w:fldChar w:fldCharType="begin"/>
      </w:r>
      <w:r>
        <w:rPr>
          <w:rFonts w:cs="仿宋"/>
          <w:lang w:eastAsia="zh-CN"/>
        </w:rPr>
        <w:instrText xml:space="preserve"> HYPERLINK \l _Toc26849 </w:instrText>
      </w:r>
      <w:r>
        <w:rPr>
          <w:rFonts w:cs="仿宋"/>
          <w:lang w:eastAsia="zh-CN"/>
        </w:rPr>
        <w:fldChar w:fldCharType="separate"/>
      </w:r>
      <w:r>
        <w:rPr>
          <w:rFonts w:hint="eastAsia" w:ascii="仿宋" w:hAnsi="仿宋" w:eastAsia="仿宋" w:cs="仿宋"/>
          <w:bCs w:val="0"/>
          <w:i w:val="0"/>
          <w:szCs w:val="24"/>
          <w:lang w:eastAsia="zh-CN"/>
        </w:rPr>
        <w:t>25.  发包人代表</w:t>
      </w:r>
      <w:r>
        <w:tab/>
      </w:r>
      <w:r>
        <w:fldChar w:fldCharType="begin"/>
      </w:r>
      <w:r>
        <w:instrText xml:space="preserve"> PAGEREF _Toc26849 \h </w:instrText>
      </w:r>
      <w:r>
        <w:fldChar w:fldCharType="separate"/>
      </w:r>
      <w:r>
        <w:t>147</w:t>
      </w:r>
      <w:r>
        <w:fldChar w:fldCharType="end"/>
      </w:r>
      <w:r>
        <w:rPr>
          <w:rFonts w:cs="仿宋"/>
          <w:lang w:eastAsia="zh-CN"/>
        </w:rPr>
        <w:fldChar w:fldCharType="end"/>
      </w:r>
    </w:p>
    <w:p w14:paraId="53F9C1D6">
      <w:pPr>
        <w:pStyle w:val="34"/>
        <w:tabs>
          <w:tab w:val="right" w:leader="dot" w:pos="10204"/>
        </w:tabs>
      </w:pPr>
      <w:r>
        <w:rPr>
          <w:rFonts w:cs="仿宋"/>
          <w:lang w:eastAsia="zh-CN"/>
        </w:rPr>
        <w:fldChar w:fldCharType="begin"/>
      </w:r>
      <w:r>
        <w:rPr>
          <w:rFonts w:cs="仿宋"/>
          <w:lang w:eastAsia="zh-CN"/>
        </w:rPr>
        <w:instrText xml:space="preserve"> HYPERLINK \l _Toc14884 </w:instrText>
      </w:r>
      <w:r>
        <w:rPr>
          <w:rFonts w:cs="仿宋"/>
          <w:lang w:eastAsia="zh-CN"/>
        </w:rPr>
        <w:fldChar w:fldCharType="separate"/>
      </w:r>
      <w:r>
        <w:rPr>
          <w:rFonts w:hint="eastAsia" w:ascii="仿宋" w:hAnsi="仿宋" w:eastAsia="仿宋" w:cs="仿宋"/>
          <w:bCs w:val="0"/>
          <w:i w:val="0"/>
          <w:iCs w:val="0"/>
          <w:szCs w:val="24"/>
          <w:lang w:eastAsia="zh-CN"/>
        </w:rPr>
        <w:t xml:space="preserve">27.  </w:t>
      </w:r>
      <w:r>
        <w:rPr>
          <w:rFonts w:hint="eastAsia" w:ascii="仿宋" w:hAnsi="仿宋" w:eastAsia="仿宋" w:cs="仿宋"/>
          <w:bCs w:val="0"/>
          <w:i w:val="0"/>
          <w:szCs w:val="24"/>
          <w:lang w:eastAsia="zh-CN"/>
        </w:rPr>
        <w:t>监理人</w:t>
      </w:r>
      <w:r>
        <w:tab/>
      </w:r>
      <w:r>
        <w:fldChar w:fldCharType="begin"/>
      </w:r>
      <w:r>
        <w:instrText xml:space="preserve"> PAGEREF _Toc14884 \h </w:instrText>
      </w:r>
      <w:r>
        <w:fldChar w:fldCharType="separate"/>
      </w:r>
      <w:r>
        <w:t>147</w:t>
      </w:r>
      <w:r>
        <w:fldChar w:fldCharType="end"/>
      </w:r>
      <w:r>
        <w:rPr>
          <w:rFonts w:cs="仿宋"/>
          <w:lang w:eastAsia="zh-CN"/>
        </w:rPr>
        <w:fldChar w:fldCharType="end"/>
      </w:r>
    </w:p>
    <w:p w14:paraId="0BAAAE69">
      <w:pPr>
        <w:pStyle w:val="34"/>
        <w:tabs>
          <w:tab w:val="right" w:leader="dot" w:pos="10204"/>
        </w:tabs>
      </w:pPr>
      <w:r>
        <w:rPr>
          <w:rFonts w:cs="仿宋"/>
          <w:lang w:eastAsia="zh-CN"/>
        </w:rPr>
        <w:fldChar w:fldCharType="begin"/>
      </w:r>
      <w:r>
        <w:rPr>
          <w:rFonts w:cs="仿宋"/>
          <w:lang w:eastAsia="zh-CN"/>
        </w:rPr>
        <w:instrText xml:space="preserve"> HYPERLINK \l _Toc66 </w:instrText>
      </w:r>
      <w:r>
        <w:rPr>
          <w:rFonts w:cs="仿宋"/>
          <w:lang w:eastAsia="zh-CN"/>
        </w:rPr>
        <w:fldChar w:fldCharType="separate"/>
      </w:r>
      <w:r>
        <w:rPr>
          <w:rFonts w:hint="eastAsia" w:ascii="仿宋" w:hAnsi="仿宋" w:eastAsia="仿宋" w:cs="仿宋"/>
          <w:bCs w:val="0"/>
          <w:i w:val="0"/>
          <w:szCs w:val="24"/>
          <w:lang w:eastAsia="zh-CN"/>
        </w:rPr>
        <w:t>28.  造价咨询人</w:t>
      </w:r>
      <w:r>
        <w:tab/>
      </w:r>
      <w:r>
        <w:fldChar w:fldCharType="begin"/>
      </w:r>
      <w:r>
        <w:instrText xml:space="preserve"> PAGEREF _Toc66 \h </w:instrText>
      </w:r>
      <w:r>
        <w:fldChar w:fldCharType="separate"/>
      </w:r>
      <w:r>
        <w:t>149</w:t>
      </w:r>
      <w:r>
        <w:fldChar w:fldCharType="end"/>
      </w:r>
      <w:r>
        <w:rPr>
          <w:rFonts w:cs="仿宋"/>
          <w:lang w:eastAsia="zh-CN"/>
        </w:rPr>
        <w:fldChar w:fldCharType="end"/>
      </w:r>
    </w:p>
    <w:p w14:paraId="1664DB8E">
      <w:pPr>
        <w:pStyle w:val="34"/>
        <w:tabs>
          <w:tab w:val="right" w:leader="dot" w:pos="10204"/>
        </w:tabs>
      </w:pPr>
      <w:r>
        <w:rPr>
          <w:rFonts w:cs="仿宋"/>
          <w:lang w:eastAsia="zh-CN"/>
        </w:rPr>
        <w:fldChar w:fldCharType="begin"/>
      </w:r>
      <w:r>
        <w:rPr>
          <w:rFonts w:cs="仿宋"/>
          <w:lang w:eastAsia="zh-CN"/>
        </w:rPr>
        <w:instrText xml:space="preserve"> HYPERLINK \l _Toc12899 </w:instrText>
      </w:r>
      <w:r>
        <w:rPr>
          <w:rFonts w:cs="仿宋"/>
          <w:lang w:eastAsia="zh-CN"/>
        </w:rPr>
        <w:fldChar w:fldCharType="separate"/>
      </w:r>
      <w:r>
        <w:rPr>
          <w:rFonts w:hint="eastAsia" w:ascii="仿宋" w:hAnsi="仿宋" w:eastAsia="仿宋" w:cs="仿宋"/>
          <w:bCs w:val="0"/>
          <w:i w:val="0"/>
          <w:szCs w:val="24"/>
          <w:lang w:eastAsia="zh-CN"/>
        </w:rPr>
        <w:t>29.  承包人代表及其专业负责人</w:t>
      </w:r>
      <w:r>
        <w:tab/>
      </w:r>
      <w:r>
        <w:fldChar w:fldCharType="begin"/>
      </w:r>
      <w:r>
        <w:instrText xml:space="preserve"> PAGEREF _Toc12899 \h </w:instrText>
      </w:r>
      <w:r>
        <w:fldChar w:fldCharType="separate"/>
      </w:r>
      <w:r>
        <w:t>150</w:t>
      </w:r>
      <w:r>
        <w:fldChar w:fldCharType="end"/>
      </w:r>
      <w:r>
        <w:rPr>
          <w:rFonts w:cs="仿宋"/>
          <w:lang w:eastAsia="zh-CN"/>
        </w:rPr>
        <w:fldChar w:fldCharType="end"/>
      </w:r>
    </w:p>
    <w:p w14:paraId="684E4BDC">
      <w:pPr>
        <w:pStyle w:val="34"/>
        <w:tabs>
          <w:tab w:val="right" w:leader="dot" w:pos="10204"/>
        </w:tabs>
      </w:pPr>
      <w:r>
        <w:rPr>
          <w:rFonts w:cs="仿宋"/>
          <w:lang w:eastAsia="zh-CN"/>
        </w:rPr>
        <w:fldChar w:fldCharType="begin"/>
      </w:r>
      <w:r>
        <w:rPr>
          <w:rFonts w:cs="仿宋"/>
          <w:lang w:eastAsia="zh-CN"/>
        </w:rPr>
        <w:instrText xml:space="preserve"> HYPERLINK \l _Toc14334 </w:instrText>
      </w:r>
      <w:r>
        <w:rPr>
          <w:rFonts w:cs="仿宋"/>
          <w:lang w:eastAsia="zh-CN"/>
        </w:rPr>
        <w:fldChar w:fldCharType="separate"/>
      </w:r>
      <w:r>
        <w:rPr>
          <w:rFonts w:hint="eastAsia" w:ascii="仿宋" w:hAnsi="仿宋" w:eastAsia="仿宋" w:cs="仿宋"/>
          <w:bCs w:val="0"/>
          <w:i w:val="0"/>
          <w:szCs w:val="24"/>
          <w:lang w:eastAsia="zh-CN"/>
        </w:rPr>
        <w:t>32.  工程担保</w:t>
      </w:r>
      <w:r>
        <w:tab/>
      </w:r>
      <w:r>
        <w:fldChar w:fldCharType="begin"/>
      </w:r>
      <w:r>
        <w:instrText xml:space="preserve"> PAGEREF _Toc14334 \h </w:instrText>
      </w:r>
      <w:r>
        <w:fldChar w:fldCharType="separate"/>
      </w:r>
      <w:r>
        <w:t>150</w:t>
      </w:r>
      <w:r>
        <w:fldChar w:fldCharType="end"/>
      </w:r>
      <w:r>
        <w:rPr>
          <w:rFonts w:cs="仿宋"/>
          <w:lang w:eastAsia="zh-CN"/>
        </w:rPr>
        <w:fldChar w:fldCharType="end"/>
      </w:r>
    </w:p>
    <w:p w14:paraId="39A9C82D">
      <w:pPr>
        <w:pStyle w:val="34"/>
        <w:tabs>
          <w:tab w:val="right" w:leader="dot" w:pos="10204"/>
        </w:tabs>
      </w:pPr>
      <w:r>
        <w:rPr>
          <w:rFonts w:cs="仿宋"/>
          <w:lang w:eastAsia="zh-CN"/>
        </w:rPr>
        <w:fldChar w:fldCharType="begin"/>
      </w:r>
      <w:r>
        <w:rPr>
          <w:rFonts w:cs="仿宋"/>
          <w:lang w:eastAsia="zh-CN"/>
        </w:rPr>
        <w:instrText xml:space="preserve"> HYPERLINK \l _Toc5861 </w:instrText>
      </w:r>
      <w:r>
        <w:rPr>
          <w:rFonts w:cs="仿宋"/>
          <w:lang w:eastAsia="zh-CN"/>
        </w:rPr>
        <w:fldChar w:fldCharType="separate"/>
      </w:r>
      <w:r>
        <w:rPr>
          <w:rFonts w:hint="eastAsia" w:ascii="仿宋" w:hAnsi="仿宋" w:eastAsia="仿宋" w:cs="仿宋"/>
          <w:bCs w:val="0"/>
          <w:i w:val="0"/>
          <w:szCs w:val="24"/>
          <w:lang w:eastAsia="zh-CN"/>
        </w:rPr>
        <w:t>33.  发包人风险</w:t>
      </w:r>
      <w:r>
        <w:tab/>
      </w:r>
      <w:r>
        <w:fldChar w:fldCharType="begin"/>
      </w:r>
      <w:r>
        <w:instrText xml:space="preserve"> PAGEREF _Toc5861 \h </w:instrText>
      </w:r>
      <w:r>
        <w:fldChar w:fldCharType="separate"/>
      </w:r>
      <w:r>
        <w:t>151</w:t>
      </w:r>
      <w:r>
        <w:fldChar w:fldCharType="end"/>
      </w:r>
      <w:r>
        <w:rPr>
          <w:rFonts w:cs="仿宋"/>
          <w:lang w:eastAsia="zh-CN"/>
        </w:rPr>
        <w:fldChar w:fldCharType="end"/>
      </w:r>
    </w:p>
    <w:p w14:paraId="461C3887">
      <w:pPr>
        <w:pStyle w:val="34"/>
        <w:tabs>
          <w:tab w:val="right" w:leader="dot" w:pos="10204"/>
        </w:tabs>
      </w:pPr>
      <w:r>
        <w:rPr>
          <w:rFonts w:cs="仿宋"/>
          <w:lang w:eastAsia="zh-CN"/>
        </w:rPr>
        <w:fldChar w:fldCharType="begin"/>
      </w:r>
      <w:r>
        <w:rPr>
          <w:rFonts w:cs="仿宋"/>
          <w:lang w:eastAsia="zh-CN"/>
        </w:rPr>
        <w:instrText xml:space="preserve"> HYPERLINK \l _Toc8183 </w:instrText>
      </w:r>
      <w:r>
        <w:rPr>
          <w:rFonts w:cs="仿宋"/>
          <w:lang w:eastAsia="zh-CN"/>
        </w:rPr>
        <w:fldChar w:fldCharType="separate"/>
      </w:r>
      <w:r>
        <w:rPr>
          <w:rFonts w:hint="eastAsia" w:ascii="仿宋" w:hAnsi="仿宋" w:eastAsia="仿宋" w:cs="仿宋"/>
          <w:bCs w:val="0"/>
          <w:i w:val="0"/>
          <w:szCs w:val="24"/>
          <w:lang w:eastAsia="zh-CN"/>
        </w:rPr>
        <w:t>35.  不可抗力</w:t>
      </w:r>
      <w:r>
        <w:tab/>
      </w:r>
      <w:r>
        <w:fldChar w:fldCharType="begin"/>
      </w:r>
      <w:r>
        <w:instrText xml:space="preserve"> PAGEREF _Toc8183 \h </w:instrText>
      </w:r>
      <w:r>
        <w:fldChar w:fldCharType="separate"/>
      </w:r>
      <w:r>
        <w:t>151</w:t>
      </w:r>
      <w:r>
        <w:fldChar w:fldCharType="end"/>
      </w:r>
      <w:r>
        <w:rPr>
          <w:rFonts w:cs="仿宋"/>
          <w:lang w:eastAsia="zh-CN"/>
        </w:rPr>
        <w:fldChar w:fldCharType="end"/>
      </w:r>
    </w:p>
    <w:p w14:paraId="29D2CA9E">
      <w:pPr>
        <w:pStyle w:val="34"/>
        <w:tabs>
          <w:tab w:val="right" w:leader="dot" w:pos="10204"/>
        </w:tabs>
      </w:pPr>
      <w:r>
        <w:rPr>
          <w:rFonts w:cs="仿宋"/>
          <w:lang w:eastAsia="zh-CN"/>
        </w:rPr>
        <w:fldChar w:fldCharType="begin"/>
      </w:r>
      <w:r>
        <w:rPr>
          <w:rFonts w:cs="仿宋"/>
          <w:lang w:eastAsia="zh-CN"/>
        </w:rPr>
        <w:instrText xml:space="preserve"> HYPERLINK \l _Toc29853 </w:instrText>
      </w:r>
      <w:r>
        <w:rPr>
          <w:rFonts w:cs="仿宋"/>
          <w:lang w:eastAsia="zh-CN"/>
        </w:rPr>
        <w:fldChar w:fldCharType="separate"/>
      </w:r>
      <w:r>
        <w:rPr>
          <w:rFonts w:hint="eastAsia" w:ascii="仿宋" w:hAnsi="仿宋" w:eastAsia="仿宋" w:cs="仿宋"/>
          <w:bCs w:val="0"/>
          <w:i w:val="0"/>
          <w:szCs w:val="24"/>
          <w:lang w:eastAsia="zh-CN"/>
        </w:rPr>
        <w:t>36.  保险</w:t>
      </w:r>
      <w:r>
        <w:tab/>
      </w:r>
      <w:r>
        <w:fldChar w:fldCharType="begin"/>
      </w:r>
      <w:r>
        <w:instrText xml:space="preserve"> PAGEREF _Toc29853 \h </w:instrText>
      </w:r>
      <w:r>
        <w:fldChar w:fldCharType="separate"/>
      </w:r>
      <w:r>
        <w:t>151</w:t>
      </w:r>
      <w:r>
        <w:fldChar w:fldCharType="end"/>
      </w:r>
      <w:r>
        <w:rPr>
          <w:rFonts w:cs="仿宋"/>
          <w:lang w:eastAsia="zh-CN"/>
        </w:rPr>
        <w:fldChar w:fldCharType="end"/>
      </w:r>
    </w:p>
    <w:p w14:paraId="5DFCFE35">
      <w:pPr>
        <w:pStyle w:val="34"/>
        <w:tabs>
          <w:tab w:val="right" w:leader="dot" w:pos="10204"/>
        </w:tabs>
      </w:pPr>
      <w:r>
        <w:rPr>
          <w:rFonts w:cs="仿宋"/>
          <w:lang w:eastAsia="zh-CN"/>
        </w:rPr>
        <w:fldChar w:fldCharType="begin"/>
      </w:r>
      <w:r>
        <w:rPr>
          <w:rFonts w:cs="仿宋"/>
          <w:lang w:eastAsia="zh-CN"/>
        </w:rPr>
        <w:instrText xml:space="preserve"> HYPERLINK \l _Toc17287 </w:instrText>
      </w:r>
      <w:r>
        <w:rPr>
          <w:rFonts w:cs="仿宋"/>
          <w:lang w:eastAsia="zh-CN"/>
        </w:rPr>
        <w:fldChar w:fldCharType="separate"/>
      </w:r>
      <w:r>
        <w:rPr>
          <w:rFonts w:hint="eastAsia" w:ascii="仿宋" w:hAnsi="仿宋" w:eastAsia="仿宋" w:cs="仿宋"/>
          <w:bCs w:val="0"/>
          <w:i w:val="0"/>
          <w:szCs w:val="24"/>
          <w:lang w:eastAsia="zh-CN"/>
        </w:rPr>
        <w:t>37.  工程勘察</w:t>
      </w:r>
      <w:r>
        <w:tab/>
      </w:r>
      <w:r>
        <w:fldChar w:fldCharType="begin"/>
      </w:r>
      <w:r>
        <w:instrText xml:space="preserve"> PAGEREF _Toc17287 \h </w:instrText>
      </w:r>
      <w:r>
        <w:fldChar w:fldCharType="separate"/>
      </w:r>
      <w:r>
        <w:t>153</w:t>
      </w:r>
      <w:r>
        <w:fldChar w:fldCharType="end"/>
      </w:r>
      <w:r>
        <w:rPr>
          <w:rFonts w:cs="仿宋"/>
          <w:lang w:eastAsia="zh-CN"/>
        </w:rPr>
        <w:fldChar w:fldCharType="end"/>
      </w:r>
    </w:p>
    <w:p w14:paraId="6C53C9A0">
      <w:pPr>
        <w:pStyle w:val="34"/>
        <w:tabs>
          <w:tab w:val="right" w:leader="dot" w:pos="10204"/>
        </w:tabs>
      </w:pPr>
      <w:r>
        <w:rPr>
          <w:rFonts w:cs="仿宋"/>
          <w:lang w:eastAsia="zh-CN"/>
        </w:rPr>
        <w:fldChar w:fldCharType="begin"/>
      </w:r>
      <w:r>
        <w:rPr>
          <w:rFonts w:cs="仿宋"/>
          <w:lang w:eastAsia="zh-CN"/>
        </w:rPr>
        <w:instrText xml:space="preserve"> HYPERLINK \l _Toc23273 </w:instrText>
      </w:r>
      <w:r>
        <w:rPr>
          <w:rFonts w:cs="仿宋"/>
          <w:lang w:eastAsia="zh-CN"/>
        </w:rPr>
        <w:fldChar w:fldCharType="separate"/>
      </w:r>
      <w:r>
        <w:rPr>
          <w:rFonts w:hint="eastAsia" w:ascii="仿宋" w:hAnsi="仿宋" w:eastAsia="仿宋" w:cs="仿宋"/>
          <w:bCs w:val="0"/>
          <w:i w:val="0"/>
          <w:szCs w:val="24"/>
          <w:lang w:eastAsia="zh-CN"/>
        </w:rPr>
        <w:t>38.  工程设计</w:t>
      </w:r>
      <w:r>
        <w:tab/>
      </w:r>
      <w:r>
        <w:fldChar w:fldCharType="begin"/>
      </w:r>
      <w:r>
        <w:instrText xml:space="preserve"> PAGEREF _Toc23273 \h </w:instrText>
      </w:r>
      <w:r>
        <w:fldChar w:fldCharType="separate"/>
      </w:r>
      <w:r>
        <w:t>153</w:t>
      </w:r>
      <w:r>
        <w:fldChar w:fldCharType="end"/>
      </w:r>
      <w:r>
        <w:rPr>
          <w:rFonts w:cs="仿宋"/>
          <w:lang w:eastAsia="zh-CN"/>
        </w:rPr>
        <w:fldChar w:fldCharType="end"/>
      </w:r>
    </w:p>
    <w:p w14:paraId="15F6FEE8">
      <w:pPr>
        <w:pStyle w:val="34"/>
        <w:tabs>
          <w:tab w:val="right" w:leader="dot" w:pos="10204"/>
        </w:tabs>
      </w:pPr>
      <w:r>
        <w:rPr>
          <w:rFonts w:cs="仿宋"/>
          <w:lang w:eastAsia="zh-CN"/>
        </w:rPr>
        <w:fldChar w:fldCharType="begin"/>
      </w:r>
      <w:r>
        <w:rPr>
          <w:rFonts w:cs="仿宋"/>
          <w:lang w:eastAsia="zh-CN"/>
        </w:rPr>
        <w:instrText xml:space="preserve"> HYPERLINK \l _Toc2132 </w:instrText>
      </w:r>
      <w:r>
        <w:rPr>
          <w:rFonts w:cs="仿宋"/>
          <w:lang w:eastAsia="zh-CN"/>
        </w:rPr>
        <w:fldChar w:fldCharType="separate"/>
      </w:r>
      <w:r>
        <w:rPr>
          <w:rFonts w:hint="eastAsia" w:ascii="仿宋" w:hAnsi="仿宋" w:eastAsia="仿宋" w:cs="仿宋"/>
          <w:bCs w:val="0"/>
          <w:i w:val="0"/>
          <w:iCs w:val="0"/>
          <w:szCs w:val="24"/>
          <w:lang w:eastAsia="zh-CN"/>
        </w:rPr>
        <w:t>39.</w:t>
      </w:r>
      <w:r>
        <w:rPr>
          <w:rFonts w:ascii="仿宋" w:hAnsi="仿宋" w:eastAsia="仿宋" w:cs="仿宋"/>
          <w:bCs w:val="0"/>
          <w:i w:val="0"/>
          <w:iCs w:val="0"/>
          <w:szCs w:val="24"/>
          <w:lang w:eastAsia="zh-CN"/>
        </w:rPr>
        <w:t xml:space="preserve">  </w:t>
      </w:r>
      <w:r>
        <w:rPr>
          <w:rFonts w:hint="eastAsia" w:ascii="仿宋" w:hAnsi="仿宋" w:eastAsia="仿宋" w:cs="仿宋"/>
          <w:bCs w:val="0"/>
          <w:i w:val="0"/>
          <w:iCs w:val="0"/>
          <w:szCs w:val="24"/>
          <w:lang w:eastAsia="zh-CN"/>
        </w:rPr>
        <w:t>BIM技术应用</w:t>
      </w:r>
      <w:r>
        <w:tab/>
      </w:r>
      <w:r>
        <w:fldChar w:fldCharType="begin"/>
      </w:r>
      <w:r>
        <w:instrText xml:space="preserve"> PAGEREF _Toc2132 \h </w:instrText>
      </w:r>
      <w:r>
        <w:fldChar w:fldCharType="separate"/>
      </w:r>
      <w:r>
        <w:t>160</w:t>
      </w:r>
      <w:r>
        <w:fldChar w:fldCharType="end"/>
      </w:r>
      <w:r>
        <w:rPr>
          <w:rFonts w:cs="仿宋"/>
          <w:lang w:eastAsia="zh-CN"/>
        </w:rPr>
        <w:fldChar w:fldCharType="end"/>
      </w:r>
    </w:p>
    <w:p w14:paraId="6EB7148D">
      <w:pPr>
        <w:pStyle w:val="34"/>
        <w:tabs>
          <w:tab w:val="right" w:leader="dot" w:pos="10204"/>
        </w:tabs>
      </w:pPr>
      <w:r>
        <w:rPr>
          <w:rFonts w:cs="仿宋"/>
          <w:lang w:eastAsia="zh-CN"/>
        </w:rPr>
        <w:fldChar w:fldCharType="begin"/>
      </w:r>
      <w:r>
        <w:rPr>
          <w:rFonts w:cs="仿宋"/>
          <w:lang w:eastAsia="zh-CN"/>
        </w:rPr>
        <w:instrText xml:space="preserve"> HYPERLINK \l _Toc25995 </w:instrText>
      </w:r>
      <w:r>
        <w:rPr>
          <w:rFonts w:cs="仿宋"/>
          <w:lang w:eastAsia="zh-CN"/>
        </w:rPr>
        <w:fldChar w:fldCharType="separate"/>
      </w:r>
      <w:r>
        <w:rPr>
          <w:rFonts w:hint="eastAsia" w:ascii="仿宋" w:hAnsi="仿宋" w:eastAsia="仿宋" w:cs="仿宋"/>
          <w:bCs w:val="0"/>
          <w:i w:val="0"/>
          <w:szCs w:val="24"/>
          <w:lang w:eastAsia="zh-CN"/>
        </w:rPr>
        <w:t>40.  进度计划和报告</w:t>
      </w:r>
      <w:r>
        <w:tab/>
      </w:r>
      <w:r>
        <w:fldChar w:fldCharType="begin"/>
      </w:r>
      <w:r>
        <w:instrText xml:space="preserve"> PAGEREF _Toc25995 \h </w:instrText>
      </w:r>
      <w:r>
        <w:fldChar w:fldCharType="separate"/>
      </w:r>
      <w:r>
        <w:t>161</w:t>
      </w:r>
      <w:r>
        <w:fldChar w:fldCharType="end"/>
      </w:r>
      <w:r>
        <w:rPr>
          <w:rFonts w:cs="仿宋"/>
          <w:lang w:eastAsia="zh-CN"/>
        </w:rPr>
        <w:fldChar w:fldCharType="end"/>
      </w:r>
    </w:p>
    <w:p w14:paraId="152CA086">
      <w:pPr>
        <w:pStyle w:val="34"/>
        <w:tabs>
          <w:tab w:val="right" w:leader="dot" w:pos="10204"/>
        </w:tabs>
      </w:pPr>
      <w:r>
        <w:rPr>
          <w:rFonts w:cs="仿宋"/>
          <w:lang w:eastAsia="zh-CN"/>
        </w:rPr>
        <w:fldChar w:fldCharType="begin"/>
      </w:r>
      <w:r>
        <w:rPr>
          <w:rFonts w:cs="仿宋"/>
          <w:lang w:eastAsia="zh-CN"/>
        </w:rPr>
        <w:instrText xml:space="preserve"> HYPERLINK \l _Toc7404 </w:instrText>
      </w:r>
      <w:r>
        <w:rPr>
          <w:rFonts w:cs="仿宋"/>
          <w:lang w:eastAsia="zh-CN"/>
        </w:rPr>
        <w:fldChar w:fldCharType="separate"/>
      </w:r>
      <w:r>
        <w:rPr>
          <w:rFonts w:hint="eastAsia" w:ascii="仿宋" w:hAnsi="仿宋" w:eastAsia="仿宋" w:cs="仿宋"/>
          <w:bCs w:val="0"/>
          <w:i w:val="0"/>
          <w:szCs w:val="24"/>
          <w:lang w:eastAsia="zh-CN"/>
        </w:rPr>
        <w:t>41.  开始工作或开工</w:t>
      </w:r>
      <w:r>
        <w:tab/>
      </w:r>
      <w:r>
        <w:fldChar w:fldCharType="begin"/>
      </w:r>
      <w:r>
        <w:instrText xml:space="preserve"> PAGEREF _Toc7404 \h </w:instrText>
      </w:r>
      <w:r>
        <w:fldChar w:fldCharType="separate"/>
      </w:r>
      <w:r>
        <w:t>163</w:t>
      </w:r>
      <w:r>
        <w:fldChar w:fldCharType="end"/>
      </w:r>
      <w:r>
        <w:rPr>
          <w:rFonts w:cs="仿宋"/>
          <w:lang w:eastAsia="zh-CN"/>
        </w:rPr>
        <w:fldChar w:fldCharType="end"/>
      </w:r>
    </w:p>
    <w:p w14:paraId="28B5D3F1">
      <w:pPr>
        <w:pStyle w:val="34"/>
        <w:tabs>
          <w:tab w:val="right" w:leader="dot" w:pos="10204"/>
        </w:tabs>
      </w:pPr>
      <w:r>
        <w:rPr>
          <w:rFonts w:cs="仿宋"/>
          <w:lang w:eastAsia="zh-CN"/>
        </w:rPr>
        <w:fldChar w:fldCharType="begin"/>
      </w:r>
      <w:r>
        <w:rPr>
          <w:rFonts w:cs="仿宋"/>
          <w:lang w:eastAsia="zh-CN"/>
        </w:rPr>
        <w:instrText xml:space="preserve"> HYPERLINK \l _Toc19308 </w:instrText>
      </w:r>
      <w:r>
        <w:rPr>
          <w:rFonts w:cs="仿宋"/>
          <w:lang w:eastAsia="zh-CN"/>
        </w:rPr>
        <w:fldChar w:fldCharType="separate"/>
      </w:r>
      <w:r>
        <w:rPr>
          <w:rFonts w:hint="eastAsia" w:ascii="仿宋" w:hAnsi="仿宋" w:eastAsia="仿宋" w:cs="仿宋"/>
          <w:bCs w:val="0"/>
          <w:i w:val="0"/>
          <w:szCs w:val="24"/>
          <w:lang w:eastAsia="zh-CN"/>
        </w:rPr>
        <w:t>42.  暂停工作、暂停施工和复工</w:t>
      </w:r>
      <w:r>
        <w:tab/>
      </w:r>
      <w:r>
        <w:fldChar w:fldCharType="begin"/>
      </w:r>
      <w:r>
        <w:instrText xml:space="preserve"> PAGEREF _Toc19308 \h </w:instrText>
      </w:r>
      <w:r>
        <w:fldChar w:fldCharType="separate"/>
      </w:r>
      <w:r>
        <w:t>163</w:t>
      </w:r>
      <w:r>
        <w:fldChar w:fldCharType="end"/>
      </w:r>
      <w:r>
        <w:rPr>
          <w:rFonts w:cs="仿宋"/>
          <w:lang w:eastAsia="zh-CN"/>
        </w:rPr>
        <w:fldChar w:fldCharType="end"/>
      </w:r>
    </w:p>
    <w:p w14:paraId="634D3520">
      <w:pPr>
        <w:pStyle w:val="34"/>
        <w:tabs>
          <w:tab w:val="right" w:leader="dot" w:pos="10204"/>
        </w:tabs>
      </w:pPr>
      <w:r>
        <w:rPr>
          <w:rFonts w:cs="仿宋"/>
          <w:lang w:eastAsia="zh-CN"/>
        </w:rPr>
        <w:fldChar w:fldCharType="begin"/>
      </w:r>
      <w:r>
        <w:rPr>
          <w:rFonts w:cs="仿宋"/>
          <w:lang w:eastAsia="zh-CN"/>
        </w:rPr>
        <w:instrText xml:space="preserve"> HYPERLINK \l _Toc15604 </w:instrText>
      </w:r>
      <w:r>
        <w:rPr>
          <w:rFonts w:cs="仿宋"/>
          <w:lang w:eastAsia="zh-CN"/>
        </w:rPr>
        <w:fldChar w:fldCharType="separate"/>
      </w:r>
      <w:r>
        <w:rPr>
          <w:rFonts w:hint="eastAsia" w:ascii="仿宋" w:hAnsi="仿宋" w:eastAsia="仿宋" w:cs="仿宋"/>
          <w:bCs w:val="0"/>
          <w:i w:val="0"/>
          <w:iCs w:val="0"/>
          <w:szCs w:val="24"/>
          <w:lang w:eastAsia="zh-CN"/>
        </w:rPr>
        <w:t>43. 工期和工期延误</w:t>
      </w:r>
      <w:r>
        <w:tab/>
      </w:r>
      <w:r>
        <w:fldChar w:fldCharType="begin"/>
      </w:r>
      <w:r>
        <w:instrText xml:space="preserve"> PAGEREF _Toc15604 \h </w:instrText>
      </w:r>
      <w:r>
        <w:fldChar w:fldCharType="separate"/>
      </w:r>
      <w:r>
        <w:t>164</w:t>
      </w:r>
      <w:r>
        <w:fldChar w:fldCharType="end"/>
      </w:r>
      <w:r>
        <w:rPr>
          <w:rFonts w:cs="仿宋"/>
          <w:lang w:eastAsia="zh-CN"/>
        </w:rPr>
        <w:fldChar w:fldCharType="end"/>
      </w:r>
    </w:p>
    <w:p w14:paraId="3BDB6C3A">
      <w:pPr>
        <w:pStyle w:val="34"/>
        <w:tabs>
          <w:tab w:val="right" w:leader="dot" w:pos="10204"/>
        </w:tabs>
      </w:pPr>
      <w:r>
        <w:rPr>
          <w:rFonts w:cs="仿宋"/>
          <w:lang w:eastAsia="zh-CN"/>
        </w:rPr>
        <w:fldChar w:fldCharType="begin"/>
      </w:r>
      <w:r>
        <w:rPr>
          <w:rFonts w:cs="仿宋"/>
          <w:lang w:eastAsia="zh-CN"/>
        </w:rPr>
        <w:instrText xml:space="preserve"> HYPERLINK \l _Toc16495 </w:instrText>
      </w:r>
      <w:r>
        <w:rPr>
          <w:rFonts w:cs="仿宋"/>
          <w:lang w:eastAsia="zh-CN"/>
        </w:rPr>
        <w:fldChar w:fldCharType="separate"/>
      </w:r>
      <w:r>
        <w:rPr>
          <w:rFonts w:hint="eastAsia" w:ascii="仿宋" w:hAnsi="仿宋" w:eastAsia="仿宋" w:cs="仿宋"/>
          <w:bCs w:val="0"/>
          <w:i w:val="0"/>
          <w:iCs w:val="0"/>
          <w:szCs w:val="24"/>
          <w:lang w:eastAsia="zh-CN"/>
        </w:rPr>
        <w:t>45.  竣工日期</w:t>
      </w:r>
      <w:r>
        <w:tab/>
      </w:r>
      <w:r>
        <w:fldChar w:fldCharType="begin"/>
      </w:r>
      <w:r>
        <w:instrText xml:space="preserve"> PAGEREF _Toc16495 \h </w:instrText>
      </w:r>
      <w:r>
        <w:fldChar w:fldCharType="separate"/>
      </w:r>
      <w:r>
        <w:t>166</w:t>
      </w:r>
      <w:r>
        <w:fldChar w:fldCharType="end"/>
      </w:r>
      <w:r>
        <w:rPr>
          <w:rFonts w:cs="仿宋"/>
          <w:lang w:eastAsia="zh-CN"/>
        </w:rPr>
        <w:fldChar w:fldCharType="end"/>
      </w:r>
    </w:p>
    <w:p w14:paraId="72E5E64B">
      <w:pPr>
        <w:pStyle w:val="34"/>
        <w:tabs>
          <w:tab w:val="right" w:leader="dot" w:pos="10204"/>
        </w:tabs>
      </w:pPr>
      <w:r>
        <w:rPr>
          <w:rFonts w:cs="仿宋"/>
          <w:lang w:eastAsia="zh-CN"/>
        </w:rPr>
        <w:fldChar w:fldCharType="begin"/>
      </w:r>
      <w:r>
        <w:rPr>
          <w:rFonts w:cs="仿宋"/>
          <w:lang w:eastAsia="zh-CN"/>
        </w:rPr>
        <w:instrText xml:space="preserve"> HYPERLINK \l _Toc57 </w:instrText>
      </w:r>
      <w:r>
        <w:rPr>
          <w:rFonts w:cs="仿宋"/>
          <w:lang w:eastAsia="zh-CN"/>
        </w:rPr>
        <w:fldChar w:fldCharType="separate"/>
      </w:r>
      <w:r>
        <w:rPr>
          <w:rFonts w:hint="eastAsia" w:ascii="仿宋" w:hAnsi="仿宋" w:eastAsia="仿宋" w:cs="仿宋"/>
          <w:bCs w:val="0"/>
          <w:i w:val="0"/>
          <w:iCs w:val="0"/>
          <w:szCs w:val="24"/>
          <w:lang w:eastAsia="zh-CN"/>
        </w:rPr>
        <w:t>★49.  质量标准</w:t>
      </w:r>
      <w:r>
        <w:tab/>
      </w:r>
      <w:r>
        <w:fldChar w:fldCharType="begin"/>
      </w:r>
      <w:r>
        <w:instrText xml:space="preserve"> PAGEREF _Toc57 \h </w:instrText>
      </w:r>
      <w:r>
        <w:fldChar w:fldCharType="separate"/>
      </w:r>
      <w:r>
        <w:t>166</w:t>
      </w:r>
      <w:r>
        <w:fldChar w:fldCharType="end"/>
      </w:r>
      <w:r>
        <w:rPr>
          <w:rFonts w:cs="仿宋"/>
          <w:lang w:eastAsia="zh-CN"/>
        </w:rPr>
        <w:fldChar w:fldCharType="end"/>
      </w:r>
    </w:p>
    <w:p w14:paraId="2039E99E">
      <w:pPr>
        <w:pStyle w:val="34"/>
        <w:tabs>
          <w:tab w:val="right" w:leader="dot" w:pos="10204"/>
        </w:tabs>
      </w:pPr>
      <w:r>
        <w:rPr>
          <w:rFonts w:cs="仿宋"/>
          <w:lang w:eastAsia="zh-CN"/>
        </w:rPr>
        <w:fldChar w:fldCharType="begin"/>
      </w:r>
      <w:r>
        <w:rPr>
          <w:rFonts w:cs="仿宋"/>
          <w:lang w:eastAsia="zh-CN"/>
        </w:rPr>
        <w:instrText xml:space="preserve"> HYPERLINK \l _Toc10970 </w:instrText>
      </w:r>
      <w:r>
        <w:rPr>
          <w:rFonts w:cs="仿宋"/>
          <w:lang w:eastAsia="zh-CN"/>
        </w:rPr>
        <w:fldChar w:fldCharType="separate"/>
      </w:r>
      <w:r>
        <w:rPr>
          <w:rFonts w:hint="eastAsia" w:ascii="仿宋" w:hAnsi="仿宋" w:eastAsia="仿宋" w:cs="仿宋"/>
          <w:bCs w:val="0"/>
          <w:i w:val="0"/>
          <w:szCs w:val="24"/>
          <w:lang w:eastAsia="zh-CN"/>
        </w:rPr>
        <w:t>★50.  工程质量创优</w:t>
      </w:r>
      <w:r>
        <w:tab/>
      </w:r>
      <w:r>
        <w:fldChar w:fldCharType="begin"/>
      </w:r>
      <w:r>
        <w:instrText xml:space="preserve"> PAGEREF _Toc10970 \h </w:instrText>
      </w:r>
      <w:r>
        <w:fldChar w:fldCharType="separate"/>
      </w:r>
      <w:r>
        <w:t>166</w:t>
      </w:r>
      <w:r>
        <w:fldChar w:fldCharType="end"/>
      </w:r>
      <w:r>
        <w:rPr>
          <w:rFonts w:cs="仿宋"/>
          <w:lang w:eastAsia="zh-CN"/>
        </w:rPr>
        <w:fldChar w:fldCharType="end"/>
      </w:r>
    </w:p>
    <w:p w14:paraId="0DBE721E">
      <w:pPr>
        <w:pStyle w:val="34"/>
        <w:tabs>
          <w:tab w:val="right" w:leader="dot" w:pos="10204"/>
        </w:tabs>
      </w:pPr>
      <w:r>
        <w:rPr>
          <w:rFonts w:cs="仿宋"/>
          <w:lang w:eastAsia="zh-CN"/>
        </w:rPr>
        <w:fldChar w:fldCharType="begin"/>
      </w:r>
      <w:r>
        <w:rPr>
          <w:rFonts w:cs="仿宋"/>
          <w:lang w:eastAsia="zh-CN"/>
        </w:rPr>
        <w:instrText xml:space="preserve"> HYPERLINK \l _Toc21222 </w:instrText>
      </w:r>
      <w:r>
        <w:rPr>
          <w:rFonts w:cs="仿宋"/>
          <w:lang w:eastAsia="zh-CN"/>
        </w:rPr>
        <w:fldChar w:fldCharType="separate"/>
      </w:r>
      <w:r>
        <w:rPr>
          <w:rFonts w:hint="eastAsia" w:ascii="仿宋" w:hAnsi="仿宋" w:eastAsia="仿宋" w:cs="仿宋"/>
          <w:bCs w:val="0"/>
          <w:i w:val="0"/>
          <w:szCs w:val="24"/>
          <w:lang w:eastAsia="zh-CN"/>
        </w:rPr>
        <w:t>★52.  绿色施工安全防护</w:t>
      </w:r>
      <w:r>
        <w:tab/>
      </w:r>
      <w:r>
        <w:fldChar w:fldCharType="begin"/>
      </w:r>
      <w:r>
        <w:instrText xml:space="preserve"> PAGEREF _Toc21222 \h </w:instrText>
      </w:r>
      <w:r>
        <w:fldChar w:fldCharType="separate"/>
      </w:r>
      <w:r>
        <w:t>167</w:t>
      </w:r>
      <w:r>
        <w:fldChar w:fldCharType="end"/>
      </w:r>
      <w:r>
        <w:rPr>
          <w:rFonts w:cs="仿宋"/>
          <w:lang w:eastAsia="zh-CN"/>
        </w:rPr>
        <w:fldChar w:fldCharType="end"/>
      </w:r>
    </w:p>
    <w:p w14:paraId="7BADC735">
      <w:pPr>
        <w:pStyle w:val="34"/>
        <w:tabs>
          <w:tab w:val="right" w:leader="dot" w:pos="10204"/>
        </w:tabs>
      </w:pPr>
      <w:r>
        <w:rPr>
          <w:rFonts w:cs="仿宋"/>
          <w:lang w:eastAsia="zh-CN"/>
        </w:rPr>
        <w:fldChar w:fldCharType="begin"/>
      </w:r>
      <w:r>
        <w:rPr>
          <w:rFonts w:cs="仿宋"/>
          <w:lang w:eastAsia="zh-CN"/>
        </w:rPr>
        <w:instrText xml:space="preserve"> HYPERLINK \l _Toc28969 </w:instrText>
      </w:r>
      <w:r>
        <w:rPr>
          <w:rFonts w:cs="仿宋"/>
          <w:lang w:eastAsia="zh-CN"/>
        </w:rPr>
        <w:fldChar w:fldCharType="separate"/>
      </w:r>
      <w:r>
        <w:rPr>
          <w:rFonts w:hint="eastAsia" w:ascii="仿宋" w:hAnsi="仿宋" w:eastAsia="仿宋" w:cs="仿宋"/>
          <w:bCs w:val="0"/>
          <w:i w:val="0"/>
          <w:iCs w:val="0"/>
          <w:szCs w:val="24"/>
          <w:lang w:eastAsia="zh-CN"/>
        </w:rPr>
        <w:t>53.  测量放线</w:t>
      </w:r>
      <w:r>
        <w:tab/>
      </w:r>
      <w:r>
        <w:fldChar w:fldCharType="begin"/>
      </w:r>
      <w:r>
        <w:instrText xml:space="preserve"> PAGEREF _Toc28969 \h </w:instrText>
      </w:r>
      <w:r>
        <w:fldChar w:fldCharType="separate"/>
      </w:r>
      <w:r>
        <w:t>168</w:t>
      </w:r>
      <w:r>
        <w:fldChar w:fldCharType="end"/>
      </w:r>
      <w:r>
        <w:rPr>
          <w:rFonts w:cs="仿宋"/>
          <w:lang w:eastAsia="zh-CN"/>
        </w:rPr>
        <w:fldChar w:fldCharType="end"/>
      </w:r>
    </w:p>
    <w:p w14:paraId="24D1A07F">
      <w:pPr>
        <w:pStyle w:val="34"/>
        <w:tabs>
          <w:tab w:val="right" w:leader="dot" w:pos="10204"/>
        </w:tabs>
      </w:pPr>
      <w:r>
        <w:rPr>
          <w:rFonts w:cs="仿宋"/>
          <w:lang w:eastAsia="zh-CN"/>
        </w:rPr>
        <w:fldChar w:fldCharType="begin"/>
      </w:r>
      <w:r>
        <w:rPr>
          <w:rFonts w:cs="仿宋"/>
          <w:lang w:eastAsia="zh-CN"/>
        </w:rPr>
        <w:instrText xml:space="preserve"> HYPERLINK \l _Toc26780 </w:instrText>
      </w:r>
      <w:r>
        <w:rPr>
          <w:rFonts w:cs="仿宋"/>
          <w:lang w:eastAsia="zh-CN"/>
        </w:rPr>
        <w:fldChar w:fldCharType="separate"/>
      </w:r>
      <w:r>
        <w:rPr>
          <w:rFonts w:hint="eastAsia" w:ascii="仿宋" w:hAnsi="仿宋" w:eastAsia="仿宋" w:cs="仿宋"/>
          <w:bCs w:val="0"/>
          <w:i w:val="0"/>
          <w:iCs w:val="0"/>
          <w:szCs w:val="24"/>
          <w:lang w:eastAsia="zh-CN"/>
        </w:rPr>
        <w:t>55.  发包人供应工程材料和工程设备</w:t>
      </w:r>
      <w:r>
        <w:tab/>
      </w:r>
      <w:r>
        <w:fldChar w:fldCharType="begin"/>
      </w:r>
      <w:r>
        <w:instrText xml:space="preserve"> PAGEREF _Toc26780 \h </w:instrText>
      </w:r>
      <w:r>
        <w:fldChar w:fldCharType="separate"/>
      </w:r>
      <w:r>
        <w:t>168</w:t>
      </w:r>
      <w:r>
        <w:fldChar w:fldCharType="end"/>
      </w:r>
      <w:r>
        <w:rPr>
          <w:rFonts w:cs="仿宋"/>
          <w:lang w:eastAsia="zh-CN"/>
        </w:rPr>
        <w:fldChar w:fldCharType="end"/>
      </w:r>
    </w:p>
    <w:p w14:paraId="0C734489">
      <w:pPr>
        <w:pStyle w:val="34"/>
        <w:tabs>
          <w:tab w:val="right" w:leader="dot" w:pos="10204"/>
        </w:tabs>
      </w:pPr>
      <w:r>
        <w:rPr>
          <w:rFonts w:cs="仿宋"/>
          <w:lang w:eastAsia="zh-CN"/>
        </w:rPr>
        <w:fldChar w:fldCharType="begin"/>
      </w:r>
      <w:r>
        <w:rPr>
          <w:rFonts w:cs="仿宋"/>
          <w:lang w:eastAsia="zh-CN"/>
        </w:rPr>
        <w:instrText xml:space="preserve"> HYPERLINK \l _Toc2879 </w:instrText>
      </w:r>
      <w:r>
        <w:rPr>
          <w:rFonts w:cs="仿宋"/>
          <w:lang w:eastAsia="zh-CN"/>
        </w:rPr>
        <w:fldChar w:fldCharType="separate"/>
      </w:r>
      <w:r>
        <w:rPr>
          <w:rFonts w:hint="eastAsia" w:ascii="仿宋" w:hAnsi="仿宋" w:eastAsia="仿宋" w:cs="仿宋"/>
          <w:bCs w:val="0"/>
          <w:i w:val="0"/>
          <w:szCs w:val="24"/>
          <w:lang w:eastAsia="zh-CN"/>
        </w:rPr>
        <w:t>56.  承包人购置设备及工器具、采购工程材料和工程设备</w:t>
      </w:r>
      <w:r>
        <w:tab/>
      </w:r>
      <w:r>
        <w:fldChar w:fldCharType="begin"/>
      </w:r>
      <w:r>
        <w:instrText xml:space="preserve"> PAGEREF _Toc2879 \h </w:instrText>
      </w:r>
      <w:r>
        <w:fldChar w:fldCharType="separate"/>
      </w:r>
      <w:r>
        <w:t>168</w:t>
      </w:r>
      <w:r>
        <w:fldChar w:fldCharType="end"/>
      </w:r>
      <w:r>
        <w:rPr>
          <w:rFonts w:cs="仿宋"/>
          <w:lang w:eastAsia="zh-CN"/>
        </w:rPr>
        <w:fldChar w:fldCharType="end"/>
      </w:r>
    </w:p>
    <w:p w14:paraId="39114C30">
      <w:pPr>
        <w:pStyle w:val="34"/>
        <w:tabs>
          <w:tab w:val="right" w:leader="dot" w:pos="10204"/>
        </w:tabs>
      </w:pPr>
      <w:r>
        <w:rPr>
          <w:rFonts w:cs="仿宋"/>
          <w:lang w:eastAsia="zh-CN"/>
        </w:rPr>
        <w:fldChar w:fldCharType="begin"/>
      </w:r>
      <w:r>
        <w:rPr>
          <w:rFonts w:cs="仿宋"/>
          <w:lang w:eastAsia="zh-CN"/>
        </w:rPr>
        <w:instrText xml:space="preserve"> HYPERLINK \l _Toc18770 </w:instrText>
      </w:r>
      <w:r>
        <w:rPr>
          <w:rFonts w:cs="仿宋"/>
          <w:lang w:eastAsia="zh-CN"/>
        </w:rPr>
        <w:fldChar w:fldCharType="separate"/>
      </w:r>
      <w:r>
        <w:rPr>
          <w:rFonts w:hint="eastAsia" w:ascii="仿宋" w:hAnsi="仿宋" w:eastAsia="仿宋" w:cs="仿宋"/>
          <w:bCs w:val="0"/>
          <w:i w:val="0"/>
          <w:szCs w:val="24"/>
          <w:lang w:eastAsia="zh-CN"/>
        </w:rPr>
        <w:t>57. 设备及工器具的验收、工程材料和工程设备的检验试验</w:t>
      </w:r>
      <w:r>
        <w:tab/>
      </w:r>
      <w:r>
        <w:fldChar w:fldCharType="begin"/>
      </w:r>
      <w:r>
        <w:instrText xml:space="preserve"> PAGEREF _Toc18770 \h </w:instrText>
      </w:r>
      <w:r>
        <w:fldChar w:fldCharType="separate"/>
      </w:r>
      <w:r>
        <w:t>170</w:t>
      </w:r>
      <w:r>
        <w:fldChar w:fldCharType="end"/>
      </w:r>
      <w:r>
        <w:rPr>
          <w:rFonts w:cs="仿宋"/>
          <w:lang w:eastAsia="zh-CN"/>
        </w:rPr>
        <w:fldChar w:fldCharType="end"/>
      </w:r>
    </w:p>
    <w:p w14:paraId="4B652BD3">
      <w:pPr>
        <w:pStyle w:val="34"/>
        <w:tabs>
          <w:tab w:val="right" w:leader="dot" w:pos="10204"/>
        </w:tabs>
      </w:pPr>
      <w:r>
        <w:rPr>
          <w:rFonts w:cs="仿宋"/>
          <w:lang w:eastAsia="zh-CN"/>
        </w:rPr>
        <w:fldChar w:fldCharType="begin"/>
      </w:r>
      <w:r>
        <w:rPr>
          <w:rFonts w:cs="仿宋"/>
          <w:lang w:eastAsia="zh-CN"/>
        </w:rPr>
        <w:instrText xml:space="preserve"> HYPERLINK \l _Toc6736 </w:instrText>
      </w:r>
      <w:r>
        <w:rPr>
          <w:rFonts w:cs="仿宋"/>
          <w:lang w:eastAsia="zh-CN"/>
        </w:rPr>
        <w:fldChar w:fldCharType="separate"/>
      </w:r>
      <w:r>
        <w:rPr>
          <w:rFonts w:hint="eastAsia" w:ascii="仿宋" w:hAnsi="仿宋" w:eastAsia="仿宋" w:cs="仿宋"/>
          <w:bCs w:val="0"/>
          <w:i w:val="0"/>
          <w:iCs w:val="0"/>
          <w:szCs w:val="24"/>
          <w:lang w:eastAsia="zh-CN"/>
        </w:rPr>
        <w:t>58.  施工设备和临时设施</w:t>
      </w:r>
      <w:r>
        <w:tab/>
      </w:r>
      <w:r>
        <w:fldChar w:fldCharType="begin"/>
      </w:r>
      <w:r>
        <w:instrText xml:space="preserve"> PAGEREF _Toc6736 \h </w:instrText>
      </w:r>
      <w:r>
        <w:fldChar w:fldCharType="separate"/>
      </w:r>
      <w:r>
        <w:t>171</w:t>
      </w:r>
      <w:r>
        <w:fldChar w:fldCharType="end"/>
      </w:r>
      <w:r>
        <w:rPr>
          <w:rFonts w:cs="仿宋"/>
          <w:lang w:eastAsia="zh-CN"/>
        </w:rPr>
        <w:fldChar w:fldCharType="end"/>
      </w:r>
    </w:p>
    <w:p w14:paraId="690DC84F">
      <w:pPr>
        <w:pStyle w:val="34"/>
        <w:tabs>
          <w:tab w:val="right" w:leader="dot" w:pos="10204"/>
        </w:tabs>
      </w:pPr>
      <w:r>
        <w:rPr>
          <w:rFonts w:cs="仿宋"/>
          <w:lang w:eastAsia="zh-CN"/>
        </w:rPr>
        <w:fldChar w:fldCharType="begin"/>
      </w:r>
      <w:r>
        <w:rPr>
          <w:rFonts w:cs="仿宋"/>
          <w:lang w:eastAsia="zh-CN"/>
        </w:rPr>
        <w:instrText xml:space="preserve"> HYPERLINK \l _Toc20002 </w:instrText>
      </w:r>
      <w:r>
        <w:rPr>
          <w:rFonts w:cs="仿宋"/>
          <w:lang w:eastAsia="zh-CN"/>
        </w:rPr>
        <w:fldChar w:fldCharType="separate"/>
      </w:r>
      <w:r>
        <w:rPr>
          <w:rFonts w:hint="eastAsia" w:ascii="仿宋" w:hAnsi="仿宋" w:eastAsia="仿宋" w:cs="仿宋"/>
          <w:bCs w:val="0"/>
          <w:i w:val="0"/>
          <w:iCs w:val="0"/>
          <w:szCs w:val="24"/>
          <w:lang w:eastAsia="zh-CN"/>
        </w:rPr>
        <w:t>★60.  隐蔽工程和中间验收</w:t>
      </w:r>
      <w:r>
        <w:tab/>
      </w:r>
      <w:r>
        <w:fldChar w:fldCharType="begin"/>
      </w:r>
      <w:r>
        <w:instrText xml:space="preserve"> PAGEREF _Toc20002 \h </w:instrText>
      </w:r>
      <w:r>
        <w:fldChar w:fldCharType="separate"/>
      </w:r>
      <w:r>
        <w:t>172</w:t>
      </w:r>
      <w:r>
        <w:fldChar w:fldCharType="end"/>
      </w:r>
      <w:r>
        <w:rPr>
          <w:rFonts w:cs="仿宋"/>
          <w:lang w:eastAsia="zh-CN"/>
        </w:rPr>
        <w:fldChar w:fldCharType="end"/>
      </w:r>
    </w:p>
    <w:p w14:paraId="3D400FAC">
      <w:pPr>
        <w:pStyle w:val="34"/>
        <w:tabs>
          <w:tab w:val="right" w:leader="dot" w:pos="10204"/>
        </w:tabs>
      </w:pPr>
      <w:r>
        <w:rPr>
          <w:rFonts w:cs="仿宋"/>
          <w:lang w:eastAsia="zh-CN"/>
        </w:rPr>
        <w:fldChar w:fldCharType="begin"/>
      </w:r>
      <w:r>
        <w:rPr>
          <w:rFonts w:cs="仿宋"/>
          <w:lang w:eastAsia="zh-CN"/>
        </w:rPr>
        <w:instrText xml:space="preserve"> HYPERLINK \l _Toc9471 </w:instrText>
      </w:r>
      <w:r>
        <w:rPr>
          <w:rFonts w:cs="仿宋"/>
          <w:lang w:eastAsia="zh-CN"/>
        </w:rPr>
        <w:fldChar w:fldCharType="separate"/>
      </w:r>
      <w:r>
        <w:rPr>
          <w:rFonts w:hint="eastAsia" w:ascii="仿宋" w:hAnsi="仿宋" w:eastAsia="仿宋" w:cs="仿宋"/>
          <w:bCs w:val="0"/>
          <w:i w:val="0"/>
          <w:szCs w:val="24"/>
          <w:lang w:eastAsia="zh-CN"/>
        </w:rPr>
        <w:t>★63. 工程变更</w:t>
      </w:r>
      <w:r>
        <w:tab/>
      </w:r>
      <w:r>
        <w:fldChar w:fldCharType="begin"/>
      </w:r>
      <w:r>
        <w:instrText xml:space="preserve"> PAGEREF _Toc9471 \h </w:instrText>
      </w:r>
      <w:r>
        <w:fldChar w:fldCharType="separate"/>
      </w:r>
      <w:r>
        <w:t>173</w:t>
      </w:r>
      <w:r>
        <w:fldChar w:fldCharType="end"/>
      </w:r>
      <w:r>
        <w:rPr>
          <w:rFonts w:cs="仿宋"/>
          <w:lang w:eastAsia="zh-CN"/>
        </w:rPr>
        <w:fldChar w:fldCharType="end"/>
      </w:r>
    </w:p>
    <w:p w14:paraId="20BD02C5">
      <w:pPr>
        <w:pStyle w:val="34"/>
        <w:tabs>
          <w:tab w:val="right" w:leader="dot" w:pos="10204"/>
        </w:tabs>
      </w:pPr>
      <w:r>
        <w:rPr>
          <w:rFonts w:cs="仿宋"/>
          <w:lang w:eastAsia="zh-CN"/>
        </w:rPr>
        <w:fldChar w:fldCharType="begin"/>
      </w:r>
      <w:r>
        <w:rPr>
          <w:rFonts w:cs="仿宋"/>
          <w:lang w:eastAsia="zh-CN"/>
        </w:rPr>
        <w:instrText xml:space="preserve"> HYPERLINK \l _Toc21856 </w:instrText>
      </w:r>
      <w:r>
        <w:rPr>
          <w:rFonts w:cs="仿宋"/>
          <w:lang w:eastAsia="zh-CN"/>
        </w:rPr>
        <w:fldChar w:fldCharType="separate"/>
      </w:r>
      <w:r>
        <w:rPr>
          <w:rFonts w:hint="eastAsia" w:ascii="仿宋" w:hAnsi="仿宋" w:eastAsia="仿宋" w:cs="仿宋"/>
          <w:bCs w:val="0"/>
          <w:i w:val="0"/>
          <w:szCs w:val="24"/>
          <w:lang w:eastAsia="zh-CN"/>
        </w:rPr>
        <w:t>64. 竣工验收条件</w:t>
      </w:r>
      <w:r>
        <w:tab/>
      </w:r>
      <w:r>
        <w:fldChar w:fldCharType="begin"/>
      </w:r>
      <w:r>
        <w:instrText xml:space="preserve"> PAGEREF _Toc21856 \h </w:instrText>
      </w:r>
      <w:r>
        <w:fldChar w:fldCharType="separate"/>
      </w:r>
      <w:r>
        <w:t>174</w:t>
      </w:r>
      <w:r>
        <w:fldChar w:fldCharType="end"/>
      </w:r>
      <w:r>
        <w:rPr>
          <w:rFonts w:cs="仿宋"/>
          <w:lang w:eastAsia="zh-CN"/>
        </w:rPr>
        <w:fldChar w:fldCharType="end"/>
      </w:r>
    </w:p>
    <w:p w14:paraId="18518E32">
      <w:pPr>
        <w:pStyle w:val="34"/>
        <w:tabs>
          <w:tab w:val="right" w:leader="dot" w:pos="10204"/>
        </w:tabs>
      </w:pPr>
      <w:r>
        <w:rPr>
          <w:rFonts w:cs="仿宋"/>
          <w:lang w:eastAsia="zh-CN"/>
        </w:rPr>
        <w:fldChar w:fldCharType="begin"/>
      </w:r>
      <w:r>
        <w:rPr>
          <w:rFonts w:cs="仿宋"/>
          <w:lang w:eastAsia="zh-CN"/>
        </w:rPr>
        <w:instrText xml:space="preserve"> HYPERLINK \l _Toc16769 </w:instrText>
      </w:r>
      <w:r>
        <w:rPr>
          <w:rFonts w:cs="仿宋"/>
          <w:lang w:eastAsia="zh-CN"/>
        </w:rPr>
        <w:fldChar w:fldCharType="separate"/>
      </w:r>
      <w:r>
        <w:rPr>
          <w:rFonts w:hint="eastAsia" w:ascii="仿宋" w:hAnsi="仿宋" w:eastAsia="仿宋" w:cs="仿宋"/>
          <w:bCs w:val="0"/>
          <w:i w:val="0"/>
          <w:iCs w:val="0"/>
          <w:szCs w:val="24"/>
          <w:lang w:eastAsia="zh-CN"/>
        </w:rPr>
        <w:t>★65. 竣工验收</w:t>
      </w:r>
      <w:r>
        <w:tab/>
      </w:r>
      <w:r>
        <w:fldChar w:fldCharType="begin"/>
      </w:r>
      <w:r>
        <w:instrText xml:space="preserve"> PAGEREF _Toc16769 \h </w:instrText>
      </w:r>
      <w:r>
        <w:fldChar w:fldCharType="separate"/>
      </w:r>
      <w:r>
        <w:t>175</w:t>
      </w:r>
      <w:r>
        <w:fldChar w:fldCharType="end"/>
      </w:r>
      <w:r>
        <w:rPr>
          <w:rFonts w:cs="仿宋"/>
          <w:lang w:eastAsia="zh-CN"/>
        </w:rPr>
        <w:fldChar w:fldCharType="end"/>
      </w:r>
    </w:p>
    <w:p w14:paraId="3BC6B0B1">
      <w:pPr>
        <w:pStyle w:val="34"/>
        <w:tabs>
          <w:tab w:val="right" w:leader="dot" w:pos="10204"/>
        </w:tabs>
      </w:pPr>
      <w:r>
        <w:rPr>
          <w:rFonts w:cs="仿宋"/>
          <w:lang w:eastAsia="zh-CN"/>
        </w:rPr>
        <w:fldChar w:fldCharType="begin"/>
      </w:r>
      <w:r>
        <w:rPr>
          <w:rFonts w:cs="仿宋"/>
          <w:lang w:eastAsia="zh-CN"/>
        </w:rPr>
        <w:instrText xml:space="preserve"> HYPERLINK \l _Toc28865 </w:instrText>
      </w:r>
      <w:r>
        <w:rPr>
          <w:rFonts w:cs="仿宋"/>
          <w:lang w:eastAsia="zh-CN"/>
        </w:rPr>
        <w:fldChar w:fldCharType="separate"/>
      </w:r>
      <w:r>
        <w:rPr>
          <w:rFonts w:hint="eastAsia" w:ascii="仿宋" w:hAnsi="仿宋" w:eastAsia="仿宋" w:cs="仿宋"/>
          <w:bCs w:val="0"/>
          <w:i w:val="0"/>
          <w:iCs w:val="0"/>
          <w:szCs w:val="24"/>
          <w:lang w:eastAsia="zh-CN"/>
        </w:rPr>
        <w:t>66.  缺陷责任与质量保修</w:t>
      </w:r>
      <w:r>
        <w:tab/>
      </w:r>
      <w:r>
        <w:fldChar w:fldCharType="begin"/>
      </w:r>
      <w:r>
        <w:instrText xml:space="preserve"> PAGEREF _Toc28865 \h </w:instrText>
      </w:r>
      <w:r>
        <w:fldChar w:fldCharType="separate"/>
      </w:r>
      <w:r>
        <w:t>176</w:t>
      </w:r>
      <w:r>
        <w:fldChar w:fldCharType="end"/>
      </w:r>
      <w:r>
        <w:rPr>
          <w:rFonts w:cs="仿宋"/>
          <w:lang w:eastAsia="zh-CN"/>
        </w:rPr>
        <w:fldChar w:fldCharType="end"/>
      </w:r>
    </w:p>
    <w:p w14:paraId="6B585485">
      <w:pPr>
        <w:pStyle w:val="34"/>
        <w:tabs>
          <w:tab w:val="right" w:leader="dot" w:pos="10204"/>
        </w:tabs>
      </w:pPr>
      <w:r>
        <w:rPr>
          <w:rFonts w:cs="仿宋"/>
          <w:lang w:eastAsia="zh-CN"/>
        </w:rPr>
        <w:fldChar w:fldCharType="begin"/>
      </w:r>
      <w:r>
        <w:rPr>
          <w:rFonts w:cs="仿宋"/>
          <w:lang w:eastAsia="zh-CN"/>
        </w:rPr>
        <w:instrText xml:space="preserve"> HYPERLINK \l _Toc1479 </w:instrText>
      </w:r>
      <w:r>
        <w:rPr>
          <w:rFonts w:cs="仿宋"/>
          <w:lang w:eastAsia="zh-CN"/>
        </w:rPr>
        <w:fldChar w:fldCharType="separate"/>
      </w:r>
      <w:r>
        <w:rPr>
          <w:rFonts w:hint="eastAsia" w:ascii="仿宋" w:hAnsi="仿宋" w:eastAsia="仿宋" w:cs="仿宋"/>
          <w:bCs w:val="0"/>
          <w:i w:val="0"/>
          <w:szCs w:val="24"/>
          <w:lang w:eastAsia="zh-CN"/>
        </w:rPr>
        <w:t>68.  联合体牵头人项目管理费</w:t>
      </w:r>
      <w:r>
        <w:tab/>
      </w:r>
      <w:r>
        <w:fldChar w:fldCharType="begin"/>
      </w:r>
      <w:r>
        <w:instrText xml:space="preserve"> PAGEREF _Toc1479 \h </w:instrText>
      </w:r>
      <w:r>
        <w:fldChar w:fldCharType="separate"/>
      </w:r>
      <w:r>
        <w:t>177</w:t>
      </w:r>
      <w:r>
        <w:fldChar w:fldCharType="end"/>
      </w:r>
      <w:r>
        <w:rPr>
          <w:rFonts w:cs="仿宋"/>
          <w:lang w:eastAsia="zh-CN"/>
        </w:rPr>
        <w:fldChar w:fldCharType="end"/>
      </w:r>
    </w:p>
    <w:p w14:paraId="1BCD5CBC">
      <w:pPr>
        <w:pStyle w:val="34"/>
        <w:tabs>
          <w:tab w:val="right" w:leader="dot" w:pos="10204"/>
        </w:tabs>
      </w:pPr>
      <w:r>
        <w:rPr>
          <w:rFonts w:cs="仿宋"/>
          <w:lang w:eastAsia="zh-CN"/>
        </w:rPr>
        <w:fldChar w:fldCharType="begin"/>
      </w:r>
      <w:r>
        <w:rPr>
          <w:rFonts w:cs="仿宋"/>
          <w:lang w:eastAsia="zh-CN"/>
        </w:rPr>
        <w:instrText xml:space="preserve"> HYPERLINK \l _Toc9557 </w:instrText>
      </w:r>
      <w:r>
        <w:rPr>
          <w:rFonts w:cs="仿宋"/>
          <w:lang w:eastAsia="zh-CN"/>
        </w:rPr>
        <w:fldChar w:fldCharType="separate"/>
      </w:r>
      <w:r>
        <w:rPr>
          <w:rFonts w:hint="eastAsia" w:ascii="仿宋" w:hAnsi="仿宋" w:eastAsia="仿宋" w:cs="仿宋"/>
          <w:bCs w:val="0"/>
          <w:i w:val="0"/>
          <w:szCs w:val="24"/>
          <w:lang w:eastAsia="zh-CN"/>
        </w:rPr>
        <w:t>★69.  合同价格的约定与调整</w:t>
      </w:r>
      <w:r>
        <w:tab/>
      </w:r>
      <w:r>
        <w:fldChar w:fldCharType="begin"/>
      </w:r>
      <w:r>
        <w:instrText xml:space="preserve"> PAGEREF _Toc9557 \h </w:instrText>
      </w:r>
      <w:r>
        <w:fldChar w:fldCharType="separate"/>
      </w:r>
      <w:r>
        <w:t>177</w:t>
      </w:r>
      <w:r>
        <w:fldChar w:fldCharType="end"/>
      </w:r>
      <w:r>
        <w:rPr>
          <w:rFonts w:cs="仿宋"/>
          <w:lang w:eastAsia="zh-CN"/>
        </w:rPr>
        <w:fldChar w:fldCharType="end"/>
      </w:r>
    </w:p>
    <w:p w14:paraId="0BF62AC1">
      <w:pPr>
        <w:pStyle w:val="34"/>
        <w:tabs>
          <w:tab w:val="right" w:leader="dot" w:pos="10204"/>
        </w:tabs>
      </w:pPr>
      <w:r>
        <w:rPr>
          <w:rFonts w:cs="仿宋"/>
          <w:lang w:eastAsia="zh-CN"/>
        </w:rPr>
        <w:fldChar w:fldCharType="begin"/>
      </w:r>
      <w:r>
        <w:rPr>
          <w:rFonts w:cs="仿宋"/>
          <w:lang w:eastAsia="zh-CN"/>
        </w:rPr>
        <w:instrText xml:space="preserve"> HYPERLINK \l _Toc5623 </w:instrText>
      </w:r>
      <w:r>
        <w:rPr>
          <w:rFonts w:cs="仿宋"/>
          <w:lang w:eastAsia="zh-CN"/>
        </w:rPr>
        <w:fldChar w:fldCharType="separate"/>
      </w:r>
      <w:r>
        <w:rPr>
          <w:rFonts w:hint="eastAsia" w:ascii="仿宋" w:hAnsi="仿宋" w:eastAsia="仿宋" w:cs="仿宋"/>
          <w:bCs w:val="0"/>
          <w:i w:val="0"/>
          <w:szCs w:val="24"/>
          <w:lang w:eastAsia="zh-CN"/>
        </w:rPr>
        <w:t>★71.  工作量或工程量</w:t>
      </w:r>
      <w:r>
        <w:tab/>
      </w:r>
      <w:r>
        <w:fldChar w:fldCharType="begin"/>
      </w:r>
      <w:r>
        <w:instrText xml:space="preserve"> PAGEREF _Toc5623 \h </w:instrText>
      </w:r>
      <w:r>
        <w:fldChar w:fldCharType="separate"/>
      </w:r>
      <w:r>
        <w:t>178</w:t>
      </w:r>
      <w:r>
        <w:fldChar w:fldCharType="end"/>
      </w:r>
      <w:r>
        <w:rPr>
          <w:rFonts w:cs="仿宋"/>
          <w:lang w:eastAsia="zh-CN"/>
        </w:rPr>
        <w:fldChar w:fldCharType="end"/>
      </w:r>
    </w:p>
    <w:p w14:paraId="0F84347A">
      <w:pPr>
        <w:pStyle w:val="34"/>
        <w:tabs>
          <w:tab w:val="right" w:leader="dot" w:pos="10204"/>
        </w:tabs>
      </w:pPr>
      <w:r>
        <w:rPr>
          <w:rFonts w:cs="仿宋"/>
          <w:lang w:eastAsia="zh-CN"/>
        </w:rPr>
        <w:fldChar w:fldCharType="begin"/>
      </w:r>
      <w:r>
        <w:rPr>
          <w:rFonts w:cs="仿宋"/>
          <w:lang w:eastAsia="zh-CN"/>
        </w:rPr>
        <w:instrText xml:space="preserve"> HYPERLINK \l _Toc21659 </w:instrText>
      </w:r>
      <w:r>
        <w:rPr>
          <w:rFonts w:cs="仿宋"/>
          <w:lang w:eastAsia="zh-CN"/>
        </w:rPr>
        <w:fldChar w:fldCharType="separate"/>
      </w:r>
      <w:r>
        <w:rPr>
          <w:rFonts w:hint="eastAsia" w:ascii="仿宋" w:hAnsi="仿宋" w:eastAsia="仿宋" w:cs="仿宋"/>
          <w:bCs w:val="0"/>
          <w:i w:val="0"/>
          <w:iCs w:val="0"/>
          <w:szCs w:val="24"/>
          <w:lang w:eastAsia="zh-CN"/>
        </w:rPr>
        <w:t>★72.  计量和计价</w:t>
      </w:r>
      <w:r>
        <w:tab/>
      </w:r>
      <w:r>
        <w:fldChar w:fldCharType="begin"/>
      </w:r>
      <w:r>
        <w:instrText xml:space="preserve"> PAGEREF _Toc21659 \h </w:instrText>
      </w:r>
      <w:r>
        <w:fldChar w:fldCharType="separate"/>
      </w:r>
      <w:r>
        <w:t>178</w:t>
      </w:r>
      <w:r>
        <w:fldChar w:fldCharType="end"/>
      </w:r>
      <w:r>
        <w:rPr>
          <w:rFonts w:cs="仿宋"/>
          <w:lang w:eastAsia="zh-CN"/>
        </w:rPr>
        <w:fldChar w:fldCharType="end"/>
      </w:r>
    </w:p>
    <w:p w14:paraId="3F86B237">
      <w:pPr>
        <w:pStyle w:val="34"/>
        <w:tabs>
          <w:tab w:val="right" w:leader="dot" w:pos="10204"/>
        </w:tabs>
      </w:pPr>
      <w:r>
        <w:rPr>
          <w:rFonts w:cs="仿宋"/>
          <w:lang w:eastAsia="zh-CN"/>
        </w:rPr>
        <w:fldChar w:fldCharType="begin"/>
      </w:r>
      <w:r>
        <w:rPr>
          <w:rFonts w:cs="仿宋"/>
          <w:lang w:eastAsia="zh-CN"/>
        </w:rPr>
        <w:instrText xml:space="preserve"> HYPERLINK \l _Toc11203 </w:instrText>
      </w:r>
      <w:r>
        <w:rPr>
          <w:rFonts w:cs="仿宋"/>
          <w:lang w:eastAsia="zh-CN"/>
        </w:rPr>
        <w:fldChar w:fldCharType="separate"/>
      </w:r>
      <w:r>
        <w:rPr>
          <w:rFonts w:hint="eastAsia" w:ascii="仿宋" w:hAnsi="仿宋" w:eastAsia="仿宋" w:cs="仿宋"/>
          <w:bCs w:val="0"/>
          <w:szCs w:val="24"/>
          <w:lang w:eastAsia="zh-CN"/>
        </w:rPr>
        <w:t>★</w:t>
      </w:r>
      <w:r>
        <w:rPr>
          <w:rFonts w:hint="eastAsia" w:ascii="仿宋" w:hAnsi="仿宋" w:eastAsia="仿宋" w:cs="仿宋"/>
          <w:bCs w:val="0"/>
          <w:i w:val="0"/>
          <w:szCs w:val="24"/>
          <w:lang w:eastAsia="zh-CN"/>
        </w:rPr>
        <w:t>73.  暂列金额</w:t>
      </w:r>
      <w:r>
        <w:tab/>
      </w:r>
      <w:r>
        <w:fldChar w:fldCharType="begin"/>
      </w:r>
      <w:r>
        <w:instrText xml:space="preserve"> PAGEREF _Toc11203 \h </w:instrText>
      </w:r>
      <w:r>
        <w:fldChar w:fldCharType="separate"/>
      </w:r>
      <w:r>
        <w:t>182</w:t>
      </w:r>
      <w:r>
        <w:fldChar w:fldCharType="end"/>
      </w:r>
      <w:r>
        <w:rPr>
          <w:rFonts w:cs="仿宋"/>
          <w:lang w:eastAsia="zh-CN"/>
        </w:rPr>
        <w:fldChar w:fldCharType="end"/>
      </w:r>
    </w:p>
    <w:p w14:paraId="6E8C1B35">
      <w:pPr>
        <w:pStyle w:val="34"/>
        <w:tabs>
          <w:tab w:val="right" w:leader="dot" w:pos="10204"/>
        </w:tabs>
      </w:pPr>
      <w:r>
        <w:rPr>
          <w:rFonts w:cs="仿宋"/>
          <w:lang w:eastAsia="zh-CN"/>
        </w:rPr>
        <w:fldChar w:fldCharType="begin"/>
      </w:r>
      <w:r>
        <w:rPr>
          <w:rFonts w:cs="仿宋"/>
          <w:lang w:eastAsia="zh-CN"/>
        </w:rPr>
        <w:instrText xml:space="preserve"> HYPERLINK \l _Toc24320 </w:instrText>
      </w:r>
      <w:r>
        <w:rPr>
          <w:rFonts w:cs="仿宋"/>
          <w:lang w:eastAsia="zh-CN"/>
        </w:rPr>
        <w:fldChar w:fldCharType="separate"/>
      </w:r>
      <w:r>
        <w:rPr>
          <w:rFonts w:hint="eastAsia" w:ascii="仿宋" w:hAnsi="仿宋" w:eastAsia="仿宋" w:cs="仿宋"/>
          <w:bCs w:val="0"/>
          <w:i w:val="0"/>
          <w:iCs w:val="0"/>
          <w:szCs w:val="24"/>
          <w:lang w:eastAsia="zh-CN"/>
        </w:rPr>
        <w:t>★75. 暂估价</w:t>
      </w:r>
      <w:r>
        <w:tab/>
      </w:r>
      <w:r>
        <w:fldChar w:fldCharType="begin"/>
      </w:r>
      <w:r>
        <w:instrText xml:space="preserve"> PAGEREF _Toc24320 \h </w:instrText>
      </w:r>
      <w:r>
        <w:fldChar w:fldCharType="separate"/>
      </w:r>
      <w:r>
        <w:t>182</w:t>
      </w:r>
      <w:r>
        <w:fldChar w:fldCharType="end"/>
      </w:r>
      <w:r>
        <w:rPr>
          <w:rFonts w:cs="仿宋"/>
          <w:lang w:eastAsia="zh-CN"/>
        </w:rPr>
        <w:fldChar w:fldCharType="end"/>
      </w:r>
    </w:p>
    <w:p w14:paraId="0AD23F49">
      <w:pPr>
        <w:pStyle w:val="34"/>
        <w:tabs>
          <w:tab w:val="right" w:leader="dot" w:pos="10204"/>
        </w:tabs>
      </w:pPr>
      <w:r>
        <w:rPr>
          <w:rFonts w:cs="仿宋"/>
          <w:lang w:eastAsia="zh-CN"/>
        </w:rPr>
        <w:fldChar w:fldCharType="begin"/>
      </w:r>
      <w:r>
        <w:rPr>
          <w:rFonts w:cs="仿宋"/>
          <w:lang w:eastAsia="zh-CN"/>
        </w:rPr>
        <w:instrText xml:space="preserve"> HYPERLINK \l _Toc1372 </w:instrText>
      </w:r>
      <w:r>
        <w:rPr>
          <w:rFonts w:cs="仿宋"/>
          <w:lang w:eastAsia="zh-CN"/>
        </w:rPr>
        <w:fldChar w:fldCharType="separate"/>
      </w:r>
      <w:r>
        <w:rPr>
          <w:rFonts w:hint="eastAsia" w:ascii="仿宋" w:hAnsi="仿宋" w:eastAsia="仿宋" w:cs="仿宋"/>
          <w:bCs w:val="0"/>
          <w:i w:val="0"/>
          <w:iCs w:val="0"/>
          <w:szCs w:val="24"/>
          <w:lang w:eastAsia="zh-CN"/>
        </w:rPr>
        <w:t>★</w:t>
      </w:r>
      <w:r>
        <w:rPr>
          <w:rFonts w:hint="eastAsia" w:ascii="仿宋" w:hAnsi="仿宋" w:eastAsia="仿宋" w:cs="仿宋"/>
          <w:bCs w:val="0"/>
          <w:i w:val="0"/>
          <w:szCs w:val="24"/>
          <w:lang w:eastAsia="zh-CN"/>
        </w:rPr>
        <w:t>76.  提前竣工奖与误期赔偿费</w:t>
      </w:r>
      <w:r>
        <w:tab/>
      </w:r>
      <w:r>
        <w:fldChar w:fldCharType="begin"/>
      </w:r>
      <w:r>
        <w:instrText xml:space="preserve"> PAGEREF _Toc1372 \h </w:instrText>
      </w:r>
      <w:r>
        <w:fldChar w:fldCharType="separate"/>
      </w:r>
      <w:r>
        <w:t>182</w:t>
      </w:r>
      <w:r>
        <w:fldChar w:fldCharType="end"/>
      </w:r>
      <w:r>
        <w:rPr>
          <w:rFonts w:cs="仿宋"/>
          <w:lang w:eastAsia="zh-CN"/>
        </w:rPr>
        <w:fldChar w:fldCharType="end"/>
      </w:r>
    </w:p>
    <w:p w14:paraId="1B1CCCC9">
      <w:pPr>
        <w:pStyle w:val="34"/>
        <w:tabs>
          <w:tab w:val="right" w:leader="dot" w:pos="10204"/>
        </w:tabs>
      </w:pPr>
      <w:r>
        <w:rPr>
          <w:rFonts w:cs="仿宋"/>
          <w:lang w:eastAsia="zh-CN"/>
        </w:rPr>
        <w:fldChar w:fldCharType="begin"/>
      </w:r>
      <w:r>
        <w:rPr>
          <w:rFonts w:cs="仿宋"/>
          <w:lang w:eastAsia="zh-CN"/>
        </w:rPr>
        <w:instrText xml:space="preserve"> HYPERLINK \l _Toc21377 </w:instrText>
      </w:r>
      <w:r>
        <w:rPr>
          <w:rFonts w:cs="仿宋"/>
          <w:lang w:eastAsia="zh-CN"/>
        </w:rPr>
        <w:fldChar w:fldCharType="separate"/>
      </w:r>
      <w:r>
        <w:rPr>
          <w:rFonts w:hint="eastAsia" w:ascii="仿宋" w:hAnsi="仿宋" w:eastAsia="仿宋" w:cs="仿宋"/>
          <w:bCs w:val="0"/>
          <w:i w:val="0"/>
          <w:szCs w:val="24"/>
          <w:lang w:eastAsia="zh-CN"/>
        </w:rPr>
        <w:t>★77.  优质优价费用</w:t>
      </w:r>
      <w:r>
        <w:tab/>
      </w:r>
      <w:r>
        <w:fldChar w:fldCharType="begin"/>
      </w:r>
      <w:r>
        <w:instrText xml:space="preserve"> PAGEREF _Toc21377 \h </w:instrText>
      </w:r>
      <w:r>
        <w:fldChar w:fldCharType="separate"/>
      </w:r>
      <w:r>
        <w:t>183</w:t>
      </w:r>
      <w:r>
        <w:fldChar w:fldCharType="end"/>
      </w:r>
      <w:r>
        <w:rPr>
          <w:rFonts w:cs="仿宋"/>
          <w:lang w:eastAsia="zh-CN"/>
        </w:rPr>
        <w:fldChar w:fldCharType="end"/>
      </w:r>
    </w:p>
    <w:p w14:paraId="1B07C480">
      <w:pPr>
        <w:pStyle w:val="34"/>
        <w:tabs>
          <w:tab w:val="right" w:leader="dot" w:pos="10204"/>
        </w:tabs>
      </w:pPr>
      <w:r>
        <w:rPr>
          <w:rFonts w:cs="仿宋"/>
          <w:lang w:eastAsia="zh-CN"/>
        </w:rPr>
        <w:fldChar w:fldCharType="begin"/>
      </w:r>
      <w:r>
        <w:rPr>
          <w:rFonts w:cs="仿宋"/>
          <w:lang w:eastAsia="zh-CN"/>
        </w:rPr>
        <w:instrText xml:space="preserve"> HYPERLINK \l _Toc24850 </w:instrText>
      </w:r>
      <w:r>
        <w:rPr>
          <w:rFonts w:cs="仿宋"/>
          <w:lang w:eastAsia="zh-CN"/>
        </w:rPr>
        <w:fldChar w:fldCharType="separate"/>
      </w:r>
      <w:r>
        <w:rPr>
          <w:rFonts w:hint="eastAsia" w:ascii="仿宋" w:hAnsi="仿宋" w:eastAsia="仿宋" w:cs="仿宋"/>
          <w:bCs w:val="0"/>
          <w:i w:val="0"/>
          <w:szCs w:val="24"/>
          <w:lang w:eastAsia="zh-CN"/>
        </w:rPr>
        <w:t>79.  可调价变更定价</w:t>
      </w:r>
      <w:r>
        <w:tab/>
      </w:r>
      <w:r>
        <w:fldChar w:fldCharType="begin"/>
      </w:r>
      <w:r>
        <w:instrText xml:space="preserve"> PAGEREF _Toc24850 \h </w:instrText>
      </w:r>
      <w:r>
        <w:fldChar w:fldCharType="separate"/>
      </w:r>
      <w:r>
        <w:t>183</w:t>
      </w:r>
      <w:r>
        <w:fldChar w:fldCharType="end"/>
      </w:r>
      <w:r>
        <w:rPr>
          <w:rFonts w:cs="仿宋"/>
          <w:lang w:eastAsia="zh-CN"/>
        </w:rPr>
        <w:fldChar w:fldCharType="end"/>
      </w:r>
    </w:p>
    <w:p w14:paraId="11D4F971">
      <w:pPr>
        <w:pStyle w:val="34"/>
        <w:tabs>
          <w:tab w:val="right" w:leader="dot" w:pos="10204"/>
        </w:tabs>
      </w:pPr>
      <w:r>
        <w:rPr>
          <w:rFonts w:cs="仿宋"/>
          <w:lang w:eastAsia="zh-CN"/>
        </w:rPr>
        <w:fldChar w:fldCharType="begin"/>
      </w:r>
      <w:r>
        <w:rPr>
          <w:rFonts w:cs="仿宋"/>
          <w:lang w:eastAsia="zh-CN"/>
        </w:rPr>
        <w:instrText xml:space="preserve"> HYPERLINK \l _Toc23892 </w:instrText>
      </w:r>
      <w:r>
        <w:rPr>
          <w:rFonts w:cs="仿宋"/>
          <w:lang w:eastAsia="zh-CN"/>
        </w:rPr>
        <w:fldChar w:fldCharType="separate"/>
      </w:r>
      <w:r>
        <w:rPr>
          <w:rFonts w:hint="eastAsia" w:ascii="仿宋" w:hAnsi="仿宋" w:eastAsia="仿宋" w:cs="仿宋"/>
          <w:bCs w:val="0"/>
          <w:i w:val="0"/>
          <w:iCs w:val="0"/>
          <w:szCs w:val="24"/>
          <w:lang w:eastAsia="zh-CN"/>
        </w:rPr>
        <w:t>★81.  现场签证价格的确定</w:t>
      </w:r>
      <w:r>
        <w:tab/>
      </w:r>
      <w:r>
        <w:fldChar w:fldCharType="begin"/>
      </w:r>
      <w:r>
        <w:instrText xml:space="preserve"> PAGEREF _Toc23892 \h </w:instrText>
      </w:r>
      <w:r>
        <w:fldChar w:fldCharType="separate"/>
      </w:r>
      <w:r>
        <w:t>185</w:t>
      </w:r>
      <w:r>
        <w:fldChar w:fldCharType="end"/>
      </w:r>
      <w:r>
        <w:rPr>
          <w:rFonts w:cs="仿宋"/>
          <w:lang w:eastAsia="zh-CN"/>
        </w:rPr>
        <w:fldChar w:fldCharType="end"/>
      </w:r>
    </w:p>
    <w:p w14:paraId="1319ED64">
      <w:pPr>
        <w:pStyle w:val="34"/>
        <w:tabs>
          <w:tab w:val="right" w:leader="dot" w:pos="10204"/>
        </w:tabs>
      </w:pPr>
      <w:r>
        <w:rPr>
          <w:rFonts w:cs="仿宋"/>
          <w:lang w:eastAsia="zh-CN"/>
        </w:rPr>
        <w:fldChar w:fldCharType="begin"/>
      </w:r>
      <w:r>
        <w:rPr>
          <w:rFonts w:cs="仿宋"/>
          <w:lang w:eastAsia="zh-CN"/>
        </w:rPr>
        <w:instrText xml:space="preserve"> HYPERLINK \l _Toc4831 </w:instrText>
      </w:r>
      <w:r>
        <w:rPr>
          <w:rFonts w:cs="仿宋"/>
          <w:lang w:eastAsia="zh-CN"/>
        </w:rPr>
        <w:fldChar w:fldCharType="separate"/>
      </w:r>
      <w:r>
        <w:rPr>
          <w:rFonts w:hint="eastAsia" w:ascii="仿宋" w:hAnsi="仿宋" w:eastAsia="仿宋" w:cs="仿宋"/>
          <w:bCs w:val="0"/>
          <w:i w:val="0"/>
          <w:szCs w:val="24"/>
          <w:lang w:eastAsia="zh-CN"/>
        </w:rPr>
        <w:t>★82.  物价涨落的价格调整</w:t>
      </w:r>
      <w:r>
        <w:tab/>
      </w:r>
      <w:r>
        <w:fldChar w:fldCharType="begin"/>
      </w:r>
      <w:r>
        <w:instrText xml:space="preserve"> PAGEREF _Toc4831 \h </w:instrText>
      </w:r>
      <w:r>
        <w:fldChar w:fldCharType="separate"/>
      </w:r>
      <w:r>
        <w:t>185</w:t>
      </w:r>
      <w:r>
        <w:fldChar w:fldCharType="end"/>
      </w:r>
      <w:r>
        <w:rPr>
          <w:rFonts w:cs="仿宋"/>
          <w:lang w:eastAsia="zh-CN"/>
        </w:rPr>
        <w:fldChar w:fldCharType="end"/>
      </w:r>
    </w:p>
    <w:p w14:paraId="5D9603D7">
      <w:pPr>
        <w:pStyle w:val="34"/>
        <w:tabs>
          <w:tab w:val="right" w:leader="dot" w:pos="10204"/>
        </w:tabs>
      </w:pPr>
      <w:r>
        <w:rPr>
          <w:rFonts w:cs="仿宋"/>
          <w:lang w:eastAsia="zh-CN"/>
        </w:rPr>
        <w:fldChar w:fldCharType="begin"/>
      </w:r>
      <w:r>
        <w:rPr>
          <w:rFonts w:cs="仿宋"/>
          <w:lang w:eastAsia="zh-CN"/>
        </w:rPr>
        <w:instrText xml:space="preserve"> HYPERLINK \l _Toc26550 </w:instrText>
      </w:r>
      <w:r>
        <w:rPr>
          <w:rFonts w:cs="仿宋"/>
          <w:lang w:eastAsia="zh-CN"/>
        </w:rPr>
        <w:fldChar w:fldCharType="separate"/>
      </w:r>
      <w:r>
        <w:rPr>
          <w:rFonts w:hint="eastAsia" w:ascii="仿宋" w:hAnsi="仿宋" w:eastAsia="仿宋" w:cs="仿宋"/>
          <w:bCs w:val="0"/>
          <w:i w:val="0"/>
          <w:szCs w:val="24"/>
          <w:lang w:eastAsia="zh-CN"/>
        </w:rPr>
        <w:t>★83.  支付事项</w:t>
      </w:r>
      <w:r>
        <w:tab/>
      </w:r>
      <w:r>
        <w:fldChar w:fldCharType="begin"/>
      </w:r>
      <w:r>
        <w:instrText xml:space="preserve"> PAGEREF _Toc26550 \h </w:instrText>
      </w:r>
      <w:r>
        <w:fldChar w:fldCharType="separate"/>
      </w:r>
      <w:r>
        <w:t>186</w:t>
      </w:r>
      <w:r>
        <w:fldChar w:fldCharType="end"/>
      </w:r>
      <w:r>
        <w:rPr>
          <w:rFonts w:cs="仿宋"/>
          <w:lang w:eastAsia="zh-CN"/>
        </w:rPr>
        <w:fldChar w:fldCharType="end"/>
      </w:r>
    </w:p>
    <w:p w14:paraId="166C9DDA">
      <w:pPr>
        <w:pStyle w:val="34"/>
        <w:tabs>
          <w:tab w:val="right" w:leader="dot" w:pos="10204"/>
        </w:tabs>
      </w:pPr>
      <w:r>
        <w:rPr>
          <w:rFonts w:cs="仿宋"/>
          <w:lang w:eastAsia="zh-CN"/>
        </w:rPr>
        <w:fldChar w:fldCharType="begin"/>
      </w:r>
      <w:r>
        <w:rPr>
          <w:rFonts w:cs="仿宋"/>
          <w:lang w:eastAsia="zh-CN"/>
        </w:rPr>
        <w:instrText xml:space="preserve"> HYPERLINK \l _Toc27511 </w:instrText>
      </w:r>
      <w:r>
        <w:rPr>
          <w:rFonts w:cs="仿宋"/>
          <w:lang w:eastAsia="zh-CN"/>
        </w:rPr>
        <w:fldChar w:fldCharType="separate"/>
      </w:r>
      <w:r>
        <w:rPr>
          <w:rFonts w:hint="eastAsia" w:ascii="仿宋" w:hAnsi="仿宋" w:eastAsia="仿宋" w:cs="仿宋"/>
          <w:bCs w:val="0"/>
          <w:i w:val="0"/>
          <w:szCs w:val="24"/>
          <w:lang w:eastAsia="zh-CN"/>
        </w:rPr>
        <w:t>★84.  预付款</w:t>
      </w:r>
      <w:r>
        <w:tab/>
      </w:r>
      <w:r>
        <w:fldChar w:fldCharType="begin"/>
      </w:r>
      <w:r>
        <w:instrText xml:space="preserve"> PAGEREF _Toc27511 \h </w:instrText>
      </w:r>
      <w:r>
        <w:fldChar w:fldCharType="separate"/>
      </w:r>
      <w:r>
        <w:t>187</w:t>
      </w:r>
      <w:r>
        <w:fldChar w:fldCharType="end"/>
      </w:r>
      <w:r>
        <w:rPr>
          <w:rFonts w:cs="仿宋"/>
          <w:lang w:eastAsia="zh-CN"/>
        </w:rPr>
        <w:fldChar w:fldCharType="end"/>
      </w:r>
    </w:p>
    <w:p w14:paraId="174A1D5A">
      <w:pPr>
        <w:pStyle w:val="34"/>
        <w:tabs>
          <w:tab w:val="right" w:leader="dot" w:pos="10204"/>
        </w:tabs>
      </w:pPr>
      <w:r>
        <w:rPr>
          <w:rFonts w:cs="仿宋"/>
          <w:lang w:eastAsia="zh-CN"/>
        </w:rPr>
        <w:fldChar w:fldCharType="begin"/>
      </w:r>
      <w:r>
        <w:rPr>
          <w:rFonts w:cs="仿宋"/>
          <w:lang w:eastAsia="zh-CN"/>
        </w:rPr>
        <w:instrText xml:space="preserve"> HYPERLINK \l _Toc29014 </w:instrText>
      </w:r>
      <w:r>
        <w:rPr>
          <w:rFonts w:cs="仿宋"/>
          <w:lang w:eastAsia="zh-CN"/>
        </w:rPr>
        <w:fldChar w:fldCharType="separate"/>
      </w:r>
      <w:r>
        <w:rPr>
          <w:rFonts w:hint="eastAsia" w:ascii="仿宋" w:hAnsi="仿宋" w:eastAsia="仿宋" w:cs="仿宋"/>
          <w:bCs w:val="0"/>
          <w:i w:val="0"/>
          <w:szCs w:val="24"/>
          <w:lang w:eastAsia="zh-CN"/>
        </w:rPr>
        <w:t>★85.  绿色施工安全防护费</w:t>
      </w:r>
      <w:r>
        <w:tab/>
      </w:r>
      <w:r>
        <w:fldChar w:fldCharType="begin"/>
      </w:r>
      <w:r>
        <w:instrText xml:space="preserve"> PAGEREF _Toc29014 \h </w:instrText>
      </w:r>
      <w:r>
        <w:fldChar w:fldCharType="separate"/>
      </w:r>
      <w:r>
        <w:t>188</w:t>
      </w:r>
      <w:r>
        <w:fldChar w:fldCharType="end"/>
      </w:r>
      <w:r>
        <w:rPr>
          <w:rFonts w:cs="仿宋"/>
          <w:lang w:eastAsia="zh-CN"/>
        </w:rPr>
        <w:fldChar w:fldCharType="end"/>
      </w:r>
    </w:p>
    <w:p w14:paraId="745D60F3">
      <w:pPr>
        <w:pStyle w:val="34"/>
        <w:tabs>
          <w:tab w:val="right" w:leader="dot" w:pos="10204"/>
        </w:tabs>
      </w:pPr>
      <w:r>
        <w:rPr>
          <w:rFonts w:cs="仿宋"/>
          <w:lang w:eastAsia="zh-CN"/>
        </w:rPr>
        <w:fldChar w:fldCharType="begin"/>
      </w:r>
      <w:r>
        <w:rPr>
          <w:rFonts w:cs="仿宋"/>
          <w:lang w:eastAsia="zh-CN"/>
        </w:rPr>
        <w:instrText xml:space="preserve"> HYPERLINK \l _Toc9351 </w:instrText>
      </w:r>
      <w:r>
        <w:rPr>
          <w:rFonts w:cs="仿宋"/>
          <w:lang w:eastAsia="zh-CN"/>
        </w:rPr>
        <w:fldChar w:fldCharType="separate"/>
      </w:r>
      <w:r>
        <w:rPr>
          <w:rFonts w:hint="eastAsia" w:ascii="仿宋" w:hAnsi="仿宋" w:eastAsia="仿宋" w:cs="仿宋"/>
          <w:bCs w:val="0"/>
          <w:i w:val="0"/>
          <w:szCs w:val="24"/>
          <w:lang w:eastAsia="zh-CN"/>
        </w:rPr>
        <w:t>★86.  进度款</w:t>
      </w:r>
      <w:r>
        <w:tab/>
      </w:r>
      <w:r>
        <w:fldChar w:fldCharType="begin"/>
      </w:r>
      <w:r>
        <w:instrText xml:space="preserve"> PAGEREF _Toc9351 \h </w:instrText>
      </w:r>
      <w:r>
        <w:fldChar w:fldCharType="separate"/>
      </w:r>
      <w:r>
        <w:t>190</w:t>
      </w:r>
      <w:r>
        <w:fldChar w:fldCharType="end"/>
      </w:r>
      <w:r>
        <w:rPr>
          <w:rFonts w:cs="仿宋"/>
          <w:lang w:eastAsia="zh-CN"/>
        </w:rPr>
        <w:fldChar w:fldCharType="end"/>
      </w:r>
    </w:p>
    <w:p w14:paraId="701E4B75">
      <w:pPr>
        <w:pStyle w:val="34"/>
        <w:tabs>
          <w:tab w:val="right" w:leader="dot" w:pos="10204"/>
        </w:tabs>
      </w:pPr>
      <w:r>
        <w:rPr>
          <w:rFonts w:cs="仿宋"/>
          <w:lang w:eastAsia="zh-CN"/>
        </w:rPr>
        <w:fldChar w:fldCharType="begin"/>
      </w:r>
      <w:r>
        <w:rPr>
          <w:rFonts w:cs="仿宋"/>
          <w:lang w:eastAsia="zh-CN"/>
        </w:rPr>
        <w:instrText xml:space="preserve"> HYPERLINK \l _Toc25681 </w:instrText>
      </w:r>
      <w:r>
        <w:rPr>
          <w:rFonts w:cs="仿宋"/>
          <w:lang w:eastAsia="zh-CN"/>
        </w:rPr>
        <w:fldChar w:fldCharType="separate"/>
      </w:r>
      <w:r>
        <w:rPr>
          <w:rFonts w:hint="eastAsia" w:ascii="仿宋" w:hAnsi="仿宋" w:eastAsia="仿宋" w:cs="仿宋"/>
          <w:szCs w:val="24"/>
          <w:lang w:eastAsia="zh-CN"/>
        </w:rPr>
        <w:t>★</w:t>
      </w:r>
      <w:r>
        <w:rPr>
          <w:rFonts w:hint="eastAsia" w:ascii="仿宋" w:hAnsi="仿宋" w:eastAsia="仿宋" w:cs="仿宋"/>
          <w:bCs w:val="0"/>
          <w:i w:val="0"/>
          <w:szCs w:val="24"/>
          <w:lang w:eastAsia="zh-CN"/>
        </w:rPr>
        <w:t>87.  竣工结算</w:t>
      </w:r>
      <w:r>
        <w:tab/>
      </w:r>
      <w:r>
        <w:fldChar w:fldCharType="begin"/>
      </w:r>
      <w:r>
        <w:instrText xml:space="preserve"> PAGEREF _Toc25681 \h </w:instrText>
      </w:r>
      <w:r>
        <w:fldChar w:fldCharType="separate"/>
      </w:r>
      <w:r>
        <w:t>194</w:t>
      </w:r>
      <w:r>
        <w:fldChar w:fldCharType="end"/>
      </w:r>
      <w:r>
        <w:rPr>
          <w:rFonts w:cs="仿宋"/>
          <w:lang w:eastAsia="zh-CN"/>
        </w:rPr>
        <w:fldChar w:fldCharType="end"/>
      </w:r>
    </w:p>
    <w:p w14:paraId="4EF4F87E">
      <w:pPr>
        <w:pStyle w:val="34"/>
        <w:tabs>
          <w:tab w:val="right" w:leader="dot" w:pos="10204"/>
        </w:tabs>
      </w:pPr>
      <w:r>
        <w:rPr>
          <w:rFonts w:cs="仿宋"/>
          <w:lang w:eastAsia="zh-CN"/>
        </w:rPr>
        <w:fldChar w:fldCharType="begin"/>
      </w:r>
      <w:r>
        <w:rPr>
          <w:rFonts w:cs="仿宋"/>
          <w:lang w:eastAsia="zh-CN"/>
        </w:rPr>
        <w:instrText xml:space="preserve"> HYPERLINK \l _Toc10810 </w:instrText>
      </w:r>
      <w:r>
        <w:rPr>
          <w:rFonts w:cs="仿宋"/>
          <w:lang w:eastAsia="zh-CN"/>
        </w:rPr>
        <w:fldChar w:fldCharType="separate"/>
      </w:r>
      <w:r>
        <w:rPr>
          <w:rFonts w:hint="eastAsia" w:ascii="仿宋" w:hAnsi="仿宋" w:eastAsia="仿宋" w:cs="仿宋"/>
          <w:bCs w:val="0"/>
          <w:i w:val="0"/>
          <w:szCs w:val="24"/>
          <w:lang w:eastAsia="zh-CN"/>
        </w:rPr>
        <w:t>★88.  结算款</w:t>
      </w:r>
      <w:r>
        <w:tab/>
      </w:r>
      <w:r>
        <w:fldChar w:fldCharType="begin"/>
      </w:r>
      <w:r>
        <w:instrText xml:space="preserve"> PAGEREF _Toc10810 \h </w:instrText>
      </w:r>
      <w:r>
        <w:fldChar w:fldCharType="separate"/>
      </w:r>
      <w:r>
        <w:t>197</w:t>
      </w:r>
      <w:r>
        <w:fldChar w:fldCharType="end"/>
      </w:r>
      <w:r>
        <w:rPr>
          <w:rFonts w:cs="仿宋"/>
          <w:lang w:eastAsia="zh-CN"/>
        </w:rPr>
        <w:fldChar w:fldCharType="end"/>
      </w:r>
    </w:p>
    <w:p w14:paraId="6FA6BF6D">
      <w:pPr>
        <w:pStyle w:val="34"/>
        <w:tabs>
          <w:tab w:val="right" w:leader="dot" w:pos="10204"/>
        </w:tabs>
      </w:pPr>
      <w:r>
        <w:rPr>
          <w:rFonts w:cs="仿宋"/>
          <w:lang w:eastAsia="zh-CN"/>
        </w:rPr>
        <w:fldChar w:fldCharType="begin"/>
      </w:r>
      <w:r>
        <w:rPr>
          <w:rFonts w:cs="仿宋"/>
          <w:lang w:eastAsia="zh-CN"/>
        </w:rPr>
        <w:instrText xml:space="preserve"> HYPERLINK \l _Toc15047 </w:instrText>
      </w:r>
      <w:r>
        <w:rPr>
          <w:rFonts w:cs="仿宋"/>
          <w:lang w:eastAsia="zh-CN"/>
        </w:rPr>
        <w:fldChar w:fldCharType="separate"/>
      </w:r>
      <w:r>
        <w:rPr>
          <w:rFonts w:hint="eastAsia" w:ascii="仿宋" w:hAnsi="仿宋" w:eastAsia="仿宋" w:cs="仿宋"/>
          <w:bCs w:val="0"/>
          <w:i w:val="0"/>
          <w:szCs w:val="24"/>
          <w:lang w:eastAsia="zh-CN"/>
        </w:rPr>
        <w:t>★89.  质量保证金</w:t>
      </w:r>
      <w:r>
        <w:tab/>
      </w:r>
      <w:r>
        <w:fldChar w:fldCharType="begin"/>
      </w:r>
      <w:r>
        <w:instrText xml:space="preserve"> PAGEREF _Toc15047 \h </w:instrText>
      </w:r>
      <w:r>
        <w:fldChar w:fldCharType="separate"/>
      </w:r>
      <w:r>
        <w:t>197</w:t>
      </w:r>
      <w:r>
        <w:fldChar w:fldCharType="end"/>
      </w:r>
      <w:r>
        <w:rPr>
          <w:rFonts w:cs="仿宋"/>
          <w:lang w:eastAsia="zh-CN"/>
        </w:rPr>
        <w:fldChar w:fldCharType="end"/>
      </w:r>
    </w:p>
    <w:p w14:paraId="008A5350">
      <w:pPr>
        <w:pStyle w:val="34"/>
        <w:tabs>
          <w:tab w:val="right" w:leader="dot" w:pos="10204"/>
        </w:tabs>
      </w:pPr>
      <w:r>
        <w:rPr>
          <w:rFonts w:cs="仿宋"/>
          <w:lang w:eastAsia="zh-CN"/>
        </w:rPr>
        <w:fldChar w:fldCharType="begin"/>
      </w:r>
      <w:r>
        <w:rPr>
          <w:rFonts w:cs="仿宋"/>
          <w:lang w:eastAsia="zh-CN"/>
        </w:rPr>
        <w:instrText xml:space="preserve"> HYPERLINK \l _Toc3255 </w:instrText>
      </w:r>
      <w:r>
        <w:rPr>
          <w:rFonts w:cs="仿宋"/>
          <w:lang w:eastAsia="zh-CN"/>
        </w:rPr>
        <w:fldChar w:fldCharType="separate"/>
      </w:r>
      <w:r>
        <w:rPr>
          <w:rFonts w:hint="eastAsia" w:ascii="仿宋" w:hAnsi="仿宋" w:eastAsia="仿宋" w:cs="仿宋"/>
          <w:bCs w:val="0"/>
          <w:i w:val="0"/>
          <w:iCs w:val="0"/>
          <w:szCs w:val="24"/>
          <w:lang w:eastAsia="zh-CN"/>
        </w:rPr>
        <w:t>90.  最终清算款</w:t>
      </w:r>
      <w:r>
        <w:tab/>
      </w:r>
      <w:r>
        <w:fldChar w:fldCharType="begin"/>
      </w:r>
      <w:r>
        <w:instrText xml:space="preserve"> PAGEREF _Toc3255 \h </w:instrText>
      </w:r>
      <w:r>
        <w:fldChar w:fldCharType="separate"/>
      </w:r>
      <w:r>
        <w:t>198</w:t>
      </w:r>
      <w:r>
        <w:fldChar w:fldCharType="end"/>
      </w:r>
      <w:r>
        <w:rPr>
          <w:rFonts w:cs="仿宋"/>
          <w:lang w:eastAsia="zh-CN"/>
        </w:rPr>
        <w:fldChar w:fldCharType="end"/>
      </w:r>
    </w:p>
    <w:p w14:paraId="6F0CA690">
      <w:pPr>
        <w:pStyle w:val="34"/>
        <w:tabs>
          <w:tab w:val="right" w:leader="dot" w:pos="10204"/>
        </w:tabs>
      </w:pPr>
      <w:r>
        <w:rPr>
          <w:rFonts w:cs="仿宋"/>
          <w:lang w:eastAsia="zh-CN"/>
        </w:rPr>
        <w:fldChar w:fldCharType="begin"/>
      </w:r>
      <w:r>
        <w:rPr>
          <w:rFonts w:cs="仿宋"/>
          <w:lang w:eastAsia="zh-CN"/>
        </w:rPr>
        <w:instrText xml:space="preserve"> HYPERLINK \l _Toc19661 </w:instrText>
      </w:r>
      <w:r>
        <w:rPr>
          <w:rFonts w:cs="仿宋"/>
          <w:lang w:eastAsia="zh-CN"/>
        </w:rPr>
        <w:fldChar w:fldCharType="separate"/>
      </w:r>
      <w:r>
        <w:rPr>
          <w:rFonts w:hint="eastAsia" w:ascii="仿宋" w:hAnsi="仿宋" w:eastAsia="仿宋" w:cs="仿宋"/>
          <w:bCs w:val="0"/>
          <w:i w:val="0"/>
          <w:iCs w:val="0"/>
          <w:szCs w:val="24"/>
          <w:lang w:eastAsia="zh-CN"/>
        </w:rPr>
        <w:t>91.  合同争议</w:t>
      </w:r>
      <w:r>
        <w:tab/>
      </w:r>
      <w:r>
        <w:fldChar w:fldCharType="begin"/>
      </w:r>
      <w:r>
        <w:instrText xml:space="preserve"> PAGEREF _Toc19661 \h </w:instrText>
      </w:r>
      <w:r>
        <w:fldChar w:fldCharType="separate"/>
      </w:r>
      <w:r>
        <w:t>199</w:t>
      </w:r>
      <w:r>
        <w:fldChar w:fldCharType="end"/>
      </w:r>
      <w:r>
        <w:rPr>
          <w:rFonts w:cs="仿宋"/>
          <w:lang w:eastAsia="zh-CN"/>
        </w:rPr>
        <w:fldChar w:fldCharType="end"/>
      </w:r>
    </w:p>
    <w:p w14:paraId="63B3B849">
      <w:pPr>
        <w:pStyle w:val="34"/>
        <w:tabs>
          <w:tab w:val="right" w:leader="dot" w:pos="10204"/>
        </w:tabs>
      </w:pPr>
      <w:r>
        <w:rPr>
          <w:rFonts w:cs="仿宋"/>
          <w:lang w:eastAsia="zh-CN"/>
        </w:rPr>
        <w:fldChar w:fldCharType="begin"/>
      </w:r>
      <w:r>
        <w:rPr>
          <w:rFonts w:cs="仿宋"/>
          <w:lang w:eastAsia="zh-CN"/>
        </w:rPr>
        <w:instrText xml:space="preserve"> HYPERLINK \l _Toc26824 </w:instrText>
      </w:r>
      <w:r>
        <w:rPr>
          <w:rFonts w:cs="仿宋"/>
          <w:lang w:eastAsia="zh-CN"/>
        </w:rPr>
        <w:fldChar w:fldCharType="separate"/>
      </w:r>
      <w:r>
        <w:rPr>
          <w:rFonts w:hint="eastAsia" w:ascii="仿宋" w:hAnsi="仿宋" w:eastAsia="仿宋" w:cs="仿宋"/>
          <w:bCs w:val="0"/>
          <w:i w:val="0"/>
          <w:szCs w:val="24"/>
          <w:lang w:eastAsia="zh-CN"/>
        </w:rPr>
        <w:t>92.  合同解除</w:t>
      </w:r>
      <w:r>
        <w:tab/>
      </w:r>
      <w:r>
        <w:fldChar w:fldCharType="begin"/>
      </w:r>
      <w:r>
        <w:instrText xml:space="preserve"> PAGEREF _Toc26824 \h </w:instrText>
      </w:r>
      <w:r>
        <w:fldChar w:fldCharType="separate"/>
      </w:r>
      <w:r>
        <w:t>199</w:t>
      </w:r>
      <w:r>
        <w:fldChar w:fldCharType="end"/>
      </w:r>
      <w:r>
        <w:rPr>
          <w:rFonts w:cs="仿宋"/>
          <w:lang w:eastAsia="zh-CN"/>
        </w:rPr>
        <w:fldChar w:fldCharType="end"/>
      </w:r>
    </w:p>
    <w:p w14:paraId="79F54D70">
      <w:pPr>
        <w:pStyle w:val="34"/>
        <w:tabs>
          <w:tab w:val="right" w:leader="dot" w:pos="10204"/>
        </w:tabs>
      </w:pPr>
      <w:r>
        <w:rPr>
          <w:rFonts w:cs="仿宋"/>
          <w:lang w:eastAsia="zh-CN"/>
        </w:rPr>
        <w:fldChar w:fldCharType="begin"/>
      </w:r>
      <w:r>
        <w:rPr>
          <w:rFonts w:cs="仿宋"/>
          <w:lang w:eastAsia="zh-CN"/>
        </w:rPr>
        <w:instrText xml:space="preserve"> HYPERLINK \l _Toc18002 </w:instrText>
      </w:r>
      <w:r>
        <w:rPr>
          <w:rFonts w:cs="仿宋"/>
          <w:lang w:eastAsia="zh-CN"/>
        </w:rPr>
        <w:fldChar w:fldCharType="separate"/>
      </w:r>
      <w:r>
        <w:rPr>
          <w:rFonts w:hint="eastAsia" w:ascii="仿宋" w:hAnsi="仿宋" w:eastAsia="仿宋" w:cs="仿宋"/>
          <w:szCs w:val="24"/>
          <w:lang w:eastAsia="zh-CN"/>
        </w:rPr>
        <w:t>★</w:t>
      </w:r>
      <w:r>
        <w:rPr>
          <w:rFonts w:hint="eastAsia" w:ascii="仿宋" w:hAnsi="仿宋" w:eastAsia="仿宋" w:cs="仿宋"/>
          <w:bCs w:val="0"/>
          <w:i w:val="0"/>
          <w:szCs w:val="24"/>
          <w:lang w:eastAsia="zh-CN"/>
        </w:rPr>
        <w:t>95</w:t>
      </w:r>
      <w:r>
        <w:rPr>
          <w:rFonts w:ascii="仿宋" w:hAnsi="仿宋" w:eastAsia="仿宋" w:cs="仿宋"/>
          <w:bCs w:val="0"/>
          <w:i w:val="0"/>
          <w:szCs w:val="24"/>
          <w:lang w:eastAsia="zh-CN"/>
        </w:rPr>
        <w:t xml:space="preserve">  </w:t>
      </w:r>
      <w:r>
        <w:rPr>
          <w:rFonts w:hint="eastAsia" w:ascii="仿宋" w:hAnsi="仿宋" w:eastAsia="仿宋" w:cs="仿宋"/>
          <w:bCs w:val="0"/>
          <w:i w:val="0"/>
          <w:szCs w:val="24"/>
          <w:lang w:eastAsia="zh-CN"/>
        </w:rPr>
        <w:t>承包人违约</w:t>
      </w:r>
      <w:r>
        <w:tab/>
      </w:r>
      <w:r>
        <w:fldChar w:fldCharType="begin"/>
      </w:r>
      <w:r>
        <w:instrText xml:space="preserve"> PAGEREF _Toc18002 \h </w:instrText>
      </w:r>
      <w:r>
        <w:fldChar w:fldCharType="separate"/>
      </w:r>
      <w:r>
        <w:t>199</w:t>
      </w:r>
      <w:r>
        <w:fldChar w:fldCharType="end"/>
      </w:r>
      <w:r>
        <w:rPr>
          <w:rFonts w:cs="仿宋"/>
          <w:lang w:eastAsia="zh-CN"/>
        </w:rPr>
        <w:fldChar w:fldCharType="end"/>
      </w:r>
    </w:p>
    <w:p w14:paraId="2BF45AE1">
      <w:pPr>
        <w:pStyle w:val="34"/>
        <w:tabs>
          <w:tab w:val="right" w:leader="dot" w:pos="10204"/>
        </w:tabs>
      </w:pPr>
      <w:r>
        <w:rPr>
          <w:rFonts w:cs="仿宋"/>
          <w:lang w:eastAsia="zh-CN"/>
        </w:rPr>
        <w:fldChar w:fldCharType="begin"/>
      </w:r>
      <w:r>
        <w:rPr>
          <w:rFonts w:cs="仿宋"/>
          <w:lang w:eastAsia="zh-CN"/>
        </w:rPr>
        <w:instrText xml:space="preserve"> HYPERLINK \l _Toc1711 </w:instrText>
      </w:r>
      <w:r>
        <w:rPr>
          <w:rFonts w:cs="仿宋"/>
          <w:lang w:eastAsia="zh-CN"/>
        </w:rPr>
        <w:fldChar w:fldCharType="separate"/>
      </w:r>
      <w:r>
        <w:rPr>
          <w:rFonts w:hint="eastAsia" w:ascii="仿宋" w:hAnsi="仿宋" w:eastAsia="仿宋" w:cs="仿宋"/>
          <w:bCs w:val="0"/>
          <w:i w:val="0"/>
          <w:iCs w:val="0"/>
          <w:szCs w:val="24"/>
          <w:lang w:eastAsia="zh-CN"/>
        </w:rPr>
        <w:t>★96  发包人违约</w:t>
      </w:r>
      <w:r>
        <w:tab/>
      </w:r>
      <w:r>
        <w:fldChar w:fldCharType="begin"/>
      </w:r>
      <w:r>
        <w:instrText xml:space="preserve"> PAGEREF _Toc1711 \h </w:instrText>
      </w:r>
      <w:r>
        <w:fldChar w:fldCharType="separate"/>
      </w:r>
      <w:r>
        <w:t>203</w:t>
      </w:r>
      <w:r>
        <w:fldChar w:fldCharType="end"/>
      </w:r>
      <w:r>
        <w:rPr>
          <w:rFonts w:cs="仿宋"/>
          <w:lang w:eastAsia="zh-CN"/>
        </w:rPr>
        <w:fldChar w:fldCharType="end"/>
      </w:r>
    </w:p>
    <w:p w14:paraId="29E44DCD">
      <w:pPr>
        <w:pStyle w:val="29"/>
        <w:tabs>
          <w:tab w:val="right" w:leader="dot" w:pos="10204"/>
        </w:tabs>
      </w:pPr>
      <w:r>
        <w:rPr>
          <w:rFonts w:cs="仿宋"/>
          <w:lang w:eastAsia="zh-CN"/>
        </w:rPr>
        <w:fldChar w:fldCharType="begin"/>
      </w:r>
      <w:r>
        <w:rPr>
          <w:rFonts w:cs="仿宋"/>
          <w:lang w:eastAsia="zh-CN"/>
        </w:rPr>
        <w:instrText xml:space="preserve"> HYPERLINK \l _Toc12890 </w:instrText>
      </w:r>
      <w:r>
        <w:rPr>
          <w:rFonts w:cs="仿宋"/>
          <w:lang w:eastAsia="zh-CN"/>
        </w:rPr>
        <w:fldChar w:fldCharType="separate"/>
      </w:r>
      <w:r>
        <w:rPr>
          <w:rFonts w:hint="eastAsia" w:ascii="宋体" w:hAnsi="宋体" w:cs="宋体"/>
          <w:bCs w:val="0"/>
          <w:szCs w:val="36"/>
          <w:lang w:val="zh-CN" w:eastAsia="zh-CN"/>
        </w:rPr>
        <w:t>第四部分  附件与格式</w:t>
      </w:r>
      <w:r>
        <w:tab/>
      </w:r>
      <w:r>
        <w:fldChar w:fldCharType="begin"/>
      </w:r>
      <w:r>
        <w:instrText xml:space="preserve"> PAGEREF _Toc12890 \h </w:instrText>
      </w:r>
      <w:r>
        <w:fldChar w:fldCharType="separate"/>
      </w:r>
      <w:r>
        <w:t>204</w:t>
      </w:r>
      <w:r>
        <w:fldChar w:fldCharType="end"/>
      </w:r>
      <w:r>
        <w:rPr>
          <w:rFonts w:cs="仿宋"/>
          <w:lang w:eastAsia="zh-CN"/>
        </w:rPr>
        <w:fldChar w:fldCharType="end"/>
      </w:r>
    </w:p>
    <w:p w14:paraId="7BA4EC08">
      <w:pPr>
        <w:pStyle w:val="34"/>
        <w:tabs>
          <w:tab w:val="right" w:leader="dot" w:pos="10204"/>
        </w:tabs>
      </w:pPr>
      <w:r>
        <w:rPr>
          <w:rFonts w:cs="仿宋"/>
          <w:lang w:eastAsia="zh-CN"/>
        </w:rPr>
        <w:fldChar w:fldCharType="begin"/>
      </w:r>
      <w:r>
        <w:rPr>
          <w:rFonts w:cs="仿宋"/>
          <w:lang w:eastAsia="zh-CN"/>
        </w:rPr>
        <w:instrText xml:space="preserve"> HYPERLINK \l _Toc16901 </w:instrText>
      </w:r>
      <w:r>
        <w:rPr>
          <w:rFonts w:cs="仿宋"/>
          <w:lang w:eastAsia="zh-CN"/>
        </w:rPr>
        <w:fldChar w:fldCharType="separate"/>
      </w:r>
      <w:r>
        <w:rPr>
          <w:rFonts w:hint="eastAsia" w:ascii="仿宋" w:hAnsi="仿宋" w:eastAsia="仿宋" w:cs="仿宋"/>
          <w:bCs/>
          <w:lang w:eastAsia="zh-CN"/>
        </w:rPr>
        <w:t>附件一：中标通知书</w:t>
      </w:r>
      <w:r>
        <w:tab/>
      </w:r>
      <w:r>
        <w:fldChar w:fldCharType="begin"/>
      </w:r>
      <w:r>
        <w:instrText xml:space="preserve"> PAGEREF _Toc16901 \h </w:instrText>
      </w:r>
      <w:r>
        <w:fldChar w:fldCharType="separate"/>
      </w:r>
      <w:r>
        <w:t>205</w:t>
      </w:r>
      <w:r>
        <w:fldChar w:fldCharType="end"/>
      </w:r>
      <w:r>
        <w:rPr>
          <w:rFonts w:cs="仿宋"/>
          <w:lang w:eastAsia="zh-CN"/>
        </w:rPr>
        <w:fldChar w:fldCharType="end"/>
      </w:r>
    </w:p>
    <w:p w14:paraId="1FCD9767">
      <w:pPr>
        <w:pStyle w:val="34"/>
        <w:tabs>
          <w:tab w:val="right" w:leader="dot" w:pos="10204"/>
        </w:tabs>
      </w:pPr>
      <w:r>
        <w:rPr>
          <w:rFonts w:cs="仿宋"/>
          <w:lang w:eastAsia="zh-CN"/>
        </w:rPr>
        <w:fldChar w:fldCharType="begin"/>
      </w:r>
      <w:r>
        <w:rPr>
          <w:rFonts w:cs="仿宋"/>
          <w:lang w:eastAsia="zh-CN"/>
        </w:rPr>
        <w:instrText xml:space="preserve"> HYPERLINK \l _Toc4144 </w:instrText>
      </w:r>
      <w:r>
        <w:rPr>
          <w:rFonts w:cs="仿宋"/>
          <w:lang w:eastAsia="zh-CN"/>
        </w:rPr>
        <w:fldChar w:fldCharType="separate"/>
      </w:r>
      <w:r>
        <w:rPr>
          <w:rFonts w:hint="eastAsia" w:ascii="仿宋" w:hAnsi="仿宋" w:eastAsia="仿宋" w:cs="仿宋"/>
          <w:bCs/>
          <w:lang w:eastAsia="zh-CN"/>
        </w:rPr>
        <w:t>附件二：联合体承包协议书</w:t>
      </w:r>
      <w:r>
        <w:tab/>
      </w:r>
      <w:r>
        <w:fldChar w:fldCharType="begin"/>
      </w:r>
      <w:r>
        <w:instrText xml:space="preserve"> PAGEREF _Toc4144 \h </w:instrText>
      </w:r>
      <w:r>
        <w:fldChar w:fldCharType="separate"/>
      </w:r>
      <w:r>
        <w:t>206</w:t>
      </w:r>
      <w:r>
        <w:fldChar w:fldCharType="end"/>
      </w:r>
      <w:r>
        <w:rPr>
          <w:rFonts w:cs="仿宋"/>
          <w:lang w:eastAsia="zh-CN"/>
        </w:rPr>
        <w:fldChar w:fldCharType="end"/>
      </w:r>
    </w:p>
    <w:p w14:paraId="18B39EB6">
      <w:pPr>
        <w:pStyle w:val="34"/>
        <w:tabs>
          <w:tab w:val="right" w:leader="dot" w:pos="10204"/>
        </w:tabs>
      </w:pPr>
      <w:r>
        <w:rPr>
          <w:rFonts w:cs="仿宋"/>
          <w:lang w:eastAsia="zh-CN"/>
        </w:rPr>
        <w:fldChar w:fldCharType="begin"/>
      </w:r>
      <w:r>
        <w:rPr>
          <w:rFonts w:cs="仿宋"/>
          <w:lang w:eastAsia="zh-CN"/>
        </w:rPr>
        <w:instrText xml:space="preserve"> HYPERLINK \l _Toc30557 </w:instrText>
      </w:r>
      <w:r>
        <w:rPr>
          <w:rFonts w:cs="仿宋"/>
          <w:lang w:eastAsia="zh-CN"/>
        </w:rPr>
        <w:fldChar w:fldCharType="separate"/>
      </w:r>
      <w:r>
        <w:rPr>
          <w:rFonts w:hint="eastAsia" w:ascii="仿宋" w:hAnsi="仿宋" w:eastAsia="仿宋" w:cs="仿宋"/>
          <w:bCs/>
          <w:lang w:eastAsia="zh-CN"/>
        </w:rPr>
        <w:t>附件三：工程质量保修书</w:t>
      </w:r>
      <w:r>
        <w:tab/>
      </w:r>
      <w:r>
        <w:fldChar w:fldCharType="begin"/>
      </w:r>
      <w:r>
        <w:instrText xml:space="preserve"> PAGEREF _Toc30557 \h </w:instrText>
      </w:r>
      <w:r>
        <w:fldChar w:fldCharType="separate"/>
      </w:r>
      <w:r>
        <w:t>207</w:t>
      </w:r>
      <w:r>
        <w:fldChar w:fldCharType="end"/>
      </w:r>
      <w:r>
        <w:rPr>
          <w:rFonts w:cs="仿宋"/>
          <w:lang w:eastAsia="zh-CN"/>
        </w:rPr>
        <w:fldChar w:fldCharType="end"/>
      </w:r>
    </w:p>
    <w:p w14:paraId="4965554A">
      <w:pPr>
        <w:pStyle w:val="34"/>
        <w:tabs>
          <w:tab w:val="right" w:leader="dot" w:pos="10204"/>
        </w:tabs>
      </w:pPr>
      <w:r>
        <w:rPr>
          <w:rFonts w:cs="仿宋"/>
          <w:lang w:eastAsia="zh-CN"/>
        </w:rPr>
        <w:fldChar w:fldCharType="begin"/>
      </w:r>
      <w:r>
        <w:rPr>
          <w:rFonts w:cs="仿宋"/>
          <w:lang w:eastAsia="zh-CN"/>
        </w:rPr>
        <w:instrText xml:space="preserve"> HYPERLINK \l _Toc29968 </w:instrText>
      </w:r>
      <w:r>
        <w:rPr>
          <w:rFonts w:cs="仿宋"/>
          <w:lang w:eastAsia="zh-CN"/>
        </w:rPr>
        <w:fldChar w:fldCharType="separate"/>
      </w:r>
      <w:r>
        <w:rPr>
          <w:rFonts w:hint="eastAsia" w:ascii="仿宋" w:hAnsi="仿宋" w:eastAsia="仿宋" w:cs="仿宋"/>
          <w:bCs/>
          <w:lang w:eastAsia="zh-CN"/>
        </w:rPr>
        <w:t>附件四：廉洁协议书</w:t>
      </w:r>
      <w:r>
        <w:tab/>
      </w:r>
      <w:r>
        <w:fldChar w:fldCharType="begin"/>
      </w:r>
      <w:r>
        <w:instrText xml:space="preserve"> PAGEREF _Toc29968 \h </w:instrText>
      </w:r>
      <w:r>
        <w:fldChar w:fldCharType="separate"/>
      </w:r>
      <w:r>
        <w:t>210</w:t>
      </w:r>
      <w:r>
        <w:fldChar w:fldCharType="end"/>
      </w:r>
      <w:r>
        <w:rPr>
          <w:rFonts w:cs="仿宋"/>
          <w:lang w:eastAsia="zh-CN"/>
        </w:rPr>
        <w:fldChar w:fldCharType="end"/>
      </w:r>
    </w:p>
    <w:p w14:paraId="06975E7A">
      <w:pPr>
        <w:pStyle w:val="34"/>
        <w:tabs>
          <w:tab w:val="right" w:leader="dot" w:pos="10204"/>
        </w:tabs>
      </w:pPr>
      <w:r>
        <w:rPr>
          <w:rFonts w:cs="仿宋"/>
          <w:lang w:eastAsia="zh-CN"/>
        </w:rPr>
        <w:fldChar w:fldCharType="begin"/>
      </w:r>
      <w:r>
        <w:rPr>
          <w:rFonts w:cs="仿宋"/>
          <w:lang w:eastAsia="zh-CN"/>
        </w:rPr>
        <w:instrText xml:space="preserve"> HYPERLINK \l _Toc26642 </w:instrText>
      </w:r>
      <w:r>
        <w:rPr>
          <w:rFonts w:cs="仿宋"/>
          <w:lang w:eastAsia="zh-CN"/>
        </w:rPr>
        <w:fldChar w:fldCharType="separate"/>
      </w:r>
      <w:r>
        <w:rPr>
          <w:rFonts w:hint="eastAsia" w:ascii="仿宋" w:hAnsi="仿宋" w:eastAsia="仿宋" w:cs="仿宋"/>
          <w:bCs/>
          <w:lang w:eastAsia="zh-CN"/>
        </w:rPr>
        <w:t>附件五：民工权益保障承诺书</w:t>
      </w:r>
      <w:r>
        <w:tab/>
      </w:r>
      <w:r>
        <w:fldChar w:fldCharType="begin"/>
      </w:r>
      <w:r>
        <w:instrText xml:space="preserve"> PAGEREF _Toc26642 \h </w:instrText>
      </w:r>
      <w:r>
        <w:fldChar w:fldCharType="separate"/>
      </w:r>
      <w:r>
        <w:t>213</w:t>
      </w:r>
      <w:r>
        <w:fldChar w:fldCharType="end"/>
      </w:r>
      <w:r>
        <w:rPr>
          <w:rFonts w:cs="仿宋"/>
          <w:lang w:eastAsia="zh-CN"/>
        </w:rPr>
        <w:fldChar w:fldCharType="end"/>
      </w:r>
    </w:p>
    <w:p w14:paraId="31C32594">
      <w:pPr>
        <w:pStyle w:val="34"/>
        <w:tabs>
          <w:tab w:val="right" w:leader="dot" w:pos="10204"/>
        </w:tabs>
      </w:pPr>
      <w:r>
        <w:rPr>
          <w:rFonts w:cs="仿宋"/>
          <w:lang w:eastAsia="zh-CN"/>
        </w:rPr>
        <w:fldChar w:fldCharType="begin"/>
      </w:r>
      <w:r>
        <w:rPr>
          <w:rFonts w:cs="仿宋"/>
          <w:lang w:eastAsia="zh-CN"/>
        </w:rPr>
        <w:instrText xml:space="preserve"> HYPERLINK \l _Toc3629 </w:instrText>
      </w:r>
      <w:r>
        <w:rPr>
          <w:rFonts w:cs="仿宋"/>
          <w:lang w:eastAsia="zh-CN"/>
        </w:rPr>
        <w:fldChar w:fldCharType="separate"/>
      </w:r>
      <w:r>
        <w:rPr>
          <w:rFonts w:hint="eastAsia" w:ascii="仿宋" w:hAnsi="仿宋" w:eastAsia="仿宋" w:cs="仿宋"/>
          <w:bCs/>
          <w:lang w:eastAsia="zh-CN"/>
        </w:rPr>
        <w:t>附件六：材料设备供应管理办法</w:t>
      </w:r>
      <w:r>
        <w:tab/>
      </w:r>
      <w:r>
        <w:fldChar w:fldCharType="begin"/>
      </w:r>
      <w:r>
        <w:instrText xml:space="preserve"> PAGEREF _Toc3629 \h </w:instrText>
      </w:r>
      <w:r>
        <w:fldChar w:fldCharType="separate"/>
      </w:r>
      <w:r>
        <w:t>214</w:t>
      </w:r>
      <w:r>
        <w:fldChar w:fldCharType="end"/>
      </w:r>
      <w:r>
        <w:rPr>
          <w:rFonts w:cs="仿宋"/>
          <w:lang w:eastAsia="zh-CN"/>
        </w:rPr>
        <w:fldChar w:fldCharType="end"/>
      </w:r>
    </w:p>
    <w:p w14:paraId="78EFB650">
      <w:pPr>
        <w:pStyle w:val="34"/>
        <w:tabs>
          <w:tab w:val="right" w:leader="dot" w:pos="10204"/>
        </w:tabs>
      </w:pPr>
      <w:r>
        <w:rPr>
          <w:rFonts w:cs="仿宋"/>
          <w:lang w:eastAsia="zh-CN"/>
        </w:rPr>
        <w:fldChar w:fldCharType="begin"/>
      </w:r>
      <w:r>
        <w:rPr>
          <w:rFonts w:cs="仿宋"/>
          <w:lang w:eastAsia="zh-CN"/>
        </w:rPr>
        <w:instrText xml:space="preserve"> HYPERLINK \l _Toc5158 </w:instrText>
      </w:r>
      <w:r>
        <w:rPr>
          <w:rFonts w:cs="仿宋"/>
          <w:lang w:eastAsia="zh-CN"/>
        </w:rPr>
        <w:fldChar w:fldCharType="separate"/>
      </w:r>
      <w:r>
        <w:rPr>
          <w:rFonts w:ascii="仿宋" w:hAnsi="仿宋" w:eastAsia="仿宋" w:cs="仿宋"/>
          <w:bCs/>
          <w:lang w:eastAsia="zh-CN"/>
        </w:rPr>
        <w:t>附件七</w:t>
      </w:r>
      <w:r>
        <w:rPr>
          <w:rFonts w:hint="eastAsia" w:ascii="仿宋" w:hAnsi="仿宋" w:eastAsia="仿宋" w:cs="仿宋"/>
          <w:bCs/>
          <w:lang w:eastAsia="zh-CN"/>
        </w:rPr>
        <w:t>：主要材料（设备）品牌推荐表</w:t>
      </w:r>
      <w:r>
        <w:tab/>
      </w:r>
      <w:r>
        <w:fldChar w:fldCharType="begin"/>
      </w:r>
      <w:r>
        <w:instrText xml:space="preserve"> PAGEREF _Toc5158 \h </w:instrText>
      </w:r>
      <w:r>
        <w:fldChar w:fldCharType="separate"/>
      </w:r>
      <w:r>
        <w:t>219</w:t>
      </w:r>
      <w:r>
        <w:fldChar w:fldCharType="end"/>
      </w:r>
      <w:r>
        <w:rPr>
          <w:rFonts w:cs="仿宋"/>
          <w:lang w:eastAsia="zh-CN"/>
        </w:rPr>
        <w:fldChar w:fldCharType="end"/>
      </w:r>
    </w:p>
    <w:p w14:paraId="1C3519FF">
      <w:pPr>
        <w:pStyle w:val="34"/>
        <w:tabs>
          <w:tab w:val="right" w:leader="dot" w:pos="10204"/>
        </w:tabs>
      </w:pPr>
      <w:r>
        <w:rPr>
          <w:rFonts w:cs="仿宋"/>
          <w:lang w:eastAsia="zh-CN"/>
        </w:rPr>
        <w:fldChar w:fldCharType="begin"/>
      </w:r>
      <w:r>
        <w:rPr>
          <w:rFonts w:cs="仿宋"/>
          <w:lang w:eastAsia="zh-CN"/>
        </w:rPr>
        <w:instrText xml:space="preserve"> HYPERLINK \l _Toc30794 </w:instrText>
      </w:r>
      <w:r>
        <w:rPr>
          <w:rFonts w:cs="仿宋"/>
          <w:lang w:eastAsia="zh-CN"/>
        </w:rPr>
        <w:fldChar w:fldCharType="separate"/>
      </w:r>
      <w:r>
        <w:rPr>
          <w:rFonts w:hint="eastAsia" w:ascii="仿宋" w:hAnsi="仿宋" w:eastAsia="仿宋" w:cs="仿宋"/>
          <w:bCs/>
          <w:lang w:eastAsia="zh-CN" w:bidi="ar"/>
        </w:rPr>
        <w:t>附件九</w:t>
      </w:r>
      <w:r>
        <w:rPr>
          <w:rFonts w:ascii="仿宋" w:hAnsi="仿宋" w:eastAsia="仿宋" w:cs="仿宋"/>
          <w:bCs/>
          <w:lang w:eastAsia="zh-CN" w:bidi="ar"/>
        </w:rPr>
        <w:t>：</w:t>
      </w:r>
      <w:r>
        <w:rPr>
          <w:rFonts w:hint="eastAsia" w:ascii="仿宋" w:hAnsi="仿宋" w:eastAsia="仿宋" w:cs="仿宋"/>
          <w:bCs/>
          <w:lang w:eastAsia="zh-CN" w:bidi="ar"/>
        </w:rPr>
        <w:t>安全生产协议</w:t>
      </w:r>
      <w:r>
        <w:tab/>
      </w:r>
      <w:r>
        <w:fldChar w:fldCharType="begin"/>
      </w:r>
      <w:r>
        <w:instrText xml:space="preserve"> PAGEREF _Toc30794 \h </w:instrText>
      </w:r>
      <w:r>
        <w:fldChar w:fldCharType="separate"/>
      </w:r>
      <w:r>
        <w:t>232</w:t>
      </w:r>
      <w:r>
        <w:fldChar w:fldCharType="end"/>
      </w:r>
      <w:r>
        <w:rPr>
          <w:rFonts w:cs="仿宋"/>
          <w:lang w:eastAsia="zh-CN"/>
        </w:rPr>
        <w:fldChar w:fldCharType="end"/>
      </w:r>
    </w:p>
    <w:p w14:paraId="46EE91C1">
      <w:pPr>
        <w:pStyle w:val="34"/>
        <w:tabs>
          <w:tab w:val="right" w:leader="dot" w:pos="10204"/>
        </w:tabs>
      </w:pPr>
      <w:r>
        <w:rPr>
          <w:rFonts w:cs="仿宋"/>
          <w:lang w:eastAsia="zh-CN"/>
        </w:rPr>
        <w:fldChar w:fldCharType="begin"/>
      </w:r>
      <w:r>
        <w:rPr>
          <w:rFonts w:cs="仿宋"/>
          <w:lang w:eastAsia="zh-CN"/>
        </w:rPr>
        <w:instrText xml:space="preserve"> HYPERLINK \l _Toc3299 </w:instrText>
      </w:r>
      <w:r>
        <w:rPr>
          <w:rFonts w:cs="仿宋"/>
          <w:lang w:eastAsia="zh-CN"/>
        </w:rPr>
        <w:fldChar w:fldCharType="separate"/>
      </w:r>
      <w:r>
        <w:rPr>
          <w:rFonts w:ascii="仿宋" w:hAnsi="仿宋" w:eastAsia="仿宋" w:cs="仿宋"/>
          <w:bCs/>
          <w:lang w:eastAsia="zh-CN" w:bidi="ar"/>
        </w:rPr>
        <w:t>履约保函（格式仅供参考）</w:t>
      </w:r>
      <w:r>
        <w:tab/>
      </w:r>
      <w:r>
        <w:fldChar w:fldCharType="begin"/>
      </w:r>
      <w:r>
        <w:instrText xml:space="preserve"> PAGEREF _Toc3299 \h </w:instrText>
      </w:r>
      <w:r>
        <w:fldChar w:fldCharType="separate"/>
      </w:r>
      <w:r>
        <w:t>234</w:t>
      </w:r>
      <w:r>
        <w:fldChar w:fldCharType="end"/>
      </w:r>
      <w:r>
        <w:rPr>
          <w:rFonts w:cs="仿宋"/>
          <w:lang w:eastAsia="zh-CN"/>
        </w:rPr>
        <w:fldChar w:fldCharType="end"/>
      </w:r>
    </w:p>
    <w:p w14:paraId="1847A640">
      <w:pPr>
        <w:pStyle w:val="173"/>
        <w:spacing w:before="0" w:after="0" w:line="500" w:lineRule="exact"/>
        <w:jc w:val="center"/>
        <w:rPr>
          <w:rFonts w:ascii="仿宋" w:hAnsi="仿宋" w:eastAsia="仿宋" w:cs="Times New Roman"/>
          <w:sz w:val="36"/>
          <w:szCs w:val="36"/>
          <w:lang w:val="zh-CN" w:eastAsia="zh-CN"/>
        </w:rPr>
      </w:pPr>
      <w:r>
        <w:rPr>
          <w:rFonts w:cs="仿宋"/>
          <w:lang w:eastAsia="zh-CN"/>
        </w:rPr>
        <w:fldChar w:fldCharType="end"/>
      </w:r>
      <w:r>
        <w:rPr>
          <w:rFonts w:hint="eastAsia" w:ascii="仿宋" w:hAnsi="仿宋" w:eastAsia="仿宋" w:cs="仿宋"/>
          <w:sz w:val="36"/>
          <w:szCs w:val="36"/>
          <w:lang w:val="zh-CN" w:eastAsia="zh-CN"/>
        </w:rPr>
        <w:br w:type="page"/>
      </w:r>
      <w:r>
        <w:rPr>
          <w:rFonts w:hint="eastAsia" w:ascii="仿宋" w:hAnsi="仿宋" w:eastAsia="仿宋" w:cs="仿宋"/>
          <w:sz w:val="36"/>
          <w:szCs w:val="36"/>
          <w:lang w:val="zh-CN" w:eastAsia="zh-CN"/>
        </w:rPr>
        <w:t>总</w:t>
      </w:r>
      <w:r>
        <w:rPr>
          <w:rFonts w:ascii="仿宋" w:hAnsi="仿宋" w:eastAsia="仿宋" w:cs="仿宋"/>
          <w:sz w:val="36"/>
          <w:szCs w:val="36"/>
          <w:lang w:val="zh-CN" w:eastAsia="zh-CN"/>
        </w:rPr>
        <w:t xml:space="preserve">  </w:t>
      </w:r>
      <w:r>
        <w:rPr>
          <w:rFonts w:hint="eastAsia" w:ascii="仿宋" w:hAnsi="仿宋" w:eastAsia="仿宋" w:cs="仿宋"/>
          <w:sz w:val="36"/>
          <w:szCs w:val="36"/>
          <w:lang w:val="zh-CN" w:eastAsia="zh-CN"/>
        </w:rPr>
        <w:t>说</w:t>
      </w:r>
      <w:r>
        <w:rPr>
          <w:rFonts w:ascii="仿宋" w:hAnsi="仿宋" w:eastAsia="仿宋" w:cs="仿宋"/>
          <w:sz w:val="36"/>
          <w:szCs w:val="36"/>
          <w:lang w:val="zh-CN" w:eastAsia="zh-CN"/>
        </w:rPr>
        <w:t xml:space="preserve">  </w:t>
      </w:r>
      <w:r>
        <w:rPr>
          <w:rFonts w:hint="eastAsia" w:ascii="仿宋" w:hAnsi="仿宋" w:eastAsia="仿宋" w:cs="仿宋"/>
          <w:sz w:val="36"/>
          <w:szCs w:val="36"/>
          <w:lang w:val="zh-CN" w:eastAsia="zh-CN"/>
        </w:rPr>
        <w:t>明</w:t>
      </w:r>
    </w:p>
    <w:p w14:paraId="5603F8E9">
      <w:pPr>
        <w:rPr>
          <w:lang w:val="zh-CN" w:eastAsia="zh-CN"/>
        </w:rPr>
      </w:pPr>
    </w:p>
    <w:p w14:paraId="7ED8230D">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t>为了指导广州市建设工程总承包项目（又称EPC项目）当事人的签约行为，维护合同当事人的合法权益，依据《中华人民共和国民法典》、《中华人民共和国建筑法》、《中华人民共和国招标投标法》、《房屋建筑和市政基础设施项目工程总承包管理办法》（建市规［2019］12号）以及相关法律法规，参照《建设项目工程总承包合同（示范文本）》（GF-2020-0216）、《建设项目工程总承包合同示范文本（试行）》（</w:t>
      </w:r>
      <w:r>
        <w:rPr>
          <w:rFonts w:ascii="仿宋" w:hAnsi="仿宋" w:eastAsia="仿宋" w:cs="仿宋"/>
          <w:lang w:eastAsia="zh-CN"/>
        </w:rPr>
        <w:t>GF-2011-0216</w:t>
      </w:r>
      <w:r>
        <w:rPr>
          <w:rFonts w:hint="eastAsia" w:ascii="仿宋" w:hAnsi="仿宋" w:eastAsia="仿宋" w:cs="仿宋"/>
          <w:lang w:eastAsia="zh-CN"/>
        </w:rPr>
        <w:t>）、《建设工程施工合同（示范文本）》（</w:t>
      </w:r>
      <w:r>
        <w:rPr>
          <w:rFonts w:ascii="仿宋" w:hAnsi="仿宋" w:eastAsia="仿宋" w:cs="仿宋"/>
          <w:lang w:eastAsia="zh-CN"/>
        </w:rPr>
        <w:t>GF—2017—0201</w:t>
      </w:r>
      <w:r>
        <w:rPr>
          <w:rFonts w:hint="eastAsia" w:ascii="仿宋" w:hAnsi="仿宋" w:eastAsia="仿宋" w:cs="仿宋"/>
          <w:lang w:eastAsia="zh-CN"/>
        </w:rPr>
        <w:t>）、《广东省建设工程标准施工合同（</w:t>
      </w:r>
      <w:r>
        <w:rPr>
          <w:rFonts w:ascii="仿宋" w:hAnsi="仿宋" w:eastAsia="仿宋" w:cs="仿宋"/>
          <w:lang w:eastAsia="zh-CN"/>
        </w:rPr>
        <w:t>2009</w:t>
      </w:r>
      <w:r>
        <w:rPr>
          <w:rFonts w:hint="eastAsia" w:ascii="仿宋" w:hAnsi="仿宋" w:eastAsia="仿宋" w:cs="仿宋"/>
          <w:lang w:eastAsia="zh-CN"/>
        </w:rPr>
        <w:t>年版）》、《建设工程设计合同示范文本（房屋建筑工程）》（</w:t>
      </w:r>
      <w:r>
        <w:rPr>
          <w:rFonts w:ascii="仿宋" w:hAnsi="仿宋" w:eastAsia="仿宋" w:cs="仿宋"/>
          <w:lang w:eastAsia="zh-CN"/>
        </w:rPr>
        <w:t>GF-201</w:t>
      </w:r>
      <w:r>
        <w:rPr>
          <w:rFonts w:hint="eastAsia" w:ascii="仿宋" w:hAnsi="仿宋" w:eastAsia="仿宋" w:cs="仿宋"/>
          <w:lang w:eastAsia="zh-CN"/>
        </w:rPr>
        <w:t>5</w:t>
      </w:r>
      <w:r>
        <w:rPr>
          <w:rFonts w:ascii="仿宋" w:hAnsi="仿宋" w:eastAsia="仿宋" w:cs="仿宋"/>
          <w:lang w:eastAsia="zh-CN"/>
        </w:rPr>
        <w:t>-02</w:t>
      </w:r>
      <w:r>
        <w:rPr>
          <w:rFonts w:hint="eastAsia" w:ascii="仿宋" w:hAnsi="仿宋" w:eastAsia="仿宋" w:cs="仿宋"/>
          <w:lang w:eastAsia="zh-CN"/>
        </w:rPr>
        <w:t>09）、《建设工程勘察合同示范文本》（</w:t>
      </w:r>
      <w:r>
        <w:rPr>
          <w:rFonts w:ascii="仿宋" w:hAnsi="仿宋" w:eastAsia="仿宋" w:cs="仿宋"/>
          <w:lang w:eastAsia="zh-CN"/>
        </w:rPr>
        <w:t>GF-201</w:t>
      </w:r>
      <w:r>
        <w:rPr>
          <w:rFonts w:hint="eastAsia" w:ascii="仿宋" w:hAnsi="仿宋" w:eastAsia="仿宋" w:cs="仿宋"/>
          <w:lang w:eastAsia="zh-CN"/>
        </w:rPr>
        <w:t>6</w:t>
      </w:r>
      <w:r>
        <w:rPr>
          <w:rFonts w:ascii="仿宋" w:hAnsi="仿宋" w:eastAsia="仿宋" w:cs="仿宋"/>
          <w:lang w:eastAsia="zh-CN"/>
        </w:rPr>
        <w:t>-02</w:t>
      </w:r>
      <w:r>
        <w:rPr>
          <w:rFonts w:hint="eastAsia" w:ascii="仿宋" w:hAnsi="仿宋" w:eastAsia="仿宋" w:cs="仿宋"/>
          <w:lang w:eastAsia="zh-CN"/>
        </w:rPr>
        <w:t>03）等合同范本，结合近年来广州市建设工程EPC项目的实施情况，特编制本合同示范文本《广州市建设工程总承包合同》（</w:t>
      </w:r>
      <w:r>
        <w:rPr>
          <w:rFonts w:ascii="仿宋" w:hAnsi="仿宋" w:eastAsia="仿宋" w:cs="仿宋"/>
          <w:lang w:eastAsia="zh-CN"/>
        </w:rPr>
        <w:t>SF-202</w:t>
      </w:r>
      <w:r>
        <w:rPr>
          <w:rFonts w:hint="eastAsia" w:ascii="仿宋" w:hAnsi="仿宋" w:eastAsia="仿宋" w:cs="仿宋"/>
          <w:lang w:eastAsia="zh"/>
        </w:rPr>
        <w:t>2</w:t>
      </w:r>
      <w:r>
        <w:rPr>
          <w:rFonts w:ascii="仿宋" w:hAnsi="仿宋" w:eastAsia="仿宋" w:cs="仿宋"/>
          <w:lang w:eastAsia="zh-CN"/>
        </w:rPr>
        <w:t>-0210</w:t>
      </w:r>
      <w:r>
        <w:rPr>
          <w:rFonts w:hint="eastAsia" w:ascii="仿宋" w:hAnsi="仿宋" w:eastAsia="仿宋" w:cs="仿宋"/>
          <w:lang w:eastAsia="zh-CN"/>
        </w:rPr>
        <w:t>）。为了便于合同当事人使用《广州市建设工程总承包合同》（</w:t>
      </w:r>
      <w:r>
        <w:rPr>
          <w:rFonts w:ascii="仿宋" w:hAnsi="仿宋" w:eastAsia="仿宋" w:cs="仿宋"/>
          <w:lang w:eastAsia="zh-CN"/>
        </w:rPr>
        <w:t>SF-</w:t>
      </w:r>
      <w:r>
        <w:rPr>
          <w:rFonts w:hint="eastAsia" w:ascii="仿宋" w:hAnsi="仿宋" w:eastAsia="仿宋" w:cs="仿宋"/>
          <w:lang w:eastAsia="zh-CN"/>
        </w:rPr>
        <w:t>2022</w:t>
      </w:r>
      <w:r>
        <w:rPr>
          <w:rFonts w:ascii="仿宋" w:hAnsi="仿宋" w:eastAsia="仿宋" w:cs="仿宋"/>
          <w:lang w:eastAsia="zh-CN"/>
        </w:rPr>
        <w:t>-0210</w:t>
      </w:r>
      <w:r>
        <w:rPr>
          <w:rFonts w:hint="eastAsia" w:ascii="仿宋" w:hAnsi="仿宋" w:eastAsia="仿宋" w:cs="仿宋"/>
          <w:lang w:eastAsia="zh-CN"/>
        </w:rPr>
        <w:t>）示范文本，现就有关问题说明如下：</w:t>
      </w:r>
    </w:p>
    <w:p w14:paraId="10A5805C">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t>一、工程总承包与施工总承包、建设工程设计、建设工程勘察合同的区别与联系</w:t>
      </w:r>
    </w:p>
    <w:p w14:paraId="4915405C">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t>工程总承包（EPC）与施工总承包两种模式的联系与区别，两者都理清总承包范围内合同当事人的权利和义务，但工程总承包明确了参建各方在勘察、设计、施工等各阶段工作的角色定位和责任划分，以及合同价款确定和造价控制模式。</w:t>
      </w:r>
    </w:p>
    <w:p w14:paraId="26627B01">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t>工程总承包合同与勘察或设计合同的联系与区别：本工程总承包合同示范文本的编写，结合工程总承包合同的承包人为同时具备勘察、设计和施工资质的一个法人或由具有勘察、设计或施工资质的多个法人组成的联合体，注重勘察、设计和施工等方面关于工程质量、进度和造价责任条款的融合统一。但两者亦有所区别，建设工程勘察合同的标的是作为工程设计依据的工程地质勘察报告，</w:t>
      </w:r>
      <w:bookmarkStart w:id="0" w:name="_Hlk89524773"/>
      <w:r>
        <w:rPr>
          <w:rFonts w:hint="eastAsia" w:ascii="仿宋" w:hAnsi="仿宋" w:eastAsia="仿宋" w:cs="仿宋"/>
          <w:lang w:eastAsia="zh-CN"/>
        </w:rPr>
        <w:t>其合同约定与工程地质勘察有关的范围内容、质量、进度和价格等权利、义务和责任；</w:t>
      </w:r>
      <w:bookmarkEnd w:id="0"/>
      <w:r>
        <w:rPr>
          <w:rFonts w:hint="eastAsia" w:ascii="仿宋" w:hAnsi="仿宋" w:eastAsia="仿宋" w:cs="仿宋"/>
          <w:lang w:eastAsia="zh-CN"/>
        </w:rPr>
        <w:t>建设工程设计合同的标的是作为施工依据的初步设计方案或施工图纸等技术文件，其合同约定与初步设计或施工图设计有关的范围内容、质量、进度和价格等权利和义务；而工程总承包合同着重约定与勘察、设计和施工等工程整体实施有关的范围内容、质量、进度和价格等权利、义务和责任。</w:t>
      </w:r>
    </w:p>
    <w:p w14:paraId="344B515F">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t>本工程总承包合同还根据与住建部《建设项目工程总承包合同（示范文本）》（GF-2020-0216），在合同词语定义、合同主要内容方面的差异性进行更新，但继续保持广州地区工程总承包的特点、实际施工需求等方面的特色。</w:t>
      </w:r>
    </w:p>
    <w:p w14:paraId="1DCD2FDF">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t>二、《广州市建设工程总承包合同》（</w:t>
      </w:r>
      <w:r>
        <w:rPr>
          <w:rFonts w:ascii="仿宋" w:hAnsi="仿宋" w:eastAsia="仿宋" w:cs="仿宋"/>
          <w:lang w:eastAsia="zh-CN"/>
        </w:rPr>
        <w:t>SF-202</w:t>
      </w:r>
      <w:r>
        <w:rPr>
          <w:rFonts w:hint="eastAsia" w:ascii="仿宋" w:hAnsi="仿宋" w:eastAsia="仿宋" w:cs="仿宋"/>
          <w:lang w:eastAsia="zh-CN"/>
        </w:rPr>
        <w:t>2</w:t>
      </w:r>
      <w:r>
        <w:rPr>
          <w:rFonts w:ascii="仿宋" w:hAnsi="仿宋" w:eastAsia="仿宋" w:cs="仿宋"/>
          <w:lang w:eastAsia="zh-CN"/>
        </w:rPr>
        <w:t>-0210</w:t>
      </w:r>
      <w:r>
        <w:rPr>
          <w:rFonts w:hint="eastAsia" w:ascii="仿宋" w:hAnsi="仿宋" w:eastAsia="仿宋" w:cs="仿宋"/>
          <w:lang w:eastAsia="zh-CN"/>
        </w:rPr>
        <w:t>）的适用范围</w:t>
      </w:r>
    </w:p>
    <w:p w14:paraId="16126A66">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t>《广州市建设工程总承包合同》（SF-2022-0210）适用于广州市行政区域内房屋建筑与市政基础设施项目，并应符合以下条件：</w:t>
      </w:r>
    </w:p>
    <w:p w14:paraId="5CA628B9">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t>（一）新建、扩建、改建、装修、修缮等建设工程项目；</w:t>
      </w:r>
    </w:p>
    <w:p w14:paraId="0C8FB685">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t>（二）建设标准和建设内容明确、设计方案成熟、技术要求明确；</w:t>
      </w:r>
    </w:p>
    <w:p w14:paraId="3E9F0CEE">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t>（三）采用工程总承包模式的政府投资项目或国有资金投资项目，原则上已完成初步设计审批及概算核定；如采用工程总承包模式的社会投资项目已取得核准或备案；或为采用工程总承包模式的装配式建筑。</w:t>
      </w:r>
    </w:p>
    <w:p w14:paraId="7F839DC9">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t>三、《广州市建设工程总承包合同》（</w:t>
      </w:r>
      <w:r>
        <w:rPr>
          <w:rFonts w:ascii="仿宋" w:hAnsi="仿宋" w:eastAsia="仿宋" w:cs="仿宋"/>
          <w:lang w:eastAsia="zh-CN"/>
        </w:rPr>
        <w:t>SF-</w:t>
      </w:r>
      <w:r>
        <w:rPr>
          <w:rFonts w:hint="eastAsia" w:ascii="仿宋" w:hAnsi="仿宋" w:eastAsia="仿宋" w:cs="仿宋"/>
          <w:lang w:eastAsia="zh-CN"/>
        </w:rPr>
        <w:t>2022</w:t>
      </w:r>
      <w:r>
        <w:rPr>
          <w:rFonts w:ascii="仿宋" w:hAnsi="仿宋" w:eastAsia="仿宋" w:cs="仿宋"/>
          <w:lang w:eastAsia="zh-CN"/>
        </w:rPr>
        <w:t>-0210</w:t>
      </w:r>
      <w:r>
        <w:rPr>
          <w:rFonts w:hint="eastAsia" w:ascii="仿宋" w:hAnsi="仿宋" w:eastAsia="仿宋" w:cs="仿宋"/>
          <w:lang w:eastAsia="zh-CN"/>
        </w:rPr>
        <w:t>）的组成</w:t>
      </w:r>
    </w:p>
    <w:p w14:paraId="0FBE63E9">
      <w:pPr>
        <w:spacing w:line="400" w:lineRule="exact"/>
        <w:ind w:firstLine="480" w:firstLineChars="200"/>
        <w:rPr>
          <w:rFonts w:ascii="仿宋" w:hAnsi="仿宋" w:eastAsia="仿宋"/>
          <w:lang w:eastAsia="zh-CN"/>
        </w:rPr>
      </w:pPr>
      <w:r>
        <w:rPr>
          <w:rFonts w:hint="eastAsia" w:ascii="仿宋" w:hAnsi="仿宋" w:eastAsia="仿宋" w:cs="仿宋"/>
          <w:lang w:eastAsia="zh-CN"/>
        </w:rPr>
        <w:t>《广州市建设工程总承包合同》（</w:t>
      </w:r>
      <w:r>
        <w:rPr>
          <w:rFonts w:ascii="仿宋" w:hAnsi="仿宋" w:eastAsia="仿宋" w:cs="仿宋"/>
          <w:lang w:eastAsia="zh-CN"/>
        </w:rPr>
        <w:t>SF-</w:t>
      </w:r>
      <w:r>
        <w:rPr>
          <w:rFonts w:hint="eastAsia" w:ascii="仿宋" w:hAnsi="仿宋" w:eastAsia="仿宋" w:cs="仿宋"/>
          <w:lang w:eastAsia="zh-CN"/>
        </w:rPr>
        <w:t>2022</w:t>
      </w:r>
      <w:r>
        <w:rPr>
          <w:rFonts w:ascii="仿宋" w:hAnsi="仿宋" w:eastAsia="仿宋" w:cs="仿宋"/>
          <w:lang w:eastAsia="zh-CN"/>
        </w:rPr>
        <w:t>-0210</w:t>
      </w:r>
      <w:r>
        <w:rPr>
          <w:rFonts w:hint="eastAsia" w:ascii="仿宋" w:hAnsi="仿宋" w:eastAsia="仿宋" w:cs="仿宋"/>
          <w:lang w:eastAsia="zh-CN"/>
        </w:rPr>
        <w:t>）由协议书、通用条款和专用条款三部分组成。</w:t>
      </w:r>
    </w:p>
    <w:p w14:paraId="51FFBA1E">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t>四、其他重要事项</w:t>
      </w:r>
    </w:p>
    <w:p w14:paraId="1ABB58DE">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t>1.发包人（项目业主）首要责任制</w:t>
      </w:r>
    </w:p>
    <w:p w14:paraId="4410BAD0">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t>发包人(项目业主)应履行基本建设程序，做好可行性研究报告编制、初步设计概算编制等前期工作，完善核准或备案等行政审批手续，依法采用招标或直接发包方式确定承包人，重视多方案比选与限额设计，加强合同管理，监督绿色安全施工，防范投资风险，提高投资效益。</w:t>
      </w:r>
    </w:p>
    <w:p w14:paraId="26712E57">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t>2．工程总承包（EPC）的定义</w:t>
      </w:r>
    </w:p>
    <w:p w14:paraId="7B79BBAF">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t>工程总承包（EPC）是指承包人按照与发包人签订的合同，对勘察、设计、采购、施工等建设工程全过程或多阶段实行总承包，并对工程的质量、安全、工期和造价等全面负责的工程建设组织实施方式。合同类型包括：设计、采购、施工合同；勘察、设计、施工合同；设计、施工合同；其他合同。</w:t>
      </w:r>
    </w:p>
    <w:p w14:paraId="1D880D90">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t>3．新型建筑工业化</w:t>
      </w:r>
    </w:p>
    <w:p w14:paraId="029020E8">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t>根据《住房和城乡建设部等部门关于加快新型建筑工业化发展的若干意见》（建标规〔2020〕8号）精神，范本将工程总承包管理模式与BIM技术应用、装配式建筑应用高度融合，在合同各章节融入了BIM技术应用、装配式建筑应用等方面的管理要求，制定了BIM技术应用、装配式建筑等方面的相关条款。发包人(项目业主)应遵照建标规〔2020〕8号文件的精神，“以工程全寿命期系统化集成设计、精益化生产施工为主要手段，整合工程全产业链、价值链和创新链，实现工程建设高效益、高质量、低消耗、低排放的建筑工业化”。关于设计、采购、施工方面的具体内容和要求，由合同当事人结合项目实际情况在专用条款中约定。</w:t>
      </w:r>
    </w:p>
    <w:p w14:paraId="2AA46CAD">
      <w:pPr>
        <w:spacing w:line="400" w:lineRule="exact"/>
        <w:ind w:firstLine="200"/>
        <w:rPr>
          <w:rFonts w:ascii="仿宋" w:hAnsi="仿宋" w:eastAsia="仿宋" w:cs="仿宋"/>
          <w:lang w:eastAsia="zh-CN"/>
        </w:rPr>
      </w:pPr>
      <w:r>
        <w:rPr>
          <w:rFonts w:hint="eastAsia" w:ascii="仿宋" w:hAnsi="仿宋" w:eastAsia="仿宋" w:cs="仿宋"/>
          <w:lang w:eastAsia="zh-CN"/>
        </w:rPr>
        <w:t xml:space="preserve">  4．全过程咨询、第三方咨询人</w:t>
      </w:r>
    </w:p>
    <w:p w14:paraId="1E510285">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t>为推行全过程咨询服务，保证工程质量、安全和工期，有效控制项目投资，范本分别制定了设计顾问人、监理人、造价咨询人等第三方咨询人参与EPC合同管理的相关条款。若发包人(项目业主)根据项目实际情况，委托1家符合要求的咨询单位或多家咨询单位组成的联合体负责全过程咨询服务，合同当事人应在专用条款中约定将设计顾问人、监理人和（或）造价咨询人等第三方咨询人参与EPC合同管理的权利、责任和义务由1家全过程咨询单位（包括联合体）承担，但通用条款的相关内容不做修改。</w:t>
      </w:r>
    </w:p>
    <w:p w14:paraId="2F8CF563">
      <w:pPr>
        <w:spacing w:line="400" w:lineRule="exact"/>
        <w:ind w:firstLine="480" w:firstLineChars="200"/>
        <w:rPr>
          <w:rFonts w:ascii="仿宋" w:hAnsi="仿宋" w:eastAsia="仿宋"/>
          <w:lang w:eastAsia="zh-CN"/>
        </w:rPr>
      </w:pPr>
      <w:bookmarkStart w:id="1" w:name="_Toc3056"/>
      <w:r>
        <w:rPr>
          <w:rFonts w:hint="eastAsia" w:ascii="仿宋" w:hAnsi="仿宋" w:eastAsia="仿宋" w:cs="仿宋"/>
          <w:lang w:eastAsia="zh-CN"/>
        </w:rPr>
        <w:t>5．专用条款</w:t>
      </w:r>
      <w:bookmarkEnd w:id="1"/>
      <w:r>
        <w:rPr>
          <w:rFonts w:hint="eastAsia" w:ascii="仿宋" w:hAnsi="仿宋" w:eastAsia="仿宋" w:cs="仿宋"/>
          <w:lang w:eastAsia="zh-CN"/>
        </w:rPr>
        <w:t>注意事项</w:t>
      </w:r>
    </w:p>
    <w:p w14:paraId="7BF39F86">
      <w:pPr>
        <w:widowControl w:val="0"/>
        <w:spacing w:line="400" w:lineRule="exact"/>
        <w:ind w:firstLine="480" w:firstLineChars="200"/>
        <w:rPr>
          <w:rFonts w:ascii="仿宋" w:hAnsi="仿宋" w:eastAsia="仿宋"/>
          <w:lang w:eastAsia="zh-CN"/>
        </w:rPr>
      </w:pPr>
      <w:r>
        <w:rPr>
          <w:rFonts w:hint="eastAsia" w:ascii="仿宋" w:hAnsi="仿宋" w:eastAsia="仿宋" w:cs="仿宋"/>
          <w:lang w:eastAsia="zh-CN"/>
        </w:rPr>
        <w:t>专用条款是对通用条款原则性约定的细化、完善、补充或另行约定的条款。合同当事人可以根据不同建设工程的特点及发承包计价的具体情况，通过双方的谈判、协商对相应的专用条款进行明确。在使用专用条款时，应注意以下事项：</w:t>
      </w:r>
    </w:p>
    <w:p w14:paraId="6D6DC2BB">
      <w:pPr>
        <w:spacing w:line="400" w:lineRule="exact"/>
        <w:ind w:firstLine="480" w:firstLineChars="200"/>
        <w:rPr>
          <w:rFonts w:ascii="仿宋" w:hAnsi="仿宋" w:eastAsia="仿宋"/>
          <w:lang w:eastAsia="zh-CN"/>
        </w:rPr>
      </w:pPr>
      <w:r>
        <w:rPr>
          <w:rFonts w:hint="eastAsia" w:ascii="仿宋" w:hAnsi="仿宋" w:eastAsia="仿宋" w:cs="仿宋"/>
          <w:lang w:eastAsia="zh-CN"/>
        </w:rPr>
        <w:t>（1）专用条款的编号应与相应的通用条款的编号一致；</w:t>
      </w:r>
    </w:p>
    <w:p w14:paraId="4E761CF3">
      <w:pPr>
        <w:spacing w:line="400" w:lineRule="exact"/>
        <w:ind w:firstLine="480" w:firstLineChars="200"/>
        <w:rPr>
          <w:rFonts w:ascii="仿宋" w:hAnsi="仿宋" w:eastAsia="仿宋"/>
          <w:lang w:eastAsia="zh-CN"/>
        </w:rPr>
      </w:pPr>
      <w:r>
        <w:rPr>
          <w:rFonts w:hint="eastAsia" w:ascii="仿宋" w:hAnsi="仿宋" w:eastAsia="仿宋" w:cs="仿宋"/>
          <w:lang w:eastAsia="zh-CN"/>
        </w:rPr>
        <w:t>（2）合同当事人可以通过对专用条款的补充、完善，满足具体工程的特殊要求，不得直接修改通用条款；</w:t>
      </w:r>
    </w:p>
    <w:p w14:paraId="4CFA8242">
      <w:pPr>
        <w:spacing w:line="400" w:lineRule="exact"/>
        <w:ind w:firstLine="480" w:firstLineChars="200"/>
        <w:rPr>
          <w:rFonts w:ascii="仿宋" w:hAnsi="仿宋" w:eastAsia="仿宋"/>
          <w:lang w:eastAsia="zh-CN"/>
        </w:rPr>
      </w:pPr>
      <w:r>
        <w:rPr>
          <w:rFonts w:hint="eastAsia" w:ascii="仿宋" w:hAnsi="仿宋" w:eastAsia="仿宋" w:cs="仿宋"/>
          <w:lang w:eastAsia="zh-CN"/>
        </w:rPr>
        <w:t>（3）在专用条款中有横道线的地方，合同当事人可针对相应的通用条款进行细化、完善、补充或另行约定；如无细化、完善、补充或另行约定，则填写“无”或划“</w:t>
      </w:r>
      <w:r>
        <w:rPr>
          <w:rFonts w:ascii="仿宋" w:hAnsi="仿宋" w:eastAsia="仿宋" w:cs="仿宋"/>
          <w:lang w:eastAsia="zh-CN"/>
        </w:rPr>
        <w:t>/</w:t>
      </w:r>
      <w:r>
        <w:rPr>
          <w:rFonts w:hint="eastAsia" w:ascii="仿宋" w:hAnsi="仿宋" w:eastAsia="仿宋" w:cs="仿宋"/>
          <w:lang w:eastAsia="zh-CN"/>
        </w:rPr>
        <w:t>”。</w:t>
      </w:r>
    </w:p>
    <w:p w14:paraId="74FF7390">
      <w:pPr>
        <w:spacing w:line="400" w:lineRule="exact"/>
        <w:ind w:firstLine="480" w:firstLineChars="200"/>
        <w:rPr>
          <w:rFonts w:ascii="仿宋" w:hAnsi="仿宋" w:eastAsia="仿宋" w:cs="仿宋"/>
          <w:lang w:eastAsia="zh-CN"/>
        </w:rPr>
      </w:pPr>
    </w:p>
    <w:p w14:paraId="6BB51964">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t>6.示范文本非强制性使用</w:t>
      </w:r>
    </w:p>
    <w:p w14:paraId="2EA3BD4C">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t>《广州市建设工程总承包合同》（</w:t>
      </w:r>
      <w:r>
        <w:rPr>
          <w:rFonts w:ascii="仿宋" w:hAnsi="仿宋" w:eastAsia="仿宋" w:cs="仿宋"/>
          <w:lang w:eastAsia="zh-CN"/>
        </w:rPr>
        <w:t>SF-</w:t>
      </w:r>
      <w:r>
        <w:rPr>
          <w:rFonts w:hint="eastAsia" w:ascii="仿宋" w:hAnsi="仿宋" w:eastAsia="仿宋" w:cs="仿宋"/>
          <w:lang w:eastAsia="zh-CN"/>
        </w:rPr>
        <w:t>2022</w:t>
      </w:r>
      <w:r>
        <w:rPr>
          <w:rFonts w:ascii="仿宋" w:hAnsi="仿宋" w:eastAsia="仿宋" w:cs="仿宋"/>
          <w:lang w:eastAsia="zh-CN"/>
        </w:rPr>
        <w:t>-0210</w:t>
      </w:r>
      <w:r>
        <w:rPr>
          <w:rFonts w:hint="eastAsia" w:ascii="仿宋" w:hAnsi="仿宋" w:eastAsia="仿宋" w:cs="仿宋"/>
          <w:lang w:eastAsia="zh-CN"/>
        </w:rPr>
        <w:t>）为非强制性使用文本。</w:t>
      </w:r>
      <w:r>
        <w:rPr>
          <w:rFonts w:ascii="仿宋" w:hAnsi="仿宋" w:eastAsia="仿宋" w:cs="仿宋"/>
          <w:lang w:eastAsia="zh-CN"/>
        </w:rPr>
        <w:t>发包人与承包人</w:t>
      </w:r>
      <w:r>
        <w:rPr>
          <w:rFonts w:hint="eastAsia" w:ascii="仿宋" w:hAnsi="仿宋" w:eastAsia="仿宋" w:cs="仿宋"/>
          <w:lang w:eastAsia="zh-CN"/>
        </w:rPr>
        <w:t>应</w:t>
      </w:r>
      <w:r>
        <w:rPr>
          <w:rFonts w:ascii="仿宋" w:hAnsi="仿宋" w:eastAsia="仿宋" w:cs="仿宋"/>
          <w:lang w:eastAsia="zh-CN"/>
        </w:rPr>
        <w:t>结合建设工程具体情况，参考本</w:t>
      </w:r>
      <w:r>
        <w:rPr>
          <w:rFonts w:hint="eastAsia" w:ascii="仿宋" w:hAnsi="仿宋" w:eastAsia="仿宋" w:cs="仿宋"/>
          <w:lang w:eastAsia="zh-CN"/>
        </w:rPr>
        <w:t>示范文本订立合同，履行合同约定的合同权利义务，并承担相应的法律责任。</w:t>
      </w:r>
    </w:p>
    <w:p w14:paraId="41D118DB">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t>7.带</w:t>
      </w:r>
      <w:r>
        <w:rPr>
          <w:rFonts w:hint="eastAsia" w:ascii="仿宋" w:hAnsi="仿宋" w:eastAsia="仿宋" w:cs="仿宋"/>
          <w:b/>
          <w:bCs/>
          <w:lang w:eastAsia="zh-CN"/>
        </w:rPr>
        <w:t>★</w:t>
      </w:r>
      <w:r>
        <w:rPr>
          <w:rFonts w:hint="eastAsia" w:ascii="仿宋" w:hAnsi="仿宋" w:eastAsia="仿宋" w:cs="仿宋"/>
          <w:lang w:eastAsia="zh-CN"/>
        </w:rPr>
        <w:t>号的条文的要求</w:t>
      </w:r>
    </w:p>
    <w:p w14:paraId="6EF51D81">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t>通用条款中带</w:t>
      </w:r>
      <w:r>
        <w:rPr>
          <w:rFonts w:hint="eastAsia" w:ascii="仿宋" w:hAnsi="仿宋" w:eastAsia="仿宋" w:cs="仿宋"/>
          <w:b/>
          <w:bCs/>
          <w:lang w:eastAsia="zh-CN"/>
        </w:rPr>
        <w:t>★</w:t>
      </w:r>
      <w:r>
        <w:rPr>
          <w:rFonts w:hint="eastAsia" w:ascii="仿宋" w:hAnsi="仿宋" w:eastAsia="仿宋" w:cs="仿宋"/>
          <w:lang w:eastAsia="zh-CN"/>
        </w:rPr>
        <w:t>号的条文，其内容是完整不可分割的，与法律法规、规范有关联，原则上不应进行删减，只能在专用条款中根据实际情况选择或在不违反原条款实质的前提下完善或增加内容。其他内容合同当事人可结合建设工程具体情况，按照法律法规规定，根据《广州市建设工程总承包合同》（</w:t>
      </w:r>
      <w:r>
        <w:rPr>
          <w:rFonts w:ascii="仿宋" w:hAnsi="仿宋" w:eastAsia="仿宋" w:cs="仿宋"/>
          <w:lang w:eastAsia="zh-CN"/>
        </w:rPr>
        <w:t>SF-</w:t>
      </w:r>
      <w:r>
        <w:rPr>
          <w:rFonts w:hint="eastAsia" w:ascii="仿宋" w:hAnsi="仿宋" w:eastAsia="仿宋" w:cs="仿宋"/>
          <w:lang w:eastAsia="zh-CN"/>
        </w:rPr>
        <w:t>2022</w:t>
      </w:r>
      <w:r>
        <w:rPr>
          <w:rFonts w:ascii="仿宋" w:hAnsi="仿宋" w:eastAsia="仿宋" w:cs="仿宋"/>
          <w:lang w:eastAsia="zh-CN"/>
        </w:rPr>
        <w:t>-0210</w:t>
      </w:r>
      <w:r>
        <w:rPr>
          <w:rFonts w:hint="eastAsia" w:ascii="仿宋" w:hAnsi="仿宋" w:eastAsia="仿宋" w:cs="仿宋"/>
          <w:lang w:eastAsia="zh-CN"/>
        </w:rPr>
        <w:t>）的内容，约定双方具体的权利义务。</w:t>
      </w:r>
    </w:p>
    <w:p w14:paraId="14C9E562">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t>8.“预付款”、“进度款”、“竣工结算”条款的要求</w:t>
      </w:r>
    </w:p>
    <w:p w14:paraId="5106C9A9">
      <w:pPr>
        <w:spacing w:line="400" w:lineRule="exact"/>
        <w:ind w:firstLine="480" w:firstLineChars="200"/>
        <w:rPr>
          <w:rFonts w:ascii="仿宋" w:hAnsi="仿宋" w:eastAsia="仿宋"/>
          <w:lang w:eastAsia="zh-CN"/>
        </w:rPr>
      </w:pPr>
      <w:r>
        <w:rPr>
          <w:rFonts w:hint="eastAsia" w:ascii="仿宋" w:hAnsi="仿宋" w:eastAsia="仿宋" w:cs="仿宋"/>
          <w:lang w:eastAsia="zh-CN"/>
        </w:rPr>
        <w:t>《广州市建设工程总承包合同》（</w:t>
      </w:r>
      <w:r>
        <w:rPr>
          <w:rFonts w:ascii="仿宋" w:hAnsi="仿宋" w:eastAsia="仿宋" w:cs="仿宋"/>
          <w:lang w:eastAsia="zh-CN"/>
        </w:rPr>
        <w:t>SF-</w:t>
      </w:r>
      <w:r>
        <w:rPr>
          <w:rFonts w:hint="eastAsia" w:ascii="仿宋" w:hAnsi="仿宋" w:eastAsia="仿宋" w:cs="仿宋"/>
          <w:lang w:eastAsia="zh-CN"/>
        </w:rPr>
        <w:t>2022</w:t>
      </w:r>
      <w:r>
        <w:rPr>
          <w:rFonts w:ascii="仿宋" w:hAnsi="仿宋" w:eastAsia="仿宋" w:cs="仿宋"/>
          <w:lang w:eastAsia="zh-CN"/>
        </w:rPr>
        <w:t>-0210</w:t>
      </w:r>
      <w:r>
        <w:rPr>
          <w:rFonts w:hint="eastAsia" w:ascii="仿宋" w:hAnsi="仿宋" w:eastAsia="仿宋" w:cs="仿宋"/>
          <w:lang w:eastAsia="zh-CN"/>
        </w:rPr>
        <w:t>）专用条款中的“预付款”、“进度款”、“竣工结算”条款，在签订合同时优先选择本合同中已列的支付条件、支付方式，如选择“其它方式”或“另作约定”形式的，需以合同附件的形式予以说明原因。</w:t>
      </w:r>
    </w:p>
    <w:p w14:paraId="2FFCB77D">
      <w:pPr>
        <w:spacing w:beforeAutospacing="1" w:afterAutospacing="1"/>
        <w:rPr>
          <w:rFonts w:ascii="宋体"/>
          <w:sz w:val="36"/>
          <w:szCs w:val="36"/>
          <w:lang w:eastAsia="zh-CN"/>
        </w:rPr>
        <w:sectPr>
          <w:footerReference r:id="rId6" w:type="first"/>
          <w:footerReference r:id="rId5" w:type="default"/>
          <w:endnotePr>
            <w:numFmt w:val="decimal"/>
          </w:endnotePr>
          <w:pgSz w:w="11906" w:h="16838"/>
          <w:pgMar w:top="1191" w:right="851" w:bottom="794" w:left="851" w:header="0" w:footer="0" w:gutter="0"/>
          <w:pgNumType w:start="1"/>
          <w:cols w:space="720" w:num="1"/>
          <w:titlePg/>
          <w:docGrid w:linePitch="286" w:charSpace="0"/>
        </w:sectPr>
      </w:pPr>
    </w:p>
    <w:p w14:paraId="57F4CBBD">
      <w:pPr>
        <w:spacing w:line="360" w:lineRule="auto"/>
        <w:jc w:val="center"/>
        <w:outlineLvl w:val="0"/>
        <w:rPr>
          <w:rFonts w:ascii="宋体"/>
          <w:b/>
          <w:bCs/>
          <w:sz w:val="36"/>
          <w:szCs w:val="36"/>
          <w:lang w:eastAsia="zh-CN"/>
        </w:rPr>
      </w:pPr>
      <w:bookmarkStart w:id="2" w:name="_Toc159"/>
      <w:bookmarkStart w:id="3" w:name="_Toc16604"/>
      <w:bookmarkStart w:id="4" w:name="_Toc194073089"/>
      <w:bookmarkStart w:id="5" w:name="_Toc13270"/>
      <w:r>
        <w:rPr>
          <w:rFonts w:hint="eastAsia" w:ascii="宋体" w:hAnsi="宋体" w:cs="宋体"/>
          <w:b/>
          <w:bCs/>
          <w:sz w:val="36"/>
          <w:szCs w:val="36"/>
          <w:lang w:eastAsia="zh-CN"/>
        </w:rPr>
        <w:t>第一部分</w:t>
      </w:r>
      <w:r>
        <w:rPr>
          <w:rFonts w:ascii="宋体" w:hAnsi="宋体" w:cs="宋体"/>
          <w:b/>
          <w:bCs/>
          <w:sz w:val="36"/>
          <w:szCs w:val="36"/>
          <w:lang w:eastAsia="zh-CN"/>
        </w:rPr>
        <w:t xml:space="preserve">  </w:t>
      </w:r>
      <w:r>
        <w:rPr>
          <w:rFonts w:hint="eastAsia" w:ascii="宋体" w:hAnsi="宋体" w:cs="宋体"/>
          <w:b/>
          <w:bCs/>
          <w:sz w:val="36"/>
          <w:szCs w:val="36"/>
          <w:lang w:eastAsia="zh-CN"/>
        </w:rPr>
        <w:t>协</w:t>
      </w:r>
      <w:r>
        <w:rPr>
          <w:rFonts w:ascii="宋体" w:hAnsi="宋体" w:cs="宋体"/>
          <w:b/>
          <w:bCs/>
          <w:sz w:val="36"/>
          <w:szCs w:val="36"/>
          <w:lang w:eastAsia="zh-CN"/>
        </w:rPr>
        <w:t xml:space="preserve">  </w:t>
      </w:r>
      <w:r>
        <w:rPr>
          <w:rFonts w:hint="eastAsia" w:ascii="宋体" w:hAnsi="宋体" w:cs="宋体"/>
          <w:b/>
          <w:bCs/>
          <w:sz w:val="36"/>
          <w:szCs w:val="36"/>
          <w:lang w:eastAsia="zh-CN"/>
        </w:rPr>
        <w:t>议</w:t>
      </w:r>
      <w:r>
        <w:rPr>
          <w:rFonts w:ascii="宋体" w:hAnsi="宋体" w:cs="宋体"/>
          <w:b/>
          <w:bCs/>
          <w:sz w:val="36"/>
          <w:szCs w:val="36"/>
          <w:lang w:eastAsia="zh-CN"/>
        </w:rPr>
        <w:t xml:space="preserve">  </w:t>
      </w:r>
      <w:r>
        <w:rPr>
          <w:rFonts w:hint="eastAsia" w:ascii="宋体" w:hAnsi="宋体" w:cs="宋体"/>
          <w:b/>
          <w:bCs/>
          <w:sz w:val="36"/>
          <w:szCs w:val="36"/>
          <w:lang w:eastAsia="zh-CN"/>
        </w:rPr>
        <w:t>书</w:t>
      </w:r>
      <w:bookmarkEnd w:id="2"/>
      <w:bookmarkEnd w:id="3"/>
      <w:bookmarkEnd w:id="4"/>
      <w:bookmarkEnd w:id="5"/>
    </w:p>
    <w:p w14:paraId="4572EC50">
      <w:pPr>
        <w:spacing w:line="360" w:lineRule="auto"/>
        <w:jc w:val="center"/>
        <w:rPr>
          <w:rFonts w:ascii="宋体"/>
          <w:sz w:val="36"/>
          <w:szCs w:val="36"/>
          <w:lang w:eastAsia="zh-CN"/>
        </w:rPr>
      </w:pPr>
    </w:p>
    <w:p w14:paraId="4CFD3F57">
      <w:pPr>
        <w:spacing w:line="400" w:lineRule="exact"/>
        <w:ind w:firstLine="480" w:firstLineChars="200"/>
        <w:rPr>
          <w:rFonts w:ascii="仿宋" w:hAnsi="仿宋" w:eastAsia="仿宋"/>
          <w:lang w:eastAsia="zh-CN"/>
        </w:rPr>
      </w:pPr>
      <w:r>
        <w:rPr>
          <w:rFonts w:hint="eastAsia" w:ascii="仿宋" w:hAnsi="仿宋" w:eastAsia="仿宋" w:cs="仿宋"/>
          <w:lang w:eastAsia="zh-CN"/>
        </w:rPr>
        <w:t>发包人</w:t>
      </w:r>
      <w:r>
        <w:rPr>
          <w:rFonts w:ascii="仿宋" w:hAnsi="仿宋" w:eastAsia="仿宋" w:cs="仿宋"/>
          <w:lang w:eastAsia="zh-CN"/>
        </w:rPr>
        <w:t>:</w:t>
      </w:r>
      <w:r>
        <w:rPr>
          <w:rFonts w:hint="eastAsia" w:ascii="仿宋" w:hAnsi="仿宋" w:eastAsia="仿宋" w:cs="仿宋"/>
          <w:lang w:eastAsia="zh-CN"/>
        </w:rPr>
        <w:t>（全称）</w:t>
      </w:r>
      <w:r>
        <w:rPr>
          <w:rFonts w:ascii="仿宋" w:hAnsi="仿宋" w:eastAsia="仿宋" w:cs="仿宋"/>
          <w:u w:val="single"/>
          <w:lang w:eastAsia="zh-CN"/>
        </w:rPr>
        <w:t xml:space="preserve"> </w:t>
      </w:r>
      <w:r>
        <w:rPr>
          <w:rFonts w:hint="eastAsia" w:ascii="仿宋" w:hAnsi="仿宋" w:eastAsia="仿宋" w:cs="仿宋"/>
          <w:u w:val="single"/>
          <w:lang w:eastAsia="zh-CN"/>
        </w:rPr>
        <w:t>广州天华科韵城市更新有限公司</w:t>
      </w:r>
      <w:r>
        <w:rPr>
          <w:rFonts w:ascii="仿宋" w:hAnsi="仿宋" w:eastAsia="仿宋" w:cs="仿宋"/>
          <w:u w:val="single"/>
          <w:lang w:eastAsia="zh-CN"/>
        </w:rPr>
        <w:t xml:space="preserve">     </w:t>
      </w:r>
    </w:p>
    <w:p w14:paraId="122A9A1B">
      <w:pPr>
        <w:spacing w:line="400" w:lineRule="exact"/>
        <w:ind w:firstLine="480" w:firstLineChars="200"/>
        <w:rPr>
          <w:rFonts w:ascii="仿宋" w:hAnsi="仿宋" w:eastAsia="仿宋" w:cs="仿宋"/>
          <w:u w:val="single"/>
          <w:lang w:eastAsia="zh-CN"/>
        </w:rPr>
      </w:pPr>
      <w:r>
        <w:rPr>
          <w:rFonts w:hint="eastAsia" w:ascii="仿宋" w:hAnsi="仿宋" w:eastAsia="仿宋" w:cs="仿宋"/>
          <w:lang w:eastAsia="zh-CN"/>
        </w:rPr>
        <w:t>承包人</w:t>
      </w:r>
      <w:r>
        <w:rPr>
          <w:rFonts w:ascii="仿宋" w:hAnsi="仿宋" w:eastAsia="仿宋" w:cs="仿宋"/>
          <w:lang w:eastAsia="zh-CN"/>
        </w:rPr>
        <w:t>:</w:t>
      </w:r>
      <w:r>
        <w:rPr>
          <w:rFonts w:hint="eastAsia" w:ascii="仿宋" w:hAnsi="仿宋" w:eastAsia="仿宋" w:cs="仿宋"/>
          <w:lang w:eastAsia="zh-CN"/>
        </w:rPr>
        <w:t>（全称）</w:t>
      </w:r>
      <w:r>
        <w:rPr>
          <w:rFonts w:ascii="仿宋" w:hAnsi="仿宋" w:eastAsia="仿宋" w:cs="仿宋"/>
          <w:u w:val="single"/>
          <w:lang w:eastAsia="zh-CN"/>
        </w:rPr>
        <w:t xml:space="preserve">                                                       </w:t>
      </w:r>
    </w:p>
    <w:p w14:paraId="61EEDDE8">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t>承包人（承包人为联合体时）：</w:t>
      </w:r>
    </w:p>
    <w:p w14:paraId="40FE17CC">
      <w:pPr>
        <w:spacing w:line="400" w:lineRule="exact"/>
        <w:ind w:firstLine="480" w:firstLineChars="200"/>
        <w:rPr>
          <w:rFonts w:ascii="仿宋" w:hAnsi="仿宋" w:eastAsia="仿宋"/>
          <w:lang w:eastAsia="zh-CN"/>
        </w:rPr>
      </w:pPr>
      <w:r>
        <w:rPr>
          <w:rFonts w:hint="eastAsia" w:ascii="仿宋" w:hAnsi="仿宋" w:eastAsia="仿宋" w:cs="仿宋"/>
          <w:lang w:eastAsia="zh-CN"/>
        </w:rPr>
        <w:t>(牵头单位全称)</w:t>
      </w:r>
      <w:r>
        <w:rPr>
          <w:rFonts w:hint="eastAsia" w:ascii="宋体" w:hAnsi="宋体"/>
          <w:u w:val="single"/>
          <w:lang w:eastAsia="zh-CN"/>
        </w:rPr>
        <w:t xml:space="preserve">                                                        </w:t>
      </w:r>
    </w:p>
    <w:p w14:paraId="2B4E3995">
      <w:pPr>
        <w:spacing w:line="400" w:lineRule="exact"/>
        <w:ind w:firstLine="480" w:firstLineChars="200"/>
        <w:rPr>
          <w:rFonts w:ascii="仿宋" w:hAnsi="仿宋" w:eastAsia="仿宋"/>
          <w:lang w:eastAsia="zh-CN"/>
        </w:rPr>
      </w:pPr>
      <w:r>
        <w:rPr>
          <w:rFonts w:hint="eastAsia" w:ascii="仿宋" w:hAnsi="仿宋" w:eastAsia="仿宋" w:cs="仿宋"/>
          <w:lang w:eastAsia="zh-CN"/>
        </w:rPr>
        <w:t>(成员单位全称)</w:t>
      </w:r>
      <w:r>
        <w:rPr>
          <w:rFonts w:hint="eastAsia" w:ascii="宋体" w:hAnsi="宋体"/>
          <w:u w:val="single"/>
          <w:lang w:eastAsia="zh-CN"/>
        </w:rPr>
        <w:t xml:space="preserve">                                                        </w:t>
      </w:r>
    </w:p>
    <w:p w14:paraId="57159D6D">
      <w:pPr>
        <w:spacing w:line="400" w:lineRule="exact"/>
        <w:ind w:firstLine="480" w:firstLineChars="200"/>
        <w:rPr>
          <w:rFonts w:ascii="仿宋" w:hAnsi="仿宋" w:eastAsia="仿宋"/>
          <w:lang w:eastAsia="zh-CN"/>
        </w:rPr>
      </w:pPr>
    </w:p>
    <w:p w14:paraId="254060F3">
      <w:pPr>
        <w:spacing w:line="400" w:lineRule="exact"/>
        <w:ind w:firstLine="480" w:firstLineChars="200"/>
        <w:rPr>
          <w:rFonts w:ascii="仿宋" w:hAnsi="仿宋" w:eastAsia="仿宋"/>
          <w:lang w:eastAsia="zh-CN"/>
        </w:rPr>
      </w:pPr>
      <w:r>
        <w:rPr>
          <w:rFonts w:hint="eastAsia" w:ascii="仿宋" w:hAnsi="仿宋" w:eastAsia="仿宋" w:cs="仿宋"/>
          <w:lang w:eastAsia="zh-CN"/>
        </w:rPr>
        <w:t>依照《中华人民共和国民法典》、《中华人民共和国建筑法》及其他有关法律法规，遵循平等、自愿、公平和诚实信用的原则，发包人和承包人就本工程项目采用工程总承包（EPC）实施的有关事项达成一致意见，订立本合同。</w:t>
      </w:r>
    </w:p>
    <w:p w14:paraId="120E7E9B">
      <w:pPr>
        <w:spacing w:line="400" w:lineRule="exact"/>
        <w:ind w:firstLine="482" w:firstLineChars="200"/>
        <w:rPr>
          <w:rFonts w:ascii="仿宋" w:hAnsi="仿宋" w:eastAsia="仿宋" w:cs="仿宋"/>
          <w:b/>
          <w:bCs/>
          <w:lang w:eastAsia="zh-CN"/>
        </w:rPr>
      </w:pPr>
    </w:p>
    <w:p w14:paraId="3E53E474">
      <w:pPr>
        <w:spacing w:line="400" w:lineRule="exact"/>
        <w:ind w:firstLine="482" w:firstLineChars="200"/>
        <w:outlineLvl w:val="1"/>
        <w:rPr>
          <w:rFonts w:ascii="仿宋" w:hAnsi="仿宋" w:eastAsia="仿宋" w:cs="仿宋"/>
          <w:b/>
          <w:bCs/>
          <w:lang w:eastAsia="zh-CN"/>
        </w:rPr>
      </w:pPr>
      <w:bookmarkStart w:id="6" w:name="_Toc26526"/>
      <w:bookmarkStart w:id="7" w:name="_Toc194073090"/>
      <w:bookmarkStart w:id="8" w:name="_Toc15594"/>
      <w:bookmarkStart w:id="9" w:name="_Toc6550"/>
      <w:bookmarkStart w:id="10" w:name="_Toc10786"/>
      <w:r>
        <w:rPr>
          <w:rFonts w:hint="eastAsia" w:ascii="仿宋" w:hAnsi="仿宋" w:eastAsia="仿宋" w:cs="仿宋"/>
          <w:b/>
          <w:bCs/>
          <w:lang w:eastAsia="zh-CN"/>
        </w:rPr>
        <w:t>一、工程概况</w:t>
      </w:r>
      <w:bookmarkEnd w:id="6"/>
      <w:bookmarkEnd w:id="7"/>
      <w:bookmarkEnd w:id="8"/>
      <w:bookmarkEnd w:id="9"/>
      <w:bookmarkEnd w:id="10"/>
    </w:p>
    <w:p w14:paraId="44C5A341">
      <w:pPr>
        <w:spacing w:line="400" w:lineRule="exact"/>
        <w:ind w:firstLine="480" w:firstLineChars="200"/>
        <w:rPr>
          <w:rFonts w:ascii="仿宋" w:hAnsi="仿宋" w:eastAsia="仿宋" w:cs="仿宋"/>
          <w:u w:val="single"/>
          <w:lang w:eastAsia="zh-CN"/>
        </w:rPr>
      </w:pPr>
      <w:r>
        <w:rPr>
          <w:rFonts w:hint="eastAsia" w:ascii="仿宋" w:hAnsi="仿宋" w:eastAsia="仿宋" w:cs="仿宋"/>
          <w:lang w:eastAsia="zh-CN"/>
        </w:rPr>
        <w:t>立项批文编号或广东省企业基本建设投资项目备案证备案项目编号：</w:t>
      </w:r>
      <w:r>
        <w:rPr>
          <w:rFonts w:hint="eastAsia" w:ascii="仿宋" w:hAnsi="仿宋" w:eastAsia="仿宋" w:cs="仿宋"/>
          <w:u w:val="single"/>
          <w:lang w:eastAsia="zh-CN"/>
        </w:rPr>
        <w:t>2406-440106-04-01-344060</w:t>
      </w:r>
    </w:p>
    <w:p w14:paraId="07080E54">
      <w:pPr>
        <w:spacing w:line="400" w:lineRule="exact"/>
        <w:ind w:firstLine="480" w:firstLineChars="200"/>
        <w:rPr>
          <w:rFonts w:ascii="仿宋" w:hAnsi="仿宋" w:eastAsia="仿宋" w:cs="仿宋"/>
          <w:u w:val="single"/>
          <w:lang w:eastAsia="zh-CN"/>
        </w:rPr>
      </w:pPr>
      <w:r>
        <w:rPr>
          <w:rFonts w:hint="eastAsia" w:ascii="仿宋" w:hAnsi="仿宋" w:eastAsia="仿宋" w:cs="仿宋"/>
          <w:lang w:eastAsia="zh-CN"/>
        </w:rPr>
        <w:t>项目名称：</w:t>
      </w:r>
      <w:r>
        <w:rPr>
          <w:rFonts w:hint="eastAsia" w:ascii="仿宋" w:hAnsi="仿宋" w:eastAsia="仿宋" w:cs="仿宋"/>
          <w:u w:val="single"/>
          <w:lang w:eastAsia="zh-CN"/>
        </w:rPr>
        <w:t>天河区凌塘村城中村改造项目-首开区复建安置房及配套设施工程设计施工总承包</w:t>
      </w:r>
    </w:p>
    <w:p w14:paraId="4D18D65D">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t>建设地点：</w:t>
      </w:r>
      <w:r>
        <w:rPr>
          <w:rFonts w:hint="eastAsia" w:ascii="仿宋" w:hAnsi="仿宋" w:eastAsia="仿宋" w:cs="仿宋"/>
          <w:u w:val="single"/>
          <w:lang w:eastAsia="zh-CN"/>
        </w:rPr>
        <w:t>广州市天河区</w:t>
      </w:r>
      <w:r>
        <w:rPr>
          <w:rFonts w:ascii="仿宋" w:hAnsi="仿宋" w:eastAsia="仿宋" w:cs="仿宋"/>
          <w:u w:val="single"/>
          <w:lang w:eastAsia="zh-CN"/>
        </w:rPr>
        <w:t xml:space="preserve">  </w:t>
      </w:r>
    </w:p>
    <w:p w14:paraId="72486B73">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t>合同类型：□设计、采购、施工合同</w:t>
      </w:r>
      <w:r>
        <w:rPr>
          <w:rFonts w:ascii="仿宋" w:hAnsi="仿宋" w:eastAsia="仿宋" w:cs="仿宋"/>
          <w:lang w:eastAsia="zh-CN"/>
        </w:rPr>
        <w:t xml:space="preserve"> </w:t>
      </w:r>
      <w:r>
        <w:rPr>
          <w:rFonts w:hint="eastAsia" w:ascii="仿宋" w:hAnsi="仿宋" w:eastAsia="仿宋" w:cs="仿宋"/>
          <w:lang w:eastAsia="zh-CN"/>
        </w:rPr>
        <w:t xml:space="preserve"> □勘察、设计、施工合同</w:t>
      </w:r>
    </w:p>
    <w:p w14:paraId="1B0B79A1">
      <w:pPr>
        <w:spacing w:line="400" w:lineRule="exact"/>
        <w:ind w:firstLine="480" w:firstLineChars="200"/>
        <w:rPr>
          <w:rFonts w:ascii="仿宋" w:hAnsi="仿宋" w:eastAsia="仿宋" w:cs="仿宋"/>
          <w:u w:val="single"/>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设计、施工合同</w:t>
      </w:r>
      <w:r>
        <w:rPr>
          <w:rFonts w:ascii="仿宋" w:hAnsi="仿宋" w:eastAsia="仿宋" w:cs="仿宋"/>
          <w:lang w:eastAsia="zh-CN"/>
        </w:rPr>
        <w:t xml:space="preserve">   </w:t>
      </w:r>
      <w:r>
        <w:rPr>
          <w:rFonts w:hint="eastAsia" w:ascii="仿宋" w:hAnsi="仿宋" w:eastAsia="仿宋" w:cs="仿宋"/>
          <w:lang w:eastAsia="zh-CN"/>
        </w:rPr>
        <w:t>□其它：</w:t>
      </w:r>
      <w:r>
        <w:rPr>
          <w:rFonts w:ascii="仿宋" w:hAnsi="仿宋" w:eastAsia="仿宋" w:cs="仿宋"/>
          <w:u w:val="single"/>
          <w:lang w:eastAsia="zh-CN"/>
        </w:rPr>
        <w:t xml:space="preserve">  </w:t>
      </w:r>
      <w:r>
        <w:rPr>
          <w:rFonts w:hint="eastAsia" w:ascii="仿宋" w:hAnsi="仿宋" w:eastAsia="仿宋" w:cs="仿宋"/>
          <w:u w:val="single"/>
          <w:lang w:eastAsia="zh-CN"/>
        </w:rPr>
        <w:t xml:space="preserve"> / </w:t>
      </w:r>
      <w:r>
        <w:rPr>
          <w:rFonts w:ascii="仿宋" w:hAnsi="仿宋" w:eastAsia="仿宋" w:cs="仿宋"/>
          <w:u w:val="single"/>
          <w:lang w:eastAsia="zh-CN"/>
        </w:rPr>
        <w:t xml:space="preserve">  </w:t>
      </w:r>
    </w:p>
    <w:p w14:paraId="7F2D27BB">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t xml:space="preserve">合同签订阶段：□可行性研究批准立项或者备案后   </w:t>
      </w:r>
      <w:r>
        <w:rPr>
          <w:rFonts w:hint="eastAsia" w:ascii="仿宋" w:hAnsi="仿宋" w:eastAsia="仿宋" w:cs="仿宋"/>
          <w:lang w:eastAsia="zh-CN"/>
        </w:rPr>
        <w:sym w:font="Wingdings 2" w:char="F052"/>
      </w:r>
      <w:r>
        <w:rPr>
          <w:rFonts w:hint="eastAsia" w:ascii="仿宋" w:hAnsi="仿宋" w:eastAsia="仿宋" w:cs="仿宋"/>
          <w:lang w:eastAsia="zh-CN"/>
        </w:rPr>
        <w:t>初步设计批准后</w:t>
      </w:r>
    </w:p>
    <w:p w14:paraId="789E38DB">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t>□其它阶段：</w:t>
      </w:r>
      <w:r>
        <w:rPr>
          <w:rFonts w:ascii="仿宋" w:hAnsi="仿宋" w:eastAsia="仿宋" w:cs="仿宋"/>
          <w:u w:val="single"/>
          <w:lang w:eastAsia="zh-CN"/>
        </w:rPr>
        <w:t xml:space="preserve">  </w:t>
      </w:r>
      <w:r>
        <w:rPr>
          <w:rFonts w:hint="eastAsia" w:ascii="仿宋" w:hAnsi="仿宋" w:eastAsia="仿宋" w:cs="仿宋"/>
          <w:u w:val="single"/>
          <w:lang w:eastAsia="zh-CN"/>
        </w:rPr>
        <w:t xml:space="preserve"> /  </w:t>
      </w:r>
      <w:r>
        <w:rPr>
          <w:rFonts w:ascii="仿宋" w:hAnsi="仿宋" w:eastAsia="仿宋" w:cs="仿宋"/>
          <w:u w:val="single"/>
          <w:lang w:eastAsia="zh-CN"/>
        </w:rPr>
        <w:t xml:space="preserve">  </w:t>
      </w:r>
    </w:p>
    <w:p w14:paraId="4E4BCC98">
      <w:pPr>
        <w:spacing w:line="400" w:lineRule="exact"/>
        <w:ind w:firstLine="480" w:firstLineChars="200"/>
        <w:rPr>
          <w:rFonts w:ascii="仿宋" w:hAnsi="仿宋" w:eastAsia="仿宋" w:cs="仿宋"/>
          <w:u w:val="single"/>
          <w:lang w:eastAsia="zh-CN"/>
        </w:rPr>
      </w:pPr>
      <w:r>
        <w:rPr>
          <w:rFonts w:hint="eastAsia" w:ascii="仿宋" w:hAnsi="仿宋" w:eastAsia="仿宋" w:cs="仿宋"/>
          <w:lang w:eastAsia="zh-CN"/>
        </w:rPr>
        <w:t>工程规模：</w:t>
      </w:r>
      <w:r>
        <w:rPr>
          <w:rFonts w:hint="eastAsia" w:ascii="仿宋" w:hAnsi="仿宋" w:eastAsia="仿宋" w:cs="仿宋"/>
          <w:u w:val="single"/>
          <w:lang w:eastAsia="zh-CN"/>
        </w:rPr>
        <w:t>本项目总用地面积32612.84平方米，其中可建设用地26289.81平方米，规划绿地面积</w:t>
      </w:r>
      <w:r>
        <w:rPr>
          <w:rFonts w:ascii="仿宋" w:hAnsi="仿宋" w:eastAsia="仿宋" w:cs="仿宋"/>
          <w:u w:val="single"/>
          <w:lang w:eastAsia="zh-CN"/>
        </w:rPr>
        <w:t>6323.03</w:t>
      </w:r>
      <w:r>
        <w:rPr>
          <w:rFonts w:hint="eastAsia" w:ascii="仿宋" w:hAnsi="仿宋" w:eastAsia="仿宋" w:cs="仿宋"/>
          <w:u w:val="single"/>
          <w:lang w:eastAsia="zh-CN"/>
        </w:rPr>
        <w:t>平方米。总建筑面积约12万平方米，容积率3.2，绿地率≥35%。项目主要建设内容包括安置房、小区内道路、绿地、公共服务配套设施等。</w:t>
      </w:r>
    </w:p>
    <w:p w14:paraId="50645DE4">
      <w:pPr>
        <w:spacing w:line="400" w:lineRule="exact"/>
        <w:ind w:firstLine="480" w:firstLineChars="200"/>
        <w:rPr>
          <w:rFonts w:ascii="仿宋" w:hAnsi="仿宋" w:eastAsia="仿宋" w:cs="仿宋"/>
          <w:u w:val="single"/>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本项目含装配式建筑，各装配式单体工程名称：</w:t>
      </w:r>
      <w:r>
        <w:rPr>
          <w:rFonts w:hint="eastAsia" w:ascii="仿宋" w:hAnsi="仿宋" w:eastAsia="仿宋" w:cs="仿宋"/>
          <w:u w:val="single"/>
          <w:lang w:eastAsia="zh-CN"/>
        </w:rPr>
        <w:t>以初步设计为准。</w:t>
      </w:r>
    </w:p>
    <w:p w14:paraId="3BB164D9">
      <w:pPr>
        <w:spacing w:line="400" w:lineRule="exact"/>
        <w:ind w:firstLine="480" w:firstLineChars="200"/>
        <w:rPr>
          <w:rFonts w:ascii="仿宋" w:hAnsi="仿宋" w:eastAsia="仿宋" w:cs="仿宋"/>
          <w:u w:val="single"/>
          <w:lang w:eastAsia="zh-CN"/>
        </w:rPr>
      </w:pPr>
      <w:r>
        <w:rPr>
          <w:rFonts w:hint="eastAsia" w:ascii="仿宋" w:hAnsi="仿宋" w:eastAsia="仿宋" w:cs="仿宋"/>
          <w:lang w:eastAsia="zh-CN"/>
        </w:rPr>
        <w:t>资金来源：</w:t>
      </w:r>
      <w:r>
        <w:rPr>
          <w:rFonts w:ascii="仿宋" w:hAnsi="仿宋" w:eastAsia="仿宋" w:cs="仿宋"/>
          <w:u w:val="single"/>
          <w:lang w:eastAsia="zh-CN"/>
        </w:rPr>
        <w:t xml:space="preserve"> </w:t>
      </w:r>
      <w:r>
        <w:rPr>
          <w:rFonts w:hint="eastAsia" w:ascii="仿宋" w:hAnsi="仿宋" w:eastAsia="仿宋" w:cs="仿宋"/>
          <w:u w:val="single"/>
          <w:lang w:eastAsia="zh-CN"/>
        </w:rPr>
        <w:t>企业自筹资金。</w:t>
      </w:r>
    </w:p>
    <w:p w14:paraId="7E96DEA9">
      <w:pPr>
        <w:spacing w:line="400" w:lineRule="exact"/>
        <w:ind w:firstLine="480" w:firstLineChars="200"/>
        <w:rPr>
          <w:rFonts w:ascii="仿宋" w:hAnsi="仿宋" w:eastAsia="仿宋" w:cs="仿宋"/>
          <w:u w:val="single"/>
          <w:lang w:eastAsia="zh-CN"/>
        </w:rPr>
      </w:pPr>
      <w:r>
        <w:rPr>
          <w:rFonts w:hint="eastAsia" w:ascii="仿宋" w:hAnsi="仿宋" w:eastAsia="仿宋" w:cs="仿宋"/>
          <w:lang w:eastAsia="zh-CN"/>
        </w:rPr>
        <w:t>其他：</w:t>
      </w:r>
      <w:r>
        <w:rPr>
          <w:rFonts w:ascii="仿宋" w:hAnsi="仿宋" w:eastAsia="仿宋" w:cs="仿宋"/>
          <w:u w:val="single"/>
          <w:lang w:eastAsia="zh-CN"/>
        </w:rPr>
        <w:t xml:space="preserve">    无</w:t>
      </w:r>
      <w:r>
        <w:rPr>
          <w:rFonts w:hint="eastAsia" w:ascii="仿宋" w:hAnsi="仿宋" w:eastAsia="仿宋" w:cs="仿宋"/>
          <w:u w:val="single"/>
          <w:lang w:eastAsia="zh-CN"/>
        </w:rPr>
        <w:t>。</w:t>
      </w:r>
      <w:r>
        <w:rPr>
          <w:rFonts w:ascii="仿宋" w:hAnsi="仿宋" w:eastAsia="仿宋" w:cs="仿宋"/>
          <w:u w:val="single"/>
          <w:lang w:eastAsia="zh-CN"/>
        </w:rPr>
        <w:t xml:space="preserve">    </w:t>
      </w:r>
    </w:p>
    <w:p w14:paraId="794DE723">
      <w:pPr>
        <w:spacing w:line="400" w:lineRule="exact"/>
        <w:ind w:firstLine="480" w:firstLineChars="200"/>
        <w:rPr>
          <w:rFonts w:ascii="仿宋" w:hAnsi="仿宋" w:eastAsia="仿宋"/>
          <w:lang w:eastAsia="zh-CN"/>
        </w:rPr>
      </w:pPr>
    </w:p>
    <w:p w14:paraId="02163547">
      <w:pPr>
        <w:spacing w:line="400" w:lineRule="exact"/>
        <w:ind w:firstLine="482" w:firstLineChars="200"/>
        <w:outlineLvl w:val="1"/>
        <w:rPr>
          <w:rFonts w:ascii="仿宋" w:hAnsi="仿宋" w:eastAsia="仿宋" w:cs="仿宋"/>
          <w:b/>
          <w:bCs/>
          <w:lang w:eastAsia="zh-CN"/>
        </w:rPr>
      </w:pPr>
      <w:bookmarkStart w:id="11" w:name="_Toc10817"/>
      <w:bookmarkStart w:id="12" w:name="_Toc20955"/>
      <w:bookmarkStart w:id="13" w:name="_Toc2270"/>
      <w:bookmarkStart w:id="14" w:name="_Toc194073091"/>
      <w:bookmarkStart w:id="15" w:name="_Toc32449"/>
      <w:r>
        <w:rPr>
          <w:rFonts w:hint="eastAsia" w:ascii="仿宋" w:hAnsi="仿宋" w:eastAsia="仿宋" w:cs="仿宋"/>
          <w:b/>
          <w:bCs/>
          <w:lang w:eastAsia="zh-CN"/>
        </w:rPr>
        <w:t>二、总承包范围、工程内容</w:t>
      </w:r>
      <w:bookmarkEnd w:id="11"/>
      <w:r>
        <w:rPr>
          <w:rFonts w:hint="eastAsia" w:ascii="仿宋" w:hAnsi="仿宋" w:eastAsia="仿宋" w:cs="仿宋"/>
          <w:b/>
          <w:bCs/>
          <w:lang w:eastAsia="zh-CN"/>
        </w:rPr>
        <w:t>、承包方式及投资控制</w:t>
      </w:r>
      <w:bookmarkEnd w:id="12"/>
      <w:bookmarkEnd w:id="13"/>
      <w:bookmarkEnd w:id="14"/>
      <w:bookmarkEnd w:id="15"/>
    </w:p>
    <w:p w14:paraId="5256B43B">
      <w:pPr>
        <w:spacing w:line="400" w:lineRule="exact"/>
        <w:ind w:firstLine="480" w:firstLineChars="200"/>
        <w:rPr>
          <w:rFonts w:ascii="宋体" w:hAnsi="宋体"/>
          <w:szCs w:val="21"/>
          <w:lang w:eastAsia="zh-CN"/>
        </w:rPr>
      </w:pPr>
      <w:r>
        <w:rPr>
          <w:rFonts w:hint="eastAsia" w:ascii="仿宋" w:hAnsi="仿宋" w:eastAsia="仿宋" w:cs="仿宋"/>
          <w:lang w:eastAsia="zh-CN"/>
        </w:rPr>
        <w:t>1.总承包范围</w:t>
      </w:r>
      <w:r>
        <w:rPr>
          <w:rFonts w:ascii="仿宋" w:hAnsi="仿宋" w:eastAsia="仿宋" w:cs="仿宋"/>
          <w:lang w:eastAsia="zh-CN"/>
        </w:rPr>
        <w:t>:</w:t>
      </w:r>
      <w:r>
        <w:rPr>
          <w:rFonts w:hint="eastAsia" w:ascii="仿宋" w:hAnsi="仿宋" w:eastAsia="仿宋" w:cs="仿宋"/>
          <w:u w:val="single"/>
          <w:lang w:eastAsia="zh-CN"/>
        </w:rPr>
        <w:t xml:space="preserve">完成本项目施工图设计、专业工程深化设计、变更设计、材料设备采购与安装、施工、工程总承包管理、工程竣工验收、交付使用手续办理、移交的设计施工总承包、资料编制归档、工程保修，配合发包人办理报建、报批，配合发包人办理相关部门工程结算审核、配合发包人的审计和审计的调查、项目建设阶段全过程的综合协调等工作（具体以设计任务书和合同约定为准）。具体包括但不限于以下事项： </w:t>
      </w:r>
    </w:p>
    <w:p w14:paraId="28707C67">
      <w:pPr>
        <w:spacing w:line="400" w:lineRule="exact"/>
        <w:ind w:firstLine="480" w:firstLineChars="200"/>
        <w:rPr>
          <w:rFonts w:ascii="宋体" w:hAnsi="宋体"/>
          <w:szCs w:val="21"/>
          <w:lang w:eastAsia="zh-CN"/>
        </w:rPr>
      </w:pPr>
      <w:r>
        <w:rPr>
          <w:rFonts w:hint="eastAsia" w:ascii="仿宋" w:hAnsi="仿宋" w:eastAsia="仿宋" w:cs="仿宋"/>
          <w:lang w:eastAsia="zh-CN"/>
        </w:rPr>
        <w:sym w:font="Wingdings 2" w:char="F0A3"/>
      </w:r>
      <w:r>
        <w:rPr>
          <w:rFonts w:hint="eastAsia" w:ascii="仿宋" w:hAnsi="仿宋" w:eastAsia="仿宋" w:cs="仿宋"/>
          <w:lang w:eastAsia="zh-CN"/>
        </w:rPr>
        <w:t>勘察</w:t>
      </w:r>
      <w:r>
        <w:rPr>
          <w:rFonts w:ascii="仿宋" w:hAnsi="仿宋" w:eastAsia="仿宋" w:cs="仿宋"/>
          <w:lang w:eastAsia="zh-CN"/>
        </w:rPr>
        <w:t>:</w:t>
      </w:r>
      <w:r>
        <w:rPr>
          <w:rFonts w:hint="eastAsia" w:ascii="仿宋" w:hAnsi="仿宋" w:eastAsia="仿宋" w:cs="仿宋"/>
          <w:u w:val="single"/>
          <w:lang w:eastAsia="zh-CN"/>
        </w:rPr>
        <w:t xml:space="preserve"> /。</w:t>
      </w:r>
    </w:p>
    <w:p w14:paraId="7608BFF3">
      <w:pPr>
        <w:spacing w:line="400" w:lineRule="exact"/>
        <w:ind w:firstLine="480" w:firstLineChars="200"/>
        <w:rPr>
          <w:rFonts w:ascii="仿宋" w:hAnsi="仿宋" w:eastAsia="仿宋" w:cs="仿宋"/>
          <w:u w:val="single"/>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设计</w:t>
      </w:r>
      <w:r>
        <w:rPr>
          <w:rFonts w:ascii="仿宋" w:hAnsi="仿宋" w:eastAsia="仿宋" w:cs="仿宋"/>
          <w:lang w:eastAsia="zh-CN"/>
        </w:rPr>
        <w:t>:</w:t>
      </w:r>
      <w:r>
        <w:rPr>
          <w:rFonts w:hint="eastAsia" w:ascii="仿宋" w:hAnsi="仿宋" w:eastAsia="仿宋" w:cs="仿宋"/>
          <w:u w:val="single"/>
          <w:lang w:eastAsia="zh-CN"/>
        </w:rPr>
        <w:t>包含本项目全专业设计，包括但不限于：编制施工图设计文件、施工图预算及配合发包人完成国家规定的其他报批报建、审查备案、专项评审（包括但不限于：基坑支护设计及结构评审、装配式评审等相关评审工作）、现场实施的图纸、文件及资料；充分使用前期勘察成果；负责现场技术指导、服务、图纸技术交底、工艺交底、效果类材料定样等工作。主要内容如下：</w:t>
      </w:r>
    </w:p>
    <w:p w14:paraId="196EBAB4">
      <w:pPr>
        <w:spacing w:line="400" w:lineRule="exact"/>
        <w:ind w:firstLine="480" w:firstLineChars="200"/>
        <w:rPr>
          <w:rFonts w:ascii="仿宋" w:hAnsi="仿宋" w:eastAsia="仿宋" w:cs="仿宋"/>
          <w:highlight w:val="yellow"/>
          <w:u w:val="single"/>
          <w:lang w:eastAsia="zh-CN"/>
        </w:rPr>
      </w:pPr>
      <w:r>
        <w:rPr>
          <w:rFonts w:hint="eastAsia" w:ascii="仿宋" w:hAnsi="仿宋" w:eastAsia="仿宋" w:cs="仿宋"/>
          <w:u w:val="single"/>
          <w:lang w:eastAsia="zh-CN"/>
        </w:rPr>
        <w:t>基坑支护、永久边坡支护（包括排洪渠）、建筑、结构（含钢结构）、电气（含强电、弱电、防雷）、给排水、暖通、智能化、精装修、网络、有线电视、信号覆盖、抗震支架、园建绿化、消防、人防、装配式（图纸深度满足构件厂生产需求）、停车场引导系统、泛光照明、卫生、环保、建筑节能、绿色建筑、海绵城市、市政工程接入、小区道路、小区市政、永久围墙及大门、信报箱、临时施工道路、临水、临电、交通标线、标识（含地下室）、祠堂、村史博物馆、管线综合平衡、设备选型建议及燃气、铝合金门窗、栏杆、幕墙、外电、外水、市政外综合管网、地下室地坪漆及停车位优化、电梯、充电桩预留条件等专业的施工图设计及竣工后配合编制竣工图并进行审核。施工图设计阶段BIM技术应用、装配式建筑运用（包含组织装配式评审）、多媒体动画及展示模型、展板等。需开展的二次深化设计工作。含绿建、海绵城市、抗震、节能、环评、地灾、交评、道路开口等咨询费用。</w:t>
      </w:r>
    </w:p>
    <w:p w14:paraId="1C1AFBBF">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其他工作：</w:t>
      </w:r>
    </w:p>
    <w:p w14:paraId="1BB78B9F">
      <w:pPr>
        <w:spacing w:line="400" w:lineRule="exact"/>
        <w:ind w:firstLine="480" w:firstLineChars="200"/>
        <w:rPr>
          <w:rFonts w:ascii="仿宋" w:hAnsi="仿宋" w:eastAsia="仿宋" w:cs="仿宋"/>
          <w:strike/>
          <w:highlight w:val="lightGray"/>
          <w:u w:val="single"/>
          <w:lang w:eastAsia="zh-CN"/>
        </w:rPr>
      </w:pPr>
      <w:r>
        <w:rPr>
          <w:rFonts w:hint="eastAsia" w:ascii="仿宋" w:hAnsi="仿宋" w:eastAsia="仿宋" w:cs="仿宋"/>
          <w:u w:val="single"/>
          <w:lang w:eastAsia="zh-CN"/>
        </w:rPr>
        <w:t>（1）负责办理项目的修规调整及报建（如需）、建筑方案修改报建（如需）、各专业（含规划）报建、施工图报建、协助办理建设工程规划许可证等各专项报批报建和验收工作；</w:t>
      </w:r>
    </w:p>
    <w:p w14:paraId="71DC4DA6">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（2）负责组织开展专项设计方案协调工作；</w:t>
      </w:r>
    </w:p>
    <w:p w14:paraId="6D020067">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3）负责提供主要设备材料表及主要技术要求书工作；负责设备、大宗材料采购时采购清单、技术参数等审核工作，还包括各阶段方案比选、技术选型比选的投资分析、施工阶段的设计变更造价变化分析、根据发包人要求提供项目的成本指标数据等；依据已审定的概算文件及招标文件进行限额设计，针对可能突破限额的分项成本指标进行提前预警、报告、提出解决方案，确保工程成本满足概算文件及招标文件的投资要求（不可抗力情况需满足不可抗力的规定要求、需提供充分且必要的支撑依据）。</w:t>
      </w:r>
    </w:p>
    <w:p w14:paraId="56F38E3F">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4）负责工程施工过程直至竣工验收前的设计服务等工作，保证设计变更满足施工进度要求，并按发包人要求准备汇报材料；承包人应根据政府相关行政主管部门、行业主管部门的审批意见无条件地修改、完善各阶段的设计成果文件，确保其满足相关的审批要求；承包人应根据施工图审查单位的审查、发包人的设计评审、发包人组织的专业人士的意见对设计成果文件进行修改、完善。</w:t>
      </w:r>
    </w:p>
    <w:p w14:paraId="45478A28">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（5）绿色建筑设计评价标识的申报、报告编制及相关报批程序办理，设计费中包含本项目绿色建筑申报过程中所有费用，发包人不另行支付。</w:t>
      </w:r>
    </w:p>
    <w:p w14:paraId="6A7E43A4">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6）建筑节能新技术的应用及设计：包括但不限于节能、环保、绿色建筑、海绵城市等专项工程设计及提供主要设备材料表和技术需求书。本项目居住建筑执行二星级及以上绿色建筑标准。按照广州市绿色建筑和建筑节能管理规定开展设计工作提交绿色建筑设计专题报告（包括本项目采用绿建标准进行设计的论证报告及造价分析），确保达到要求的星级标准设计。</w:t>
      </w:r>
    </w:p>
    <w:p w14:paraId="34C99656">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（7）完成项目竣工图审核及盖章工作；</w:t>
      </w:r>
    </w:p>
    <w:p w14:paraId="5AC74B62">
      <w:pPr>
        <w:spacing w:line="400" w:lineRule="exact"/>
        <w:ind w:firstLine="480" w:firstLineChars="200"/>
        <w:rPr>
          <w:rFonts w:ascii="仿宋" w:hAnsi="仿宋" w:eastAsia="仿宋" w:cs="仿宋"/>
          <w:strike/>
          <w:highlight w:val="lightGray"/>
          <w:u w:val="single"/>
          <w:lang w:eastAsia="zh-CN"/>
        </w:rPr>
      </w:pPr>
      <w:r>
        <w:rPr>
          <w:rFonts w:hint="eastAsia" w:ascii="仿宋" w:hAnsi="仿宋" w:eastAsia="仿宋" w:cs="仿宋"/>
          <w:u w:val="single"/>
          <w:lang w:eastAsia="zh-CN"/>
        </w:rPr>
        <w:t>（8）在规划红线范围内，承包人应保证按规划及建筑功能要求、配套设施要求完成本项目全部的专业/专项设计。</w:t>
      </w:r>
      <w:r>
        <w:rPr>
          <w:rFonts w:hint="eastAsia" w:ascii="仿宋" w:hAnsi="仿宋" w:eastAsia="仿宋"/>
          <w:u w:val="single"/>
          <w:lang w:eastAsia="zh-CN"/>
        </w:rPr>
        <w:t>如承包人不具备项目中某些专业/专项的相应资质，或为了便于推进专业/专项设计进度，</w:t>
      </w:r>
      <w:r>
        <w:rPr>
          <w:rFonts w:hint="eastAsia" w:ascii="仿宋" w:hAnsi="仿宋" w:eastAsia="仿宋" w:cs="仿宋"/>
          <w:u w:val="single"/>
          <w:lang w:eastAsia="zh-CN"/>
        </w:rPr>
        <w:t>由承包人报发包人同意后进行分包，分包设计费由承包人承担。承包人全面负责管理和协调专业分包单位。</w:t>
      </w:r>
    </w:p>
    <w:p w14:paraId="127DA8BD">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（9）负责二次机电设计，精装修范围二次机电设计（含一次机电修改）；</w:t>
      </w:r>
    </w:p>
    <w:p w14:paraId="0729E2EF">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（10）按发包人要求提供设计样板；</w:t>
      </w:r>
    </w:p>
    <w:p w14:paraId="6E0049F0">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（11）完成发包人要求的设计变更及其他工作；</w:t>
      </w:r>
    </w:p>
    <w:p w14:paraId="58D38C10">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（12）负责项目涉及的临时围墙（包括村居和施工区域的分割围蔽）、临时道路、施工用水用电、临时排水等所有临时设施的设计工作；</w:t>
      </w:r>
    </w:p>
    <w:p w14:paraId="66620A1D">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（13）负责协助发包人根据需要召开的各类各阶段设计成果专家评审/审核会的场地费、专家费、交通费、餐费等相关费用纳入设计费，发包人不另行支付；</w:t>
      </w:r>
    </w:p>
    <w:p w14:paraId="4FA4716A">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14）编制设计工作计划，分区域、工序出具施工设计图纸，满足和确保施工现场施工需要。除按合同约定的时间和要求向发包人提交设计成果文件外，还应承担工程施工过程直至竣工验收前的设计服务（包含设计变更）等工作，保证设计变更满足施工进度要求。</w:t>
      </w:r>
    </w:p>
    <w:p w14:paraId="483C55EE">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（15）负责施工图预算等造价文件的编制工作，并配合送审及评审工作（若为联合体投标，该项工作由联合体设计方牵头负责，以联合体名义报送）；</w:t>
      </w:r>
    </w:p>
    <w:p w14:paraId="1EEC3206">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（16）在设计过程中，如涉及新技术、新工艺的，应组织研究、进行三个以上方案技术经济比较，提出比较分析报告和推荐方案；</w:t>
      </w:r>
    </w:p>
    <w:p w14:paraId="347CD61B">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（17）负责对发包人提供的初步设计成果进行设计优化。</w:t>
      </w:r>
    </w:p>
    <w:p w14:paraId="326EB8A0">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（18）技术配合工作：发包人后续各类招标工作配合、施工配合、现场服务、竣工图编制配合服务等；</w:t>
      </w:r>
    </w:p>
    <w:p w14:paraId="617AA5E2">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（19）审核深化设计文件是否符合原设计文件的要求；</w:t>
      </w:r>
    </w:p>
    <w:p w14:paraId="324F46D8">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（20）若为联合体中标，则联合体设计方须全面负责施工图设计、施工图预算编制、上报以及其他与设计相关的工作；</w:t>
      </w:r>
    </w:p>
    <w:p w14:paraId="3862414A">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（21）完成发包人要求的与设计相关的其它工作。</w:t>
      </w:r>
    </w:p>
    <w:p w14:paraId="3F211416">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主要工作内容具体详见设计任务书。</w:t>
      </w:r>
    </w:p>
    <w:p w14:paraId="54ADE787">
      <w:pPr>
        <w:spacing w:line="400" w:lineRule="exact"/>
        <w:ind w:firstLine="480" w:firstLineChars="200"/>
        <w:rPr>
          <w:rFonts w:ascii="仿宋" w:hAnsi="仿宋" w:eastAsia="仿宋" w:cs="仿宋"/>
          <w:u w:val="single"/>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施工</w:t>
      </w:r>
      <w:r>
        <w:rPr>
          <w:rFonts w:ascii="仿宋" w:hAnsi="仿宋" w:eastAsia="仿宋" w:cs="仿宋"/>
          <w:lang w:eastAsia="zh-CN"/>
        </w:rPr>
        <w:t>:</w:t>
      </w:r>
      <w:r>
        <w:rPr>
          <w:rFonts w:hint="eastAsia" w:ascii="仿宋" w:hAnsi="仿宋" w:eastAsia="仿宋" w:cs="仿宋"/>
          <w:u w:val="single"/>
          <w:lang w:eastAsia="zh-CN"/>
        </w:rPr>
        <w:t>负责完成本项目所需的所有的施工工作包括但不限于：基坑支护与土石方工程、永久边坡支护（包括排洪渠）与土石方、管线迁改、特殊地基处理、桩基础工程、土方工程、建筑工程、装配式建筑工程、装饰装修工程、电气工程、智能化工程、暖通工程、给排水工程、消防工程、机电设备安装工程（含柴油发电机及环保工程）、电梯工程、人防工程、防水工程、、燃气工程、交通标线、标识（含地下室）、临时用水、临时用电、永久用水、永久用电、白蚁防治、室外工程（包括绿化、室外管网、室外园建、小区道路、海绵城市、临时道路等）、垃圾收集、网络、有线电视、信号覆盖、泛光照明、永久围墙、大门门岗、祠堂、村史博物馆、防护绿地、零星工程（包括但不限于安装或吊装构件的预埋件和连接件、楼宇门牌标识的制作安装、信报箱制安及通邮申报工作等附属配套工程）、绿色施工、智慧工地建设及配套设施工程、竣工图编制等。</w:t>
      </w:r>
    </w:p>
    <w:p w14:paraId="165FD8FD">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承包范围：按发包人确认的施工图纸、图纸会审记录和有关变更文件、资料、招标文件、承包人投标文件以及双方签订的有关协议所包含的内容。包深化设计、包BIM、包材料、包施工、包质量、包工期、包联合调试、包施工安全、包文明施工、包成品（半成品）保护、包调试与检测、包周边房屋安全鉴定、配合第三方检测及监测、包试运行、包验收合格、包培训、包质保期内工程质量保修、包现场组织和协调、包工程备案、包竣工验收及备案资料、包税费、包配合整体竣工验收（含相关工程资料收集整理）、包因验收（合同范围内）不能通过所需要发生的整改费用，包通水、包通电、包通燃气、包通讯、包移交、包结算、包创优工程的组织实施工作和资料整理、包承包人应当购买的保险、包竣工图编制（须满足规划等各专项验收要求）等，包控制投资、包报批报建、以及包承包人按照税收法律法规规定须承担为履行此合同在中华人民共和国境内外所必须缴纳的一切直接或间接税费及规费（包括但不限于增值税、企业所得税、个人所得税、关税等税费，此税费及规费应已包括可能涉及的合同价格调整）等工作及其它相关服务内容。具体如下：</w:t>
      </w:r>
    </w:p>
    <w:p w14:paraId="3E9773A6">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1）土建工程部分：包括但不限于三通一平、土石方工程、溶洞处理（如有）、基坑支护及降水工程、永久边坡支护（包括排洪渠）与土石方、地基与基础工程（含地基处理、地下防水等）、主体及配套（含样板间）土建工程（含钢筋混凝土结构工程，金属结构工程，一次及变更预留孔洞口（含钢筋混凝土及砌筑）封堵及收边（含机电管线、设备孔洞预留及封堵、电梯门洞及门槛封堵塞缝）、装配式建筑工程、人防工程、防水工程、砌筑工程、屋面及防水工程、幕墙工程、门窗（含防火门，防火窗，铝合金门窗等）及栏杆、保温工程、防腐工程、外墙工程、地下室装修，室内及公共区域精装修，设备用房装修及设备基础，管井内装修、楼地面工程（含散水、台阶等）、二次改造、大门门岗、祠堂、村史博物馆、零星工程、红线外挡土墙的处理及维护等；</w:t>
      </w:r>
    </w:p>
    <w:p w14:paraId="5ACAB426">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2）设备安装工程部分：包括但不限于电气安装工程（含配电工程、临时用电及永久供电（含充电桩预留条件）等），防雷工程、给排水工程（含临时及永久供水、红线内外排污接驳等）、消防工程（包括但不限于配合第三方检测及包验收合格）、弱电及智能化工程、暖通工程（包括但不限于绿色建筑及节能验收合格）、电梯配套工程&lt;含电梯设备购置及安装&gt;、人防工程、燃气工程、发电机及环保消音工程、环保节能、有线电视、信号覆盖、宽带、通讯及泛光照明等；</w:t>
      </w:r>
    </w:p>
    <w:p w14:paraId="5F8EAD12">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（3）精装修工程（包括样板间、住户大堂、电梯厅、标准层走道、户内等）；</w:t>
      </w:r>
    </w:p>
    <w:p w14:paraId="395C6CC1">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（4）园建绿化工程包括小区道路（包含但不限于消防道路硬化）、园建绿化（含架空层）、海绵城市、临时道路、防护绿地工程。室外工程部分：土方工程、室外给排水管网等；</w:t>
      </w:r>
    </w:p>
    <w:p w14:paraId="124C086F">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（5）其他部分：油烟处理、地坪漆、交通标线、标识（含地下室、楼宇门牌等）、信报箱、项目精开荒清洁等；</w:t>
      </w:r>
    </w:p>
    <w:p w14:paraId="63587A9A">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（6）负责办理余泥排放、排水（含施工排水）申请报建（如需发包人提供的资料，由发包人提供）等手续，相关费用含在承包人中标下浮率中，发包人不另行计列；</w:t>
      </w:r>
    </w:p>
    <w:p w14:paraId="750A6E30">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（7）红线内的施工入场前场地保管、勘察后的洞口封堵，建立智能化监测及人脸识别系统、安全生产智能化监控系统（含塔吊远程监控系统），相关费用含在承包人中标下浮率中，发包人不另行计列；</w:t>
      </w:r>
    </w:p>
    <w:p w14:paraId="1DA1931A">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（8）负责竣工图编制、合同结算的编制工作，配合发包人对预算和结算的审核及审计工作，相关费用含在承包人中标下浮率中，发包人不另行计列；</w:t>
      </w:r>
    </w:p>
    <w:p w14:paraId="20A73295">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（9）完成按有关规定应由承包人负责的检验监测工作，及配合发包人委托的第三方检测工作，相关费用含在承包人中标下浮率中，发包人不另行计列；</w:t>
      </w:r>
    </w:p>
    <w:p w14:paraId="2261FF64">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10）全力协助办理施工阶段各项行政部门开工前置手续，包括但不限于办理项目编码、建设工程质量安全监督登记、建筑工程施工许可、夜间施工许可、施工噪声排污许可、建筑废弃物处置核准、道路开挖报批等手续，除由发包人缴交的行政管理费用外，相关费用含在承包人中标下浮率中，发包人不另行计列；</w:t>
      </w:r>
    </w:p>
    <w:p w14:paraId="3DB97FAF">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11）负责办理工程开工、报批及验收所需的各项手续（如需发包人提供的资料，由发包人提供），包括但不限于排污手续、排水接驳、水质检测、消防验收、人防验收、防雷验收、临时及永久路口开设及交通评估、节能验收、环保验收、绿色建筑验收、海绵城市验收、规划验收、信报箱验收、卫生防疫验收与备案等分部分项工程验收、各项专业验收及涉及施工单位的验收手续及证明，按要求整理、移交竣工验收资料并办理《建设工程档案验收合格证》，相关费用含在承包人中标下浮率中，发包人不另行计列；</w:t>
      </w:r>
    </w:p>
    <w:p w14:paraId="26DDC5E5">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12）负责根据广州市住房和城乡建设局关于建设工程现场视频监控管理办法的规定，完成本项目工程现场视频监控系统的方案（设计）报批、施工、维护等，相关费用含在承包人中标下浮率中，发包人不另行计列；</w:t>
      </w:r>
    </w:p>
    <w:p w14:paraId="4A49E3F4">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13）负责施工管理配合，对由发包人另行发包的其他工程提供施工管理配合工作，包括但不限于提供场地、运输服务、临时用水、临时用电和使用临时设施、验收调试等配合工作，相关费用含在承包人中标下浮率中，发包人不另行计列。</w:t>
      </w:r>
    </w:p>
    <w:p w14:paraId="5E314F51">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（14）负责合同范围内的智能化、电梯、消防、人防、给水、通风、燃气等系统调试、验收，负责永久供水供电等专业工程调试、验收及通水通电等工作。</w:t>
      </w:r>
    </w:p>
    <w:p w14:paraId="710ACB78">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（15）负责协调施工过程中的相关职能部门及周边居民，包括且不限于：街道居委、村委、公安派出所、交通、水务、环保部门、质安监、建管、城管等，相关费用含在承包人中标下浮率中，发包人不另行计列；</w:t>
      </w:r>
    </w:p>
    <w:p w14:paraId="480C3644">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（16）负责合同执行全过程对场地既有结构、设备设施、管线、通道等安全保护工作（若有），相关费用含在承包人中标下浮率中，发包人不另行计列；</w:t>
      </w:r>
    </w:p>
    <w:p w14:paraId="0709B180">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（17）本项目在实施管线接驳红线外的市政管网时，如遇其他市政管线阻碍，承包人须负责迁移障碍管线直至满足本项目管线的安装要求，相关费用含在承包人中标下浮率中，发包人不另行计列；</w:t>
      </w:r>
    </w:p>
    <w:p w14:paraId="66E1CDCB">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（18）负责本项目周边房屋安全鉴定工作，相关费用含在承包人中标下浮率中，发包人不另行计列；</w:t>
      </w:r>
    </w:p>
    <w:p w14:paraId="5F293B76">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19）负责编制本项目范围内的各项专业、专项施工方案按规定报监理单位、发包人审批；在第三方检测单位未确定前，根据发包人需要编制承包范围内第三方检测方案，相关费用含在承包人中标下浮率中，发包人不另行计列；</w:t>
      </w:r>
    </w:p>
    <w:p w14:paraId="46E51CF3">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（20）做好各项迎检工作、开工奠基仪式等筹备工作及政府部门日常检查接待，对场地进行清扫和布置，相关费用含在承包人中标下浮率中，发包人不另行计列；</w:t>
      </w:r>
    </w:p>
    <w:p w14:paraId="5EC735E3">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（21）组织本项目的整体竣工验收及备案和整体工程资料汇总及整理归档工作，相关费用含在承包人中标下浮率中，发包人不另行计列；</w:t>
      </w:r>
    </w:p>
    <w:p w14:paraId="22270424">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22）发电机调试及环保工程验收：包括但不限于根据有关规定和要求进行发电机的深化设计、调试及办理环保工程报建验收（包通过检测、评估、验收、出证）等相关所有工作，相关费用含在承包人中标下浮率中，发包人不另行计列；</w:t>
      </w:r>
    </w:p>
    <w:p w14:paraId="181AA726">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23）负责承包范围内的现场安全文明施工管理、认真做好现场环保降尘工作及现场办公场所的安保服务，负责施工期间至移交前的场地管理、保安、保洁、防噪音、防扬尘及绿化养护等管理工作；负责设置卫生垃圾池和建筑垃圾外运工作；负责设置施工污水收集过滤系统，保证污水排放不得影响周边环境；</w:t>
      </w:r>
    </w:p>
    <w:p w14:paraId="6E55B4F2">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（24）负责根据</w:t>
      </w:r>
      <w:r>
        <w:rPr>
          <w:rFonts w:hint="eastAsia" w:ascii="仿宋" w:hAnsi="仿宋" w:eastAsia="仿宋"/>
          <w:u w:val="single"/>
          <w:lang w:eastAsia="zh-CN"/>
        </w:rPr>
        <w:t>《广州市城中村改造项目改造主体工作评估实施细则（试行）》的相关要求实施建筑废弃物再利用，达到“良好”或以上档次。</w:t>
      </w:r>
      <w:r>
        <w:rPr>
          <w:rFonts w:hint="eastAsia" w:ascii="仿宋" w:hAnsi="仿宋" w:eastAsia="仿宋" w:cs="仿宋"/>
          <w:u w:val="single"/>
          <w:lang w:eastAsia="zh-CN"/>
        </w:rPr>
        <w:t>相关费用含在承包人中标下浮率中，发包人不另行计列；</w:t>
      </w:r>
    </w:p>
    <w:p w14:paraId="18BFA946">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（25）装配式建筑应用。承包人需要根据装配式建筑要求组织施工；</w:t>
      </w:r>
    </w:p>
    <w:p w14:paraId="5DFCCE97">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（26）负责工程质保期时间内的维护保修工作；</w:t>
      </w:r>
    </w:p>
    <w:p w14:paraId="65A3B82F">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（27）项目现场不提供临时设施搭建场地，相关费用含在承包人中标下浮率中，发包人不另行计列。</w:t>
      </w:r>
    </w:p>
    <w:p w14:paraId="5431B1D5">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（28）其他</w:t>
      </w:r>
    </w:p>
    <w:p w14:paraId="47C48880">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1）负责本项目地块红线范围的场地照管工作及临时围墙的实施（含按要求进行的围墙美化装饰等）、维护维修（包括但不限于日常保养工作）及完工后的拆除；承包人需按发包人要求增加设置出入口，并负责完成项目道路开路口报建验收相关工作。以上相关费用含在承包人中标下浮率中，发包人不另行计列。若因发包人原因导致大门迁移或增加出入口，相关费用由承包人向发包人上报签证后予以计算。</w:t>
      </w:r>
    </w:p>
    <w:p w14:paraId="11142627">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2）负责本项目大门安装及设置洗车槽。</w:t>
      </w:r>
    </w:p>
    <w:p w14:paraId="6E4B374B">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3）负责本项目范围内的工地视频监控系统并接入发包人指定系统。</w:t>
      </w:r>
    </w:p>
    <w:p w14:paraId="2DA15E3F">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4）根据发包人提供的初步设计图纸、资料，负责合同范围内的系统深化设计（包括但不限于铝模深化设计，钢结构深化设计、机电相关深化设计等）。相关费用含在承包人中标下浮率中，发包人不另行计列。</w:t>
      </w:r>
    </w:p>
    <w:p w14:paraId="0BFB2BE0">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5）负责统筹项目管线综合平衡，出具综合管线平衡图等成果文件。相关费用含在承包人中标下浮率中，发包人不另行计列。</w:t>
      </w:r>
    </w:p>
    <w:p w14:paraId="2CD0AF41">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6）施工过程中可能发生的政府相关部门的检查罚款及惩罚性检测，相关费用含在承包人中标下浮率中，发包人不另行计列。</w:t>
      </w:r>
    </w:p>
    <w:p w14:paraId="57E775FC">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7）发包人要求工程采用数字化平台管理系统，相关费用含在承包人中标下浮率中，发包人不另行计列。</w:t>
      </w:r>
    </w:p>
    <w:p w14:paraId="21D3DD61">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8）协助发包人取得竣工备案相关工作。</w:t>
      </w:r>
    </w:p>
    <w:p w14:paraId="6FF724AB">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9）对本项目</w:t>
      </w:r>
      <w:bookmarkStart w:id="16" w:name="_Hlk183008338"/>
      <w:r>
        <w:rPr>
          <w:rFonts w:hint="eastAsia" w:ascii="仿宋" w:hAnsi="仿宋" w:eastAsia="仿宋" w:cs="仿宋"/>
          <w:u w:val="single"/>
          <w:lang w:eastAsia="zh-CN"/>
        </w:rPr>
        <w:t>卫生</w:t>
      </w:r>
      <w:bookmarkEnd w:id="16"/>
      <w:r>
        <w:rPr>
          <w:rFonts w:hint="eastAsia" w:ascii="仿宋" w:hAnsi="仿宋" w:eastAsia="仿宋" w:cs="仿宋"/>
          <w:u w:val="single"/>
          <w:lang w:eastAsia="zh-CN"/>
        </w:rPr>
        <w:t>、安全防控工作负总责，所有进入施工范围内的机构及个人都要遵守卫生、安全防控工作，按照各级政府、部门要求落实各项卫生、安全防控工作，包括但不限于定期组织卫生检测、配备足额卫生防控物资、场内区域消杀、设置独立隔离区域、建立人员健康档案、定期组织应急演练、编制防控工作方案等。相关费用含在承包人中标下浮率中，发包人不另行计列。</w:t>
      </w:r>
    </w:p>
    <w:p w14:paraId="43ED940A">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10）发包人单独发包单位（如有）纳入承包人管理范围（包括但不限于提供临水、临电、垂直运输设施等总包配合服务，垂直运输的设备需经发包人同意后，方可拆除），承担管理任务和责任，负责专业承包单位的施工安全、进度、质量控制和组织管理。</w:t>
      </w:r>
    </w:p>
    <w:p w14:paraId="1D78B723">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（29）负责施工阶段BIM应用编制工作：承包人应建立、运营维护本项目BIM设计及安全管理平台应用，承包人应在本项目组建专门的BIM模型搭建及应用团队，负责BIM模型设计及现场应用。应用范围包括不限于：</w:t>
      </w:r>
    </w:p>
    <w:p w14:paraId="0996D36A">
      <w:pPr>
        <w:spacing w:line="400" w:lineRule="exact"/>
        <w:ind w:firstLine="480" w:firstLineChars="200"/>
        <w:rPr>
          <w:rFonts w:ascii="仿宋" w:hAnsi="仿宋" w:eastAsia="仿宋" w:cs="仿宋"/>
          <w:strike/>
          <w:u w:val="single"/>
          <w:lang w:eastAsia="zh-CN"/>
        </w:rPr>
      </w:pPr>
      <w:r>
        <w:rPr>
          <w:rFonts w:hint="eastAsia" w:ascii="仿宋" w:hAnsi="仿宋" w:eastAsia="仿宋" w:cs="仿宋"/>
          <w:u w:val="single"/>
          <w:lang w:eastAsia="zh-CN"/>
        </w:rPr>
        <w:t>1）依据施工图搭建BIM模型，出具小市政、地下室、裙楼、各建筑物标准层管线综合平衡图，提出管线平衡修改意见，出具管道预留孔、预留套管深化设计图，并对建筑层高的净空及小市政管道埋深负责；如由管线综合平衡不合理造成楼层净空问题，整改费用由承包人自行承担。</w:t>
      </w:r>
    </w:p>
    <w:p w14:paraId="515684DC">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2）承包人需综合考虑永久用电、燃气等专业管线，出具其预留孔、预留套管深化设计图，并预留其管线走向及空间以满足净空要求。</w:t>
      </w:r>
    </w:p>
    <w:p w14:paraId="6EED9C7C">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3）搭建BIM建筑及结构模型，为优化结构和建筑设计服务。</w:t>
      </w:r>
    </w:p>
    <w:p w14:paraId="5DBB1C89">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4）对本项目复杂构件搭建专项模型，并在施工过程中出具施工指导意见书。</w:t>
      </w:r>
    </w:p>
    <w:p w14:paraId="78A9B48D">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5）用BIM模型为发包人开发的BIM安全应用平台服务。</w:t>
      </w:r>
    </w:p>
    <w:p w14:paraId="62910A50">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6）承包人应向发包人分阶段提交BIM成果。</w:t>
      </w:r>
    </w:p>
    <w:p w14:paraId="0DE6E25E">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7）竣工阶段BIM内容</w:t>
      </w:r>
    </w:p>
    <w:p w14:paraId="73AFEEB2">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（a）集成和验证最终的BIM竣工模型；</w:t>
      </w:r>
    </w:p>
    <w:p w14:paraId="2FC39C64">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（b）向发包人提交信息真实准确的竣工BIM模型、及设备信息等BIM成果；</w:t>
      </w:r>
    </w:p>
    <w:p w14:paraId="2C861030">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（c）集成规划报建审查信息、规划核实以及竣工验收备案的相关信息；</w:t>
      </w:r>
    </w:p>
    <w:p w14:paraId="1602BE01">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（d）将日常工作中积累的项目数字资产，在项目竣工后一个月内提交给业主。</w:t>
      </w:r>
    </w:p>
    <w:p w14:paraId="687F1BFC">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（30）若为联合体中标，则联合体施工方须无条件配合设计方完成施工图设计、施工图预算编制、上报等工作。</w:t>
      </w:r>
    </w:p>
    <w:p w14:paraId="0B6A2FB9">
      <w:pPr>
        <w:spacing w:line="400" w:lineRule="exact"/>
        <w:ind w:firstLine="480" w:firstLineChars="200"/>
        <w:rPr>
          <w:rFonts w:ascii="仿宋" w:hAnsi="仿宋" w:eastAsia="仿宋" w:cs="仿宋"/>
          <w:u w:val="single"/>
          <w:lang w:eastAsia="zh-CN"/>
        </w:rPr>
      </w:pPr>
      <w:r>
        <w:rPr>
          <w:rFonts w:ascii="仿宋" w:hAnsi="仿宋" w:eastAsia="仿宋" w:cs="仿宋"/>
          <w:u w:val="single"/>
          <w:lang w:eastAsia="zh-CN"/>
        </w:rPr>
        <w:t>（</w:t>
      </w:r>
      <w:r>
        <w:rPr>
          <w:rFonts w:hint="eastAsia" w:ascii="仿宋" w:hAnsi="仿宋" w:eastAsia="仿宋" w:cs="仿宋"/>
          <w:u w:val="single"/>
          <w:lang w:eastAsia="zh-CN"/>
        </w:rPr>
        <w:t>31</w:t>
      </w:r>
      <w:r>
        <w:rPr>
          <w:rFonts w:ascii="仿宋" w:hAnsi="仿宋" w:eastAsia="仿宋" w:cs="仿宋"/>
          <w:u w:val="single"/>
          <w:lang w:eastAsia="zh-CN"/>
        </w:rPr>
        <w:t>）样板社区建设、开放及维护。承包人按照经发包人同意的样板社区实施方案及开放方案进行实施。负责样板社区的建设、开放活动的组织，至验收移交前的维护、保洁、接待、临时水电、绿化、安保、消防等所有管理工作。样板社区开放时间由发包人确定，如样板社区开放范围与周边施工区域存在安全隐患或管理盲区，承包人应按发包人或监理要求完善其安全措施及相关管理措施。上述</w:t>
      </w:r>
      <w:r>
        <w:rPr>
          <w:rFonts w:hint="eastAsia" w:ascii="仿宋" w:hAnsi="仿宋" w:eastAsia="仿宋" w:cs="仿宋"/>
          <w:u w:val="single"/>
          <w:lang w:eastAsia="zh-CN"/>
        </w:rPr>
        <w:t>相关费用含在承包人中标下浮率中，发包人不另行计列。</w:t>
      </w:r>
    </w:p>
    <w:p w14:paraId="52160216">
      <w:pPr>
        <w:spacing w:line="400" w:lineRule="exact"/>
        <w:ind w:firstLine="480" w:firstLineChars="200"/>
        <w:rPr>
          <w:rFonts w:ascii="仿宋" w:hAnsi="仿宋" w:eastAsia="仿宋" w:cs="仿宋"/>
          <w:u w:val="single"/>
          <w:lang w:eastAsia="zh-CN"/>
        </w:rPr>
      </w:pPr>
      <w:r>
        <w:rPr>
          <w:rFonts w:hint="eastAsia" w:ascii="仿宋" w:hAnsi="仿宋" w:eastAsia="仿宋" w:cs="仿宋"/>
          <w:lang w:eastAsia="zh-CN"/>
        </w:rPr>
        <w:t>（32）鼓励新能源应用的，承包人应按照规定选用节能、节水、节地、节材、绿色环保的材料、设备和器具。承包人应提供绿色施工组织设计或绿色施工专项方案，并明确节能措施，因地制宜利用新能源、可再生能源，优先使用国家、行业推荐的节能、高效、环保的施工设备和机具。本项目鼓励使用新能源建筑垃圾自卸车（渣土车）等新能源工程车和其他节能环保施工设备。</w:t>
      </w:r>
      <w:r>
        <w:rPr>
          <w:rFonts w:ascii="仿宋" w:hAnsi="仿宋" w:eastAsia="仿宋" w:cs="仿宋"/>
          <w:u w:val="single"/>
          <w:lang w:eastAsia="zh-CN"/>
        </w:rPr>
        <w:t>上述</w:t>
      </w:r>
      <w:r>
        <w:rPr>
          <w:rFonts w:hint="eastAsia" w:ascii="仿宋" w:hAnsi="仿宋" w:eastAsia="仿宋" w:cs="仿宋"/>
          <w:u w:val="single"/>
          <w:lang w:eastAsia="zh-CN"/>
        </w:rPr>
        <w:t>相关费用含在承包人中标下浮率中，发包人不另行计列。</w:t>
      </w:r>
    </w:p>
    <w:p w14:paraId="5FD561C2">
      <w:pPr>
        <w:spacing w:line="400" w:lineRule="exact"/>
        <w:ind w:firstLine="480" w:firstLineChars="200"/>
        <w:rPr>
          <w:lang w:eastAsia="zh-CN"/>
        </w:rPr>
      </w:pPr>
      <w:r>
        <w:rPr>
          <w:rFonts w:hint="eastAsia" w:ascii="仿宋" w:hAnsi="仿宋" w:eastAsia="仿宋" w:cs="仿宋"/>
          <w:lang w:eastAsia="zh-CN"/>
        </w:rPr>
        <w:t>（33）交付（包括但不限于交付移交村民）活动组织。承包人按照经发包人同意的交付实施方案组织现场交付一切工作。</w:t>
      </w:r>
      <w:r>
        <w:rPr>
          <w:rFonts w:ascii="仿宋" w:hAnsi="仿宋" w:eastAsia="仿宋" w:cs="仿宋"/>
          <w:u w:val="single"/>
          <w:lang w:eastAsia="zh-CN"/>
        </w:rPr>
        <w:t>上述</w:t>
      </w:r>
      <w:r>
        <w:rPr>
          <w:rFonts w:hint="eastAsia" w:ascii="仿宋" w:hAnsi="仿宋" w:eastAsia="仿宋" w:cs="仿宋"/>
          <w:u w:val="single"/>
          <w:lang w:eastAsia="zh-CN"/>
        </w:rPr>
        <w:t>相关费用含在承包人中标下浮率中，发包人不另行计列。</w:t>
      </w:r>
    </w:p>
    <w:p w14:paraId="4342BA59">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34）除以上内容外，项目实施最终以经发包人确认的施工图和补充合同价格清单为准。发包人有权根据工程实际情况调整以上施工范围及内容。在实施过程中，对施工范围及合同界面有争议的，以发包人解释为准。</w:t>
      </w:r>
    </w:p>
    <w:p w14:paraId="2FA228E7">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其它</w:t>
      </w:r>
      <w:r>
        <w:rPr>
          <w:rFonts w:ascii="仿宋" w:hAnsi="仿宋" w:eastAsia="仿宋" w:cs="仿宋"/>
          <w:lang w:eastAsia="zh-CN"/>
        </w:rPr>
        <w:t>:</w:t>
      </w:r>
    </w:p>
    <w:p w14:paraId="7106B186">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1）负责配合发包人办理从施工图设计阶段到竣工验收阶段所有报批报建工作，承包人应根据本项目建设的实际情况，充分考虑地下管线保护、树木保护、文物保护、配合考古工作等，承包人应通过制订合理的、有针对性的施工方案，以保证施工进度及施工质量，同时服从并配合发包人及监理单位的管理。为此造成的相关费用含在承包人中标下浮率中，发包人不另行计列；</w:t>
      </w:r>
    </w:p>
    <w:p w14:paraId="5537084C">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（2）承包人应满足上级主管部门关于房屋建筑工程电子图纸全过程流转应用工作要求，相关文件如有更新的，按最新规定执行；</w:t>
      </w:r>
    </w:p>
    <w:p w14:paraId="191B3581">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（3）承包人具有本项目专业工程施工资质的，相应工程不得分包。</w:t>
      </w:r>
    </w:p>
    <w:p w14:paraId="2A68C8F5">
      <w:pPr>
        <w:pStyle w:val="17"/>
        <w:spacing w:line="360" w:lineRule="auto"/>
        <w:ind w:firstLine="480" w:firstLineChars="200"/>
        <w:rPr>
          <w:rFonts w:ascii="仿宋" w:hAnsi="仿宋" w:eastAsia="仿宋" w:cs="仿宋"/>
          <w:u w:val="single"/>
          <w:lang w:eastAsia="zh-CN" w:bidi="en-US"/>
        </w:rPr>
      </w:pPr>
      <w:r>
        <w:rPr>
          <w:rFonts w:hint="eastAsia" w:ascii="仿宋" w:hAnsi="仿宋" w:eastAsia="仿宋" w:cs="仿宋"/>
          <w:lang w:eastAsia="zh-CN"/>
        </w:rPr>
        <w:sym w:font="Wingdings 2" w:char="F052"/>
      </w:r>
      <w:r>
        <w:rPr>
          <w:rFonts w:hint="eastAsia" w:ascii="仿宋" w:hAnsi="仿宋" w:eastAsia="仿宋" w:cs="仿宋"/>
          <w:lang w:eastAsia="zh-CN" w:bidi="en-US"/>
        </w:rPr>
        <w:t>BIM工作：</w:t>
      </w:r>
      <w:r>
        <w:rPr>
          <w:rFonts w:hint="eastAsia" w:ascii="仿宋" w:hAnsi="仿宋" w:eastAsia="仿宋" w:cs="仿宋"/>
          <w:u w:val="single"/>
          <w:lang w:eastAsia="zh-CN" w:bidi="en-US"/>
        </w:rPr>
        <w:t>工程总承包项目在设计和施工等全过程中运用BIM技术，达到工程建设项目全生命周期各参与方在同一多维建筑信息模型基础上的协同工作、数据共享、信息化管理以及数据更改可追溯的，同时能做到设计、生产、施工、设备供应、专业分包、项目管理等单位的无缝对接，实现项目全寿命周期内成本节约化，BIM模型交付深度应满足广州市BIM、CIM技术相关标准要求，以及发包人对于BIM技术应用的其他工作要求。</w:t>
      </w:r>
    </w:p>
    <w:p w14:paraId="48E15F7D">
      <w:pPr>
        <w:spacing w:line="400" w:lineRule="exact"/>
        <w:ind w:firstLine="480" w:firstLineChars="200"/>
        <w:rPr>
          <w:rFonts w:ascii="仿宋" w:hAnsi="仿宋" w:eastAsia="仿宋" w:cs="仿宋"/>
          <w:u w:val="single"/>
          <w:lang w:eastAsia="zh-CN"/>
        </w:rPr>
      </w:pPr>
      <w:r>
        <w:rPr>
          <w:rFonts w:hint="eastAsia" w:ascii="仿宋" w:hAnsi="仿宋" w:eastAsia="仿宋" w:cs="仿宋"/>
          <w:lang w:eastAsia="zh-CN"/>
        </w:rPr>
        <w:t>2.工程内容：包括但不限于根据发包人基础资料、设计任务书和工程管理要求，承包人负责完成本项目的设计、施工（含场地准备工程）及工程竣工验收、工程保修、配合交付等工作。</w:t>
      </w:r>
    </w:p>
    <w:p w14:paraId="1884C3FA">
      <w:pPr>
        <w:spacing w:line="400" w:lineRule="exact"/>
        <w:ind w:firstLine="480" w:firstLineChars="200"/>
        <w:rPr>
          <w:rFonts w:ascii="仿宋" w:hAnsi="仿宋" w:eastAsia="仿宋"/>
          <w:szCs w:val="21"/>
          <w:lang w:eastAsia="zh-CN"/>
        </w:rPr>
      </w:pPr>
      <w:r>
        <w:rPr>
          <w:rFonts w:hint="eastAsia" w:ascii="仿宋" w:hAnsi="仿宋" w:eastAsia="仿宋"/>
          <w:szCs w:val="21"/>
          <w:lang w:eastAsia="zh-CN"/>
        </w:rPr>
        <w:t>3.承包方式：承包人根据招标文件、合同文件、有关资料及说明等对本项目实施工程总承包：包设计，包施工[包括但不限于包工、包料、包设备、包质量、包安全生产、包文明施工、包工期、包承包范围内工程验收通过、包通水、包通电、包通燃气、包通讯、包移交、包结算、包创优工程的组织实施工作和资料整理、包竣工资料收集整理及移交档案、包专业协调及配合、包保修、包保险、包竣工图编制（须满足规划等各专项验收要求）、包控制投资、包报批报建等]。合同价款根据招标文件和本合同约定的计价方式进行计价和结算。</w:t>
      </w:r>
    </w:p>
    <w:p w14:paraId="37344FE3">
      <w:pPr>
        <w:spacing w:line="400" w:lineRule="exact"/>
        <w:ind w:firstLine="480" w:firstLineChars="200"/>
        <w:rPr>
          <w:rFonts w:ascii="仿宋" w:hAnsi="仿宋" w:eastAsia="仿宋"/>
          <w:szCs w:val="21"/>
          <w:lang w:eastAsia="zh-CN"/>
        </w:rPr>
      </w:pPr>
      <w:r>
        <w:rPr>
          <w:rFonts w:hint="eastAsia" w:ascii="仿宋" w:hAnsi="仿宋" w:eastAsia="仿宋"/>
          <w:szCs w:val="21"/>
          <w:lang w:eastAsia="zh-CN"/>
        </w:rPr>
        <w:t>4.投资控制</w:t>
      </w:r>
    </w:p>
    <w:p w14:paraId="249F7C58">
      <w:pPr>
        <w:spacing w:line="400" w:lineRule="exact"/>
        <w:ind w:firstLine="480" w:firstLineChars="200"/>
        <w:rPr>
          <w:rFonts w:ascii="仿宋" w:hAnsi="仿宋" w:eastAsia="仿宋" w:cs="仿宋"/>
          <w:szCs w:val="21"/>
          <w:lang w:eastAsia="zh-CN"/>
        </w:rPr>
      </w:pPr>
      <w:r>
        <w:rPr>
          <w:rFonts w:hint="eastAsia" w:ascii="仿宋" w:hAnsi="仿宋" w:eastAsia="仿宋" w:cs="仿宋"/>
          <w:szCs w:val="21"/>
          <w:lang w:eastAsia="zh-CN"/>
        </w:rPr>
        <w:t>4.1本工程实行全过程限额设计和施工，严格控制每阶段投资目标。各阶段如需财政审核，则按财政部门审定要求及结果为准。</w:t>
      </w:r>
    </w:p>
    <w:p w14:paraId="64DE63F2">
      <w:pPr>
        <w:spacing w:line="400" w:lineRule="exact"/>
        <w:ind w:firstLine="480" w:firstLineChars="200"/>
        <w:rPr>
          <w:rFonts w:ascii="仿宋" w:hAnsi="仿宋" w:eastAsia="仿宋" w:cs="仿宋"/>
          <w:szCs w:val="21"/>
          <w:lang w:eastAsia="zh-CN"/>
        </w:rPr>
      </w:pPr>
      <w:r>
        <w:rPr>
          <w:rFonts w:hint="eastAsia" w:ascii="仿宋" w:hAnsi="仿宋" w:eastAsia="仿宋" w:cs="仿宋"/>
          <w:szCs w:val="21"/>
          <w:lang w:eastAsia="zh-CN"/>
        </w:rPr>
        <w:t>4.2本合同协议书第八条约定的施工费合同价款仅作为签约合同价。本项目施工图预算经审定后，以经审定的施工图预算结合合同约定下浮率</w:t>
      </w:r>
      <w:r>
        <w:rPr>
          <w:rFonts w:hint="eastAsia" w:ascii="仿宋" w:hAnsi="仿宋" w:eastAsia="仿宋" w:cs="仿宋"/>
          <w:lang w:eastAsia="zh-CN"/>
        </w:rPr>
        <w:t>(是指发包人在确定</w:t>
      </w:r>
      <w:r>
        <w:rPr>
          <w:rFonts w:hint="eastAsia" w:ascii="仿宋" w:hAnsi="仿宋" w:eastAsia="仿宋" w:cs="仿宋"/>
          <w:lang w:val="en-US" w:eastAsia="zh-CN"/>
        </w:rPr>
        <w:t>施工费</w:t>
      </w:r>
      <w:r>
        <w:rPr>
          <w:rFonts w:hint="eastAsia" w:ascii="仿宋" w:hAnsi="仿宋" w:eastAsia="仿宋" w:cs="仿宋"/>
          <w:lang w:eastAsia="zh-CN"/>
        </w:rPr>
        <w:t>招标控制价时的下浮率：（审定概算建安工程费-施工费招标控制价）/审定概算建安工程费×100%)</w:t>
      </w:r>
      <w:r>
        <w:rPr>
          <w:rFonts w:hint="eastAsia" w:ascii="仿宋" w:hAnsi="仿宋" w:eastAsia="仿宋" w:cs="仿宋"/>
          <w:szCs w:val="21"/>
          <w:lang w:eastAsia="zh-CN"/>
        </w:rPr>
        <w:t>及施工费中标下浮率调整签约合同价（其中，绿色施工安全防护措施费、暂列金、暂估价等非竞争性费用按照审定施工图预算的相应金额计列，不作下浮），并签订补充合同，形成补充合同价格清单，以此作为后续工程计量支付的依据。承包人拖延或拒绝报送施工图预算的，发包人有权暂缓支付工程进度款。上述补充合同签订前施工费的支付按合同专用条款相关约定办理。</w:t>
      </w:r>
    </w:p>
    <w:p w14:paraId="7399EE1F">
      <w:pPr>
        <w:spacing w:line="400" w:lineRule="exact"/>
        <w:ind w:firstLine="480" w:firstLineChars="200"/>
        <w:rPr>
          <w:rFonts w:ascii="仿宋" w:hAnsi="仿宋" w:eastAsia="仿宋" w:cs="仿宋"/>
          <w:b/>
          <w:bCs/>
          <w:szCs w:val="21"/>
          <w:lang w:eastAsia="zh-CN"/>
        </w:rPr>
      </w:pPr>
      <w:bookmarkStart w:id="17" w:name="_Hlk197511874"/>
      <w:r>
        <w:rPr>
          <w:rFonts w:hint="eastAsia" w:ascii="仿宋" w:hAnsi="仿宋" w:eastAsia="仿宋" w:cs="仿宋"/>
          <w:szCs w:val="21"/>
          <w:lang w:eastAsia="zh-CN"/>
        </w:rPr>
        <w:t>4.3如果因承包人原因造成施工图预算超出审定概算中的建安工程费及相应预备费之和，承包人必须在初步设计的基础上对施工图进行修改，并保证设计质量标准和施工进度。优化调整施工图设计直至符合限额要求并承担相关费用。若承包人未将施工图设计调整至符合限额要求的，则超出限额部分的费用由承包人承担。承包人为满足限额设计要求对各阶段设计文件和施工图预算进行调整的时间均不作为工期顺延理由。由于设计失误或由于承包人的原因所引起的合同价格变更及经济损失由承包人承担。</w:t>
      </w:r>
    </w:p>
    <w:p w14:paraId="5D5D4C42">
      <w:pPr>
        <w:spacing w:line="400" w:lineRule="exact"/>
        <w:ind w:firstLine="480" w:firstLineChars="200"/>
        <w:rPr>
          <w:rFonts w:ascii="仿宋" w:hAnsi="仿宋" w:eastAsia="仿宋" w:cs="仿宋"/>
          <w:lang w:eastAsia="zh-CN"/>
        </w:rPr>
      </w:pPr>
      <w:r>
        <w:rPr>
          <w:rFonts w:hint="eastAsia" w:ascii="仿宋" w:hAnsi="仿宋" w:eastAsia="仿宋" w:cs="仿宋"/>
          <w:szCs w:val="21"/>
          <w:lang w:eastAsia="zh-CN"/>
        </w:rPr>
        <w:t>承包人应制定各阶段、各专业工程限额设计指标和具体控制措施，做好投资控制工作。合同签订后14天内，承包人制定限额设计工作方案，统筹分解限额设计指标，包括一级指标（按分部工程划分）、二级指标（按子分部工程划分），确保承包人员有效开展限额设计及方案优化工作。限额设计工作方案报发包人批准后执行，批准后如承包人需调整的，需书面报发包人审批。</w:t>
      </w:r>
    </w:p>
    <w:bookmarkEnd w:id="17"/>
    <w:p w14:paraId="369BF29E">
      <w:pPr>
        <w:spacing w:line="400" w:lineRule="exact"/>
        <w:ind w:firstLine="480" w:firstLineChars="200"/>
        <w:rPr>
          <w:rFonts w:ascii="仿宋" w:hAnsi="仿宋" w:eastAsia="仿宋" w:cs="仿宋"/>
          <w:u w:val="single"/>
          <w:lang w:eastAsia="zh-CN"/>
        </w:rPr>
      </w:pPr>
      <w:r>
        <w:rPr>
          <w:rFonts w:hint="eastAsia" w:ascii="仿宋" w:hAnsi="仿宋" w:eastAsia="仿宋" w:cs="仿宋"/>
          <w:lang w:eastAsia="zh-CN"/>
        </w:rPr>
        <w:t>4.4在合同执行期内因施工条件、施工环境、气候等自然条件（不可抗力除外）、技术经济条件（如资源、劳力、交通条件等）等因素导致调整及发生的施工费用，相关费用含在承包人中标下浮率中，发包人不另行计列。</w:t>
      </w:r>
    </w:p>
    <w:p w14:paraId="26247625">
      <w:pPr>
        <w:adjustRightInd w:val="0"/>
        <w:snapToGrid w:val="0"/>
        <w:spacing w:line="400" w:lineRule="exact"/>
        <w:ind w:firstLine="480" w:firstLineChars="200"/>
        <w:rPr>
          <w:rFonts w:ascii="仿宋" w:hAnsi="仿宋" w:eastAsia="仿宋" w:cs="仿宋"/>
          <w:u w:val="single"/>
          <w:lang w:eastAsia="zh-CN"/>
        </w:rPr>
      </w:pPr>
      <w:r>
        <w:rPr>
          <w:rFonts w:hint="eastAsia" w:ascii="仿宋" w:hAnsi="仿宋" w:eastAsia="仿宋" w:cs="仿宋"/>
          <w:lang w:eastAsia="zh-CN"/>
        </w:rPr>
        <w:t>4.5承包人在取得施工图设计审查合格证书后20天内完成施工图预算编制（若为联合体投标，施工图预算编制工作由联合体设计方牵头负责，以联合体名义报送，施工方须配合按时按要求办理报送），并送发包人组织审核。</w:t>
      </w:r>
      <w:r>
        <w:rPr>
          <w:rFonts w:hint="eastAsia" w:ascii="仿宋" w:hAnsi="仿宋" w:eastAsia="仿宋" w:cs="仿宋"/>
          <w:szCs w:val="21"/>
          <w:lang w:eastAsia="zh-CN"/>
        </w:rPr>
        <w:t>如需财政审核，则按财政部门审定要求及结果为准。</w:t>
      </w:r>
      <w:r>
        <w:rPr>
          <w:rFonts w:hint="eastAsia" w:ascii="仿宋" w:hAnsi="仿宋" w:eastAsia="仿宋" w:cs="仿宋"/>
          <w:lang w:eastAsia="zh-CN"/>
        </w:rPr>
        <w:t>因承包人原因预算送审延迟或对数造成时间延误产生的后果由承包人承担。</w:t>
      </w:r>
    </w:p>
    <w:p w14:paraId="4A9FB992">
      <w:pPr>
        <w:spacing w:line="400" w:lineRule="exact"/>
        <w:ind w:firstLine="480" w:firstLineChars="200"/>
        <w:rPr>
          <w:rFonts w:ascii="仿宋" w:hAnsi="仿宋" w:eastAsia="仿宋" w:cs="仿宋"/>
          <w:lang w:eastAsia="zh-CN"/>
        </w:rPr>
      </w:pPr>
      <w:r>
        <w:rPr>
          <w:rFonts w:hint="eastAsia" w:ascii="仿宋" w:hAnsi="仿宋" w:eastAsia="仿宋" w:cs="仿宋"/>
          <w:szCs w:val="21"/>
          <w:lang w:eastAsia="zh-CN"/>
        </w:rPr>
        <w:t>4.6承包人编制的各阶段的造价文件需满足对应阶段造价文件深度要求。承包人根据经审定的方案设计、初步设计进行施工图设计、深化设计，并按国家、广东省、广州市以及现行有关工程造价管理的文件编制施工图预算。</w:t>
      </w:r>
    </w:p>
    <w:p w14:paraId="483F5862">
      <w:pPr>
        <w:spacing w:line="400" w:lineRule="exact"/>
        <w:ind w:firstLine="480" w:firstLineChars="200"/>
        <w:rPr>
          <w:rFonts w:ascii="仿宋" w:hAnsi="仿宋" w:eastAsia="仿宋" w:cs="仿宋"/>
          <w:szCs w:val="21"/>
          <w:lang w:eastAsia="zh-CN"/>
        </w:rPr>
      </w:pPr>
      <w:r>
        <w:rPr>
          <w:rFonts w:hint="eastAsia" w:ascii="仿宋" w:hAnsi="仿宋" w:eastAsia="仿宋" w:cs="仿宋"/>
          <w:szCs w:val="21"/>
          <w:lang w:eastAsia="zh-CN"/>
        </w:rPr>
        <w:t>4.7本合同结算价最终以</w:t>
      </w:r>
      <w:r>
        <w:rPr>
          <w:rFonts w:hint="eastAsia" w:ascii="仿宋" w:hAnsi="仿宋" w:eastAsia="仿宋" w:cs="仿宋"/>
          <w:szCs w:val="21"/>
          <w:lang w:val="en-US" w:eastAsia="zh-CN"/>
        </w:rPr>
        <w:t>发包人确认的</w:t>
      </w:r>
      <w:r>
        <w:rPr>
          <w:rFonts w:hint="eastAsia" w:ascii="仿宋" w:hAnsi="仿宋" w:eastAsia="仿宋" w:cs="仿宋"/>
          <w:szCs w:val="21"/>
          <w:lang w:eastAsia="zh-CN"/>
        </w:rPr>
        <w:t>有权审核部门的结算终审金额为准。</w:t>
      </w:r>
    </w:p>
    <w:p w14:paraId="5709778E">
      <w:pPr>
        <w:spacing w:line="400" w:lineRule="exact"/>
        <w:ind w:firstLine="480" w:firstLineChars="200"/>
        <w:rPr>
          <w:rFonts w:ascii="仿宋" w:hAnsi="仿宋" w:eastAsia="仿宋" w:cs="仿宋"/>
          <w:u w:val="single"/>
          <w:lang w:eastAsia="zh-CN"/>
        </w:rPr>
      </w:pPr>
    </w:p>
    <w:p w14:paraId="2227A05D">
      <w:pPr>
        <w:spacing w:line="400" w:lineRule="exact"/>
        <w:ind w:firstLine="482" w:firstLineChars="200"/>
        <w:outlineLvl w:val="1"/>
        <w:rPr>
          <w:rFonts w:ascii="仿宋" w:hAnsi="仿宋" w:eastAsia="仿宋" w:cs="仿宋"/>
          <w:b/>
          <w:bCs/>
          <w:lang w:eastAsia="zh-CN"/>
        </w:rPr>
      </w:pPr>
      <w:bookmarkStart w:id="18" w:name="_Toc427"/>
      <w:bookmarkStart w:id="19" w:name="_Toc194073092"/>
      <w:bookmarkStart w:id="20" w:name="_Toc26421"/>
      <w:bookmarkStart w:id="21" w:name="_Toc4842"/>
      <w:bookmarkStart w:id="22" w:name="_Toc18510"/>
      <w:r>
        <w:rPr>
          <w:rFonts w:hint="eastAsia" w:ascii="仿宋" w:hAnsi="仿宋" w:eastAsia="仿宋" w:cs="仿宋"/>
          <w:b/>
          <w:bCs/>
          <w:lang w:eastAsia="zh-CN"/>
        </w:rPr>
        <w:t>★三、质量标准和要求</w:t>
      </w:r>
      <w:bookmarkEnd w:id="18"/>
      <w:bookmarkEnd w:id="19"/>
      <w:bookmarkEnd w:id="20"/>
      <w:bookmarkEnd w:id="21"/>
      <w:bookmarkEnd w:id="22"/>
    </w:p>
    <w:p w14:paraId="1ABB56B3">
      <w:pPr>
        <w:kinsoku w:val="0"/>
        <w:spacing w:line="400" w:lineRule="exact"/>
        <w:ind w:firstLine="480" w:firstLineChars="200"/>
        <w:rPr>
          <w:rFonts w:ascii="仿宋" w:hAnsi="仿宋" w:eastAsia="仿宋" w:cs="仿宋"/>
          <w:strike/>
          <w:highlight w:val="lightGray"/>
          <w:lang w:eastAsia="zh-CN"/>
        </w:rPr>
      </w:pPr>
      <w:r>
        <w:rPr>
          <w:rFonts w:hint="eastAsia" w:ascii="仿宋" w:hAnsi="仿宋" w:eastAsia="仿宋" w:cs="仿宋"/>
          <w:lang w:eastAsia="zh-CN"/>
        </w:rPr>
        <w:t xml:space="preserve">1.勘察标准和要求（勘察文件编制及勘察目标）： </w:t>
      </w:r>
      <w:r>
        <w:rPr>
          <w:rFonts w:hint="eastAsia" w:ascii="仿宋" w:hAnsi="仿宋" w:eastAsia="仿宋" w:cs="仿宋"/>
          <w:u w:val="single"/>
          <w:lang w:eastAsia="zh-CN"/>
        </w:rPr>
        <w:t xml:space="preserve">  /  </w:t>
      </w:r>
      <w:r>
        <w:rPr>
          <w:rFonts w:hint="eastAsia" w:ascii="仿宋" w:hAnsi="仿宋" w:eastAsia="仿宋" w:cs="仿宋"/>
          <w:lang w:eastAsia="zh-CN"/>
        </w:rPr>
        <w:t xml:space="preserve"> </w:t>
      </w:r>
    </w:p>
    <w:p w14:paraId="4B8FA904">
      <w:pPr>
        <w:kinsoku w:val="0"/>
        <w:spacing w:line="400" w:lineRule="exact"/>
        <w:ind w:firstLine="480" w:firstLineChars="200"/>
        <w:rPr>
          <w:rFonts w:ascii="仿宋" w:hAnsi="仿宋" w:eastAsia="仿宋"/>
          <w:u w:val="single"/>
          <w:lang w:eastAsia="zh-CN"/>
        </w:rPr>
      </w:pPr>
      <w:r>
        <w:rPr>
          <w:rFonts w:hint="eastAsia" w:ascii="仿宋" w:hAnsi="仿宋" w:eastAsia="仿宋"/>
          <w:lang w:eastAsia="zh-CN"/>
        </w:rPr>
        <w:t>2.设计标准和</w:t>
      </w:r>
      <w:r>
        <w:rPr>
          <w:rFonts w:ascii="仿宋" w:hAnsi="仿宋" w:eastAsia="仿宋"/>
          <w:lang w:eastAsia="zh-CN"/>
        </w:rPr>
        <w:t>要求</w:t>
      </w:r>
      <w:r>
        <w:rPr>
          <w:rFonts w:hint="eastAsia" w:ascii="仿宋" w:hAnsi="仿宋" w:eastAsia="仿宋"/>
          <w:lang w:eastAsia="zh-CN"/>
        </w:rPr>
        <w:t>（设计</w:t>
      </w:r>
      <w:r>
        <w:rPr>
          <w:rFonts w:ascii="仿宋" w:hAnsi="仿宋" w:eastAsia="仿宋"/>
          <w:lang w:eastAsia="zh-CN"/>
        </w:rPr>
        <w:t>文件编制</w:t>
      </w:r>
      <w:r>
        <w:rPr>
          <w:rFonts w:hint="eastAsia" w:ascii="仿宋" w:hAnsi="仿宋" w:eastAsia="仿宋"/>
          <w:lang w:eastAsia="zh-CN"/>
        </w:rPr>
        <w:t>及</w:t>
      </w:r>
      <w:r>
        <w:rPr>
          <w:rFonts w:ascii="仿宋" w:hAnsi="仿宋" w:eastAsia="仿宋"/>
          <w:lang w:eastAsia="zh-CN"/>
        </w:rPr>
        <w:t>限额设计</w:t>
      </w:r>
      <w:r>
        <w:rPr>
          <w:rFonts w:hint="eastAsia" w:ascii="仿宋" w:hAnsi="仿宋" w:eastAsia="仿宋"/>
          <w:lang w:eastAsia="zh-CN"/>
        </w:rPr>
        <w:t>目标</w:t>
      </w:r>
      <w:r>
        <w:rPr>
          <w:rFonts w:ascii="仿宋" w:hAnsi="仿宋" w:eastAsia="仿宋"/>
          <w:lang w:eastAsia="zh-CN"/>
        </w:rPr>
        <w:t>）</w:t>
      </w:r>
      <w:r>
        <w:rPr>
          <w:rFonts w:hint="eastAsia" w:ascii="仿宋" w:hAnsi="仿宋" w:eastAsia="仿宋"/>
          <w:lang w:eastAsia="zh-CN"/>
        </w:rPr>
        <w:t>：</w:t>
      </w:r>
      <w:r>
        <w:rPr>
          <w:rFonts w:hint="eastAsia" w:ascii="仿宋" w:hAnsi="仿宋" w:eastAsia="仿宋"/>
          <w:u w:val="single"/>
          <w:lang w:eastAsia="zh-CN"/>
        </w:rPr>
        <w:t>符合《建设工程质量管理条例》《建设工程勘察设计管理条例》《建筑工程设计文件编制深度规定（2016年版）》等国家及地方有关工程设计管理法规和规章，达到行业相关规范技术标准等要求；符合建设工程勘察设计的技术规范及本项目设计任务书的要求。</w:t>
      </w:r>
    </w:p>
    <w:p w14:paraId="655D8A5E">
      <w:pPr>
        <w:kinsoku w:val="0"/>
        <w:spacing w:line="400" w:lineRule="exact"/>
        <w:ind w:firstLine="480" w:firstLineChars="200"/>
        <w:rPr>
          <w:rFonts w:ascii="仿宋" w:hAnsi="仿宋" w:eastAsia="仿宋"/>
          <w:u w:val="single"/>
          <w:lang w:eastAsia="zh-CN"/>
        </w:rPr>
      </w:pPr>
      <w:r>
        <w:rPr>
          <w:rFonts w:hint="eastAsia" w:ascii="仿宋" w:hAnsi="仿宋" w:eastAsia="仿宋" w:cs="仿宋"/>
          <w:lang w:eastAsia="zh-CN"/>
        </w:rPr>
        <w:t>3.</w:t>
      </w:r>
      <w:r>
        <w:rPr>
          <w:rFonts w:hint="eastAsia" w:ascii="仿宋" w:hAnsi="仿宋" w:eastAsia="仿宋"/>
          <w:lang w:eastAsia="zh-CN"/>
        </w:rPr>
        <w:t>工程质量标准和</w:t>
      </w:r>
      <w:r>
        <w:rPr>
          <w:rFonts w:ascii="仿宋" w:hAnsi="仿宋" w:eastAsia="仿宋"/>
          <w:lang w:eastAsia="zh-CN"/>
        </w:rPr>
        <w:t>要求</w:t>
      </w:r>
      <w:r>
        <w:rPr>
          <w:rFonts w:hint="eastAsia" w:ascii="仿宋" w:hAnsi="仿宋" w:eastAsia="仿宋"/>
          <w:lang w:eastAsia="zh-CN"/>
        </w:rPr>
        <w:t>（施工质量</w:t>
      </w:r>
      <w:r>
        <w:rPr>
          <w:rFonts w:ascii="仿宋" w:hAnsi="仿宋" w:eastAsia="仿宋"/>
          <w:lang w:eastAsia="zh-CN"/>
        </w:rPr>
        <w:t>及项目成效</w:t>
      </w:r>
      <w:r>
        <w:rPr>
          <w:rFonts w:hint="eastAsia" w:ascii="仿宋" w:hAnsi="仿宋" w:eastAsia="仿宋"/>
          <w:lang w:eastAsia="zh-CN"/>
        </w:rPr>
        <w:t>目标</w:t>
      </w:r>
      <w:r>
        <w:rPr>
          <w:rFonts w:ascii="仿宋" w:hAnsi="仿宋" w:eastAsia="仿宋"/>
          <w:lang w:eastAsia="zh-CN"/>
        </w:rPr>
        <w:t>）</w:t>
      </w:r>
      <w:r>
        <w:rPr>
          <w:rFonts w:hint="eastAsia" w:ascii="仿宋" w:hAnsi="仿宋" w:eastAsia="仿宋"/>
          <w:lang w:eastAsia="zh-CN"/>
        </w:rPr>
        <w:t>：</w:t>
      </w:r>
      <w:r>
        <w:rPr>
          <w:rFonts w:hint="eastAsia" w:ascii="仿宋" w:hAnsi="仿宋" w:eastAsia="仿宋"/>
          <w:u w:val="single"/>
          <w:lang w:eastAsia="zh-CN"/>
        </w:rPr>
        <w:t>符合设计施工图纸要求和国家、省、市相关法律法规规定要求及行业颁发的工程质量标准，达到合格等级；按照国家最新颁布《建筑工程施工质量验收统一标准》（GB 50300-2013）及相应配套的各专业验收规范，一次竣工验收合格；分部工程验收合格率100%，项目所涉及的政府专项验收全部通过，单位工程一次竣工验收合格，质量等级评定合格。</w:t>
      </w:r>
    </w:p>
    <w:p w14:paraId="60850C4F">
      <w:pPr>
        <w:kinsoku w:val="0"/>
        <w:spacing w:line="400" w:lineRule="exact"/>
        <w:ind w:firstLine="480" w:firstLineChars="200"/>
        <w:rPr>
          <w:rFonts w:ascii="仿宋" w:hAnsi="仿宋" w:eastAsia="仿宋"/>
          <w:u w:val="single"/>
          <w:lang w:eastAsia="zh-CN"/>
        </w:rPr>
      </w:pPr>
      <w:r>
        <w:rPr>
          <w:rFonts w:hint="eastAsia" w:ascii="仿宋" w:hAnsi="仿宋" w:eastAsia="仿宋"/>
          <w:u w:val="single"/>
          <w:lang w:eastAsia="zh-CN"/>
        </w:rPr>
        <w:t>4.施工安全及文明目标：确保不发生根据《生产安全事故报告和调查处理条例》及相关规定确定的一般事故等级及以上的安全生产事故且死亡人数为零，达到市级及项目所在地安全生产文明施工示范工地评审标准。</w:t>
      </w:r>
    </w:p>
    <w:p w14:paraId="1314C37F">
      <w:pPr>
        <w:kinsoku w:val="0"/>
        <w:spacing w:line="400" w:lineRule="exact"/>
        <w:ind w:firstLine="480" w:firstLineChars="200"/>
        <w:rPr>
          <w:rFonts w:ascii="仿宋" w:hAnsi="仿宋" w:eastAsia="仿宋"/>
          <w:u w:val="single"/>
          <w:lang w:eastAsia="zh-CN"/>
        </w:rPr>
      </w:pPr>
      <w:r>
        <w:rPr>
          <w:rFonts w:hint="eastAsia" w:ascii="仿宋" w:hAnsi="仿宋" w:eastAsia="仿宋"/>
          <w:u w:val="single"/>
          <w:lang w:eastAsia="zh-CN"/>
        </w:rPr>
        <w:t>施工场地清洁、扬尘、噪音管理符合环境卫生管理的有关规定。</w:t>
      </w:r>
    </w:p>
    <w:p w14:paraId="69C51597">
      <w:pPr>
        <w:kinsoku w:val="0"/>
        <w:spacing w:line="400" w:lineRule="exact"/>
        <w:ind w:firstLine="480" w:firstLineChars="200"/>
        <w:rPr>
          <w:rFonts w:ascii="仿宋" w:hAnsi="仿宋" w:eastAsia="仿宋"/>
          <w:lang w:eastAsia="zh-CN"/>
        </w:rPr>
      </w:pPr>
      <w:r>
        <w:rPr>
          <w:rFonts w:hint="eastAsia" w:ascii="仿宋" w:hAnsi="仿宋" w:eastAsia="仿宋"/>
          <w:lang w:eastAsia="zh-CN"/>
        </w:rPr>
        <w:t>5.绿色建筑建设目标：□一星  ☑二星  □三星，且必须满足广州市行业主管部门有关绿色建筑评价标准的规定要求，按照《广州市绿色建筑和建筑节能管理规定》（广州市人民政府令第92号）和《广州市人民政府关于修改和废止部分市政府规章的决定》（广州市人民政府令第168号）等相关规定执行，并符合本合同的要求。</w:t>
      </w:r>
    </w:p>
    <w:p w14:paraId="72463FFC">
      <w:pPr>
        <w:kinsoku w:val="0"/>
        <w:spacing w:line="400" w:lineRule="exact"/>
        <w:ind w:firstLine="480" w:firstLineChars="200"/>
        <w:rPr>
          <w:rFonts w:ascii="仿宋" w:hAnsi="仿宋" w:eastAsia="仿宋"/>
          <w:lang w:eastAsia="zh-CN"/>
        </w:rPr>
      </w:pPr>
      <w:r>
        <w:rPr>
          <w:rFonts w:hint="eastAsia" w:ascii="仿宋" w:hAnsi="仿宋" w:eastAsia="仿宋"/>
          <w:lang w:eastAsia="zh-CN"/>
        </w:rPr>
        <w:t xml:space="preserve">评价标准：☑《绿色建筑评价标准》(GB/T 50378-2019） ☑《广东省绿色建筑评价标准》（DBJ/T 15-83-2017）  </w:t>
      </w:r>
      <w:r>
        <w:rPr>
          <w:rFonts w:ascii="Segoe UI Symbol" w:hAnsi="Segoe UI Symbol" w:eastAsia="仿宋" w:cs="Segoe UI Symbol"/>
          <w:lang w:eastAsia="zh-CN"/>
        </w:rPr>
        <w:t>☑</w:t>
      </w:r>
      <w:r>
        <w:rPr>
          <w:rFonts w:hint="eastAsia" w:ascii="仿宋" w:hAnsi="仿宋" w:eastAsia="仿宋"/>
          <w:lang w:eastAsia="zh-CN"/>
        </w:rPr>
        <w:t>其它：建筑节能目标100%达到。</w:t>
      </w:r>
    </w:p>
    <w:p w14:paraId="7E451646">
      <w:pPr>
        <w:kinsoku w:val="0"/>
        <w:spacing w:line="400" w:lineRule="exact"/>
        <w:ind w:firstLine="480" w:firstLineChars="200"/>
        <w:rPr>
          <w:rFonts w:ascii="仿宋" w:hAnsi="仿宋" w:eastAsia="仿宋"/>
          <w:lang w:eastAsia="zh-CN"/>
        </w:rPr>
      </w:pPr>
      <w:r>
        <w:rPr>
          <w:rFonts w:hint="eastAsia" w:ascii="仿宋" w:hAnsi="仿宋" w:eastAsia="仿宋"/>
          <w:lang w:eastAsia="zh-CN"/>
        </w:rPr>
        <w:t>6.BIM要求：本项目采用的BIM技术应符合《建筑信息模型应用统一标准》（GB/T51212-2016），承包人应为本工程专门配备BIM专业团队，统筹负责BIM设计、生产、施工等阶段的应用工作，并预留运营阶段的数据接入条件。交付阶段应将包含隐蔽工程建设数据信息的可视化模型文件，交付给发包人，BIM模型交付深度应满足广州市BIM、CIM相关标准要求。</w:t>
      </w:r>
    </w:p>
    <w:p w14:paraId="529269E5">
      <w:pPr>
        <w:kinsoku w:val="0"/>
        <w:spacing w:line="400" w:lineRule="exact"/>
        <w:ind w:firstLine="480" w:firstLineChars="200"/>
        <w:rPr>
          <w:rFonts w:ascii="仿宋" w:hAnsi="仿宋" w:eastAsia="仿宋"/>
          <w:u w:val="single"/>
          <w:lang w:eastAsia="zh-CN"/>
        </w:rPr>
      </w:pPr>
      <w:r>
        <w:rPr>
          <w:rFonts w:hint="eastAsia" w:ascii="仿宋" w:hAnsi="仿宋" w:eastAsia="仿宋"/>
          <w:u w:val="single"/>
          <w:lang w:eastAsia="zh-CN"/>
        </w:rPr>
        <w:t>7.根据《广州市城中村改造项目改造主体工作评估实施细则（试行）》中对于安置房及配套设施工程的设计、工程建设相关指标及评估标准，在本合同执行过程中，按照“良好”或以上档次进行设计及施工。</w:t>
      </w:r>
    </w:p>
    <w:p w14:paraId="3B264BEE">
      <w:pPr>
        <w:kinsoku w:val="0"/>
        <w:spacing w:line="400" w:lineRule="exact"/>
        <w:ind w:firstLine="480" w:firstLineChars="200"/>
        <w:rPr>
          <w:rFonts w:ascii="仿宋" w:hAnsi="仿宋" w:eastAsia="仿宋"/>
          <w:lang w:eastAsia="zh-CN"/>
        </w:rPr>
      </w:pPr>
      <w:r>
        <w:rPr>
          <w:rFonts w:hint="eastAsia" w:ascii="仿宋" w:hAnsi="仿宋" w:eastAsia="仿宋"/>
          <w:lang w:eastAsia="zh-CN"/>
        </w:rPr>
        <w:t>8.合同履行期间，如有工程相关的法律规范发生变化，承包人应当无条件按最新规定严格执行。若涉及费用增加的，按最新规定及合同相关约定执行。</w:t>
      </w:r>
    </w:p>
    <w:p w14:paraId="7C161A93">
      <w:pPr>
        <w:spacing w:line="400" w:lineRule="exact"/>
        <w:ind w:firstLine="482" w:firstLineChars="200"/>
        <w:outlineLvl w:val="1"/>
        <w:rPr>
          <w:rFonts w:ascii="仿宋" w:hAnsi="仿宋" w:eastAsia="仿宋" w:cs="仿宋"/>
          <w:b/>
          <w:bCs/>
          <w:lang w:eastAsia="zh-CN"/>
        </w:rPr>
      </w:pPr>
      <w:bookmarkStart w:id="23" w:name="_Toc18562"/>
      <w:bookmarkStart w:id="24" w:name="_Toc25327"/>
      <w:bookmarkStart w:id="25" w:name="_Toc6605"/>
      <w:bookmarkStart w:id="26" w:name="_Toc194073093"/>
      <w:bookmarkStart w:id="27" w:name="_Toc2975"/>
      <w:r>
        <w:rPr>
          <w:rFonts w:hint="eastAsia" w:ascii="仿宋" w:hAnsi="仿宋" w:eastAsia="仿宋" w:cs="仿宋"/>
          <w:b/>
          <w:bCs/>
          <w:lang w:eastAsia="zh-CN"/>
        </w:rPr>
        <w:t>四、创优目标</w:t>
      </w:r>
      <w:bookmarkEnd w:id="23"/>
      <w:bookmarkEnd w:id="24"/>
      <w:bookmarkEnd w:id="25"/>
      <w:bookmarkEnd w:id="26"/>
      <w:bookmarkEnd w:id="27"/>
    </w:p>
    <w:p w14:paraId="0B0982C1">
      <w:pPr>
        <w:autoSpaceDE w:val="0"/>
        <w:autoSpaceDN w:val="0"/>
        <w:adjustRightInd w:val="0"/>
        <w:spacing w:line="400" w:lineRule="exact"/>
        <w:ind w:firstLine="480" w:firstLineChars="200"/>
        <w:rPr>
          <w:rFonts w:ascii="仿宋" w:hAnsi="仿宋" w:eastAsia="仿宋" w:cs="仿宋"/>
          <w:highlight w:val="yellow"/>
          <w:lang w:eastAsia="zh-CN"/>
        </w:rPr>
      </w:pPr>
      <w:r>
        <w:rPr>
          <w:rFonts w:hint="eastAsia" w:ascii="Segoe UI Symbol" w:hAnsi="Segoe UI Symbol" w:eastAsia="仿宋" w:cs="Segoe UI Symbol"/>
          <w:lang w:eastAsia="zh-CN"/>
        </w:rPr>
        <w:t xml:space="preserve">□ </w:t>
      </w:r>
      <w:r>
        <w:rPr>
          <w:rFonts w:hint="eastAsia" w:ascii="仿宋" w:hAnsi="仿宋" w:eastAsia="仿宋" w:cs="仿宋"/>
          <w:lang w:eastAsia="zh-CN"/>
        </w:rPr>
        <w:t xml:space="preserve">市级优秀勘察设计奖（□一等奖  </w:t>
      </w:r>
      <w:r>
        <w:rPr>
          <w:rFonts w:hint="eastAsia" w:ascii="仿宋" w:hAnsi="仿宋" w:eastAsia="仿宋" w:cs="仿宋"/>
          <w:lang w:eastAsia="zh-CN"/>
        </w:rPr>
        <w:sym w:font="Wingdings 2" w:char="F0A3"/>
      </w:r>
      <w:r>
        <w:rPr>
          <w:rFonts w:hint="eastAsia" w:ascii="仿宋" w:hAnsi="仿宋" w:eastAsia="仿宋" w:cs="仿宋"/>
          <w:lang w:eastAsia="zh-CN"/>
        </w:rPr>
        <w:t xml:space="preserve">二等奖  </w:t>
      </w:r>
      <w:r>
        <w:rPr>
          <w:rFonts w:hint="eastAsia" w:ascii="Segoe UI Symbol" w:hAnsi="Segoe UI Symbol" w:eastAsia="仿宋" w:cs="Segoe UI Symbol"/>
          <w:lang w:eastAsia="zh-CN"/>
        </w:rPr>
        <w:t>□</w:t>
      </w:r>
      <w:r>
        <w:rPr>
          <w:rFonts w:hint="eastAsia" w:ascii="仿宋" w:hAnsi="仿宋" w:eastAsia="仿宋" w:cs="仿宋"/>
          <w:lang w:eastAsia="zh-CN"/>
        </w:rPr>
        <w:t>三等奖  □其它：</w:t>
      </w:r>
      <w:r>
        <w:rPr>
          <w:rFonts w:hint="eastAsia" w:ascii="仿宋" w:hAnsi="仿宋" w:eastAsia="仿宋" w:cs="仿宋"/>
          <w:u w:val="single"/>
          <w:lang w:eastAsia="zh-CN"/>
        </w:rPr>
        <w:t xml:space="preserve">   </w:t>
      </w:r>
      <w:r>
        <w:rPr>
          <w:rFonts w:hint="eastAsia" w:ascii="仿宋" w:hAnsi="仿宋" w:eastAsia="仿宋" w:cs="仿宋"/>
          <w:lang w:eastAsia="zh-CN"/>
        </w:rPr>
        <w:t>）；</w:t>
      </w:r>
    </w:p>
    <w:p w14:paraId="4B7F59D6">
      <w:pPr>
        <w:autoSpaceDE w:val="0"/>
        <w:autoSpaceDN w:val="0"/>
        <w:adjustRightInd w:val="0"/>
        <w:spacing w:line="400" w:lineRule="exact"/>
        <w:ind w:firstLine="480" w:firstLineChars="200"/>
        <w:rPr>
          <w:rFonts w:ascii="仿宋" w:hAnsi="仿宋" w:eastAsia="仿宋" w:cs="仿宋"/>
          <w:lang w:eastAsia="zh-CN"/>
        </w:rPr>
      </w:pPr>
      <w:r>
        <w:rPr>
          <w:rFonts w:hint="eastAsia" w:ascii="仿宋" w:hAnsi="仿宋" w:eastAsia="仿宋" w:cs="仿宋"/>
          <w:lang w:eastAsia="zh-CN"/>
        </w:rPr>
        <w:t>□ 省部级优秀勘察设计奖（□一等奖  □二等奖  □三等奖  □其它：</w:t>
      </w:r>
      <w:r>
        <w:rPr>
          <w:rFonts w:hint="eastAsia" w:ascii="仿宋" w:hAnsi="仿宋" w:eastAsia="仿宋" w:cs="仿宋"/>
          <w:u w:val="single"/>
          <w:lang w:eastAsia="zh-CN"/>
        </w:rPr>
        <w:t xml:space="preserve">     </w:t>
      </w:r>
      <w:r>
        <w:rPr>
          <w:rFonts w:hint="eastAsia" w:ascii="仿宋" w:hAnsi="仿宋" w:eastAsia="仿宋" w:cs="仿宋"/>
          <w:lang w:eastAsia="zh-CN"/>
        </w:rPr>
        <w:t>）；</w:t>
      </w:r>
    </w:p>
    <w:p w14:paraId="13966583">
      <w:pPr>
        <w:autoSpaceDE w:val="0"/>
        <w:autoSpaceDN w:val="0"/>
        <w:adjustRightInd w:val="0"/>
        <w:spacing w:line="400" w:lineRule="exact"/>
        <w:ind w:firstLine="480" w:firstLineChars="200"/>
        <w:rPr>
          <w:rFonts w:ascii="仿宋" w:hAnsi="仿宋" w:eastAsia="仿宋" w:cs="仿宋"/>
          <w:lang w:eastAsia="zh-CN"/>
        </w:rPr>
      </w:pPr>
      <w:r>
        <w:rPr>
          <w:rFonts w:hint="eastAsia" w:ascii="仿宋" w:hAnsi="仿宋" w:eastAsia="仿宋" w:cs="仿宋"/>
          <w:lang w:eastAsia="zh-CN"/>
        </w:rPr>
        <w:t>□ 国家级优秀勘察设计奖（□金奖  □银奖  □其它：</w:t>
      </w:r>
      <w:r>
        <w:rPr>
          <w:rFonts w:hint="eastAsia" w:ascii="仿宋" w:hAnsi="仿宋" w:eastAsia="仿宋" w:cs="仿宋"/>
          <w:u w:val="single"/>
          <w:lang w:eastAsia="zh-CN"/>
        </w:rPr>
        <w:t xml:space="preserve">     </w:t>
      </w:r>
      <w:r>
        <w:rPr>
          <w:rFonts w:hint="eastAsia" w:ascii="仿宋" w:hAnsi="仿宋" w:eastAsia="仿宋" w:cs="仿宋"/>
          <w:lang w:eastAsia="zh-CN"/>
        </w:rPr>
        <w:t>）；</w:t>
      </w:r>
    </w:p>
    <w:p w14:paraId="5A9E1C64">
      <w:pPr>
        <w:autoSpaceDE w:val="0"/>
        <w:autoSpaceDN w:val="0"/>
        <w:adjustRightInd w:val="0"/>
        <w:spacing w:line="400" w:lineRule="exact"/>
        <w:ind w:firstLine="480" w:firstLineChars="200"/>
        <w:rPr>
          <w:rFonts w:ascii="仿宋" w:hAnsi="仿宋" w:eastAsia="仿宋"/>
          <w:lang w:eastAsia="zh-CN"/>
        </w:rPr>
      </w:pPr>
      <w:r>
        <w:rPr>
          <w:rFonts w:hint="eastAsia" w:ascii="仿宋" w:hAnsi="仿宋" w:eastAsia="仿宋" w:cs="仿宋"/>
          <w:lang w:eastAsia="zh-CN"/>
        </w:rPr>
        <w:t>☑ 市级工程优质奖；</w:t>
      </w:r>
    </w:p>
    <w:p w14:paraId="4B2BD8C6">
      <w:pPr>
        <w:autoSpaceDE w:val="0"/>
        <w:autoSpaceDN w:val="0"/>
        <w:adjustRightInd w:val="0"/>
        <w:spacing w:line="400" w:lineRule="exact"/>
        <w:ind w:firstLine="480" w:firstLineChars="200"/>
        <w:rPr>
          <w:rFonts w:ascii="仿宋" w:hAnsi="仿宋" w:eastAsia="仿宋"/>
          <w:lang w:eastAsia="zh-CN"/>
        </w:rPr>
      </w:pPr>
      <w:r>
        <w:rPr>
          <w:rFonts w:hint="eastAsia" w:ascii="仿宋" w:hAnsi="仿宋" w:eastAsia="仿宋" w:cs="仿宋"/>
          <w:lang w:eastAsia="zh-CN"/>
        </w:rPr>
        <w:sym w:font="Wingdings 2" w:char="F0A3"/>
      </w:r>
      <w:r>
        <w:rPr>
          <w:rFonts w:ascii="仿宋" w:hAnsi="仿宋" w:eastAsia="仿宋" w:cs="仿宋"/>
          <w:lang w:eastAsia="zh-CN"/>
        </w:rPr>
        <w:t xml:space="preserve"> </w:t>
      </w:r>
      <w:r>
        <w:rPr>
          <w:rFonts w:hint="eastAsia" w:ascii="仿宋" w:hAnsi="仿宋" w:eastAsia="仿宋" w:cs="仿宋"/>
          <w:lang w:eastAsia="zh-CN"/>
        </w:rPr>
        <w:t>省级工程优质奖；</w:t>
      </w:r>
    </w:p>
    <w:p w14:paraId="5E12DB24">
      <w:pPr>
        <w:pStyle w:val="15"/>
        <w:spacing w:line="400" w:lineRule="exact"/>
        <w:ind w:firstLine="480" w:firstLineChars="200"/>
        <w:rPr>
          <w:rFonts w:ascii="仿宋" w:hAnsi="仿宋" w:eastAsia="仿宋" w:cs="仿宋"/>
          <w:lang w:eastAsia="zh-CN"/>
        </w:rPr>
      </w:pPr>
      <w:r>
        <w:rPr>
          <w:rFonts w:hint="eastAsia" w:ascii="仿宋" w:hAnsi="仿宋" w:eastAsia="仿宋" w:cs="仿宋"/>
          <w:lang w:eastAsia="zh-CN"/>
        </w:rPr>
        <w:t>□</w:t>
      </w:r>
      <w:r>
        <w:rPr>
          <w:rFonts w:ascii="仿宋" w:hAnsi="仿宋" w:eastAsia="仿宋" w:cs="仿宋"/>
          <w:lang w:eastAsia="zh-CN"/>
        </w:rPr>
        <w:t xml:space="preserve"> </w:t>
      </w:r>
      <w:r>
        <w:rPr>
          <w:rFonts w:hint="eastAsia" w:ascii="仿宋" w:hAnsi="仿宋" w:eastAsia="仿宋" w:cs="仿宋"/>
          <w:lang w:eastAsia="zh-CN"/>
        </w:rPr>
        <w:t>国家级工程优质奖；</w:t>
      </w:r>
    </w:p>
    <w:p w14:paraId="48755AC0">
      <w:pPr>
        <w:pStyle w:val="15"/>
        <w:spacing w:line="400" w:lineRule="exact"/>
        <w:ind w:firstLine="480" w:firstLineChars="200"/>
        <w:rPr>
          <w:rFonts w:ascii="仿宋" w:hAnsi="仿宋" w:eastAsia="仿宋" w:cs="仿宋"/>
          <w:lang w:eastAsia="zh-CN"/>
        </w:rPr>
      </w:pPr>
      <w:r>
        <w:rPr>
          <w:rFonts w:hint="eastAsia" w:ascii="仿宋" w:hAnsi="仿宋" w:eastAsia="仿宋" w:cs="仿宋"/>
          <w:lang w:eastAsia="zh-CN"/>
        </w:rPr>
        <w:t>□</w:t>
      </w:r>
      <w:r>
        <w:rPr>
          <w:rFonts w:ascii="仿宋" w:hAnsi="仿宋" w:eastAsia="仿宋" w:cs="仿宋"/>
          <w:lang w:eastAsia="zh-CN"/>
        </w:rPr>
        <w:t xml:space="preserve"> </w:t>
      </w:r>
      <w:r>
        <w:rPr>
          <w:rFonts w:hint="eastAsia" w:ascii="仿宋" w:hAnsi="仿宋" w:eastAsia="仿宋" w:cs="仿宋"/>
          <w:lang w:eastAsia="zh-CN"/>
        </w:rPr>
        <w:t>精品工程；</w:t>
      </w:r>
    </w:p>
    <w:p w14:paraId="09990F56">
      <w:pPr>
        <w:spacing w:line="400" w:lineRule="exact"/>
        <w:ind w:firstLine="480" w:firstLineChars="200"/>
        <w:rPr>
          <w:rFonts w:ascii="仿宋" w:hAnsi="仿宋" w:eastAsia="仿宋"/>
          <w:u w:val="single"/>
          <w:lang w:eastAsia="zh-CN"/>
        </w:rPr>
      </w:pPr>
      <w:r>
        <w:rPr>
          <w:rFonts w:hint="eastAsia" w:ascii="仿宋" w:hAnsi="仿宋" w:eastAsia="仿宋" w:cs="仿宋"/>
          <w:lang w:eastAsia="zh-CN"/>
        </w:rPr>
        <w:t>□</w:t>
      </w:r>
      <w:r>
        <w:rPr>
          <w:rFonts w:ascii="仿宋" w:hAnsi="仿宋" w:eastAsia="仿宋" w:cs="仿宋"/>
          <w:lang w:eastAsia="zh-CN"/>
        </w:rPr>
        <w:t xml:space="preserve"> </w:t>
      </w:r>
      <w:r>
        <w:rPr>
          <w:rFonts w:hint="eastAsia" w:ascii="仿宋" w:hAnsi="仿宋" w:eastAsia="仿宋" w:cs="仿宋"/>
          <w:lang w:eastAsia="zh-CN"/>
        </w:rPr>
        <w:t>其它：</w:t>
      </w:r>
      <w:r>
        <w:rPr>
          <w:rFonts w:ascii="仿宋" w:hAnsi="仿宋" w:eastAsia="仿宋"/>
          <w:u w:val="single"/>
          <w:lang w:eastAsia="zh-CN"/>
        </w:rPr>
        <w:t xml:space="preserve">    </w:t>
      </w:r>
      <w:r>
        <w:rPr>
          <w:rFonts w:hint="eastAsia" w:ascii="仿宋" w:hAnsi="仿宋" w:eastAsia="仿宋"/>
          <w:u w:val="single"/>
          <w:lang w:eastAsia="zh-CN"/>
        </w:rPr>
        <w:t xml:space="preserve">                         </w:t>
      </w:r>
    </w:p>
    <w:p w14:paraId="01E90014">
      <w:pPr>
        <w:spacing w:line="400" w:lineRule="exact"/>
        <w:ind w:firstLine="480" w:firstLineChars="200"/>
        <w:rPr>
          <w:rFonts w:ascii="仿宋" w:hAnsi="仿宋" w:eastAsia="仿宋"/>
          <w:u w:val="single"/>
          <w:lang w:eastAsia="zh-CN"/>
        </w:rPr>
      </w:pPr>
    </w:p>
    <w:p w14:paraId="3429C778">
      <w:pPr>
        <w:spacing w:line="400" w:lineRule="exact"/>
        <w:ind w:firstLine="482" w:firstLineChars="200"/>
        <w:outlineLvl w:val="1"/>
        <w:rPr>
          <w:rFonts w:ascii="仿宋" w:hAnsi="仿宋" w:eastAsia="仿宋" w:cs="仿宋"/>
          <w:b/>
          <w:bCs/>
          <w:lang w:eastAsia="zh-CN"/>
        </w:rPr>
      </w:pPr>
      <w:bookmarkStart w:id="28" w:name="_Toc20483"/>
      <w:bookmarkStart w:id="29" w:name="_Toc19095"/>
      <w:bookmarkStart w:id="30" w:name="_Toc194073094"/>
      <w:bookmarkStart w:id="31" w:name="_Toc21620"/>
      <w:bookmarkStart w:id="32" w:name="_Toc16177"/>
      <w:r>
        <w:rPr>
          <w:rFonts w:hint="eastAsia" w:ascii="仿宋" w:hAnsi="仿宋" w:eastAsia="仿宋" w:cs="仿宋"/>
          <w:b/>
          <w:bCs/>
          <w:lang w:eastAsia="zh-CN"/>
        </w:rPr>
        <w:t>五、创建文明工地目标</w:t>
      </w:r>
      <w:bookmarkEnd w:id="28"/>
      <w:bookmarkEnd w:id="29"/>
      <w:bookmarkEnd w:id="30"/>
      <w:bookmarkEnd w:id="31"/>
      <w:bookmarkEnd w:id="32"/>
    </w:p>
    <w:p w14:paraId="7D44D0B0">
      <w:pPr>
        <w:autoSpaceDE w:val="0"/>
        <w:autoSpaceDN w:val="0"/>
        <w:adjustRightInd w:val="0"/>
        <w:spacing w:line="400" w:lineRule="exact"/>
        <w:ind w:firstLine="480" w:firstLineChars="200"/>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 xml:space="preserve"> </w:t>
      </w:r>
      <w:r>
        <w:rPr>
          <w:rFonts w:hint="eastAsia" w:ascii="仿宋" w:hAnsi="仿宋" w:eastAsia="仿宋" w:cs="仿宋"/>
          <w:lang w:eastAsia="zh-CN"/>
        </w:rPr>
        <w:t>市级安全文明绿色施工样板工地；</w:t>
      </w:r>
    </w:p>
    <w:p w14:paraId="1AC61886">
      <w:pPr>
        <w:autoSpaceDE w:val="0"/>
        <w:autoSpaceDN w:val="0"/>
        <w:adjustRightInd w:val="0"/>
        <w:spacing w:line="400" w:lineRule="exact"/>
        <w:ind w:firstLine="480" w:firstLineChars="200"/>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 xml:space="preserve"> </w:t>
      </w:r>
      <w:r>
        <w:rPr>
          <w:rFonts w:hint="eastAsia" w:ascii="仿宋" w:hAnsi="仿宋" w:eastAsia="仿宋" w:cs="仿宋"/>
          <w:lang w:eastAsia="zh-CN"/>
        </w:rPr>
        <w:t>省级安全文明示范工地；</w:t>
      </w:r>
    </w:p>
    <w:p w14:paraId="1F0C19FC">
      <w:pPr>
        <w:autoSpaceDE w:val="0"/>
        <w:autoSpaceDN w:val="0"/>
        <w:adjustRightInd w:val="0"/>
        <w:spacing w:line="400" w:lineRule="exact"/>
        <w:ind w:firstLine="480" w:firstLineChars="200"/>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 xml:space="preserve"> </w:t>
      </w:r>
      <w:r>
        <w:rPr>
          <w:rFonts w:hint="eastAsia" w:ascii="仿宋" w:hAnsi="仿宋" w:eastAsia="仿宋" w:cs="仿宋"/>
          <w:lang w:eastAsia="zh-CN"/>
        </w:rPr>
        <w:t>国家级安全文明工地；</w:t>
      </w:r>
    </w:p>
    <w:p w14:paraId="390635E3">
      <w:pPr>
        <w:spacing w:line="400" w:lineRule="exact"/>
        <w:ind w:firstLine="480" w:firstLineChars="200"/>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 xml:space="preserve"> </w:t>
      </w:r>
      <w:r>
        <w:rPr>
          <w:rFonts w:hint="eastAsia" w:ascii="仿宋" w:hAnsi="仿宋" w:eastAsia="仿宋" w:cs="仿宋"/>
          <w:lang w:eastAsia="zh-CN"/>
        </w:rPr>
        <w:t>广州市建筑业绿色施工示范工程；</w:t>
      </w:r>
    </w:p>
    <w:p w14:paraId="3219D0CB">
      <w:pPr>
        <w:spacing w:line="400" w:lineRule="exact"/>
        <w:ind w:firstLine="480" w:firstLineChars="200"/>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 xml:space="preserve"> </w:t>
      </w:r>
      <w:r>
        <w:rPr>
          <w:rFonts w:hint="eastAsia" w:ascii="仿宋" w:hAnsi="仿宋" w:eastAsia="仿宋" w:cs="仿宋"/>
          <w:lang w:eastAsia="zh-CN"/>
        </w:rPr>
        <w:t>广东省建筑业绿色施工示范工程；</w:t>
      </w:r>
    </w:p>
    <w:p w14:paraId="74D1BE77">
      <w:pPr>
        <w:spacing w:line="400" w:lineRule="exact"/>
        <w:ind w:firstLine="480" w:firstLineChars="200"/>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 xml:space="preserve"> </w:t>
      </w:r>
      <w:r>
        <w:rPr>
          <w:rFonts w:hint="eastAsia" w:ascii="仿宋" w:hAnsi="仿宋" w:eastAsia="仿宋" w:cs="仿宋"/>
          <w:lang w:eastAsia="zh-CN"/>
        </w:rPr>
        <w:t>全国建筑业绿色施工示范工程；</w:t>
      </w:r>
    </w:p>
    <w:p w14:paraId="23A5CACD">
      <w:pPr>
        <w:spacing w:line="400" w:lineRule="exact"/>
        <w:ind w:firstLine="480" w:firstLineChars="200"/>
        <w:rPr>
          <w:rFonts w:ascii="仿宋" w:hAnsi="仿宋" w:eastAsia="仿宋"/>
          <w:u w:val="single"/>
          <w:lang w:eastAsia="zh-CN"/>
        </w:rPr>
      </w:pPr>
      <w:r>
        <w:rPr>
          <w:rFonts w:hint="eastAsia" w:ascii="仿宋" w:hAnsi="仿宋" w:eastAsia="仿宋" w:cs="仿宋"/>
          <w:lang w:eastAsia="zh-CN"/>
        </w:rPr>
        <w:t>□</w:t>
      </w:r>
      <w:r>
        <w:rPr>
          <w:rFonts w:ascii="仿宋" w:hAnsi="仿宋" w:eastAsia="仿宋" w:cs="仿宋"/>
          <w:lang w:eastAsia="zh-CN"/>
        </w:rPr>
        <w:t xml:space="preserve"> </w:t>
      </w:r>
      <w:r>
        <w:rPr>
          <w:rFonts w:hint="eastAsia" w:ascii="仿宋" w:hAnsi="仿宋" w:eastAsia="仿宋" w:cs="仿宋"/>
          <w:lang w:eastAsia="zh-CN"/>
        </w:rPr>
        <w:t>其它：</w:t>
      </w:r>
      <w:r>
        <w:rPr>
          <w:rFonts w:ascii="仿宋" w:hAnsi="仿宋" w:eastAsia="仿宋"/>
          <w:u w:val="single"/>
          <w:lang w:eastAsia="zh-CN"/>
        </w:rPr>
        <w:t xml:space="preserve">    </w:t>
      </w:r>
      <w:r>
        <w:rPr>
          <w:rFonts w:hint="eastAsia" w:ascii="仿宋" w:hAnsi="仿宋" w:eastAsia="仿宋"/>
          <w:u w:val="single"/>
          <w:lang w:eastAsia="zh-CN"/>
        </w:rPr>
        <w:t xml:space="preserve">                    </w:t>
      </w:r>
    </w:p>
    <w:p w14:paraId="766CDFD0">
      <w:pPr>
        <w:spacing w:line="400" w:lineRule="exact"/>
        <w:ind w:firstLine="482" w:firstLineChars="200"/>
        <w:rPr>
          <w:rFonts w:ascii="仿宋" w:hAnsi="仿宋" w:eastAsia="仿宋" w:cs="仿宋"/>
          <w:b/>
          <w:bCs/>
          <w:lang w:eastAsia="zh-CN"/>
        </w:rPr>
      </w:pPr>
    </w:p>
    <w:p w14:paraId="114C4E69">
      <w:pPr>
        <w:spacing w:line="400" w:lineRule="exact"/>
        <w:ind w:firstLine="482" w:firstLineChars="200"/>
        <w:outlineLvl w:val="1"/>
        <w:rPr>
          <w:rFonts w:ascii="仿宋" w:hAnsi="仿宋" w:eastAsia="仿宋" w:cs="仿宋"/>
          <w:b/>
          <w:bCs/>
          <w:lang w:eastAsia="zh-CN"/>
        </w:rPr>
      </w:pPr>
      <w:bookmarkStart w:id="33" w:name="_Toc7291"/>
      <w:bookmarkStart w:id="34" w:name="_Toc29756"/>
      <w:bookmarkStart w:id="35" w:name="_Toc194073095"/>
      <w:bookmarkStart w:id="36" w:name="_Toc24307"/>
      <w:bookmarkStart w:id="37" w:name="_Toc21401"/>
      <w:r>
        <w:rPr>
          <w:rFonts w:hint="eastAsia" w:ascii="仿宋" w:hAnsi="仿宋" w:eastAsia="仿宋" w:cs="仿宋"/>
          <w:b/>
          <w:bCs/>
          <w:lang w:eastAsia="zh-CN"/>
        </w:rPr>
        <w:t>六、职业健康安全管理目标和环境管理目标</w:t>
      </w:r>
      <w:bookmarkEnd w:id="33"/>
      <w:bookmarkEnd w:id="34"/>
      <w:bookmarkEnd w:id="35"/>
      <w:bookmarkEnd w:id="36"/>
      <w:bookmarkEnd w:id="37"/>
    </w:p>
    <w:p w14:paraId="73D342EF">
      <w:pPr>
        <w:spacing w:line="400" w:lineRule="exact"/>
        <w:ind w:firstLine="480" w:firstLineChars="200"/>
        <w:rPr>
          <w:rFonts w:ascii="仿宋" w:hAnsi="仿宋" w:eastAsia="仿宋"/>
          <w:u w:val="single"/>
          <w:lang w:eastAsia="zh-CN"/>
        </w:rPr>
      </w:pPr>
      <w:r>
        <w:rPr>
          <w:rFonts w:hint="eastAsia" w:ascii="仿宋" w:hAnsi="仿宋" w:eastAsia="仿宋" w:cs="仿宋"/>
          <w:lang w:eastAsia="zh-CN"/>
        </w:rPr>
        <w:t>1.职业健康安全管理目标：零死亡、零重伤、零中毒、零火灾、零坍塌、零重大机械事故、零重大财产损失及负面影响事件、零群体事件。改善劳动条件，预防职业病，做好防疫、工地防尘、防毒、防噪音、通风、照明、取暖、降温、防辐射及防物理因素危害等用工相关工作，均须符合国家和地方政府主管理部门颁布的相关规定。</w:t>
      </w:r>
      <w:r>
        <w:rPr>
          <w:rFonts w:hint="eastAsia" w:ascii="仿宋" w:hAnsi="仿宋" w:eastAsia="仿宋"/>
          <w:szCs w:val="21"/>
          <w:u w:val="single"/>
          <w:lang w:eastAsia="zh-CN"/>
        </w:rPr>
        <w:t>杜绝发生一般事故等级及以上的伤亡事故且工伤责任事故死亡人数为零。</w:t>
      </w:r>
    </w:p>
    <w:p w14:paraId="3A8D5198">
      <w:pPr>
        <w:spacing w:line="400" w:lineRule="exact"/>
        <w:ind w:firstLine="480" w:firstLineChars="200"/>
        <w:rPr>
          <w:rFonts w:ascii="仿宋" w:hAnsi="仿宋" w:eastAsia="仿宋"/>
          <w:u w:val="single"/>
          <w:lang w:eastAsia="zh-CN"/>
        </w:rPr>
      </w:pPr>
      <w:r>
        <w:rPr>
          <w:rFonts w:hint="eastAsia" w:ascii="仿宋" w:hAnsi="仿宋" w:eastAsia="仿宋" w:cs="仿宋"/>
          <w:lang w:eastAsia="zh-CN"/>
        </w:rPr>
        <w:t>2.环境管理目标：</w:t>
      </w:r>
      <w:r>
        <w:rPr>
          <w:rFonts w:hint="eastAsia" w:ascii="仿宋" w:hAnsi="仿宋" w:eastAsia="仿宋" w:cs="仿宋"/>
          <w:u w:val="single"/>
          <w:lang w:eastAsia="zh-CN"/>
        </w:rPr>
        <w:t>符合有关绿色施工、新型防护、施工围蔽等国家、省市相关规定。</w:t>
      </w:r>
    </w:p>
    <w:p w14:paraId="19E4C6CE">
      <w:pPr>
        <w:spacing w:line="400" w:lineRule="exact"/>
        <w:ind w:firstLine="480" w:firstLineChars="200"/>
        <w:rPr>
          <w:rFonts w:ascii="仿宋" w:hAnsi="仿宋" w:eastAsia="仿宋" w:cs="仿宋"/>
          <w:u w:val="single"/>
          <w:lang w:eastAsia="zh-CN"/>
        </w:rPr>
      </w:pPr>
      <w:r>
        <w:rPr>
          <w:rFonts w:hint="eastAsia" w:ascii="仿宋" w:hAnsi="仿宋" w:eastAsia="仿宋" w:cs="仿宋"/>
          <w:lang w:eastAsia="zh-CN"/>
        </w:rPr>
        <w:t>3.</w:t>
      </w:r>
      <w:r>
        <w:rPr>
          <w:rFonts w:hint="eastAsia" w:ascii="仿宋" w:hAnsi="仿宋" w:eastAsia="仿宋"/>
          <w:lang w:eastAsia="zh-CN"/>
        </w:rPr>
        <w:t>合同履行期间，如有工程相关的法律规范发生变化，承包人应当无条件按最新规定严格执行。若涉及费用增加的，按最新规定及合同相关约定执行。</w:t>
      </w:r>
    </w:p>
    <w:p w14:paraId="36349C4A">
      <w:pPr>
        <w:spacing w:line="400" w:lineRule="exact"/>
        <w:ind w:firstLine="482" w:firstLineChars="200"/>
        <w:rPr>
          <w:rFonts w:ascii="仿宋" w:hAnsi="仿宋" w:eastAsia="仿宋" w:cs="仿宋"/>
          <w:b/>
          <w:bCs/>
          <w:lang w:eastAsia="zh-CN"/>
        </w:rPr>
      </w:pPr>
    </w:p>
    <w:p w14:paraId="4B8B9B7C">
      <w:pPr>
        <w:spacing w:line="400" w:lineRule="exact"/>
        <w:ind w:firstLine="482" w:firstLineChars="200"/>
        <w:outlineLvl w:val="1"/>
        <w:rPr>
          <w:rFonts w:ascii="仿宋" w:hAnsi="仿宋" w:eastAsia="仿宋" w:cs="仿宋"/>
          <w:b/>
          <w:bCs/>
          <w:lang w:eastAsia="zh-CN"/>
        </w:rPr>
      </w:pPr>
      <w:bookmarkStart w:id="38" w:name="_Toc3217"/>
      <w:bookmarkStart w:id="39" w:name="_Toc20112"/>
      <w:bookmarkStart w:id="40" w:name="_Toc194073096"/>
      <w:bookmarkStart w:id="41" w:name="_Toc9946"/>
      <w:bookmarkStart w:id="42" w:name="_Toc20984"/>
      <w:r>
        <w:rPr>
          <w:rFonts w:hint="eastAsia" w:ascii="仿宋" w:hAnsi="仿宋" w:eastAsia="仿宋" w:cs="仿宋"/>
          <w:b/>
          <w:bCs/>
          <w:lang w:eastAsia="zh-CN"/>
        </w:rPr>
        <w:t>七、合同工期</w:t>
      </w:r>
      <w:bookmarkEnd w:id="38"/>
      <w:bookmarkEnd w:id="39"/>
      <w:bookmarkEnd w:id="40"/>
      <w:bookmarkEnd w:id="41"/>
      <w:bookmarkEnd w:id="42"/>
    </w:p>
    <w:p w14:paraId="0694EBD7">
      <w:pPr>
        <w:spacing w:line="400" w:lineRule="exact"/>
        <w:ind w:firstLine="480" w:firstLineChars="200"/>
        <w:rPr>
          <w:rFonts w:ascii="仿宋" w:hAnsi="仿宋" w:eastAsia="仿宋" w:cs="仿宋"/>
          <w:lang w:eastAsia="zh-CN"/>
        </w:rPr>
      </w:pPr>
      <w:bookmarkStart w:id="43" w:name="OLE_LINK11"/>
      <w:r>
        <w:rPr>
          <w:rFonts w:hint="eastAsia" w:ascii="仿宋" w:hAnsi="仿宋" w:eastAsia="仿宋" w:cs="仿宋"/>
          <w:lang w:eastAsia="zh-CN"/>
        </w:rPr>
        <w:t>合同工期总天数：1095天。（注：最终按中标工期填写）</w:t>
      </w:r>
    </w:p>
    <w:bookmarkEnd w:id="43"/>
    <w:p w14:paraId="3377CC4D">
      <w:pPr>
        <w:spacing w:line="400" w:lineRule="exact"/>
        <w:ind w:firstLine="480" w:firstLineChars="200"/>
        <w:rPr>
          <w:rFonts w:ascii="宋体" w:hAnsi="宋体"/>
          <w:strike/>
          <w:u w:val="single"/>
          <w:lang w:eastAsia="zh-CN"/>
        </w:rPr>
      </w:pPr>
      <w:r>
        <w:rPr>
          <w:rFonts w:hint="eastAsia" w:ascii="仿宋" w:hAnsi="仿宋" w:eastAsia="仿宋" w:cs="仿宋"/>
          <w:lang w:eastAsia="zh-CN"/>
        </w:rPr>
        <w:t>□勘察开始工作日期</w:t>
      </w:r>
      <w:r>
        <w:rPr>
          <w:rFonts w:ascii="仿宋" w:hAnsi="仿宋" w:eastAsia="仿宋" w:cs="仿宋"/>
          <w:lang w:eastAsia="zh-CN"/>
        </w:rPr>
        <w:t>：</w:t>
      </w:r>
      <w:r>
        <w:rPr>
          <w:rFonts w:hint="eastAsia" w:ascii="仿宋" w:hAnsi="仿宋" w:eastAsia="仿宋" w:cs="仿宋"/>
          <w:lang w:eastAsia="zh-CN"/>
        </w:rPr>
        <w:t xml:space="preserve"> </w:t>
      </w:r>
      <w:r>
        <w:rPr>
          <w:rFonts w:hint="eastAsia" w:ascii="仿宋" w:hAnsi="仿宋" w:eastAsia="仿宋" w:cs="仿宋"/>
          <w:u w:val="single"/>
          <w:lang w:eastAsia="zh-CN"/>
        </w:rPr>
        <w:t xml:space="preserve">  /  </w:t>
      </w:r>
      <w:r>
        <w:rPr>
          <w:rFonts w:hint="eastAsia" w:ascii="仿宋" w:hAnsi="仿宋" w:eastAsia="仿宋" w:cs="仿宋"/>
          <w:lang w:eastAsia="zh-CN"/>
        </w:rPr>
        <w:t xml:space="preserve"> ；</w:t>
      </w:r>
    </w:p>
    <w:p w14:paraId="58357D84">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设计开始工作日期：</w:t>
      </w:r>
      <w:r>
        <w:rPr>
          <w:rFonts w:hint="eastAsia" w:ascii="仿宋" w:hAnsi="仿宋" w:eastAsia="仿宋"/>
          <w:szCs w:val="21"/>
          <w:u w:val="single"/>
          <w:lang w:eastAsia="zh-CN"/>
        </w:rPr>
        <w:t>合同签订之日</w:t>
      </w:r>
      <w:r>
        <w:rPr>
          <w:rFonts w:hint="eastAsia" w:ascii="仿宋" w:hAnsi="仿宋" w:eastAsia="仿宋" w:cs="仿宋"/>
          <w:lang w:eastAsia="zh-CN"/>
        </w:rPr>
        <w:t>；</w:t>
      </w:r>
    </w:p>
    <w:p w14:paraId="7D84FDF1">
      <w:pPr>
        <w:spacing w:line="400" w:lineRule="exact"/>
        <w:ind w:firstLine="480" w:firstLineChars="200"/>
        <w:rPr>
          <w:rFonts w:ascii="仿宋" w:hAnsi="仿宋" w:eastAsia="仿宋"/>
          <w:szCs w:val="21"/>
          <w:u w:val="single"/>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施工开工日期</w:t>
      </w:r>
      <w:r>
        <w:rPr>
          <w:rFonts w:ascii="仿宋" w:hAnsi="仿宋" w:eastAsia="仿宋" w:cs="仿宋"/>
          <w:lang w:eastAsia="zh-CN"/>
        </w:rPr>
        <w:t>(</w:t>
      </w:r>
      <w:r>
        <w:rPr>
          <w:rFonts w:hint="eastAsia" w:ascii="仿宋" w:hAnsi="仿宋" w:eastAsia="仿宋" w:cs="仿宋"/>
          <w:lang w:eastAsia="zh-CN"/>
        </w:rPr>
        <w:t>绝对日期或相对日期</w:t>
      </w:r>
      <w:r>
        <w:rPr>
          <w:rFonts w:ascii="仿宋" w:hAnsi="仿宋" w:eastAsia="仿宋" w:cs="仿宋"/>
          <w:lang w:eastAsia="zh-CN"/>
        </w:rPr>
        <w:t>)</w:t>
      </w:r>
      <w:r>
        <w:rPr>
          <w:rFonts w:hint="eastAsia" w:ascii="仿宋" w:hAnsi="仿宋" w:eastAsia="仿宋" w:cs="仿宋"/>
          <w:lang w:eastAsia="zh-CN"/>
        </w:rPr>
        <w:t>：</w:t>
      </w:r>
      <w:r>
        <w:rPr>
          <w:rFonts w:hint="eastAsia" w:ascii="仿宋" w:hAnsi="仿宋" w:eastAsia="仿宋" w:cs="仿宋"/>
          <w:u w:val="single"/>
          <w:lang w:eastAsia="zh-CN"/>
        </w:rPr>
        <w:t>以监理开工令为准</w:t>
      </w:r>
      <w:r>
        <w:rPr>
          <w:rFonts w:hint="eastAsia" w:ascii="宋体" w:hAnsi="宋体"/>
          <w:u w:val="single"/>
          <w:lang w:eastAsia="zh-CN"/>
        </w:rPr>
        <w:t>；</w:t>
      </w:r>
      <w:r>
        <w:rPr>
          <w:rFonts w:hint="eastAsia" w:ascii="仿宋" w:hAnsi="仿宋" w:eastAsia="仿宋" w:cs="仿宋"/>
          <w:u w:val="single"/>
          <w:lang w:eastAsia="zh-CN"/>
        </w:rPr>
        <w:t>竣工日期：以通过工程竣工联合验收的日期为准</w:t>
      </w:r>
      <w:r>
        <w:rPr>
          <w:rFonts w:hint="eastAsia" w:ascii="仿宋" w:hAnsi="仿宋" w:eastAsia="仿宋"/>
          <w:szCs w:val="21"/>
          <w:u w:val="single"/>
          <w:lang w:eastAsia="zh-CN"/>
        </w:rPr>
        <w:t>。</w:t>
      </w:r>
    </w:p>
    <w:p w14:paraId="3E23D529">
      <w:pPr>
        <w:spacing w:line="400" w:lineRule="exact"/>
        <w:ind w:firstLine="480" w:firstLineChars="200"/>
        <w:rPr>
          <w:rFonts w:ascii="宋体" w:hAnsi="宋体"/>
          <w:lang w:eastAsia="zh-CN"/>
        </w:rPr>
      </w:pPr>
      <w:r>
        <w:rPr>
          <w:rFonts w:hint="eastAsia" w:ascii="仿宋" w:hAnsi="仿宋" w:eastAsia="仿宋" w:cs="仿宋"/>
          <w:lang w:eastAsia="zh-CN"/>
        </w:rPr>
        <w:t>□其他工作开始工作日期</w:t>
      </w:r>
      <w:r>
        <w:rPr>
          <w:rFonts w:ascii="仿宋" w:hAnsi="仿宋" w:eastAsia="仿宋" w:cs="仿宋"/>
          <w:lang w:eastAsia="zh-CN"/>
        </w:rPr>
        <w:t>(</w:t>
      </w:r>
      <w:r>
        <w:rPr>
          <w:rFonts w:hint="eastAsia" w:ascii="仿宋" w:hAnsi="仿宋" w:eastAsia="仿宋" w:cs="仿宋"/>
          <w:lang w:eastAsia="zh-CN"/>
        </w:rPr>
        <w:t>如果有，绝对日期或相对日期</w:t>
      </w:r>
      <w:r>
        <w:rPr>
          <w:rFonts w:ascii="仿宋" w:hAnsi="仿宋" w:eastAsia="仿宋" w:cs="仿宋"/>
          <w:lang w:eastAsia="zh-CN"/>
        </w:rPr>
        <w:t>)</w:t>
      </w:r>
      <w:r>
        <w:rPr>
          <w:rFonts w:hint="eastAsia" w:ascii="仿宋" w:hAnsi="仿宋" w:eastAsia="仿宋" w:cs="仿宋"/>
          <w:lang w:eastAsia="zh-CN"/>
        </w:rPr>
        <w:t>：</w:t>
      </w:r>
      <w:r>
        <w:rPr>
          <w:rFonts w:ascii="宋体" w:hAnsi="宋体"/>
          <w:u w:val="single"/>
          <w:lang w:eastAsia="zh-CN"/>
        </w:rPr>
        <w:t xml:space="preserve">      </w:t>
      </w:r>
      <w:r>
        <w:rPr>
          <w:rFonts w:hint="eastAsia" w:ascii="仿宋" w:hAnsi="仿宋" w:eastAsia="仿宋" w:cs="仿宋"/>
          <w:u w:val="single"/>
          <w:lang w:eastAsia="zh-CN"/>
        </w:rPr>
        <w:t>/</w:t>
      </w:r>
      <w:r>
        <w:rPr>
          <w:rFonts w:ascii="宋体" w:hAnsi="宋体"/>
          <w:u w:val="single"/>
          <w:lang w:eastAsia="zh-CN"/>
        </w:rPr>
        <w:t xml:space="preserve">      </w:t>
      </w:r>
      <w:r>
        <w:rPr>
          <w:rFonts w:hint="eastAsia" w:ascii="宋体" w:hAnsi="宋体"/>
          <w:lang w:eastAsia="zh-CN"/>
        </w:rPr>
        <w:t>；</w:t>
      </w:r>
      <w:r>
        <w:rPr>
          <w:rFonts w:hint="eastAsia" w:ascii="仿宋" w:hAnsi="仿宋" w:eastAsia="仿宋" w:cs="仿宋"/>
          <w:lang w:eastAsia="zh-CN"/>
        </w:rPr>
        <w:t>完成工作日期</w:t>
      </w:r>
      <w:r>
        <w:rPr>
          <w:rFonts w:ascii="仿宋" w:hAnsi="仿宋" w:eastAsia="仿宋" w:cs="仿宋"/>
          <w:lang w:eastAsia="zh-CN"/>
        </w:rPr>
        <w:t>(</w:t>
      </w:r>
      <w:r>
        <w:rPr>
          <w:rFonts w:hint="eastAsia" w:ascii="仿宋" w:hAnsi="仿宋" w:eastAsia="仿宋" w:cs="仿宋"/>
          <w:lang w:eastAsia="zh-CN"/>
        </w:rPr>
        <w:t>绝对日期或相对日期</w:t>
      </w:r>
      <w:r>
        <w:rPr>
          <w:rFonts w:ascii="仿宋" w:hAnsi="仿宋" w:eastAsia="仿宋" w:cs="仿宋"/>
          <w:lang w:eastAsia="zh-CN"/>
        </w:rPr>
        <w:t>)：</w:t>
      </w:r>
      <w:r>
        <w:rPr>
          <w:rFonts w:ascii="宋体" w:hAnsi="宋体"/>
          <w:u w:val="single"/>
          <w:lang w:eastAsia="zh-CN"/>
        </w:rPr>
        <w:t xml:space="preserve">         </w:t>
      </w:r>
      <w:r>
        <w:rPr>
          <w:rFonts w:hint="eastAsia" w:ascii="仿宋" w:hAnsi="仿宋" w:eastAsia="仿宋" w:cs="仿宋"/>
          <w:u w:val="single"/>
          <w:lang w:eastAsia="zh-CN"/>
        </w:rPr>
        <w:t>/</w:t>
      </w:r>
      <w:r>
        <w:rPr>
          <w:rFonts w:hint="eastAsia" w:ascii="宋体" w:hAnsi="宋体"/>
          <w:u w:val="single"/>
          <w:lang w:eastAsia="zh-CN"/>
        </w:rPr>
        <w:t xml:space="preserve">  </w:t>
      </w:r>
      <w:r>
        <w:rPr>
          <w:rFonts w:ascii="宋体" w:hAnsi="宋体"/>
          <w:u w:val="single"/>
          <w:lang w:eastAsia="zh-CN"/>
        </w:rPr>
        <w:t xml:space="preserve">       </w:t>
      </w:r>
      <w:r>
        <w:rPr>
          <w:rFonts w:hint="eastAsia" w:ascii="仿宋" w:hAnsi="仿宋" w:eastAsia="仿宋" w:cs="仿宋"/>
          <w:lang w:eastAsia="zh-CN"/>
        </w:rPr>
        <w:t>。</w:t>
      </w:r>
    </w:p>
    <w:p w14:paraId="72C53B2E">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t>除合同约定调整的情形外，本合同工期不予调整。</w:t>
      </w:r>
    </w:p>
    <w:p w14:paraId="2363E8A4">
      <w:pPr>
        <w:spacing w:line="400" w:lineRule="exact"/>
        <w:ind w:firstLine="480" w:firstLineChars="200"/>
        <w:rPr>
          <w:rFonts w:ascii="仿宋" w:hAnsi="仿宋" w:eastAsia="仿宋"/>
          <w:szCs w:val="21"/>
          <w:u w:val="single"/>
          <w:lang w:eastAsia="zh-CN"/>
        </w:rPr>
      </w:pPr>
      <w:r>
        <w:rPr>
          <w:rFonts w:hint="eastAsia" w:ascii="仿宋" w:hAnsi="仿宋" w:eastAsia="仿宋"/>
          <w:szCs w:val="21"/>
          <w:u w:val="single"/>
          <w:lang w:eastAsia="zh-CN"/>
        </w:rPr>
        <w:t>承包人应无条件协助发包人办理施工许可证。具体开工时间以</w:t>
      </w:r>
      <w:r>
        <w:rPr>
          <w:rFonts w:hint="eastAsia" w:ascii="仿宋" w:hAnsi="仿宋" w:eastAsia="仿宋" w:cs="仿宋"/>
          <w:u w:val="single"/>
          <w:lang w:eastAsia="zh-CN"/>
        </w:rPr>
        <w:t>监理开工令</w:t>
      </w:r>
      <w:r>
        <w:rPr>
          <w:rFonts w:hint="eastAsia" w:ascii="仿宋" w:hAnsi="仿宋" w:eastAsia="仿宋"/>
          <w:szCs w:val="21"/>
          <w:u w:val="single"/>
          <w:lang w:eastAsia="zh-CN"/>
        </w:rPr>
        <w:t>为准，因发包人原因导致开工时间存在不确定因素或未能如期开工的，承包人同意不追究发包人相关责任。开工时间不包括承包人准备及搭设临时设施时间，由承包人自行考虑在开工之前准备时间。承包人在收到</w:t>
      </w:r>
      <w:r>
        <w:rPr>
          <w:rFonts w:hint="eastAsia" w:ascii="仿宋" w:hAnsi="仿宋" w:eastAsia="仿宋" w:cs="仿宋"/>
          <w:u w:val="single"/>
          <w:lang w:eastAsia="zh-CN"/>
        </w:rPr>
        <w:t>监理开工令</w:t>
      </w:r>
      <w:r>
        <w:rPr>
          <w:rFonts w:hint="eastAsia" w:ascii="仿宋" w:hAnsi="仿宋" w:eastAsia="仿宋"/>
          <w:szCs w:val="21"/>
          <w:u w:val="single"/>
          <w:lang w:eastAsia="zh-CN"/>
        </w:rPr>
        <w:t>后应无条件按时开工。双方在确定竣工日期及各项控制工期时已充分考虑如下因素：</w:t>
      </w:r>
    </w:p>
    <w:p w14:paraId="553F04DD">
      <w:pPr>
        <w:spacing w:line="400" w:lineRule="exact"/>
        <w:ind w:firstLine="480" w:firstLineChars="200"/>
        <w:rPr>
          <w:rFonts w:ascii="仿宋" w:hAnsi="仿宋" w:eastAsia="仿宋"/>
          <w:szCs w:val="21"/>
          <w:u w:val="single"/>
          <w:lang w:eastAsia="zh-CN"/>
        </w:rPr>
      </w:pPr>
      <w:r>
        <w:rPr>
          <w:rFonts w:hint="eastAsia" w:ascii="仿宋" w:hAnsi="仿宋" w:eastAsia="仿宋"/>
          <w:szCs w:val="21"/>
          <w:u w:val="single"/>
          <w:lang w:eastAsia="zh-CN"/>
        </w:rPr>
        <w:t>1）可能出现的各种规模的下雨、台风、高温天气、停电、停水、节假日、工地及周边环境等影响因素（不可抗力的情形除外）；</w:t>
      </w:r>
    </w:p>
    <w:p w14:paraId="2E656DD9">
      <w:pPr>
        <w:spacing w:line="400" w:lineRule="exact"/>
        <w:ind w:firstLine="480" w:firstLineChars="200"/>
        <w:rPr>
          <w:rFonts w:ascii="仿宋" w:hAnsi="仿宋" w:eastAsia="仿宋"/>
          <w:szCs w:val="21"/>
          <w:u w:val="single"/>
          <w:lang w:eastAsia="zh-CN"/>
        </w:rPr>
      </w:pPr>
      <w:r>
        <w:rPr>
          <w:rFonts w:hint="eastAsia" w:ascii="仿宋" w:hAnsi="仿宋" w:eastAsia="仿宋"/>
          <w:szCs w:val="21"/>
          <w:u w:val="single"/>
          <w:lang w:eastAsia="zh-CN"/>
        </w:rPr>
        <w:t>2）可能出现的各种政府组织考试不得有噪音等影响如高考、中考等。</w:t>
      </w:r>
    </w:p>
    <w:p w14:paraId="373B4815">
      <w:pPr>
        <w:adjustRightInd w:val="0"/>
        <w:snapToGrid w:val="0"/>
        <w:spacing w:line="400" w:lineRule="exact"/>
        <w:ind w:firstLine="480" w:firstLineChars="200"/>
        <w:rPr>
          <w:rFonts w:ascii="仿宋" w:hAnsi="仿宋" w:eastAsia="仿宋"/>
          <w:szCs w:val="21"/>
          <w:u w:val="single"/>
          <w:lang w:eastAsia="zh-CN"/>
        </w:rPr>
      </w:pPr>
      <w:r>
        <w:rPr>
          <w:rFonts w:hint="eastAsia" w:ascii="仿宋" w:hAnsi="仿宋" w:eastAsia="仿宋"/>
          <w:szCs w:val="21"/>
          <w:u w:val="single"/>
          <w:lang w:eastAsia="zh-CN"/>
        </w:rPr>
        <w:t>除发生合同约定的不可抗力或发包人认可的可以顺延工期的事件以外，不得延误。如不能按上述时间完成任务，发包人有权要求承包人采取相应的赶工措施或自行采取赶工措施，由此发生的费用由承包人负责</w:t>
      </w:r>
      <w:r>
        <w:rPr>
          <w:rFonts w:ascii="仿宋" w:hAnsi="仿宋" w:eastAsia="仿宋"/>
          <w:szCs w:val="21"/>
          <w:u w:val="single"/>
          <w:lang w:eastAsia="zh-CN"/>
        </w:rPr>
        <w:t>,</w:t>
      </w:r>
      <w:r>
        <w:rPr>
          <w:rFonts w:hint="eastAsia" w:ascii="仿宋" w:hAnsi="仿宋" w:eastAsia="仿宋"/>
          <w:szCs w:val="21"/>
          <w:u w:val="single"/>
          <w:lang w:eastAsia="zh-CN"/>
        </w:rPr>
        <w:t>如承包人采取措施仍不满足工期要求的，发包人有权委托第三方实施并直接在承包人工程款中扣除相应费用，承包人必须无条件服从。</w:t>
      </w:r>
    </w:p>
    <w:p w14:paraId="07695000">
      <w:pPr>
        <w:adjustRightInd w:val="0"/>
        <w:snapToGrid w:val="0"/>
        <w:spacing w:line="400" w:lineRule="exact"/>
        <w:ind w:firstLine="480" w:firstLineChars="200"/>
        <w:rPr>
          <w:rFonts w:ascii="仿宋" w:hAnsi="仿宋" w:eastAsia="仿宋"/>
          <w:szCs w:val="21"/>
          <w:u w:val="single"/>
          <w:lang w:eastAsia="zh-CN"/>
        </w:rPr>
      </w:pPr>
      <w:r>
        <w:rPr>
          <w:rFonts w:hint="eastAsia" w:ascii="仿宋" w:hAnsi="仿宋" w:eastAsia="仿宋"/>
          <w:szCs w:val="21"/>
          <w:u w:val="single"/>
          <w:lang w:eastAsia="zh-CN"/>
        </w:rPr>
        <w:t>发包人如有平行发包的其他各专业分包工程，承包人不能以专业分包的进度和协调问题为由，影响本合同的工期及节点工期，除承包人已尽总承包管理职责的除外。</w:t>
      </w:r>
    </w:p>
    <w:p w14:paraId="004361F0">
      <w:pPr>
        <w:adjustRightInd w:val="0"/>
        <w:snapToGrid w:val="0"/>
        <w:spacing w:line="400" w:lineRule="exact"/>
        <w:ind w:firstLine="480"/>
        <w:rPr>
          <w:rFonts w:ascii="仿宋" w:hAnsi="仿宋" w:eastAsia="仿宋"/>
          <w:szCs w:val="21"/>
          <w:u w:val="single"/>
          <w:lang w:eastAsia="zh-CN"/>
        </w:rPr>
      </w:pPr>
      <w:r>
        <w:rPr>
          <w:rFonts w:hint="eastAsia" w:ascii="仿宋" w:hAnsi="仿宋" w:eastAsia="仿宋"/>
          <w:szCs w:val="21"/>
          <w:u w:val="single"/>
          <w:lang w:eastAsia="zh-CN"/>
        </w:rPr>
        <w:t>发包人有权按照项目的征拆计划、实际进度和计划分批移交工作面，承包人已充分</w:t>
      </w:r>
    </w:p>
    <w:p w14:paraId="35C6D0ED">
      <w:pPr>
        <w:adjustRightInd w:val="0"/>
        <w:snapToGrid w:val="0"/>
        <w:spacing w:line="400" w:lineRule="exact"/>
        <w:rPr>
          <w:rFonts w:ascii="仿宋" w:hAnsi="仿宋" w:eastAsia="仿宋" w:cs="仿宋"/>
          <w:b/>
          <w:bCs/>
          <w:lang w:eastAsia="zh-CN"/>
        </w:rPr>
      </w:pPr>
      <w:r>
        <w:rPr>
          <w:rFonts w:hint="eastAsia" w:ascii="仿宋" w:hAnsi="仿宋" w:eastAsia="仿宋"/>
          <w:szCs w:val="21"/>
          <w:u w:val="single"/>
          <w:lang w:eastAsia="zh-CN"/>
        </w:rPr>
        <w:t>考虑并承诺承担因场地不能一次性移交但仍须配合现场实施要求而产生的相关费用。</w:t>
      </w:r>
    </w:p>
    <w:p w14:paraId="3907E0D2">
      <w:pPr>
        <w:spacing w:line="400" w:lineRule="exact"/>
        <w:ind w:firstLine="482" w:firstLineChars="200"/>
        <w:outlineLvl w:val="1"/>
        <w:rPr>
          <w:rFonts w:ascii="仿宋" w:hAnsi="仿宋" w:eastAsia="仿宋" w:cs="仿宋"/>
          <w:b/>
          <w:bCs/>
          <w:lang w:eastAsia="zh-CN"/>
        </w:rPr>
      </w:pPr>
      <w:bookmarkStart w:id="44" w:name="_Toc194073097"/>
      <w:bookmarkStart w:id="45" w:name="_Toc21754"/>
      <w:bookmarkStart w:id="46" w:name="_Toc2371"/>
      <w:r>
        <w:rPr>
          <w:rFonts w:hint="eastAsia" w:ascii="仿宋" w:hAnsi="仿宋" w:eastAsia="仿宋" w:cs="仿宋"/>
          <w:b/>
          <w:bCs/>
          <w:lang w:eastAsia="zh-CN"/>
        </w:rPr>
        <w:t>八、签约合同价与合同价格形式</w:t>
      </w:r>
      <w:bookmarkEnd w:id="44"/>
      <w:bookmarkEnd w:id="45"/>
      <w:bookmarkEnd w:id="46"/>
    </w:p>
    <w:p w14:paraId="2814A30D">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t>签约合同价（含税）：人民币（大写）</w:t>
      </w:r>
      <w:r>
        <w:rPr>
          <w:rFonts w:hint="eastAsia" w:ascii="仿宋" w:hAnsi="仿宋" w:eastAsia="仿宋" w:cs="仿宋"/>
          <w:u w:val="single"/>
          <w:lang w:eastAsia="zh-CN"/>
        </w:rPr>
        <w:t xml:space="preserve">             </w:t>
      </w:r>
      <w:r>
        <w:rPr>
          <w:rFonts w:hint="eastAsia" w:ascii="仿宋" w:hAnsi="仿宋" w:eastAsia="仿宋" w:cs="仿宋"/>
          <w:lang w:eastAsia="zh-CN"/>
        </w:rPr>
        <w:t>（</w:t>
      </w:r>
      <w:r>
        <w:rPr>
          <w:rFonts w:hint="eastAsia" w:ascii="宋体" w:hAnsi="宋体" w:cs="宋体"/>
          <w:lang w:eastAsia="zh-CN"/>
        </w:rPr>
        <w:t>¥</w:t>
      </w:r>
      <w:r>
        <w:rPr>
          <w:rFonts w:hint="eastAsia" w:ascii="仿宋" w:hAnsi="仿宋" w:eastAsia="仿宋" w:cs="仿宋"/>
          <w:u w:val="single"/>
          <w:lang w:eastAsia="zh-CN"/>
        </w:rPr>
        <w:t xml:space="preserve">             </w:t>
      </w:r>
      <w:r>
        <w:rPr>
          <w:rFonts w:hint="eastAsia" w:ascii="仿宋" w:hAnsi="仿宋" w:eastAsia="仿宋" w:cs="仿宋"/>
          <w:lang w:eastAsia="zh-CN"/>
        </w:rPr>
        <w:t>元）。</w:t>
      </w:r>
    </w:p>
    <w:p w14:paraId="4BCCA7D3">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t>其中：不含税金额：</w:t>
      </w:r>
      <w:r>
        <w:rPr>
          <w:rFonts w:hint="eastAsia" w:ascii="仿宋" w:hAnsi="仿宋" w:eastAsia="仿宋" w:cs="仿宋"/>
          <w:u w:val="single"/>
          <w:lang w:eastAsia="zh-CN"/>
        </w:rPr>
        <w:t xml:space="preserve"> </w:t>
      </w:r>
      <w:r>
        <w:rPr>
          <w:rFonts w:ascii="仿宋" w:hAnsi="仿宋" w:eastAsia="仿宋" w:cs="仿宋"/>
          <w:u w:val="single"/>
          <w:lang w:eastAsia="zh-CN"/>
        </w:rPr>
        <w:t xml:space="preserve">     </w:t>
      </w:r>
      <w:r>
        <w:rPr>
          <w:rFonts w:hint="eastAsia" w:ascii="仿宋" w:hAnsi="仿宋" w:eastAsia="仿宋" w:cs="仿宋"/>
          <w:lang w:eastAsia="zh-CN"/>
        </w:rPr>
        <w:t>元，增值税金额：</w:t>
      </w:r>
      <w:r>
        <w:rPr>
          <w:rFonts w:ascii="仿宋" w:hAnsi="仿宋" w:eastAsia="仿宋" w:cs="仿宋"/>
          <w:u w:val="single"/>
          <w:lang w:eastAsia="zh-CN"/>
        </w:rPr>
        <w:t xml:space="preserve">         </w:t>
      </w:r>
      <w:r>
        <w:rPr>
          <w:rFonts w:hint="eastAsia" w:ascii="仿宋" w:hAnsi="仿宋" w:eastAsia="仿宋" w:cs="仿宋"/>
          <w:lang w:eastAsia="zh-CN"/>
        </w:rPr>
        <w:t>元。</w:t>
      </w:r>
    </w:p>
    <w:p w14:paraId="46531FE3">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t xml:space="preserve">□工程勘察费（含测量、测绘）（含税）： </w:t>
      </w:r>
      <w:r>
        <w:rPr>
          <w:rFonts w:hint="eastAsia" w:ascii="仿宋" w:hAnsi="仿宋" w:eastAsia="仿宋" w:cs="仿宋"/>
          <w:u w:val="single"/>
          <w:lang w:eastAsia="zh-CN"/>
        </w:rPr>
        <w:t xml:space="preserve">  /  </w:t>
      </w:r>
      <w:r>
        <w:rPr>
          <w:rFonts w:hint="eastAsia" w:ascii="仿宋" w:hAnsi="仿宋" w:eastAsia="仿宋" w:cs="仿宋"/>
          <w:lang w:eastAsia="zh-CN"/>
        </w:rPr>
        <w:t xml:space="preserve"> </w:t>
      </w:r>
    </w:p>
    <w:p w14:paraId="1147DF87">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工程设计费（含税）：</w:t>
      </w:r>
    </w:p>
    <w:p w14:paraId="6DC7F2F3">
      <w:pPr>
        <w:spacing w:line="400" w:lineRule="exact"/>
        <w:ind w:firstLine="480" w:firstLineChars="200"/>
        <w:rPr>
          <w:rFonts w:ascii="仿宋" w:hAnsi="仿宋" w:eastAsia="仿宋"/>
          <w:szCs w:val="21"/>
          <w:u w:val="single"/>
          <w:lang w:eastAsia="zh-CN"/>
        </w:rPr>
      </w:pPr>
      <w:r>
        <w:rPr>
          <w:rFonts w:hint="eastAsia" w:ascii="仿宋" w:hAnsi="仿宋" w:eastAsia="仿宋" w:cs="仿宋"/>
          <w:lang w:eastAsia="zh-CN"/>
        </w:rPr>
        <w:t>人民币（大写）</w:t>
      </w:r>
      <w:r>
        <w:rPr>
          <w:rFonts w:hint="eastAsia" w:ascii="仿宋" w:hAnsi="仿宋" w:eastAsia="仿宋" w:cs="仿宋"/>
          <w:u w:val="single"/>
          <w:lang w:eastAsia="zh-CN"/>
        </w:rPr>
        <w:t xml:space="preserve">                                 </w:t>
      </w:r>
      <w:r>
        <w:rPr>
          <w:rFonts w:hint="eastAsia" w:ascii="仿宋" w:hAnsi="仿宋" w:eastAsia="仿宋" w:cs="仿宋"/>
          <w:lang w:eastAsia="zh-CN"/>
        </w:rPr>
        <w:t>（</w:t>
      </w:r>
      <w:r>
        <w:rPr>
          <w:rFonts w:hint="eastAsia" w:ascii="宋体" w:hAnsi="宋体" w:cs="宋体"/>
          <w:lang w:eastAsia="zh-CN"/>
        </w:rPr>
        <w:t>¥</w:t>
      </w:r>
      <w:r>
        <w:rPr>
          <w:rFonts w:hint="eastAsia" w:ascii="仿宋" w:hAnsi="仿宋" w:eastAsia="仿宋" w:cs="仿宋"/>
          <w:u w:val="single"/>
          <w:lang w:eastAsia="zh-CN"/>
        </w:rPr>
        <w:t xml:space="preserve">            </w:t>
      </w:r>
      <w:r>
        <w:rPr>
          <w:rFonts w:hint="eastAsia" w:ascii="仿宋" w:hAnsi="仿宋" w:eastAsia="仿宋" w:cs="仿宋"/>
          <w:lang w:eastAsia="zh-CN"/>
        </w:rPr>
        <w:t>元），不含税金额：</w:t>
      </w:r>
      <w:r>
        <w:rPr>
          <w:rFonts w:hint="eastAsia" w:ascii="仿宋" w:hAnsi="仿宋" w:eastAsia="仿宋" w:cs="仿宋"/>
          <w:u w:val="single"/>
          <w:lang w:eastAsia="zh-CN"/>
        </w:rPr>
        <w:t xml:space="preserve">      </w:t>
      </w:r>
      <w:r>
        <w:rPr>
          <w:rFonts w:hint="eastAsia" w:ascii="仿宋" w:hAnsi="仿宋" w:eastAsia="仿宋" w:cs="仿宋"/>
          <w:lang w:eastAsia="zh-CN"/>
        </w:rPr>
        <w:t>元，增值税金额：</w:t>
      </w:r>
      <w:r>
        <w:rPr>
          <w:rFonts w:hint="eastAsia" w:ascii="仿宋" w:hAnsi="仿宋" w:eastAsia="仿宋" w:cs="仿宋"/>
          <w:u w:val="single"/>
          <w:lang w:eastAsia="zh-CN"/>
        </w:rPr>
        <w:t xml:space="preserve">         </w:t>
      </w:r>
      <w:r>
        <w:rPr>
          <w:rFonts w:hint="eastAsia" w:ascii="仿宋" w:hAnsi="仿宋" w:eastAsia="仿宋" w:cs="仿宋"/>
          <w:lang w:eastAsia="zh-CN"/>
        </w:rPr>
        <w:t>元，税率</w:t>
      </w:r>
      <w:r>
        <w:rPr>
          <w:rFonts w:hint="eastAsia" w:ascii="仿宋" w:hAnsi="仿宋" w:eastAsia="仿宋" w:cs="仿宋"/>
          <w:u w:val="single"/>
          <w:lang w:eastAsia="zh-CN"/>
        </w:rPr>
        <w:t xml:space="preserve">   </w:t>
      </w:r>
      <w:r>
        <w:rPr>
          <w:rFonts w:hint="eastAsia" w:ascii="仿宋" w:hAnsi="仿宋" w:eastAsia="仿宋" w:cs="仿宋"/>
          <w:lang w:eastAsia="zh-CN"/>
        </w:rPr>
        <w:t>%，设计费总价包干。</w:t>
      </w:r>
      <w:r>
        <w:rPr>
          <w:rFonts w:hint="eastAsia" w:ascii="仿宋" w:hAnsi="仿宋" w:eastAsia="仿宋"/>
          <w:szCs w:val="21"/>
          <w:u w:val="single"/>
          <w:lang w:eastAsia="zh-CN"/>
        </w:rPr>
        <w:t>设计费包含按本协议约定的内容按时按质按量提交设计成果的费用、所有与设计有关的专家评审会议及报建成果所产生的费用。</w:t>
      </w:r>
    </w:p>
    <w:p w14:paraId="62031ABA">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t>☑BIM技术应用费(含设计阶段BIM及施工阶段BIM)（含税）：</w:t>
      </w:r>
    </w:p>
    <w:p w14:paraId="18DB9DE0">
      <w:pPr>
        <w:spacing w:line="400" w:lineRule="exact"/>
        <w:ind w:firstLine="480" w:firstLineChars="200"/>
        <w:rPr>
          <w:rFonts w:ascii="仿宋" w:hAnsi="仿宋" w:eastAsia="仿宋" w:cs="仿宋"/>
          <w:highlight w:val="yellow"/>
          <w:lang w:eastAsia="zh-CN"/>
        </w:rPr>
      </w:pPr>
      <w:r>
        <w:rPr>
          <w:rFonts w:hint="eastAsia" w:ascii="仿宋" w:hAnsi="仿宋" w:eastAsia="仿宋" w:cs="仿宋"/>
          <w:lang w:eastAsia="zh-CN"/>
        </w:rPr>
        <w:t>人民币（大写）</w:t>
      </w:r>
      <w:r>
        <w:rPr>
          <w:rFonts w:hint="eastAsia" w:ascii="仿宋" w:hAnsi="仿宋" w:eastAsia="仿宋" w:cs="仿宋"/>
          <w:u w:val="single"/>
          <w:lang w:eastAsia="zh-CN"/>
        </w:rPr>
        <w:t xml:space="preserve">              </w:t>
      </w:r>
      <w:r>
        <w:rPr>
          <w:rFonts w:hint="eastAsia" w:ascii="仿宋" w:hAnsi="仿宋" w:eastAsia="仿宋" w:cs="仿宋"/>
          <w:lang w:eastAsia="zh-CN"/>
        </w:rPr>
        <w:t>（¥</w:t>
      </w:r>
      <w:r>
        <w:rPr>
          <w:rFonts w:hint="eastAsia" w:ascii="仿宋" w:hAnsi="仿宋" w:eastAsia="仿宋" w:cs="仿宋"/>
          <w:u w:val="single"/>
          <w:lang w:eastAsia="zh-CN"/>
        </w:rPr>
        <w:t xml:space="preserve">            </w:t>
      </w:r>
      <w:r>
        <w:rPr>
          <w:rFonts w:hint="eastAsia" w:ascii="仿宋" w:hAnsi="仿宋" w:eastAsia="仿宋" w:cs="仿宋"/>
          <w:lang w:eastAsia="zh-CN"/>
        </w:rPr>
        <w:t>元），不含税金额：</w:t>
      </w:r>
      <w:r>
        <w:rPr>
          <w:rFonts w:hint="eastAsia" w:ascii="仿宋" w:hAnsi="仿宋" w:eastAsia="仿宋" w:cs="仿宋"/>
          <w:u w:val="single"/>
          <w:lang w:eastAsia="zh-CN"/>
        </w:rPr>
        <w:t xml:space="preserve">      </w:t>
      </w:r>
      <w:r>
        <w:rPr>
          <w:rFonts w:hint="eastAsia" w:ascii="仿宋" w:hAnsi="仿宋" w:eastAsia="仿宋" w:cs="仿宋"/>
          <w:lang w:eastAsia="zh-CN"/>
        </w:rPr>
        <w:t>元，增值税金额：</w:t>
      </w:r>
      <w:r>
        <w:rPr>
          <w:rFonts w:hint="eastAsia" w:ascii="仿宋" w:hAnsi="仿宋" w:eastAsia="仿宋" w:cs="仿宋"/>
          <w:u w:val="single"/>
          <w:lang w:eastAsia="zh-CN"/>
        </w:rPr>
        <w:t xml:space="preserve">         </w:t>
      </w:r>
      <w:r>
        <w:rPr>
          <w:rFonts w:hint="eastAsia" w:ascii="仿宋" w:hAnsi="仿宋" w:eastAsia="仿宋" w:cs="仿宋"/>
          <w:lang w:eastAsia="zh-CN"/>
        </w:rPr>
        <w:t>元，费用总价包干。其中：设计阶段BIM技术应用费人民币</w:t>
      </w:r>
      <w:r>
        <w:rPr>
          <w:rFonts w:hint="eastAsia" w:ascii="仿宋" w:hAnsi="仿宋" w:eastAsia="仿宋" w:cs="仿宋"/>
          <w:u w:val="single"/>
          <w:lang w:eastAsia="zh-CN"/>
        </w:rPr>
        <w:t xml:space="preserve">            </w:t>
      </w:r>
      <w:r>
        <w:rPr>
          <w:rFonts w:hint="eastAsia" w:ascii="仿宋" w:hAnsi="仿宋" w:eastAsia="仿宋" w:cs="仿宋"/>
          <w:lang w:eastAsia="zh-CN"/>
        </w:rPr>
        <w:t>元，不含税金额：</w:t>
      </w:r>
      <w:r>
        <w:rPr>
          <w:rFonts w:hint="eastAsia" w:ascii="仿宋" w:hAnsi="仿宋" w:eastAsia="仿宋" w:cs="仿宋"/>
          <w:u w:val="single"/>
          <w:lang w:eastAsia="zh-CN"/>
        </w:rPr>
        <w:t xml:space="preserve">      </w:t>
      </w:r>
      <w:r>
        <w:rPr>
          <w:rFonts w:hint="eastAsia" w:ascii="仿宋" w:hAnsi="仿宋" w:eastAsia="仿宋" w:cs="仿宋"/>
          <w:lang w:eastAsia="zh-CN"/>
        </w:rPr>
        <w:t>元，增值税金额：</w:t>
      </w:r>
      <w:r>
        <w:rPr>
          <w:rFonts w:hint="eastAsia" w:ascii="仿宋" w:hAnsi="仿宋" w:eastAsia="仿宋" w:cs="仿宋"/>
          <w:u w:val="single"/>
          <w:lang w:eastAsia="zh-CN"/>
        </w:rPr>
        <w:t xml:space="preserve">         </w:t>
      </w:r>
      <w:r>
        <w:rPr>
          <w:rFonts w:hint="eastAsia" w:ascii="仿宋" w:hAnsi="仿宋" w:eastAsia="仿宋" w:cs="仿宋"/>
          <w:lang w:eastAsia="zh-CN"/>
        </w:rPr>
        <w:t>元，税率</w:t>
      </w:r>
      <w:r>
        <w:rPr>
          <w:rFonts w:hint="eastAsia" w:ascii="仿宋" w:hAnsi="仿宋" w:eastAsia="仿宋" w:cs="仿宋"/>
          <w:u w:val="single"/>
          <w:lang w:eastAsia="zh-CN"/>
        </w:rPr>
        <w:t xml:space="preserve">   </w:t>
      </w:r>
      <w:r>
        <w:rPr>
          <w:rFonts w:hint="eastAsia" w:ascii="仿宋" w:hAnsi="仿宋" w:eastAsia="仿宋" w:cs="仿宋"/>
          <w:lang w:eastAsia="zh-CN"/>
        </w:rPr>
        <w:t>%；施工阶段BIM技术应用费</w:t>
      </w:r>
      <w:r>
        <w:rPr>
          <w:rFonts w:hint="eastAsia" w:ascii="仿宋" w:hAnsi="仿宋" w:eastAsia="仿宋" w:cs="仿宋"/>
          <w:u w:val="single"/>
          <w:lang w:eastAsia="zh-CN"/>
        </w:rPr>
        <w:t xml:space="preserve">            </w:t>
      </w:r>
      <w:r>
        <w:rPr>
          <w:rFonts w:hint="eastAsia" w:ascii="仿宋" w:hAnsi="仿宋" w:eastAsia="仿宋" w:cs="仿宋"/>
          <w:lang w:eastAsia="zh-CN"/>
        </w:rPr>
        <w:t>元，不含税金额：</w:t>
      </w:r>
      <w:r>
        <w:rPr>
          <w:rFonts w:hint="eastAsia" w:ascii="仿宋" w:hAnsi="仿宋" w:eastAsia="仿宋" w:cs="仿宋"/>
          <w:u w:val="single"/>
          <w:lang w:eastAsia="zh-CN"/>
        </w:rPr>
        <w:t xml:space="preserve">      </w:t>
      </w:r>
      <w:r>
        <w:rPr>
          <w:rFonts w:hint="eastAsia" w:ascii="仿宋" w:hAnsi="仿宋" w:eastAsia="仿宋" w:cs="仿宋"/>
          <w:lang w:eastAsia="zh-CN"/>
        </w:rPr>
        <w:t>元，增值税金额：</w:t>
      </w:r>
      <w:r>
        <w:rPr>
          <w:rFonts w:hint="eastAsia" w:ascii="仿宋" w:hAnsi="仿宋" w:eastAsia="仿宋" w:cs="仿宋"/>
          <w:u w:val="single"/>
          <w:lang w:eastAsia="zh-CN"/>
        </w:rPr>
        <w:t xml:space="preserve">         </w:t>
      </w:r>
      <w:r>
        <w:rPr>
          <w:rFonts w:hint="eastAsia" w:ascii="仿宋" w:hAnsi="仿宋" w:eastAsia="仿宋" w:cs="仿宋"/>
          <w:lang w:eastAsia="zh-CN"/>
        </w:rPr>
        <w:t>元，税率</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w:t>
      </w:r>
    </w:p>
    <w:p w14:paraId="5D3A59E4">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施工费（含税）：</w:t>
      </w:r>
    </w:p>
    <w:p w14:paraId="3BD3E3D8">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t xml:space="preserve">暂定人民币（大写） </w:t>
      </w:r>
      <w:r>
        <w:rPr>
          <w:rFonts w:hint="eastAsia" w:ascii="仿宋" w:hAnsi="仿宋" w:eastAsia="仿宋" w:cs="仿宋"/>
          <w:u w:val="single"/>
          <w:lang w:eastAsia="zh-CN"/>
        </w:rPr>
        <w:t xml:space="preserve">                                </w:t>
      </w:r>
      <w:r>
        <w:rPr>
          <w:rFonts w:hint="eastAsia" w:ascii="仿宋" w:hAnsi="仿宋" w:eastAsia="仿宋" w:cs="仿宋"/>
          <w:lang w:eastAsia="zh-CN"/>
        </w:rPr>
        <w:t>（</w:t>
      </w:r>
      <w:r>
        <w:rPr>
          <w:rFonts w:hint="eastAsia" w:ascii="宋体" w:hAnsi="宋体" w:cs="宋体"/>
          <w:lang w:eastAsia="zh-CN"/>
        </w:rPr>
        <w:t>¥</w:t>
      </w:r>
      <w:r>
        <w:rPr>
          <w:rFonts w:hint="eastAsia" w:ascii="仿宋" w:hAnsi="仿宋" w:eastAsia="仿宋" w:cs="仿宋"/>
          <w:u w:val="single"/>
          <w:lang w:eastAsia="zh-CN"/>
        </w:rPr>
        <w:t xml:space="preserve">            </w:t>
      </w:r>
      <w:r>
        <w:rPr>
          <w:rFonts w:hint="eastAsia" w:ascii="仿宋" w:hAnsi="仿宋" w:eastAsia="仿宋" w:cs="仿宋"/>
          <w:lang w:eastAsia="zh-CN"/>
        </w:rPr>
        <w:t>元），不含税金额：</w:t>
      </w:r>
      <w:r>
        <w:rPr>
          <w:rFonts w:hint="eastAsia" w:ascii="仿宋" w:hAnsi="仿宋" w:eastAsia="仿宋" w:cs="仿宋"/>
          <w:u w:val="single"/>
          <w:lang w:eastAsia="zh-CN"/>
        </w:rPr>
        <w:t xml:space="preserve">      </w:t>
      </w:r>
      <w:r>
        <w:rPr>
          <w:rFonts w:hint="eastAsia" w:ascii="仿宋" w:hAnsi="仿宋" w:eastAsia="仿宋" w:cs="仿宋"/>
          <w:lang w:eastAsia="zh-CN"/>
        </w:rPr>
        <w:t>元，增值税金额：</w:t>
      </w:r>
      <w:r>
        <w:rPr>
          <w:rFonts w:hint="eastAsia" w:ascii="仿宋" w:hAnsi="仿宋" w:eastAsia="仿宋" w:cs="仿宋"/>
          <w:u w:val="single"/>
          <w:lang w:eastAsia="zh-CN"/>
        </w:rPr>
        <w:t xml:space="preserve">         </w:t>
      </w:r>
      <w:r>
        <w:rPr>
          <w:rFonts w:hint="eastAsia" w:ascii="仿宋" w:hAnsi="仿宋" w:eastAsia="仿宋" w:cs="仿宋"/>
          <w:lang w:eastAsia="zh-CN"/>
        </w:rPr>
        <w:t>元，税率</w:t>
      </w:r>
      <w:r>
        <w:rPr>
          <w:rFonts w:hint="eastAsia" w:ascii="仿宋" w:hAnsi="仿宋" w:eastAsia="仿宋" w:cs="仿宋"/>
          <w:u w:val="single"/>
          <w:lang w:eastAsia="zh-CN"/>
        </w:rPr>
        <w:t xml:space="preserve">   </w:t>
      </w:r>
      <w:r>
        <w:rPr>
          <w:rFonts w:hint="eastAsia" w:ascii="仿宋" w:hAnsi="仿宋" w:eastAsia="仿宋" w:cs="仿宋"/>
          <w:lang w:eastAsia="zh-CN"/>
        </w:rPr>
        <w:t>%。中标下浮率为</w:t>
      </w:r>
      <w:r>
        <w:rPr>
          <w:rFonts w:hint="eastAsia" w:ascii="仿宋" w:hAnsi="仿宋" w:eastAsia="仿宋" w:cs="仿宋"/>
          <w:u w:val="single"/>
          <w:lang w:eastAsia="zh-CN"/>
        </w:rPr>
        <w:t xml:space="preserve">   %，</w:t>
      </w:r>
      <w:r>
        <w:rPr>
          <w:rFonts w:hint="eastAsia" w:ascii="仿宋" w:hAnsi="仿宋" w:eastAsia="仿宋" w:cs="仿宋"/>
          <w:lang w:eastAsia="zh-CN"/>
        </w:rPr>
        <w:t>合同约定下浮率为</w:t>
      </w:r>
      <w:r>
        <w:rPr>
          <w:rFonts w:hint="eastAsia" w:ascii="仿宋" w:hAnsi="仿宋" w:eastAsia="仿宋" w:cs="仿宋"/>
          <w:u w:val="single"/>
          <w:lang w:eastAsia="zh-CN"/>
        </w:rPr>
        <w:t xml:space="preserve"> </w:t>
      </w:r>
      <w:r>
        <w:rPr>
          <w:rFonts w:hint="eastAsia" w:ascii="仿宋" w:hAnsi="仿宋" w:eastAsia="仿宋" w:cs="仿宋"/>
          <w:u w:val="single"/>
          <w:lang w:val="en-US" w:eastAsia="zh-CN"/>
        </w:rPr>
        <w:t>1</w:t>
      </w:r>
      <w:r>
        <w:rPr>
          <w:rFonts w:ascii="仿宋" w:hAnsi="仿宋" w:eastAsia="仿宋" w:cs="仿宋"/>
          <w:u w:val="single"/>
          <w:lang w:eastAsia="zh-CN"/>
        </w:rPr>
        <w:t>%</w:t>
      </w:r>
      <w:r>
        <w:rPr>
          <w:rFonts w:hint="eastAsia" w:ascii="仿宋" w:hAnsi="仿宋" w:eastAsia="仿宋" w:cs="仿宋"/>
          <w:u w:val="single"/>
          <w:lang w:eastAsia="zh-CN"/>
        </w:rPr>
        <w:t xml:space="preserve"> </w:t>
      </w:r>
      <w:r>
        <w:rPr>
          <w:rFonts w:hint="eastAsia" w:ascii="仿宋" w:hAnsi="仿宋" w:eastAsia="仿宋" w:cs="仿宋"/>
          <w:lang w:eastAsia="zh-CN"/>
        </w:rPr>
        <w:t>。</w:t>
      </w:r>
    </w:p>
    <w:p w14:paraId="457AA009">
      <w:pPr>
        <w:spacing w:line="400" w:lineRule="exact"/>
        <w:ind w:firstLine="480" w:firstLineChars="200"/>
        <w:rPr>
          <w:rFonts w:ascii="仿宋" w:hAnsi="仿宋" w:eastAsia="仿宋" w:cs="仿宋"/>
          <w:u w:val="single"/>
          <w:lang w:eastAsia="zh-CN"/>
        </w:rPr>
      </w:pPr>
      <w:r>
        <w:rPr>
          <w:rFonts w:hint="eastAsia" w:ascii="仿宋" w:hAnsi="仿宋" w:eastAsia="仿宋" w:cs="仿宋"/>
          <w:lang w:eastAsia="zh-CN"/>
        </w:rPr>
        <w:t>本合同</w:t>
      </w:r>
      <w:r>
        <w:rPr>
          <w:rFonts w:hint="eastAsia" w:ascii="仿宋" w:hAnsi="仿宋" w:eastAsia="仿宋" w:cs="仿宋"/>
          <w:szCs w:val="21"/>
          <w:lang w:eastAsia="zh-CN"/>
        </w:rPr>
        <w:t>结算价最终以</w:t>
      </w:r>
      <w:r>
        <w:rPr>
          <w:rFonts w:hint="eastAsia" w:ascii="仿宋" w:hAnsi="仿宋" w:eastAsia="仿宋" w:cs="仿宋"/>
          <w:szCs w:val="21"/>
          <w:lang w:val="en-US" w:eastAsia="zh-CN"/>
        </w:rPr>
        <w:t>发包人确认的</w:t>
      </w:r>
      <w:r>
        <w:rPr>
          <w:rFonts w:hint="eastAsia" w:ascii="仿宋" w:hAnsi="仿宋" w:eastAsia="仿宋" w:cs="仿宋"/>
          <w:szCs w:val="21"/>
          <w:lang w:eastAsia="zh-CN"/>
        </w:rPr>
        <w:t>有权审核部门的结算终审金额为准。</w:t>
      </w:r>
      <w:r>
        <w:rPr>
          <w:rFonts w:hint="eastAsia" w:ascii="仿宋" w:hAnsi="仿宋" w:eastAsia="仿宋" w:cs="仿宋"/>
          <w:lang w:eastAsia="zh-CN"/>
        </w:rPr>
        <w:t>超出部分属于承包人造成的，由承包人自行承担。</w:t>
      </w:r>
    </w:p>
    <w:p w14:paraId="01859612">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本工程投资控制应满足《广州市城中村改造项目成本管理办法（试行）》 (穗建前期〔2024〕556号)及城中村改造相关政策的要求，相关规定如有更新的，以本合同履行期间实施的最新的规定为准。</w:t>
      </w:r>
    </w:p>
    <w:p w14:paraId="11931229">
      <w:pPr>
        <w:widowControl w:val="0"/>
        <w:spacing w:line="400" w:lineRule="exact"/>
        <w:ind w:firstLine="480" w:firstLineChars="200"/>
        <w:rPr>
          <w:rFonts w:ascii="仿宋" w:hAnsi="仿宋" w:eastAsia="仿宋" w:cs="仿宋"/>
          <w:lang w:eastAsia="zh-CN"/>
        </w:rPr>
      </w:pPr>
      <w:r>
        <w:rPr>
          <w:rFonts w:hint="eastAsia" w:ascii="仿宋" w:hAnsi="仿宋" w:eastAsia="仿宋" w:cs="仿宋"/>
          <w:lang w:eastAsia="zh-CN"/>
        </w:rPr>
        <w:t>□联合体牵头人项目管理费（单列）：联合体牵头人对联合体各成员的组织、管理和协调产生的费用，在本合同价中不得增加计算本费用，从合同总价中提取后，在本协议书中单列供各方监督使用情况；</w:t>
      </w:r>
    </w:p>
    <w:p w14:paraId="2C80D21B">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t>□ 设计单位为联合体牵头人时项目管理费（含税）：</w:t>
      </w:r>
    </w:p>
    <w:p w14:paraId="2C031F84">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t>人民币（大写）</w:t>
      </w:r>
      <w:r>
        <w:rPr>
          <w:rFonts w:hint="eastAsia" w:ascii="仿宋" w:hAnsi="仿宋" w:eastAsia="仿宋" w:cs="仿宋"/>
          <w:u w:val="single"/>
          <w:lang w:eastAsia="zh-CN"/>
        </w:rPr>
        <w:t xml:space="preserve">               /                 </w:t>
      </w:r>
      <w:r>
        <w:rPr>
          <w:rFonts w:hint="eastAsia" w:ascii="仿宋" w:hAnsi="仿宋" w:eastAsia="仿宋" w:cs="仿宋"/>
          <w:lang w:eastAsia="zh-CN"/>
        </w:rPr>
        <w:t>（</w:t>
      </w:r>
      <w:r>
        <w:rPr>
          <w:rFonts w:hint="eastAsia" w:ascii="宋体" w:hAnsi="宋体" w:cs="宋体"/>
          <w:lang w:eastAsia="zh-CN"/>
        </w:rPr>
        <w:t>¥</w:t>
      </w:r>
      <w:r>
        <w:rPr>
          <w:rFonts w:hint="eastAsia" w:ascii="仿宋" w:hAnsi="仿宋" w:eastAsia="仿宋" w:cs="仿宋"/>
          <w:u w:val="single"/>
          <w:lang w:eastAsia="zh-CN"/>
        </w:rPr>
        <w:t xml:space="preserve">      /      </w:t>
      </w:r>
      <w:r>
        <w:rPr>
          <w:rFonts w:hint="eastAsia" w:ascii="仿宋" w:hAnsi="仿宋" w:eastAsia="仿宋" w:cs="仿宋"/>
          <w:lang w:eastAsia="zh-CN"/>
        </w:rPr>
        <w:t>元）；</w:t>
      </w:r>
    </w:p>
    <w:p w14:paraId="3F6A1DBA">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t>□ 施工单位为联合体牵头人时项目管理费（含税）：</w:t>
      </w:r>
    </w:p>
    <w:p w14:paraId="3E2815CD">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t>人民币（大写）</w:t>
      </w:r>
      <w:r>
        <w:rPr>
          <w:rFonts w:hint="eastAsia" w:ascii="仿宋" w:hAnsi="仿宋" w:eastAsia="仿宋" w:cs="仿宋"/>
          <w:u w:val="single"/>
          <w:lang w:eastAsia="zh-CN"/>
        </w:rPr>
        <w:t xml:space="preserve">               /                </w:t>
      </w:r>
      <w:r>
        <w:rPr>
          <w:rFonts w:hint="eastAsia" w:ascii="仿宋" w:hAnsi="仿宋" w:eastAsia="仿宋" w:cs="仿宋"/>
          <w:lang w:eastAsia="zh-CN"/>
        </w:rPr>
        <w:t>（</w:t>
      </w:r>
      <w:r>
        <w:rPr>
          <w:rFonts w:hint="eastAsia" w:ascii="宋体" w:hAnsi="宋体" w:cs="宋体"/>
          <w:lang w:eastAsia="zh-CN"/>
        </w:rPr>
        <w:t>¥</w:t>
      </w:r>
      <w:r>
        <w:rPr>
          <w:rFonts w:hint="eastAsia" w:ascii="仿宋" w:hAnsi="仿宋" w:eastAsia="仿宋" w:cs="仿宋"/>
          <w:u w:val="single"/>
          <w:lang w:eastAsia="zh-CN"/>
        </w:rPr>
        <w:t xml:space="preserve">     /       元</w:t>
      </w:r>
      <w:r>
        <w:rPr>
          <w:rFonts w:hint="eastAsia" w:ascii="仿宋" w:hAnsi="仿宋" w:eastAsia="仿宋" w:cs="仿宋"/>
          <w:lang w:eastAsia="zh-CN"/>
        </w:rPr>
        <w:t>）。</w:t>
      </w:r>
    </w:p>
    <w:p w14:paraId="62FF7460">
      <w:pPr>
        <w:spacing w:line="400" w:lineRule="exact"/>
        <w:ind w:firstLine="480" w:firstLineChars="200"/>
        <w:rPr>
          <w:rFonts w:ascii="仿宋" w:hAnsi="仿宋" w:eastAsia="仿宋"/>
          <w:szCs w:val="21"/>
          <w:lang w:eastAsia="zh-CN"/>
        </w:rPr>
      </w:pPr>
      <w:r>
        <w:rPr>
          <w:rFonts w:hint="eastAsia" w:ascii="仿宋" w:hAnsi="仿宋" w:eastAsia="仿宋"/>
          <w:szCs w:val="21"/>
          <w:lang w:eastAsia="zh-CN"/>
        </w:rPr>
        <w:t>本合同价款及合同项下各项应支付的费用，已包含承包人按照税收法律法规规定须承担为履行此合同在中华人民共和国境内所必须缴纳的一切直接或间接税费及规费，包括增值税、企业所得税、个人所得税等以及国家及地方政府规定的其他一切税收及费用。此税费及规费应已包括可能涉及的合同价格调整。合同期内，由于承包人自身纳税人身份、纳税方式及国家税制改革原因带来税种及税率的变化，非经发包方书面同意，本合同不含增值税价不予调整。承包人应就约定的合同价款和价外费用之金额按适用税率向发包方开具合法有效的增值税专用发票。上述增值税专用发票必须符合中国《增值税专用发票使用规定》等相关法律法规的相关要求。</w:t>
      </w:r>
    </w:p>
    <w:p w14:paraId="7D3CBF1A">
      <w:pPr>
        <w:spacing w:line="400" w:lineRule="exact"/>
        <w:ind w:firstLine="480" w:firstLineChars="200"/>
        <w:rPr>
          <w:rFonts w:ascii="仿宋" w:hAnsi="仿宋" w:eastAsia="仿宋" w:cs="仿宋"/>
          <w:b/>
          <w:bCs/>
          <w:lang w:eastAsia="zh-CN"/>
        </w:rPr>
      </w:pPr>
      <w:r>
        <w:rPr>
          <w:rFonts w:hint="eastAsia" w:ascii="仿宋" w:hAnsi="仿宋" w:eastAsia="仿宋"/>
          <w:szCs w:val="21"/>
          <w:lang w:eastAsia="zh-CN"/>
        </w:rPr>
        <w:t>承包人应在发包人付款前向发包人开具符合国家规定的增值税专用发票，且承包人应在开具增值税发票之日起30天内将完整的发票资料送达给发包人签收，否则发包人有权拒绝付款且不构成违约。</w:t>
      </w:r>
    </w:p>
    <w:p w14:paraId="6873C625">
      <w:pPr>
        <w:spacing w:line="400" w:lineRule="exact"/>
        <w:ind w:firstLine="482" w:firstLineChars="200"/>
        <w:outlineLvl w:val="1"/>
        <w:rPr>
          <w:rFonts w:ascii="仿宋" w:hAnsi="仿宋" w:eastAsia="仿宋" w:cs="仿宋"/>
          <w:b/>
          <w:bCs/>
          <w:lang w:eastAsia="zh-CN"/>
        </w:rPr>
      </w:pPr>
      <w:bookmarkStart w:id="47" w:name="_Toc5110"/>
      <w:bookmarkStart w:id="48" w:name="_Toc194073098"/>
      <w:bookmarkStart w:id="49" w:name="_Toc23702"/>
      <w:r>
        <w:rPr>
          <w:rFonts w:hint="eastAsia" w:ascii="仿宋" w:hAnsi="仿宋" w:eastAsia="仿宋" w:cs="仿宋"/>
          <w:b/>
          <w:bCs/>
          <w:lang w:eastAsia="zh-CN"/>
        </w:rPr>
        <w:t>★九、工人工资支付分账、建筑安装工程费支付专户</w:t>
      </w:r>
      <w:bookmarkEnd w:id="47"/>
      <w:bookmarkEnd w:id="48"/>
      <w:bookmarkEnd w:id="49"/>
    </w:p>
    <w:p w14:paraId="79FF51DB">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工人工资款支付专用账户开设的约定内容：按照《保障农民工工资支付条例》《关于印发广州市房屋建筑及市政工程实名制和工资支付分账平台化管理工作方案的通知》（穗建筑〔2018〕183 号）、《广州市住房和城乡建设委员会关于转发&lt;广东省住房和城乡建设厅关于房屋建筑和市政基础设施工程用工实名管理暂行办法&gt;的通知》（穗建筑〔2018〕981 号）及项目所在地市的有关规定执行。</w:t>
      </w:r>
    </w:p>
    <w:p w14:paraId="5913ED49">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本工程自合同生效之日起至首次工程进度款申请前，承包人向发包人提供在建设项目所在地设立的工人工资支付专用账户的开户证明。承包人须按照相关规定设立“工人工资支付专用账户”并进行拨付，承包人承诺按照《国务院办公厅关于全面治理拖欠农民工工资问题的意见》（国办发〔2016〕1号）、《广东省人民政府办公厅关于全面治理拖欠异地务工人员工资问题的实施意见》（粤府办〔2016〕111号）进行工人工资支付分账：承包人须依法建立、落实工人工资支付专户管理制度和用工实名制管理制度。工人工资支付专用账户的监督和管理按照《关于印发&lt;广州市建设领域工人工资支付分账管理实施细则&gt;的通知》（穗建规字〔2020〕37号）及《广州市住房和城乡建设局关于我市房建市政工程贯彻省用工实名及工人工资支付专用账户管理办法有关要求的通知》（穗建筑〔2019〕352号）等相关规定执行，相关规定如有更新按最新执行，以最新的规定为准。否则，承包人须承担相应的违约责任以及对由此引起的纠纷负全责，造成发包人损失(包括但不限于发包人因此而支付的赔偿款、律师费、诉讼费、保全费、公证费、鉴定费等)的，承包人须承担全部责任。</w:t>
      </w:r>
    </w:p>
    <w:p w14:paraId="14161DAD">
      <w:pPr>
        <w:spacing w:line="400" w:lineRule="exact"/>
        <w:ind w:firstLine="480" w:firstLineChars="200"/>
        <w:rPr>
          <w:rFonts w:ascii="仿宋" w:hAnsi="仿宋" w:eastAsia="仿宋"/>
          <w:lang w:eastAsia="zh-CN"/>
        </w:rPr>
      </w:pPr>
      <w:r>
        <w:rPr>
          <w:rFonts w:hint="eastAsia" w:ascii="仿宋" w:hAnsi="仿宋" w:eastAsia="仿宋" w:cs="仿宋"/>
          <w:lang w:eastAsia="zh-CN"/>
        </w:rPr>
        <w:t>工人工资款支付专用账户开户银行（如果有）：</w:t>
      </w:r>
      <w:r>
        <w:rPr>
          <w:rFonts w:ascii="仿宋" w:hAnsi="仿宋" w:eastAsia="仿宋" w:cs="仿宋"/>
          <w:u w:val="single"/>
          <w:lang w:eastAsia="zh-CN"/>
        </w:rPr>
        <w:t xml:space="preserve">         </w:t>
      </w:r>
      <w:r>
        <w:rPr>
          <w:rFonts w:hint="eastAsia" w:ascii="仿宋" w:hAnsi="仿宋" w:eastAsia="仿宋" w:cs="仿宋"/>
          <w:u w:val="single"/>
          <w:lang w:eastAsia="zh-CN"/>
        </w:rPr>
        <w:t xml:space="preserve">  /       </w:t>
      </w:r>
      <w:r>
        <w:rPr>
          <w:rFonts w:ascii="仿宋" w:hAnsi="仿宋" w:eastAsia="仿宋" w:cs="仿宋"/>
          <w:u w:val="single"/>
          <w:lang w:eastAsia="zh-CN"/>
        </w:rPr>
        <w:t xml:space="preserve">        </w:t>
      </w:r>
      <w:r>
        <w:rPr>
          <w:rFonts w:hint="eastAsia" w:ascii="仿宋" w:hAnsi="仿宋" w:eastAsia="仿宋" w:cs="仿宋"/>
          <w:lang w:eastAsia="zh-CN"/>
        </w:rPr>
        <w:t>，</w:t>
      </w:r>
    </w:p>
    <w:p w14:paraId="0409267B">
      <w:pPr>
        <w:spacing w:line="400" w:lineRule="exact"/>
        <w:ind w:firstLine="480" w:firstLineChars="200"/>
        <w:rPr>
          <w:rFonts w:ascii="仿宋" w:hAnsi="仿宋" w:eastAsia="仿宋"/>
          <w:lang w:eastAsia="zh-CN"/>
        </w:rPr>
      </w:pPr>
      <w:r>
        <w:rPr>
          <w:rFonts w:hint="eastAsia" w:ascii="仿宋" w:hAnsi="仿宋" w:eastAsia="仿宋" w:cs="仿宋"/>
          <w:lang w:eastAsia="zh-CN"/>
        </w:rPr>
        <w:t>工人工资款支付专用账户（如果有）：</w:t>
      </w:r>
      <w:r>
        <w:rPr>
          <w:rFonts w:ascii="仿宋" w:hAnsi="仿宋" w:eastAsia="仿宋" w:cs="仿宋"/>
          <w:u w:val="single"/>
          <w:lang w:eastAsia="zh-CN"/>
        </w:rPr>
        <w:t xml:space="preserve">              </w:t>
      </w:r>
      <w:r>
        <w:rPr>
          <w:rFonts w:hint="eastAsia" w:ascii="仿宋" w:hAnsi="仿宋" w:eastAsia="仿宋" w:cs="仿宋"/>
          <w:u w:val="single"/>
          <w:lang w:eastAsia="zh-CN"/>
        </w:rPr>
        <w:t xml:space="preserve">  /       </w:t>
      </w:r>
      <w:r>
        <w:rPr>
          <w:rFonts w:ascii="仿宋" w:hAnsi="仿宋" w:eastAsia="仿宋" w:cs="仿宋"/>
          <w:u w:val="single"/>
          <w:lang w:eastAsia="zh-CN"/>
        </w:rPr>
        <w:t xml:space="preserve">           </w:t>
      </w:r>
      <w:r>
        <w:rPr>
          <w:rFonts w:hint="eastAsia" w:ascii="仿宋" w:hAnsi="仿宋" w:eastAsia="仿宋" w:cs="仿宋"/>
          <w:lang w:eastAsia="zh-CN"/>
        </w:rPr>
        <w:t>。</w:t>
      </w:r>
    </w:p>
    <w:p w14:paraId="1471DCBF">
      <w:pPr>
        <w:spacing w:line="400" w:lineRule="exact"/>
        <w:ind w:firstLine="480" w:firstLineChars="200"/>
        <w:rPr>
          <w:rFonts w:ascii="仿宋" w:hAnsi="仿宋" w:eastAsia="仿宋"/>
          <w:lang w:eastAsia="zh-CN"/>
        </w:rPr>
      </w:pPr>
      <w:r>
        <w:rPr>
          <w:rFonts w:hint="eastAsia" w:ascii="仿宋" w:hAnsi="仿宋" w:eastAsia="仿宋" w:cs="仿宋"/>
          <w:lang w:eastAsia="zh-CN"/>
        </w:rPr>
        <w:t>工程款中的工人工资款比例：</w:t>
      </w:r>
      <w:r>
        <w:rPr>
          <w:rFonts w:ascii="仿宋" w:hAnsi="仿宋" w:eastAsia="仿宋" w:cs="仿宋"/>
          <w:u w:val="single"/>
          <w:lang w:eastAsia="zh-CN"/>
        </w:rPr>
        <w:t xml:space="preserve">   </w:t>
      </w:r>
      <w:r>
        <w:rPr>
          <w:rFonts w:hint="eastAsia"/>
          <w:szCs w:val="21"/>
          <w:u w:val="single"/>
          <w:lang w:eastAsia="zh-CN"/>
        </w:rPr>
        <w:t xml:space="preserve"> </w:t>
      </w:r>
      <w:r>
        <w:rPr>
          <w:rFonts w:ascii="仿宋" w:hAnsi="仿宋" w:eastAsia="仿宋" w:cs="仿宋"/>
          <w:u w:val="single"/>
          <w:lang w:eastAsia="zh-CN"/>
        </w:rPr>
        <w:t xml:space="preserve">    </w:t>
      </w:r>
      <w:r>
        <w:rPr>
          <w:rFonts w:hint="eastAsia" w:ascii="仿宋" w:hAnsi="仿宋" w:eastAsia="仿宋" w:cs="仿宋"/>
          <w:u w:val="single"/>
          <w:lang w:eastAsia="zh-CN"/>
        </w:rPr>
        <w:t>15%</w:t>
      </w:r>
      <w:r>
        <w:rPr>
          <w:rFonts w:ascii="仿宋" w:hAnsi="仿宋" w:eastAsia="仿宋" w:cs="仿宋"/>
          <w:u w:val="single"/>
          <w:lang w:eastAsia="zh-CN"/>
        </w:rPr>
        <w:t xml:space="preserve">          </w:t>
      </w:r>
    </w:p>
    <w:p w14:paraId="2F8F3B60">
      <w:pPr>
        <w:spacing w:line="400" w:lineRule="exact"/>
        <w:ind w:firstLine="480" w:firstLineChars="200"/>
        <w:rPr>
          <w:rFonts w:ascii="仿宋" w:hAnsi="仿宋" w:eastAsia="仿宋"/>
          <w:lang w:eastAsia="zh-CN"/>
        </w:rPr>
      </w:pPr>
      <w:r>
        <w:rPr>
          <w:rFonts w:hint="eastAsia" w:ascii="仿宋" w:hAnsi="仿宋" w:eastAsia="仿宋" w:cs="仿宋"/>
          <w:lang w:eastAsia="zh-CN"/>
        </w:rPr>
        <w:t>其中：每一期工程进度款中的工人工资款比例：</w:t>
      </w:r>
      <w:r>
        <w:rPr>
          <w:rFonts w:ascii="仿宋" w:hAnsi="仿宋" w:eastAsia="仿宋" w:cs="仿宋"/>
          <w:u w:val="single"/>
          <w:lang w:eastAsia="zh-CN"/>
        </w:rPr>
        <w:t xml:space="preserve">   </w:t>
      </w:r>
      <w:r>
        <w:rPr>
          <w:rFonts w:hint="eastAsia"/>
          <w:szCs w:val="21"/>
          <w:u w:val="single"/>
          <w:lang w:eastAsia="zh-CN"/>
        </w:rPr>
        <w:t xml:space="preserve"> </w:t>
      </w:r>
      <w:r>
        <w:rPr>
          <w:rFonts w:ascii="仿宋" w:hAnsi="仿宋" w:eastAsia="仿宋" w:cs="仿宋"/>
          <w:u w:val="single"/>
          <w:lang w:eastAsia="zh-CN"/>
        </w:rPr>
        <w:t xml:space="preserve">  </w:t>
      </w:r>
      <w:r>
        <w:rPr>
          <w:rFonts w:hint="eastAsia" w:ascii="仿宋" w:hAnsi="仿宋" w:eastAsia="仿宋" w:cs="仿宋"/>
          <w:u w:val="single"/>
          <w:lang w:eastAsia="zh-CN"/>
        </w:rPr>
        <w:t>15%</w:t>
      </w:r>
      <w:r>
        <w:rPr>
          <w:rFonts w:ascii="仿宋" w:hAnsi="仿宋" w:eastAsia="仿宋" w:cs="仿宋"/>
          <w:u w:val="single"/>
          <w:lang w:eastAsia="zh-CN"/>
        </w:rPr>
        <w:t xml:space="preserve">      </w:t>
      </w:r>
      <w:r>
        <w:rPr>
          <w:rFonts w:hint="eastAsia" w:ascii="仿宋" w:hAnsi="仿宋" w:eastAsia="仿宋" w:cs="仿宋"/>
          <w:lang w:eastAsia="zh-CN"/>
        </w:rPr>
        <w:t>。</w:t>
      </w:r>
    </w:p>
    <w:p w14:paraId="47C6F089">
      <w:pPr>
        <w:spacing w:line="400" w:lineRule="exact"/>
        <w:ind w:firstLine="480" w:firstLineChars="200"/>
        <w:rPr>
          <w:rFonts w:ascii="仿宋" w:hAnsi="仿宋" w:eastAsia="仿宋"/>
          <w:lang w:eastAsia="zh-CN"/>
        </w:rPr>
      </w:pPr>
      <w:r>
        <w:rPr>
          <w:rFonts w:hint="eastAsia" w:ascii="仿宋" w:hAnsi="仿宋" w:eastAsia="仿宋" w:cs="仿宋"/>
          <w:lang w:eastAsia="zh-CN"/>
        </w:rPr>
        <w:t>工人工资支付周期：</w:t>
      </w:r>
      <w:r>
        <w:rPr>
          <w:rFonts w:ascii="仿宋" w:hAnsi="仿宋" w:eastAsia="仿宋" w:cs="仿宋"/>
          <w:u w:val="single"/>
          <w:lang w:eastAsia="zh-CN"/>
        </w:rPr>
        <w:t xml:space="preserve">   </w:t>
      </w:r>
      <w:r>
        <w:rPr>
          <w:rFonts w:hint="eastAsia" w:ascii="仿宋" w:hAnsi="仿宋" w:eastAsia="仿宋" w:cs="仿宋"/>
          <w:u w:val="single"/>
          <w:lang w:eastAsia="zh-CN"/>
        </w:rPr>
        <w:t>与工程款支付周期一致</w:t>
      </w:r>
      <w:r>
        <w:rPr>
          <w:rFonts w:ascii="仿宋" w:hAnsi="仿宋" w:eastAsia="仿宋" w:cs="仿宋"/>
          <w:u w:val="single"/>
          <w:lang w:eastAsia="zh-CN"/>
        </w:rPr>
        <w:t xml:space="preserve">                  </w:t>
      </w:r>
      <w:r>
        <w:rPr>
          <w:rFonts w:hint="eastAsia" w:ascii="仿宋" w:hAnsi="仿宋" w:eastAsia="仿宋" w:cs="仿宋"/>
          <w:lang w:eastAsia="zh-CN"/>
        </w:rPr>
        <w:t>。</w:t>
      </w:r>
    </w:p>
    <w:p w14:paraId="6AF0EE80">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t>承包人已确认上述约定工程款中的工人工资款比例能满足本工程项目的工人工资支付。</w:t>
      </w:r>
    </w:p>
    <w:p w14:paraId="7FF3C788">
      <w:pPr>
        <w:spacing w:line="400" w:lineRule="exact"/>
        <w:ind w:firstLine="480" w:firstLineChars="200"/>
        <w:rPr>
          <w:rFonts w:ascii="仿宋" w:hAnsi="仿宋" w:eastAsia="仿宋"/>
          <w:b/>
          <w:bCs/>
          <w:lang w:eastAsia="zh-CN"/>
        </w:rPr>
      </w:pPr>
      <w:r>
        <w:rPr>
          <w:rFonts w:hint="eastAsia" w:ascii="仿宋" w:hAnsi="仿宋" w:eastAsia="仿宋" w:cs="仿宋"/>
          <w:lang w:eastAsia="zh-CN"/>
        </w:rPr>
        <w:t>建筑安装工程费支付专用账户开设的约定内容：</w:t>
      </w:r>
      <w:r>
        <w:rPr>
          <w:rFonts w:hint="eastAsia" w:ascii="仿宋" w:hAnsi="仿宋" w:eastAsia="仿宋"/>
          <w:szCs w:val="21"/>
          <w:u w:val="single"/>
          <w:lang w:eastAsia="zh-CN"/>
        </w:rPr>
        <w:t>按照《关于印发广州市房屋建筑及市政工程实名制和工资支付分账平台化管理工作方案的通知》（穗建筑〔2018〕183 号）、《广州市住房和城乡建设委员会关于转发&lt;广东省住房和城乡建设厅关于房屋建筑和市政基础设施工程用工实名管理暂行办法&gt;的通知》（穗建筑〔2018〕981 号）及项目所在地市的有关规定执行</w:t>
      </w:r>
      <w:r>
        <w:rPr>
          <w:rFonts w:ascii="仿宋" w:hAnsi="仿宋" w:eastAsia="仿宋"/>
          <w:szCs w:val="21"/>
          <w:u w:val="single"/>
          <w:lang w:eastAsia="zh-CN"/>
        </w:rPr>
        <w:t xml:space="preserve"> </w:t>
      </w:r>
      <w:r>
        <w:rPr>
          <w:rFonts w:ascii="仿宋" w:hAnsi="仿宋" w:eastAsia="仿宋" w:cs="仿宋"/>
          <w:u w:val="single"/>
          <w:lang w:eastAsia="zh-CN"/>
        </w:rPr>
        <w:t xml:space="preserve">   </w:t>
      </w:r>
      <w:r>
        <w:rPr>
          <w:rFonts w:hint="eastAsia" w:ascii="仿宋" w:hAnsi="仿宋" w:eastAsia="仿宋" w:cs="仿宋"/>
          <w:lang w:eastAsia="zh-CN"/>
        </w:rPr>
        <w:t>。</w:t>
      </w:r>
    </w:p>
    <w:p w14:paraId="6A9B5EB9">
      <w:pPr>
        <w:spacing w:line="400" w:lineRule="exact"/>
        <w:ind w:firstLine="480" w:firstLineChars="200"/>
        <w:rPr>
          <w:rFonts w:ascii="仿宋" w:hAnsi="仿宋" w:eastAsia="仿宋"/>
          <w:lang w:eastAsia="zh-CN"/>
        </w:rPr>
      </w:pPr>
      <w:r>
        <w:rPr>
          <w:rFonts w:hint="eastAsia" w:ascii="仿宋" w:hAnsi="仿宋" w:eastAsia="仿宋" w:cs="仿宋"/>
          <w:lang w:eastAsia="zh-CN"/>
        </w:rPr>
        <w:t>建筑安装工程费支付专用账户开户银行（如果有）：</w:t>
      </w:r>
      <w:r>
        <w:rPr>
          <w:rFonts w:ascii="仿宋" w:hAnsi="仿宋" w:eastAsia="仿宋" w:cs="仿宋"/>
          <w:u w:val="single"/>
          <w:lang w:eastAsia="zh-CN"/>
        </w:rPr>
        <w:t xml:space="preserve">        </w:t>
      </w:r>
      <w:r>
        <w:rPr>
          <w:rFonts w:hint="eastAsia" w:ascii="仿宋" w:hAnsi="仿宋" w:eastAsia="仿宋" w:cs="仿宋"/>
          <w:u w:val="single"/>
          <w:lang w:eastAsia="zh-CN"/>
        </w:rPr>
        <w:t xml:space="preserve">  /       </w:t>
      </w:r>
      <w:r>
        <w:rPr>
          <w:rFonts w:ascii="仿宋" w:hAnsi="仿宋" w:eastAsia="仿宋" w:cs="仿宋"/>
          <w:u w:val="single"/>
          <w:lang w:eastAsia="zh-CN"/>
        </w:rPr>
        <w:t xml:space="preserve">       </w:t>
      </w:r>
      <w:r>
        <w:rPr>
          <w:rFonts w:hint="eastAsia" w:ascii="仿宋" w:hAnsi="仿宋" w:eastAsia="仿宋" w:cs="仿宋"/>
          <w:lang w:eastAsia="zh-CN"/>
        </w:rPr>
        <w:t>，</w:t>
      </w:r>
    </w:p>
    <w:p w14:paraId="125A6C50">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t>建筑安装工程费支付专用账户（如果有）：</w:t>
      </w:r>
      <w:r>
        <w:rPr>
          <w:rFonts w:ascii="仿宋" w:hAnsi="仿宋" w:eastAsia="仿宋" w:cs="仿宋"/>
          <w:u w:val="single"/>
          <w:lang w:eastAsia="zh-CN"/>
        </w:rPr>
        <w:t xml:space="preserve">      </w:t>
      </w:r>
      <w:r>
        <w:rPr>
          <w:rFonts w:hint="eastAsia" w:ascii="仿宋" w:hAnsi="仿宋" w:eastAsia="仿宋" w:cs="仿宋"/>
          <w:u w:val="single"/>
          <w:lang w:eastAsia="zh-CN"/>
        </w:rPr>
        <w:t xml:space="preserve">          /   </w:t>
      </w:r>
      <w:r>
        <w:rPr>
          <w:rFonts w:ascii="仿宋" w:hAnsi="仿宋" w:eastAsia="仿宋" w:cs="仿宋"/>
          <w:u w:val="single"/>
          <w:lang w:eastAsia="zh-CN"/>
        </w:rPr>
        <w:t xml:space="preserve">           </w:t>
      </w:r>
      <w:r>
        <w:rPr>
          <w:rFonts w:hint="eastAsia" w:ascii="仿宋" w:hAnsi="仿宋" w:eastAsia="仿宋" w:cs="仿宋"/>
          <w:lang w:eastAsia="zh-CN"/>
        </w:rPr>
        <w:t>。</w:t>
      </w:r>
    </w:p>
    <w:p w14:paraId="7BB05D18">
      <w:pPr>
        <w:spacing w:line="400" w:lineRule="exact"/>
        <w:ind w:firstLine="480" w:firstLineChars="200"/>
        <w:rPr>
          <w:rFonts w:ascii="仿宋" w:hAnsi="仿宋" w:eastAsia="仿宋"/>
          <w:lang w:eastAsia="zh-CN"/>
        </w:rPr>
      </w:pPr>
      <w:r>
        <w:rPr>
          <w:rFonts w:hint="eastAsia" w:ascii="仿宋" w:hAnsi="仿宋" w:eastAsia="仿宋" w:cs="仿宋"/>
          <w:lang w:eastAsia="zh-CN"/>
        </w:rPr>
        <w:t>建筑安装工程费中的工程材料、工程设备款比例：</w:t>
      </w:r>
      <w:r>
        <w:rPr>
          <w:rFonts w:ascii="仿宋" w:hAnsi="仿宋" w:eastAsia="仿宋" w:cs="仿宋"/>
          <w:u w:val="single"/>
          <w:lang w:eastAsia="zh-CN"/>
        </w:rPr>
        <w:t xml:space="preserve">           </w:t>
      </w:r>
      <w:r>
        <w:rPr>
          <w:rFonts w:hint="eastAsia" w:ascii="仿宋" w:hAnsi="仿宋" w:eastAsia="仿宋" w:cs="仿宋"/>
          <w:u w:val="single"/>
          <w:lang w:eastAsia="zh-CN"/>
        </w:rPr>
        <w:t>/</w:t>
      </w:r>
      <w:r>
        <w:rPr>
          <w:rFonts w:ascii="仿宋" w:hAnsi="仿宋" w:eastAsia="仿宋" w:cs="仿宋"/>
          <w:u w:val="single"/>
          <w:lang w:eastAsia="zh-CN"/>
        </w:rPr>
        <w:t xml:space="preserve">             </w:t>
      </w:r>
    </w:p>
    <w:p w14:paraId="2B8544D6">
      <w:pPr>
        <w:spacing w:line="400" w:lineRule="exact"/>
        <w:ind w:left="480" w:leftChars="200"/>
        <w:rPr>
          <w:rFonts w:ascii="仿宋" w:hAnsi="仿宋" w:eastAsia="仿宋"/>
          <w:lang w:eastAsia="zh-CN"/>
        </w:rPr>
      </w:pPr>
      <w:r>
        <w:rPr>
          <w:rFonts w:hint="eastAsia" w:ascii="仿宋" w:hAnsi="仿宋" w:eastAsia="仿宋" w:cs="仿宋"/>
          <w:lang w:eastAsia="zh-CN"/>
        </w:rPr>
        <w:t>其中：每一期建筑安装工程费的工程进度款中的工程材料、工程设备款比例：</w:t>
      </w:r>
      <w:r>
        <w:rPr>
          <w:rFonts w:ascii="仿宋" w:hAnsi="仿宋" w:eastAsia="仿宋" w:cs="仿宋"/>
          <w:u w:val="single"/>
          <w:lang w:eastAsia="zh-CN"/>
        </w:rPr>
        <w:t xml:space="preserve">        </w:t>
      </w:r>
      <w:r>
        <w:rPr>
          <w:rFonts w:hint="eastAsia" w:ascii="仿宋" w:hAnsi="仿宋" w:eastAsia="仿宋" w:cs="仿宋"/>
          <w:u w:val="single"/>
          <w:lang w:eastAsia="zh-CN"/>
        </w:rPr>
        <w:t>/</w:t>
      </w:r>
      <w:r>
        <w:rPr>
          <w:rFonts w:ascii="仿宋" w:hAnsi="仿宋" w:eastAsia="仿宋" w:cs="仿宋"/>
          <w:u w:val="single"/>
          <w:lang w:eastAsia="zh-CN"/>
        </w:rPr>
        <w:t xml:space="preserve">          </w:t>
      </w:r>
      <w:r>
        <w:rPr>
          <w:rFonts w:hint="eastAsia" w:ascii="仿宋" w:hAnsi="仿宋" w:eastAsia="仿宋" w:cs="仿宋"/>
          <w:lang w:eastAsia="zh-CN"/>
        </w:rPr>
        <w:t>。</w:t>
      </w:r>
    </w:p>
    <w:p w14:paraId="1BB921C1">
      <w:pPr>
        <w:spacing w:line="400" w:lineRule="exact"/>
        <w:ind w:firstLine="480" w:firstLineChars="200"/>
        <w:rPr>
          <w:rFonts w:ascii="仿宋" w:hAnsi="仿宋" w:eastAsia="仿宋"/>
          <w:lang w:eastAsia="zh-CN"/>
        </w:rPr>
      </w:pPr>
      <w:r>
        <w:rPr>
          <w:rFonts w:hint="eastAsia" w:ascii="仿宋" w:hAnsi="仿宋" w:eastAsia="仿宋" w:cs="仿宋"/>
          <w:lang w:eastAsia="zh-CN"/>
        </w:rPr>
        <w:t>工程材料、工程设备款支付周期：</w:t>
      </w:r>
      <w:r>
        <w:rPr>
          <w:rFonts w:ascii="仿宋" w:hAnsi="仿宋" w:eastAsia="仿宋" w:cs="仿宋"/>
          <w:u w:val="single"/>
          <w:lang w:eastAsia="zh-CN"/>
        </w:rPr>
        <w:t xml:space="preserve">               </w:t>
      </w:r>
      <w:r>
        <w:rPr>
          <w:rFonts w:hint="eastAsia" w:ascii="仿宋" w:hAnsi="仿宋" w:eastAsia="仿宋" w:cs="仿宋"/>
          <w:u w:val="single"/>
          <w:lang w:eastAsia="zh-CN"/>
        </w:rPr>
        <w:t>/</w:t>
      </w:r>
      <w:r>
        <w:rPr>
          <w:rFonts w:ascii="仿宋" w:hAnsi="仿宋" w:eastAsia="仿宋" w:cs="仿宋"/>
          <w:u w:val="single"/>
          <w:lang w:eastAsia="zh-CN"/>
        </w:rPr>
        <w:t xml:space="preserve">               </w:t>
      </w:r>
      <w:r>
        <w:rPr>
          <w:rFonts w:hint="eastAsia" w:ascii="仿宋" w:hAnsi="仿宋" w:eastAsia="仿宋" w:cs="仿宋"/>
          <w:lang w:eastAsia="zh-CN"/>
        </w:rPr>
        <w:t>。</w:t>
      </w:r>
    </w:p>
    <w:p w14:paraId="36BB63E8">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t>承包人已确认上述约定建筑安装工程费中的工程材料、工程设备款比例能满足本工程项目的工程材料、工程设备款支付。</w:t>
      </w:r>
    </w:p>
    <w:p w14:paraId="67FFE247">
      <w:pPr>
        <w:spacing w:line="400" w:lineRule="exact"/>
        <w:ind w:firstLine="480" w:firstLineChars="200"/>
        <w:rPr>
          <w:lang w:eastAsia="zh-CN"/>
        </w:rPr>
      </w:pPr>
    </w:p>
    <w:p w14:paraId="0BE8D99D">
      <w:pPr>
        <w:spacing w:line="400" w:lineRule="exact"/>
        <w:ind w:firstLine="482" w:firstLineChars="200"/>
        <w:outlineLvl w:val="1"/>
        <w:rPr>
          <w:rFonts w:ascii="仿宋" w:hAnsi="仿宋" w:eastAsia="仿宋" w:cs="仿宋"/>
          <w:b/>
          <w:bCs/>
          <w:lang w:eastAsia="zh-CN"/>
        </w:rPr>
      </w:pPr>
      <w:bookmarkStart w:id="50" w:name="_Toc26893"/>
      <w:bookmarkStart w:id="51" w:name="_Toc7309"/>
      <w:bookmarkStart w:id="52" w:name="_Toc194073099"/>
      <w:bookmarkStart w:id="53" w:name="_Toc21461"/>
      <w:bookmarkStart w:id="54" w:name="_Toc1458"/>
      <w:r>
        <w:rPr>
          <w:rFonts w:hint="eastAsia" w:ascii="仿宋" w:hAnsi="仿宋" w:eastAsia="仿宋" w:cs="仿宋"/>
          <w:b/>
          <w:bCs/>
          <w:lang w:eastAsia="zh-CN"/>
        </w:rPr>
        <w:t>十、组成合同的文件</w:t>
      </w:r>
      <w:bookmarkEnd w:id="50"/>
      <w:bookmarkEnd w:id="51"/>
      <w:bookmarkEnd w:id="52"/>
      <w:bookmarkEnd w:id="53"/>
      <w:bookmarkEnd w:id="54"/>
    </w:p>
    <w:p w14:paraId="6BD8D287">
      <w:pPr>
        <w:pStyle w:val="22"/>
        <w:tabs>
          <w:tab w:val="left" w:pos="1260"/>
        </w:tabs>
        <w:spacing w:line="400" w:lineRule="exact"/>
        <w:ind w:firstLine="480" w:firstLineChars="200"/>
        <w:rPr>
          <w:rFonts w:ascii="仿宋" w:hAnsi="仿宋" w:eastAsia="仿宋"/>
          <w:sz w:val="24"/>
          <w:szCs w:val="24"/>
          <w:lang w:eastAsia="zh-CN"/>
        </w:rPr>
      </w:pPr>
      <w:r>
        <w:rPr>
          <w:rFonts w:hint="eastAsia" w:ascii="仿宋" w:hAnsi="仿宋" w:eastAsia="仿宋" w:cs="仿宋"/>
          <w:sz w:val="24"/>
          <w:szCs w:val="24"/>
          <w:lang w:eastAsia="zh-CN"/>
        </w:rPr>
        <w:t>组成本合同的文件及其优先解释顺序与本合同第二部分《通用条款》第</w:t>
      </w:r>
      <w:r>
        <w:rPr>
          <w:rFonts w:ascii="仿宋" w:hAnsi="仿宋" w:eastAsia="仿宋" w:cs="仿宋"/>
          <w:sz w:val="24"/>
          <w:szCs w:val="24"/>
          <w:lang w:eastAsia="zh-CN"/>
        </w:rPr>
        <w:t>2.2</w:t>
      </w:r>
      <w:r>
        <w:rPr>
          <w:rFonts w:hint="eastAsia" w:ascii="仿宋" w:hAnsi="仿宋" w:eastAsia="仿宋" w:cs="仿宋"/>
          <w:sz w:val="24"/>
          <w:szCs w:val="24"/>
          <w:lang w:eastAsia="zh-CN"/>
        </w:rPr>
        <w:t>款赋予的约定一致。</w:t>
      </w:r>
    </w:p>
    <w:p w14:paraId="5973B08A">
      <w:pPr>
        <w:pStyle w:val="22"/>
        <w:tabs>
          <w:tab w:val="left" w:pos="1260"/>
        </w:tabs>
        <w:spacing w:line="400" w:lineRule="exact"/>
        <w:ind w:firstLine="480" w:firstLineChars="200"/>
        <w:rPr>
          <w:rFonts w:ascii="仿宋" w:hAnsi="仿宋" w:eastAsia="仿宋"/>
          <w:sz w:val="24"/>
          <w:szCs w:val="24"/>
          <w:lang w:eastAsia="zh-CN"/>
        </w:rPr>
      </w:pPr>
    </w:p>
    <w:p w14:paraId="244A53BE">
      <w:pPr>
        <w:spacing w:line="400" w:lineRule="exact"/>
        <w:ind w:firstLine="482" w:firstLineChars="200"/>
        <w:outlineLvl w:val="1"/>
        <w:rPr>
          <w:rFonts w:ascii="仿宋" w:hAnsi="仿宋" w:eastAsia="仿宋" w:cs="仿宋"/>
          <w:b/>
          <w:bCs/>
          <w:lang w:eastAsia="zh-CN"/>
        </w:rPr>
      </w:pPr>
      <w:bookmarkStart w:id="55" w:name="_Toc24613"/>
      <w:bookmarkStart w:id="56" w:name="_Toc25495"/>
      <w:bookmarkStart w:id="57" w:name="_Toc9609"/>
      <w:bookmarkStart w:id="58" w:name="_Toc194073100"/>
      <w:bookmarkStart w:id="59" w:name="_Toc13586"/>
      <w:r>
        <w:rPr>
          <w:rFonts w:hint="eastAsia" w:ascii="仿宋" w:hAnsi="仿宋" w:eastAsia="仿宋" w:cs="仿宋"/>
          <w:b/>
          <w:bCs/>
          <w:lang w:eastAsia="zh-CN"/>
        </w:rPr>
        <w:t>十一、词语含义</w:t>
      </w:r>
      <w:bookmarkEnd w:id="55"/>
      <w:bookmarkEnd w:id="56"/>
      <w:bookmarkEnd w:id="57"/>
      <w:bookmarkEnd w:id="58"/>
      <w:bookmarkEnd w:id="59"/>
    </w:p>
    <w:p w14:paraId="16CE1C08">
      <w:pPr>
        <w:pStyle w:val="18"/>
        <w:spacing w:line="400" w:lineRule="exact"/>
        <w:ind w:firstLine="480" w:firstLineChars="200"/>
        <w:rPr>
          <w:rFonts w:ascii="仿宋" w:hAnsi="仿宋" w:eastAsia="仿宋"/>
          <w:sz w:val="24"/>
          <w:szCs w:val="24"/>
          <w:lang w:eastAsia="zh-CN"/>
        </w:rPr>
      </w:pPr>
      <w:r>
        <w:rPr>
          <w:rFonts w:hint="eastAsia" w:ascii="仿宋" w:hAnsi="仿宋" w:eastAsia="仿宋" w:cs="仿宋"/>
          <w:sz w:val="24"/>
          <w:szCs w:val="24"/>
          <w:lang w:eastAsia="zh-CN"/>
        </w:rPr>
        <w:t>本协议书中有关词语含义与本合同第二部分《通用条款》第</w:t>
      </w:r>
      <w:r>
        <w:rPr>
          <w:rFonts w:ascii="仿宋" w:hAnsi="仿宋" w:eastAsia="仿宋" w:cs="仿宋"/>
          <w:sz w:val="24"/>
          <w:szCs w:val="24"/>
          <w:lang w:eastAsia="zh-CN"/>
        </w:rPr>
        <w:t>1</w:t>
      </w:r>
      <w:r>
        <w:rPr>
          <w:rFonts w:hint="eastAsia" w:ascii="仿宋" w:hAnsi="仿宋" w:eastAsia="仿宋" w:cs="仿宋"/>
          <w:sz w:val="24"/>
          <w:szCs w:val="24"/>
          <w:lang w:eastAsia="zh-CN"/>
        </w:rPr>
        <w:t>条赋予它们的定义相同。</w:t>
      </w:r>
    </w:p>
    <w:p w14:paraId="0CB7396E">
      <w:pPr>
        <w:pStyle w:val="18"/>
        <w:spacing w:line="400" w:lineRule="exact"/>
        <w:ind w:firstLine="480" w:firstLineChars="200"/>
        <w:rPr>
          <w:rFonts w:ascii="仿宋" w:hAnsi="仿宋" w:eastAsia="仿宋"/>
          <w:sz w:val="24"/>
          <w:szCs w:val="24"/>
          <w:lang w:eastAsia="zh-CN"/>
        </w:rPr>
      </w:pPr>
    </w:p>
    <w:p w14:paraId="48A15793">
      <w:pPr>
        <w:spacing w:line="400" w:lineRule="exact"/>
        <w:ind w:firstLine="482" w:firstLineChars="200"/>
        <w:outlineLvl w:val="1"/>
        <w:rPr>
          <w:rFonts w:ascii="仿宋" w:hAnsi="仿宋" w:eastAsia="仿宋" w:cs="仿宋"/>
          <w:b/>
          <w:bCs/>
          <w:lang w:eastAsia="zh-CN"/>
        </w:rPr>
      </w:pPr>
      <w:bookmarkStart w:id="60" w:name="_Toc24036"/>
      <w:bookmarkStart w:id="61" w:name="_Toc23335"/>
      <w:bookmarkStart w:id="62" w:name="_Toc14013"/>
      <w:bookmarkStart w:id="63" w:name="_Toc194073101"/>
      <w:bookmarkStart w:id="64" w:name="_Toc11015"/>
      <w:r>
        <w:rPr>
          <w:rFonts w:hint="eastAsia" w:ascii="仿宋" w:hAnsi="仿宋" w:eastAsia="仿宋" w:cs="仿宋"/>
          <w:b/>
          <w:bCs/>
          <w:lang w:eastAsia="zh-CN"/>
        </w:rPr>
        <w:t>十二、承诺</w:t>
      </w:r>
      <w:bookmarkEnd w:id="60"/>
      <w:bookmarkEnd w:id="61"/>
      <w:bookmarkEnd w:id="62"/>
      <w:bookmarkEnd w:id="63"/>
      <w:bookmarkEnd w:id="64"/>
    </w:p>
    <w:p w14:paraId="48D9C67C">
      <w:pPr>
        <w:widowControl w:val="0"/>
        <w:spacing w:line="400" w:lineRule="exact"/>
        <w:ind w:firstLine="480" w:firstLineChars="200"/>
        <w:rPr>
          <w:rFonts w:ascii="仿宋" w:hAnsi="仿宋" w:eastAsia="仿宋"/>
          <w:lang w:eastAsia="zh-CN"/>
        </w:rPr>
      </w:pPr>
      <w:r>
        <w:rPr>
          <w:rFonts w:hint="eastAsia" w:ascii="仿宋" w:hAnsi="仿宋" w:eastAsia="仿宋" w:cs="仿宋"/>
          <w:lang w:eastAsia="zh-CN"/>
        </w:rPr>
        <w:t>1.发包人承诺已阅读、理解并接受本合同所有条款，按照法律规定履行项目审批或备案手续、筹集工程建设资金，按照本合同约定的时限和方法支付工程款及其他应当支付的款项，履行本合同所约定的全部义务。</w:t>
      </w:r>
    </w:p>
    <w:p w14:paraId="0EC4C876">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t>2.承包人承诺已阅读、理解并接受本合同所有条款，按照法律规定及合同约定组织完成设计、采购、施工或设计、施工等阶段总承包内容，并对工程的质量、安全、工期和造价等全面负责，不进行转包及违法分包，并在缺陷责任期及保修期内承担相应的工程维修责任</w:t>
      </w:r>
      <w:r>
        <w:rPr>
          <w:rFonts w:ascii="仿宋" w:hAnsi="仿宋" w:eastAsia="仿宋" w:cs="仿宋"/>
          <w:lang w:eastAsia="zh-CN"/>
        </w:rPr>
        <w:t>,</w:t>
      </w:r>
      <w:r>
        <w:rPr>
          <w:rFonts w:hint="eastAsia" w:ascii="仿宋" w:hAnsi="仿宋" w:eastAsia="仿宋" w:cs="仿宋"/>
          <w:lang w:eastAsia="zh-CN"/>
        </w:rPr>
        <w:t>履行本合同所约定的全部义务。</w:t>
      </w:r>
    </w:p>
    <w:p w14:paraId="1D75720E">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t>若承包人为联合体的，联合体主办方对本项目的设计、进度、质量、安全、投资控制、管理、协调等负总责，同时，联合体各成员应当共同与发包人签订合同，并在联合体协议中明确联合体各成员彼此的责任和义务。各成员就其他成员的责任和义务向发包人承担不可撤销的连带责任。本合同各签约方同意并确认，承包人在承包人联合体内部关系的任何约定，均不具有对抗发包人的效力，而且，在本合同履行中，承包人联合体主办方代表承包人联合体接受指令，发包人向承包人联合体主办方发出的指令视为已向联合体各成员发出指令。承包人任一联合体成员其在本合同项下的任何作为或不作为，其效力均涉及于承包人联合体成员。</w:t>
      </w:r>
    </w:p>
    <w:p w14:paraId="4983AEE6">
      <w:pPr>
        <w:tabs>
          <w:tab w:val="left" w:pos="4970"/>
        </w:tabs>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3．签订合同后</w:t>
      </w:r>
      <w:r>
        <w:rPr>
          <w:rFonts w:ascii="仿宋" w:hAnsi="仿宋" w:eastAsia="仿宋" w:cs="仿宋"/>
          <w:u w:val="single"/>
          <w:lang w:eastAsia="zh-CN"/>
        </w:rPr>
        <w:t>10</w:t>
      </w:r>
      <w:r>
        <w:rPr>
          <w:rFonts w:hint="eastAsia" w:ascii="仿宋" w:hAnsi="仿宋" w:eastAsia="仿宋" w:cs="仿宋"/>
          <w:u w:val="single"/>
          <w:lang w:eastAsia="zh-CN"/>
        </w:rPr>
        <w:t>天内，承包人须向发包人提交承包人在政府相关部门指定的工资支付保证金托管专户的资金余额证明（复印件加盖公章），本合同履行期间发包人每月核查一次。（如需）</w:t>
      </w:r>
    </w:p>
    <w:p w14:paraId="09741FBE">
      <w:pPr>
        <w:spacing w:line="400" w:lineRule="exact"/>
        <w:ind w:firstLine="480"/>
        <w:rPr>
          <w:rFonts w:ascii="仿宋" w:hAnsi="仿宋" w:eastAsia="仿宋" w:cs="仿宋"/>
          <w:lang w:eastAsia="zh-CN"/>
        </w:rPr>
      </w:pPr>
      <w:r>
        <w:rPr>
          <w:rFonts w:hint="eastAsia" w:ascii="仿宋" w:hAnsi="仿宋" w:eastAsia="仿宋" w:cs="仿宋"/>
          <w:lang w:eastAsia="zh-CN"/>
        </w:rPr>
        <w:t xml:space="preserve">4.承包人承诺合同生效后，积极履行合同义务及职责，接受及认同发包人各项相关建设管理规定，包括但不限于管理制度、作业指导书、工作流程等。如承包人若未达到发包人相关建设管理要求，发包人有权要求承包人承担违约责任及赔偿损失。 </w:t>
      </w:r>
    </w:p>
    <w:p w14:paraId="17CD101C">
      <w:pPr>
        <w:spacing w:line="400" w:lineRule="exact"/>
        <w:ind w:firstLine="480"/>
        <w:rPr>
          <w:rFonts w:ascii="仿宋" w:hAnsi="仿宋" w:eastAsia="仿宋" w:cs="仿宋"/>
          <w:lang w:eastAsia="zh-CN"/>
        </w:rPr>
      </w:pPr>
      <w:r>
        <w:rPr>
          <w:rFonts w:hint="eastAsia" w:ascii="仿宋" w:hAnsi="仿宋" w:eastAsia="仿宋" w:cs="仿宋"/>
          <w:lang w:eastAsia="zh-CN"/>
        </w:rPr>
        <w:t>5.承包人承诺积极配合本工程设计顾问人、造价咨询人开展工作。</w:t>
      </w:r>
    </w:p>
    <w:p w14:paraId="7139F0D1">
      <w:pPr>
        <w:spacing w:line="400" w:lineRule="exact"/>
        <w:ind w:firstLine="480"/>
        <w:rPr>
          <w:rFonts w:ascii="仿宋" w:hAnsi="仿宋" w:eastAsia="仿宋" w:cs="仿宋"/>
          <w:lang w:eastAsia="zh-CN"/>
        </w:rPr>
      </w:pPr>
    </w:p>
    <w:p w14:paraId="7C7F3201">
      <w:pPr>
        <w:spacing w:line="400" w:lineRule="exact"/>
        <w:ind w:firstLine="482" w:firstLineChars="200"/>
        <w:outlineLvl w:val="1"/>
        <w:rPr>
          <w:rFonts w:ascii="仿宋" w:hAnsi="仿宋" w:eastAsia="仿宋" w:cs="仿宋"/>
          <w:b/>
          <w:bCs/>
          <w:lang w:eastAsia="zh-CN"/>
        </w:rPr>
      </w:pPr>
      <w:bookmarkStart w:id="65" w:name="_Toc9323"/>
      <w:bookmarkStart w:id="66" w:name="_Toc28759"/>
      <w:r>
        <w:rPr>
          <w:rFonts w:hint="eastAsia" w:ascii="仿宋" w:hAnsi="仿宋" w:eastAsia="仿宋" w:cs="仿宋"/>
          <w:b/>
          <w:bCs/>
          <w:lang w:eastAsia="zh-CN"/>
        </w:rPr>
        <w:t>十</w:t>
      </w:r>
      <w:r>
        <w:rPr>
          <w:rFonts w:ascii="仿宋" w:hAnsi="仿宋" w:eastAsia="仿宋" w:cs="仿宋"/>
          <w:b/>
          <w:bCs/>
          <w:lang w:eastAsia="zh-CN"/>
        </w:rPr>
        <w:t>三</w:t>
      </w:r>
      <w:r>
        <w:rPr>
          <w:rFonts w:hint="eastAsia" w:ascii="仿宋" w:hAnsi="仿宋" w:eastAsia="仿宋" w:cs="仿宋"/>
          <w:b/>
          <w:bCs/>
          <w:lang w:eastAsia="zh-CN"/>
        </w:rPr>
        <w:t>、合同生效</w:t>
      </w:r>
      <w:bookmarkEnd w:id="65"/>
      <w:bookmarkEnd w:id="66"/>
    </w:p>
    <w:p w14:paraId="5CA2F636">
      <w:pPr>
        <w:spacing w:line="400" w:lineRule="exact"/>
        <w:ind w:firstLine="480" w:firstLineChars="200"/>
        <w:rPr>
          <w:rFonts w:ascii="仿宋" w:hAnsi="仿宋" w:eastAsia="仿宋"/>
          <w:lang w:eastAsia="zh-CN"/>
        </w:rPr>
      </w:pPr>
      <w:r>
        <w:rPr>
          <w:rFonts w:hint="eastAsia" w:ascii="仿宋" w:hAnsi="仿宋" w:eastAsia="仿宋" w:cs="仿宋"/>
          <w:lang w:eastAsia="zh-CN"/>
        </w:rPr>
        <w:t>本合同订立时间：</w:t>
      </w:r>
      <w:r>
        <w:rPr>
          <w:rFonts w:ascii="仿宋" w:hAnsi="仿宋" w:eastAsia="仿宋" w:cs="仿宋"/>
          <w:u w:val="single"/>
          <w:lang w:eastAsia="zh-CN"/>
        </w:rPr>
        <w:t xml:space="preserve"> </w:t>
      </w:r>
      <w:r>
        <w:rPr>
          <w:rFonts w:hint="eastAsia" w:ascii="仿宋" w:hAnsi="仿宋" w:eastAsia="仿宋" w:cs="仿宋"/>
          <w:u w:val="single"/>
          <w:lang w:eastAsia="zh-CN"/>
        </w:rPr>
        <w:t>2025</w:t>
      </w:r>
      <w:r>
        <w:rPr>
          <w:rFonts w:ascii="仿宋" w:hAnsi="仿宋" w:eastAsia="仿宋" w:cs="仿宋"/>
          <w:u w:val="single"/>
          <w:lang w:eastAsia="zh-CN"/>
        </w:rPr>
        <w:t xml:space="preserve"> </w:t>
      </w:r>
      <w:r>
        <w:rPr>
          <w:rFonts w:hint="eastAsia" w:ascii="仿宋" w:hAnsi="仿宋" w:eastAsia="仿宋" w:cs="仿宋"/>
          <w:lang w:eastAsia="zh-CN"/>
        </w:rPr>
        <w:t>年</w:t>
      </w:r>
      <w:r>
        <w:rPr>
          <w:rFonts w:ascii="仿宋" w:hAnsi="仿宋" w:eastAsia="仿宋" w:cs="仿宋"/>
          <w:u w:val="single"/>
          <w:lang w:eastAsia="zh-CN"/>
        </w:rPr>
        <w:t xml:space="preserve">       </w:t>
      </w:r>
      <w:r>
        <w:rPr>
          <w:rFonts w:hint="eastAsia" w:ascii="仿宋" w:hAnsi="仿宋" w:eastAsia="仿宋" w:cs="仿宋"/>
          <w:lang w:eastAsia="zh-CN"/>
        </w:rPr>
        <w:t>月</w:t>
      </w:r>
      <w:r>
        <w:rPr>
          <w:rFonts w:ascii="仿宋" w:hAnsi="仿宋" w:eastAsia="仿宋" w:cs="仿宋"/>
          <w:u w:val="single"/>
          <w:lang w:eastAsia="zh-CN"/>
        </w:rPr>
        <w:t xml:space="preserve">       </w:t>
      </w:r>
      <w:r>
        <w:rPr>
          <w:rFonts w:hint="eastAsia" w:ascii="仿宋" w:hAnsi="仿宋" w:eastAsia="仿宋" w:cs="仿宋"/>
          <w:lang w:eastAsia="zh-CN"/>
        </w:rPr>
        <w:t>日</w:t>
      </w:r>
    </w:p>
    <w:p w14:paraId="5FF424AC">
      <w:pPr>
        <w:spacing w:line="400" w:lineRule="exact"/>
        <w:ind w:firstLine="480" w:firstLineChars="200"/>
        <w:rPr>
          <w:rFonts w:ascii="仿宋" w:hAnsi="仿宋" w:eastAsia="仿宋" w:cs="仿宋"/>
          <w:u w:val="single"/>
          <w:lang w:eastAsia="zh-CN"/>
        </w:rPr>
      </w:pPr>
      <w:r>
        <w:rPr>
          <w:rFonts w:hint="eastAsia" w:ascii="仿宋" w:hAnsi="仿宋" w:eastAsia="仿宋" w:cs="仿宋"/>
          <w:lang w:eastAsia="zh-CN"/>
        </w:rPr>
        <w:t>本合同订立地点：</w:t>
      </w:r>
      <w:r>
        <w:rPr>
          <w:rFonts w:ascii="仿宋" w:hAnsi="仿宋" w:eastAsia="仿宋" w:cs="仿宋"/>
          <w:u w:val="single"/>
          <w:lang w:eastAsia="zh-CN"/>
        </w:rPr>
        <w:t xml:space="preserve">  </w:t>
      </w:r>
      <w:r>
        <w:rPr>
          <w:rFonts w:hint="eastAsia" w:ascii="仿宋" w:hAnsi="仿宋" w:eastAsia="仿宋" w:cs="仿宋"/>
          <w:u w:val="single"/>
          <w:lang w:eastAsia="zh-CN"/>
        </w:rPr>
        <w:t>广州市</w:t>
      </w:r>
      <w:r>
        <w:rPr>
          <w:rFonts w:ascii="仿宋" w:hAnsi="仿宋" w:eastAsia="仿宋" w:cs="仿宋"/>
          <w:u w:val="single"/>
          <w:lang w:eastAsia="zh-CN"/>
        </w:rPr>
        <w:t xml:space="preserve">         </w:t>
      </w:r>
    </w:p>
    <w:p w14:paraId="69272A18">
      <w:pPr>
        <w:spacing w:line="400" w:lineRule="exact"/>
        <w:ind w:firstLine="480" w:firstLineChars="200"/>
        <w:rPr>
          <w:rFonts w:ascii="仿宋" w:hAnsi="仿宋" w:eastAsia="仿宋" w:cs="仿宋"/>
          <w:u w:val="single"/>
          <w:lang w:eastAsia="zh-CN"/>
        </w:rPr>
      </w:pPr>
      <w:r>
        <w:rPr>
          <w:rFonts w:hint="eastAsia" w:ascii="仿宋" w:hAnsi="仿宋" w:eastAsia="仿宋" w:cs="仿宋"/>
          <w:lang w:eastAsia="zh-CN"/>
        </w:rPr>
        <w:t>合同双方当事人约定本合同自双方签字盖章后生效。</w:t>
      </w:r>
    </w:p>
    <w:p w14:paraId="05F37327">
      <w:pPr>
        <w:spacing w:line="400" w:lineRule="exact"/>
        <w:ind w:firstLine="482" w:firstLineChars="200"/>
        <w:rPr>
          <w:rFonts w:ascii="仿宋" w:hAnsi="仿宋" w:eastAsia="仿宋" w:cs="仿宋"/>
          <w:b/>
          <w:bCs/>
          <w:lang w:eastAsia="zh-CN"/>
        </w:rPr>
      </w:pPr>
    </w:p>
    <w:p w14:paraId="2D7D9538">
      <w:pPr>
        <w:spacing w:line="400" w:lineRule="exact"/>
        <w:ind w:firstLine="482" w:firstLineChars="200"/>
        <w:outlineLvl w:val="1"/>
        <w:rPr>
          <w:rFonts w:ascii="仿宋" w:hAnsi="仿宋" w:eastAsia="仿宋" w:cs="仿宋"/>
          <w:b/>
          <w:bCs/>
          <w:lang w:eastAsia="zh-CN"/>
        </w:rPr>
      </w:pPr>
      <w:bookmarkStart w:id="67" w:name="_Toc6786"/>
      <w:bookmarkStart w:id="68" w:name="_Toc137"/>
      <w:bookmarkStart w:id="69" w:name="_Toc194073103"/>
      <w:bookmarkStart w:id="70" w:name="_Toc22446"/>
      <w:bookmarkStart w:id="71" w:name="_Toc20623"/>
      <w:r>
        <w:rPr>
          <w:rFonts w:hint="eastAsia" w:ascii="仿宋" w:hAnsi="仿宋" w:eastAsia="仿宋" w:cs="仿宋"/>
          <w:b/>
          <w:bCs/>
          <w:lang w:eastAsia="zh-CN"/>
        </w:rPr>
        <w:t>十</w:t>
      </w:r>
      <w:r>
        <w:rPr>
          <w:rFonts w:ascii="仿宋" w:hAnsi="仿宋" w:eastAsia="仿宋" w:cs="仿宋"/>
          <w:b/>
          <w:bCs/>
          <w:lang w:eastAsia="zh-CN"/>
        </w:rPr>
        <w:t>四</w:t>
      </w:r>
      <w:r>
        <w:rPr>
          <w:rFonts w:hint="eastAsia" w:ascii="仿宋" w:hAnsi="仿宋" w:eastAsia="仿宋" w:cs="仿宋"/>
          <w:b/>
          <w:bCs/>
          <w:lang w:eastAsia="zh-CN"/>
        </w:rPr>
        <w:t>、合同份数</w:t>
      </w:r>
      <w:bookmarkEnd w:id="67"/>
      <w:bookmarkEnd w:id="68"/>
      <w:bookmarkEnd w:id="69"/>
      <w:bookmarkEnd w:id="70"/>
      <w:bookmarkEnd w:id="71"/>
    </w:p>
    <w:p w14:paraId="7FF7981C">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t>本合同正本</w:t>
      </w:r>
      <w:r>
        <w:rPr>
          <w:rFonts w:hint="eastAsia" w:ascii="仿宋" w:hAnsi="仿宋" w:eastAsia="仿宋" w:cs="仿宋"/>
          <w:u w:val="single"/>
          <w:lang w:eastAsia="zh-CN"/>
        </w:rPr>
        <w:t xml:space="preserve"> 肆  </w:t>
      </w:r>
      <w:r>
        <w:rPr>
          <w:rFonts w:hint="eastAsia" w:ascii="仿宋" w:hAnsi="仿宋" w:eastAsia="仿宋" w:cs="仿宋"/>
          <w:lang w:eastAsia="zh-CN"/>
        </w:rPr>
        <w:t>份，副本</w:t>
      </w:r>
      <w:r>
        <w:rPr>
          <w:rFonts w:hint="eastAsia" w:ascii="仿宋" w:hAnsi="仿宋" w:eastAsia="仿宋" w:cs="仿宋"/>
          <w:u w:val="single"/>
          <w:lang w:eastAsia="zh-CN"/>
        </w:rPr>
        <w:t xml:space="preserve"> 拾陆 </w:t>
      </w:r>
      <w:r>
        <w:rPr>
          <w:rFonts w:hint="eastAsia" w:ascii="仿宋" w:hAnsi="仿宋" w:eastAsia="仿宋" w:cs="仿宋"/>
          <w:lang w:eastAsia="zh-CN"/>
        </w:rPr>
        <w:t>份，具有同等法律效力，其中：</w:t>
      </w:r>
    </w:p>
    <w:p w14:paraId="2679C787">
      <w:pPr>
        <w:spacing w:line="400" w:lineRule="exact"/>
        <w:ind w:firstLine="480" w:firstLineChars="200"/>
        <w:rPr>
          <w:rFonts w:ascii="仿宋" w:hAnsi="仿宋" w:eastAsia="仿宋"/>
          <w:lang w:eastAsia="zh-CN"/>
        </w:rPr>
      </w:pPr>
      <w:r>
        <w:rPr>
          <w:rFonts w:hint="eastAsia" w:ascii="仿宋" w:hAnsi="仿宋" w:eastAsia="仿宋" w:cs="仿宋"/>
          <w:lang w:eastAsia="zh-CN"/>
        </w:rPr>
        <w:t>发包人正本</w:t>
      </w:r>
      <w:r>
        <w:rPr>
          <w:rFonts w:hint="eastAsia" w:ascii="仿宋" w:hAnsi="仿宋" w:eastAsia="仿宋" w:cs="仿宋"/>
          <w:u w:val="single"/>
          <w:lang w:eastAsia="zh-CN"/>
        </w:rPr>
        <w:t xml:space="preserve">  贰   </w:t>
      </w:r>
      <w:r>
        <w:rPr>
          <w:rFonts w:hint="eastAsia" w:ascii="仿宋" w:hAnsi="仿宋" w:eastAsia="仿宋" w:cs="仿宋"/>
          <w:lang w:eastAsia="zh-CN"/>
        </w:rPr>
        <w:t>份，副本</w:t>
      </w:r>
      <w:r>
        <w:rPr>
          <w:rFonts w:hint="eastAsia" w:ascii="仿宋" w:hAnsi="仿宋" w:eastAsia="仿宋" w:cs="仿宋"/>
          <w:u w:val="single"/>
          <w:lang w:eastAsia="zh-CN"/>
        </w:rPr>
        <w:t xml:space="preserve"> 捌 </w:t>
      </w:r>
      <w:r>
        <w:rPr>
          <w:rFonts w:hint="eastAsia" w:ascii="仿宋" w:hAnsi="仿宋" w:eastAsia="仿宋" w:cs="仿宋"/>
          <w:lang w:eastAsia="zh-CN"/>
        </w:rPr>
        <w:t>份；</w:t>
      </w:r>
    </w:p>
    <w:p w14:paraId="57D07579">
      <w:pPr>
        <w:spacing w:line="400" w:lineRule="exact"/>
        <w:ind w:firstLine="480" w:firstLineChars="200"/>
        <w:rPr>
          <w:lang w:eastAsia="zh-CN"/>
        </w:rPr>
      </w:pPr>
      <w:r>
        <w:rPr>
          <w:rFonts w:hint="eastAsia" w:ascii="仿宋" w:hAnsi="仿宋" w:eastAsia="仿宋" w:cs="仿宋"/>
          <w:lang w:eastAsia="zh-CN"/>
        </w:rPr>
        <w:t>承包人正本</w:t>
      </w:r>
      <w:r>
        <w:rPr>
          <w:rFonts w:hint="eastAsia" w:ascii="仿宋" w:hAnsi="仿宋" w:eastAsia="仿宋" w:cs="仿宋"/>
          <w:u w:val="single"/>
          <w:lang w:eastAsia="zh-CN"/>
        </w:rPr>
        <w:t xml:space="preserve">  贰  </w:t>
      </w:r>
      <w:r>
        <w:rPr>
          <w:rFonts w:hint="eastAsia" w:ascii="仿宋" w:hAnsi="仿宋" w:eastAsia="仿宋" w:cs="仿宋"/>
          <w:lang w:eastAsia="zh-CN"/>
        </w:rPr>
        <w:t>份，副本</w:t>
      </w:r>
      <w:r>
        <w:rPr>
          <w:rFonts w:hint="eastAsia" w:ascii="仿宋" w:hAnsi="仿宋" w:eastAsia="仿宋" w:cs="仿宋"/>
          <w:u w:val="single"/>
          <w:lang w:eastAsia="zh-CN"/>
        </w:rPr>
        <w:t xml:space="preserve"> 捌 </w:t>
      </w:r>
      <w:r>
        <w:rPr>
          <w:rFonts w:hint="eastAsia" w:ascii="仿宋" w:hAnsi="仿宋" w:eastAsia="仿宋" w:cs="仿宋"/>
          <w:lang w:eastAsia="zh-CN"/>
        </w:rPr>
        <w:t>份。</w:t>
      </w:r>
    </w:p>
    <w:p w14:paraId="1E23D75E">
      <w:pPr>
        <w:spacing w:line="400" w:lineRule="exact"/>
        <w:ind w:left="6240" w:leftChars="200" w:hanging="5760" w:hangingChars="2400"/>
        <w:rPr>
          <w:rFonts w:ascii="仿宋" w:hAnsi="仿宋" w:eastAsia="仿宋" w:cs="仿宋"/>
          <w:lang w:eastAsia="zh-CN"/>
        </w:rPr>
      </w:pPr>
      <w:r>
        <w:rPr>
          <w:rFonts w:hint="eastAsia" w:ascii="仿宋" w:hAnsi="仿宋" w:eastAsia="仿宋" w:cs="仿宋"/>
          <w:lang w:eastAsia="zh-CN"/>
        </w:rPr>
        <w:t>（以下无正文）</w:t>
      </w:r>
    </w:p>
    <w:p w14:paraId="46A36730">
      <w:pPr>
        <w:spacing w:line="400" w:lineRule="exact"/>
        <w:ind w:left="6240" w:leftChars="200" w:hanging="5760" w:hangingChars="2400"/>
        <w:rPr>
          <w:rFonts w:ascii="仿宋" w:hAnsi="仿宋" w:eastAsia="仿宋" w:cs="仿宋"/>
          <w:lang w:eastAsia="zh-CN"/>
        </w:rPr>
      </w:pPr>
    </w:p>
    <w:p w14:paraId="78B4A790">
      <w:pPr>
        <w:spacing w:line="400" w:lineRule="exact"/>
        <w:ind w:left="6240" w:leftChars="200" w:hanging="5760" w:hangingChars="2400"/>
        <w:rPr>
          <w:rFonts w:ascii="仿宋" w:hAnsi="仿宋" w:eastAsia="仿宋" w:cs="仿宋"/>
          <w:lang w:eastAsia="zh-CN"/>
        </w:rPr>
      </w:pPr>
    </w:p>
    <w:p w14:paraId="6F18B912">
      <w:pPr>
        <w:spacing w:line="400" w:lineRule="exact"/>
        <w:ind w:left="6240" w:leftChars="200" w:hanging="5760" w:hangingChars="2400"/>
        <w:rPr>
          <w:rFonts w:ascii="仿宋" w:hAnsi="仿宋" w:eastAsia="仿宋" w:cs="仿宋"/>
          <w:lang w:eastAsia="zh-CN"/>
        </w:rPr>
      </w:pPr>
    </w:p>
    <w:p w14:paraId="6E5A10AB">
      <w:pPr>
        <w:spacing w:line="400" w:lineRule="exact"/>
        <w:ind w:left="6240" w:leftChars="200" w:hanging="5760" w:hangingChars="2400"/>
        <w:rPr>
          <w:rFonts w:ascii="仿宋" w:hAnsi="仿宋" w:eastAsia="仿宋" w:cs="仿宋"/>
          <w:lang w:eastAsia="zh-CN"/>
        </w:rPr>
      </w:pPr>
    </w:p>
    <w:p w14:paraId="61C42C47">
      <w:pPr>
        <w:spacing w:line="400" w:lineRule="exact"/>
        <w:ind w:left="6240" w:leftChars="200" w:hanging="5760" w:hangingChars="2400"/>
        <w:rPr>
          <w:rFonts w:ascii="仿宋" w:hAnsi="仿宋" w:eastAsia="仿宋" w:cs="仿宋"/>
          <w:lang w:eastAsia="zh-CN"/>
        </w:rPr>
      </w:pPr>
    </w:p>
    <w:p w14:paraId="5A0EC6A2">
      <w:pPr>
        <w:spacing w:line="400" w:lineRule="exact"/>
        <w:ind w:left="6240" w:leftChars="200" w:hanging="5760" w:hangingChars="2400"/>
        <w:rPr>
          <w:rFonts w:ascii="仿宋" w:hAnsi="仿宋" w:eastAsia="仿宋" w:cs="仿宋"/>
          <w:lang w:eastAsia="zh-CN"/>
        </w:rPr>
      </w:pPr>
    </w:p>
    <w:p w14:paraId="1A296C6F">
      <w:pPr>
        <w:spacing w:line="400" w:lineRule="exact"/>
        <w:ind w:left="6240" w:leftChars="200" w:hanging="5760" w:hangingChars="2400"/>
        <w:rPr>
          <w:rFonts w:ascii="仿宋" w:hAnsi="仿宋" w:eastAsia="仿宋" w:cs="仿宋"/>
          <w:lang w:eastAsia="zh-CN"/>
        </w:rPr>
      </w:pPr>
      <w:r>
        <w:rPr>
          <w:rFonts w:hint="eastAsia" w:ascii="仿宋" w:hAnsi="仿宋" w:eastAsia="仿宋" w:cs="仿宋"/>
          <w:lang w:eastAsia="zh-CN"/>
        </w:rPr>
        <w:t>签署页</w:t>
      </w:r>
    </w:p>
    <w:p w14:paraId="2FA86BAF">
      <w:pPr>
        <w:spacing w:line="400" w:lineRule="exact"/>
        <w:ind w:left="6240" w:leftChars="200" w:hanging="5760" w:hangingChars="2400"/>
        <w:rPr>
          <w:rFonts w:ascii="仿宋" w:hAnsi="仿宋" w:eastAsia="仿宋"/>
          <w:lang w:eastAsia="zh-CN"/>
        </w:rPr>
      </w:pPr>
      <w:r>
        <w:rPr>
          <w:rFonts w:hint="eastAsia" w:ascii="仿宋" w:hAnsi="仿宋" w:eastAsia="仿宋" w:cs="仿宋"/>
          <w:lang w:eastAsia="zh-CN"/>
        </w:rPr>
        <w:t>发包人：（盖章）     有限公司         承包人（单一承包人或联合体牵头单位）：（盖章）</w:t>
      </w:r>
    </w:p>
    <w:p w14:paraId="1C8B5F3A">
      <w:pPr>
        <w:spacing w:line="400" w:lineRule="exact"/>
        <w:ind w:firstLine="480" w:firstLineChars="200"/>
        <w:rPr>
          <w:rFonts w:ascii="仿宋" w:hAnsi="仿宋" w:eastAsia="仿宋"/>
          <w:lang w:eastAsia="zh-CN"/>
        </w:rPr>
      </w:pPr>
      <w:r>
        <w:rPr>
          <w:rFonts w:hint="eastAsia" w:ascii="仿宋" w:hAnsi="仿宋" w:eastAsia="仿宋" w:cs="仿宋"/>
          <w:lang w:eastAsia="zh-CN"/>
        </w:rPr>
        <w:t>联系地址：</w:t>
      </w:r>
      <w:r>
        <w:rPr>
          <w:rFonts w:ascii="仿宋" w:hAnsi="仿宋" w:eastAsia="仿宋" w:cs="仿宋"/>
          <w:lang w:eastAsia="zh-CN"/>
        </w:rPr>
        <w:t xml:space="preserve">                          </w:t>
      </w:r>
      <w:r>
        <w:rPr>
          <w:rFonts w:hint="eastAsia" w:ascii="仿宋" w:hAnsi="仿宋" w:eastAsia="仿宋" w:cs="仿宋"/>
          <w:lang w:eastAsia="zh-CN"/>
        </w:rPr>
        <w:t xml:space="preserve"> 联系地址：</w:t>
      </w:r>
    </w:p>
    <w:p w14:paraId="5AB0E060">
      <w:pPr>
        <w:spacing w:line="400" w:lineRule="exact"/>
        <w:ind w:firstLine="480" w:firstLineChars="200"/>
        <w:rPr>
          <w:rFonts w:ascii="仿宋" w:hAnsi="仿宋" w:eastAsia="仿宋"/>
          <w:lang w:eastAsia="zh-CN"/>
        </w:rPr>
      </w:pPr>
      <w:r>
        <w:rPr>
          <w:rFonts w:hint="eastAsia" w:ascii="仿宋" w:hAnsi="仿宋" w:eastAsia="仿宋" w:cs="仿宋"/>
          <w:lang w:eastAsia="zh-CN"/>
        </w:rPr>
        <w:t>法定代表人：</w:t>
      </w:r>
      <w:r>
        <w:rPr>
          <w:rFonts w:ascii="仿宋" w:hAnsi="仿宋" w:eastAsia="仿宋" w:cs="仿宋"/>
          <w:lang w:eastAsia="zh-CN"/>
        </w:rPr>
        <w:t xml:space="preserve">                         </w:t>
      </w:r>
      <w:r>
        <w:rPr>
          <w:rFonts w:hint="eastAsia" w:ascii="仿宋" w:hAnsi="仿宋" w:eastAsia="仿宋" w:cs="仿宋"/>
          <w:lang w:eastAsia="zh-CN"/>
        </w:rPr>
        <w:t>法定代表人：</w:t>
      </w:r>
    </w:p>
    <w:p w14:paraId="3B99AD2C">
      <w:pPr>
        <w:spacing w:line="400" w:lineRule="exact"/>
        <w:ind w:firstLine="480" w:firstLineChars="200"/>
        <w:rPr>
          <w:rFonts w:ascii="仿宋" w:hAnsi="仿宋" w:eastAsia="仿宋"/>
          <w:lang w:eastAsia="zh-CN"/>
        </w:rPr>
      </w:pPr>
      <w:r>
        <w:rPr>
          <w:rFonts w:hint="eastAsia" w:ascii="仿宋" w:hAnsi="仿宋" w:eastAsia="仿宋" w:cs="仿宋"/>
          <w:lang w:eastAsia="zh-CN"/>
        </w:rPr>
        <w:t>或委托代理人：</w:t>
      </w:r>
      <w:r>
        <w:rPr>
          <w:rFonts w:ascii="仿宋" w:hAnsi="仿宋" w:eastAsia="仿宋" w:cs="仿宋"/>
          <w:lang w:eastAsia="zh-CN"/>
        </w:rPr>
        <w:t xml:space="preserve">                       </w:t>
      </w:r>
      <w:r>
        <w:rPr>
          <w:rFonts w:hint="eastAsia" w:ascii="仿宋" w:hAnsi="仿宋" w:eastAsia="仿宋" w:cs="仿宋"/>
          <w:lang w:eastAsia="zh-CN"/>
        </w:rPr>
        <w:t>或委托代理人：</w:t>
      </w:r>
    </w:p>
    <w:p w14:paraId="5BCB5185">
      <w:pPr>
        <w:tabs>
          <w:tab w:val="left" w:pos="4820"/>
        </w:tabs>
        <w:spacing w:line="400" w:lineRule="exact"/>
        <w:ind w:firstLine="480" w:firstLineChars="200"/>
        <w:rPr>
          <w:rFonts w:ascii="仿宋" w:hAnsi="仿宋" w:eastAsia="仿宋"/>
          <w:lang w:eastAsia="zh-CN"/>
        </w:rPr>
      </w:pPr>
      <w:r>
        <w:rPr>
          <w:rFonts w:hint="eastAsia" w:ascii="仿宋" w:hAnsi="仿宋" w:eastAsia="仿宋" w:cs="仿宋"/>
          <w:lang w:eastAsia="zh-CN"/>
        </w:rPr>
        <w:t xml:space="preserve">             </w:t>
      </w:r>
      <w:r>
        <w:rPr>
          <w:rFonts w:ascii="仿宋" w:hAnsi="仿宋" w:eastAsia="仿宋" w:cs="仿宋"/>
          <w:lang w:eastAsia="zh-CN"/>
        </w:rPr>
        <w:t xml:space="preserve">                        </w:t>
      </w:r>
      <w:r>
        <w:rPr>
          <w:rFonts w:hint="eastAsia" w:ascii="仿宋" w:hAnsi="仿宋" w:eastAsia="仿宋" w:cs="仿宋"/>
          <w:lang w:eastAsia="zh-CN"/>
        </w:rPr>
        <w:t>开户银行：</w:t>
      </w:r>
    </w:p>
    <w:p w14:paraId="0960FC16">
      <w:pPr>
        <w:tabs>
          <w:tab w:val="left" w:pos="4820"/>
        </w:tabs>
        <w:spacing w:line="400" w:lineRule="exact"/>
        <w:ind w:firstLine="480" w:firstLineChars="200"/>
        <w:rPr>
          <w:rFonts w:ascii="仿宋" w:hAnsi="仿宋" w:eastAsia="仿宋"/>
          <w:lang w:eastAsia="zh-CN"/>
        </w:rPr>
      </w:pPr>
      <w:r>
        <w:rPr>
          <w:rFonts w:hint="eastAsia" w:ascii="仿宋" w:hAnsi="仿宋" w:eastAsia="仿宋" w:cs="仿宋"/>
          <w:lang w:eastAsia="zh-CN"/>
        </w:rPr>
        <w:t xml:space="preserve">              </w:t>
      </w:r>
      <w:r>
        <w:rPr>
          <w:rFonts w:ascii="仿宋" w:hAnsi="仿宋" w:eastAsia="仿宋" w:cs="仿宋"/>
          <w:lang w:eastAsia="zh-CN"/>
        </w:rPr>
        <w:t xml:space="preserve">                       </w:t>
      </w:r>
      <w:r>
        <w:rPr>
          <w:rFonts w:hint="eastAsia" w:ascii="仿宋" w:hAnsi="仿宋" w:eastAsia="仿宋" w:cs="仿宋"/>
          <w:lang w:eastAsia="zh-CN"/>
        </w:rPr>
        <w:t>帐</w:t>
      </w:r>
      <w:r>
        <w:rPr>
          <w:rFonts w:ascii="仿宋" w:hAnsi="仿宋" w:eastAsia="仿宋" w:cs="仿宋"/>
          <w:lang w:eastAsia="zh-CN"/>
        </w:rPr>
        <w:t xml:space="preserve">    </w:t>
      </w:r>
      <w:r>
        <w:rPr>
          <w:rFonts w:hint="eastAsia" w:ascii="仿宋" w:hAnsi="仿宋" w:eastAsia="仿宋" w:cs="仿宋"/>
          <w:lang w:eastAsia="zh-CN"/>
        </w:rPr>
        <w:t>号：</w:t>
      </w:r>
    </w:p>
    <w:p w14:paraId="1C8BEFFD">
      <w:pPr>
        <w:spacing w:line="400" w:lineRule="exact"/>
        <w:ind w:firstLine="480" w:firstLineChars="200"/>
        <w:rPr>
          <w:rFonts w:ascii="仿宋" w:hAnsi="仿宋" w:eastAsia="仿宋" w:cs="仿宋"/>
          <w:lang w:eastAsia="zh-CN"/>
        </w:rPr>
      </w:pPr>
    </w:p>
    <w:p w14:paraId="1B5D0925">
      <w:pPr>
        <w:spacing w:line="400" w:lineRule="exact"/>
        <w:ind w:firstLine="480" w:firstLineChars="200"/>
        <w:rPr>
          <w:rFonts w:ascii="仿宋" w:hAnsi="仿宋" w:eastAsia="仿宋" w:cs="仿宋"/>
          <w:lang w:eastAsia="zh-CN"/>
        </w:rPr>
      </w:pPr>
    </w:p>
    <w:p w14:paraId="4FFE3344">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t xml:space="preserve">承包人（联合体成员单位）：（盖章）   </w:t>
      </w:r>
    </w:p>
    <w:p w14:paraId="7DDF28F6">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t>联系地址：</w:t>
      </w:r>
      <w:r>
        <w:rPr>
          <w:rFonts w:ascii="仿宋" w:hAnsi="仿宋" w:eastAsia="仿宋" w:cs="仿宋"/>
          <w:lang w:eastAsia="zh-CN"/>
        </w:rPr>
        <w:t xml:space="preserve">                         </w:t>
      </w:r>
    </w:p>
    <w:p w14:paraId="1312D551">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t>法定代表人：</w:t>
      </w:r>
      <w:r>
        <w:rPr>
          <w:rFonts w:ascii="仿宋" w:hAnsi="仿宋" w:eastAsia="仿宋" w:cs="仿宋"/>
          <w:lang w:eastAsia="zh-CN"/>
        </w:rPr>
        <w:t xml:space="preserve">          </w:t>
      </w:r>
    </w:p>
    <w:p w14:paraId="024CA708">
      <w:pPr>
        <w:tabs>
          <w:tab w:val="left" w:pos="4820"/>
        </w:tabs>
        <w:spacing w:line="400" w:lineRule="exact"/>
        <w:ind w:firstLine="480" w:firstLineChars="200"/>
        <w:rPr>
          <w:rFonts w:ascii="仿宋" w:hAnsi="仿宋" w:eastAsia="仿宋" w:cs="仿宋"/>
          <w:lang w:eastAsia="zh-CN"/>
        </w:rPr>
      </w:pPr>
      <w:r>
        <w:rPr>
          <w:rFonts w:hint="eastAsia" w:ascii="仿宋" w:hAnsi="仿宋" w:eastAsia="仿宋" w:cs="仿宋"/>
          <w:lang w:eastAsia="zh-CN"/>
        </w:rPr>
        <w:t>或委托代理人：</w:t>
      </w:r>
      <w:r>
        <w:rPr>
          <w:rFonts w:ascii="仿宋" w:hAnsi="仿宋" w:eastAsia="仿宋" w:cs="仿宋"/>
          <w:lang w:eastAsia="zh-CN"/>
        </w:rPr>
        <w:t xml:space="preserve"> </w:t>
      </w:r>
    </w:p>
    <w:p w14:paraId="0A126E1B">
      <w:pPr>
        <w:tabs>
          <w:tab w:val="left" w:pos="4820"/>
        </w:tabs>
        <w:spacing w:line="400" w:lineRule="exact"/>
        <w:ind w:firstLine="480" w:firstLineChars="200"/>
        <w:rPr>
          <w:rFonts w:ascii="仿宋" w:hAnsi="仿宋" w:eastAsia="仿宋" w:cs="仿宋"/>
          <w:lang w:eastAsia="zh-CN"/>
        </w:rPr>
      </w:pPr>
      <w:r>
        <w:rPr>
          <w:rFonts w:hint="eastAsia" w:ascii="仿宋" w:hAnsi="仿宋" w:eastAsia="仿宋" w:cs="仿宋"/>
          <w:lang w:eastAsia="zh-CN"/>
        </w:rPr>
        <w:t>开户银行：</w:t>
      </w:r>
    </w:p>
    <w:p w14:paraId="21535068">
      <w:pPr>
        <w:tabs>
          <w:tab w:val="left" w:pos="4820"/>
        </w:tabs>
        <w:spacing w:line="400" w:lineRule="exact"/>
        <w:ind w:firstLine="480" w:firstLineChars="200"/>
        <w:rPr>
          <w:rFonts w:ascii="仿宋" w:hAnsi="仿宋" w:eastAsia="仿宋" w:cs="仿宋"/>
          <w:lang w:eastAsia="zh-CN"/>
        </w:rPr>
      </w:pPr>
      <w:r>
        <w:rPr>
          <w:rFonts w:hint="eastAsia" w:ascii="仿宋" w:hAnsi="仿宋" w:eastAsia="仿宋" w:cs="仿宋"/>
          <w:lang w:eastAsia="zh-CN"/>
        </w:rPr>
        <w:t>帐    号：</w:t>
      </w:r>
    </w:p>
    <w:p w14:paraId="79DF16FC">
      <w:pPr>
        <w:tabs>
          <w:tab w:val="left" w:pos="4820"/>
        </w:tabs>
        <w:spacing w:line="400" w:lineRule="exact"/>
        <w:ind w:firstLine="480" w:firstLineChars="200"/>
        <w:rPr>
          <w:rFonts w:ascii="仿宋" w:hAnsi="仿宋" w:eastAsia="仿宋" w:cs="仿宋"/>
          <w:lang w:eastAsia="zh-CN"/>
        </w:rPr>
        <w:sectPr>
          <w:footerReference r:id="rId8" w:type="first"/>
          <w:footerReference r:id="rId7" w:type="default"/>
          <w:pgSz w:w="11906" w:h="16838"/>
          <w:pgMar w:top="1417" w:right="1417" w:bottom="1417" w:left="1417" w:header="851" w:footer="523" w:gutter="0"/>
          <w:pgNumType w:start="1"/>
          <w:cols w:space="720" w:num="1"/>
          <w:docGrid w:type="lines" w:linePitch="312" w:charSpace="0"/>
        </w:sectPr>
      </w:pPr>
    </w:p>
    <w:p w14:paraId="454988D4">
      <w:pPr>
        <w:spacing w:line="360" w:lineRule="auto"/>
        <w:jc w:val="center"/>
        <w:outlineLvl w:val="0"/>
        <w:rPr>
          <w:rFonts w:ascii="宋体"/>
          <w:b/>
          <w:bCs/>
          <w:sz w:val="36"/>
          <w:szCs w:val="36"/>
          <w:lang w:eastAsia="zh-CN"/>
        </w:rPr>
      </w:pPr>
      <w:bookmarkStart w:id="72" w:name="_Toc194073104"/>
      <w:bookmarkStart w:id="73" w:name="_Toc722"/>
      <w:bookmarkStart w:id="74" w:name="_Toc469383978"/>
      <w:bookmarkStart w:id="75" w:name="_Toc29676"/>
      <w:bookmarkStart w:id="76" w:name="_Toc28257"/>
      <w:r>
        <w:rPr>
          <w:rFonts w:hint="eastAsia" w:ascii="宋体" w:hAnsi="宋体" w:cs="宋体"/>
          <w:b/>
          <w:bCs/>
          <w:sz w:val="36"/>
          <w:szCs w:val="36"/>
          <w:lang w:eastAsia="zh-CN"/>
        </w:rPr>
        <w:t>第二部分</w:t>
      </w:r>
      <w:r>
        <w:rPr>
          <w:rFonts w:ascii="宋体" w:hAnsi="宋体" w:cs="宋体"/>
          <w:b/>
          <w:bCs/>
          <w:sz w:val="36"/>
          <w:szCs w:val="36"/>
          <w:lang w:eastAsia="zh-CN"/>
        </w:rPr>
        <w:t xml:space="preserve">  </w:t>
      </w:r>
      <w:r>
        <w:rPr>
          <w:rFonts w:hint="eastAsia" w:ascii="宋体" w:hAnsi="宋体" w:cs="宋体"/>
          <w:b/>
          <w:bCs/>
          <w:sz w:val="36"/>
          <w:szCs w:val="36"/>
          <w:lang w:eastAsia="zh-CN"/>
        </w:rPr>
        <w:t>通用条款</w:t>
      </w:r>
      <w:bookmarkEnd w:id="72"/>
      <w:bookmarkEnd w:id="73"/>
      <w:bookmarkEnd w:id="74"/>
      <w:bookmarkEnd w:id="75"/>
      <w:bookmarkEnd w:id="76"/>
    </w:p>
    <w:p w14:paraId="79DF33BE">
      <w:pPr>
        <w:pStyle w:val="22"/>
        <w:adjustRightInd w:val="0"/>
        <w:snapToGrid w:val="0"/>
        <w:rPr>
          <w:rFonts w:hAnsi="宋体"/>
          <w:sz w:val="32"/>
          <w:szCs w:val="32"/>
          <w:lang w:eastAsia="zh-CN"/>
        </w:rPr>
      </w:pPr>
    </w:p>
    <w:p w14:paraId="44544285">
      <w:pPr>
        <w:pStyle w:val="22"/>
        <w:adjustRightInd w:val="0"/>
        <w:snapToGrid w:val="0"/>
        <w:jc w:val="center"/>
        <w:outlineLvl w:val="1"/>
        <w:rPr>
          <w:rFonts w:hAnsi="宋体"/>
          <w:b/>
          <w:bCs/>
          <w:sz w:val="32"/>
          <w:szCs w:val="32"/>
          <w:lang w:eastAsia="zh-CN"/>
        </w:rPr>
      </w:pPr>
      <w:bookmarkStart w:id="77" w:name="_Toc15441"/>
      <w:bookmarkStart w:id="78" w:name="_Toc13148"/>
      <w:bookmarkStart w:id="79" w:name="_Toc194073105"/>
      <w:bookmarkStart w:id="80" w:name="_Toc469383979"/>
      <w:bookmarkStart w:id="81" w:name="_Toc11434"/>
      <w:r>
        <w:rPr>
          <w:rFonts w:hint="eastAsia" w:hAnsi="宋体"/>
          <w:b/>
          <w:bCs/>
          <w:sz w:val="32"/>
          <w:szCs w:val="32"/>
          <w:lang w:eastAsia="zh-CN"/>
        </w:rPr>
        <w:t>一、总</w:t>
      </w:r>
      <w:r>
        <w:rPr>
          <w:rFonts w:hAnsi="宋体"/>
          <w:b/>
          <w:bCs/>
          <w:sz w:val="32"/>
          <w:szCs w:val="32"/>
          <w:lang w:eastAsia="zh-CN"/>
        </w:rPr>
        <w:t xml:space="preserve">  </w:t>
      </w:r>
      <w:r>
        <w:rPr>
          <w:rFonts w:hint="eastAsia" w:hAnsi="宋体"/>
          <w:b/>
          <w:bCs/>
          <w:sz w:val="32"/>
          <w:szCs w:val="32"/>
          <w:lang w:eastAsia="zh-CN"/>
        </w:rPr>
        <w:t>则</w:t>
      </w:r>
      <w:bookmarkEnd w:id="77"/>
      <w:bookmarkEnd w:id="78"/>
      <w:bookmarkEnd w:id="79"/>
      <w:bookmarkEnd w:id="80"/>
      <w:bookmarkEnd w:id="81"/>
    </w:p>
    <w:p w14:paraId="2BCA6833">
      <w:pPr>
        <w:pStyle w:val="22"/>
        <w:adjustRightInd w:val="0"/>
        <w:snapToGrid w:val="0"/>
        <w:spacing w:line="360" w:lineRule="auto"/>
        <w:jc w:val="center"/>
        <w:rPr>
          <w:rFonts w:hAnsi="宋体"/>
          <w:b/>
          <w:bCs/>
          <w:sz w:val="32"/>
          <w:szCs w:val="32"/>
          <w:lang w:eastAsia="zh-CN"/>
        </w:rPr>
      </w:pPr>
    </w:p>
    <w:p w14:paraId="32EB1CD1">
      <w:pPr>
        <w:pStyle w:val="22"/>
        <w:widowControl w:val="0"/>
        <w:tabs>
          <w:tab w:val="left" w:pos="900"/>
          <w:tab w:val="left" w:pos="1080"/>
        </w:tabs>
        <w:spacing w:line="400" w:lineRule="exact"/>
        <w:ind w:firstLine="1928" w:firstLineChars="800"/>
        <w:jc w:val="both"/>
        <w:outlineLvl w:val="2"/>
        <w:rPr>
          <w:rFonts w:ascii="仿宋" w:hAnsi="仿宋" w:eastAsia="仿宋"/>
          <w:b/>
          <w:bCs/>
          <w:sz w:val="24"/>
          <w:szCs w:val="24"/>
          <w:lang w:eastAsia="zh-CN"/>
        </w:rPr>
      </w:pPr>
      <w:bookmarkStart w:id="82" w:name="_Toc194073106"/>
      <w:bookmarkStart w:id="83" w:name="_Toc469383980"/>
      <w:bookmarkStart w:id="84" w:name="_Toc16446"/>
      <w:bookmarkStart w:id="85" w:name="_Toc3640"/>
      <w:bookmarkStart w:id="86" w:name="_Toc28929"/>
      <w:r>
        <w:rPr>
          <w:rFonts w:ascii="仿宋" w:hAnsi="仿宋" w:eastAsia="仿宋" w:cs="仿宋"/>
          <w:b/>
          <w:bCs/>
          <w:sz w:val="24"/>
          <w:szCs w:val="24"/>
          <w:lang w:eastAsia="zh-CN"/>
        </w:rPr>
        <w:t xml:space="preserve">1 </w:t>
      </w:r>
      <w:r>
        <w:rPr>
          <w:rFonts w:hint="eastAsia" w:ascii="仿宋" w:hAnsi="仿宋" w:eastAsia="仿宋" w:cs="仿宋"/>
          <w:b/>
          <w:bCs/>
          <w:sz w:val="24"/>
          <w:szCs w:val="24"/>
          <w:lang w:eastAsia="zh-CN"/>
        </w:rPr>
        <w:t>定义</w:t>
      </w:r>
      <w:bookmarkEnd w:id="82"/>
      <w:bookmarkEnd w:id="83"/>
      <w:bookmarkEnd w:id="84"/>
      <w:bookmarkEnd w:id="85"/>
      <w:bookmarkEnd w:id="86"/>
    </w:p>
    <w:p w14:paraId="167F021B">
      <w:pPr>
        <w:pStyle w:val="22"/>
        <w:widowControl w:val="0"/>
        <w:tabs>
          <w:tab w:val="left" w:pos="1260"/>
          <w:tab w:val="left" w:pos="2160"/>
        </w:tabs>
        <w:adjustRightIn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下列词语或措辞，除非特别说明，在本合同中均具有以下赋予的含义：</w:t>
      </w:r>
    </w:p>
    <w:p w14:paraId="38FB088C">
      <w:pPr>
        <w:pStyle w:val="22"/>
        <w:widowControl w:val="0"/>
        <w:tabs>
          <w:tab w:val="left" w:pos="1260"/>
          <w:tab w:val="left" w:pos="2160"/>
        </w:tabs>
        <w:adjustRightInd w:val="0"/>
        <w:spacing w:line="400" w:lineRule="exact"/>
        <w:ind w:left="1850" w:leftChars="771"/>
        <w:jc w:val="both"/>
        <w:rPr>
          <w:rFonts w:ascii="仿宋" w:hAnsi="仿宋" w:eastAsia="仿宋" w:cs="仿宋"/>
          <w:b/>
          <w:bCs/>
          <w:sz w:val="24"/>
          <w:szCs w:val="24"/>
          <w:lang w:eastAsia="zh-CN"/>
        </w:rPr>
      </w:pPr>
      <w:bookmarkStart w:id="87" w:name="_Toc4774"/>
      <w:r>
        <w:rPr>
          <w:rFonts w:hint="eastAsia" w:ascii="仿宋" w:hAnsi="仿宋" w:eastAsia="仿宋" w:cs="仿宋"/>
          <w:b/>
          <w:bCs/>
          <w:sz w:val="24"/>
          <w:szCs w:val="24"/>
          <w:lang w:eastAsia="zh-CN"/>
        </w:rPr>
        <w:t>1.1 合同文件</w:t>
      </w:r>
      <w:bookmarkEnd w:id="87"/>
    </w:p>
    <w:p w14:paraId="2308AA2F">
      <w:pPr>
        <w:pStyle w:val="22"/>
        <w:widowControl w:val="0"/>
        <w:tabs>
          <w:tab w:val="left" w:pos="1260"/>
          <w:tab w:val="left" w:pos="2160"/>
        </w:tabs>
        <w:adjustRightInd w:val="0"/>
        <w:spacing w:line="400" w:lineRule="exact"/>
        <w:ind w:left="1850" w:leftChars="771"/>
        <w:jc w:val="both"/>
        <w:rPr>
          <w:rFonts w:ascii="仿宋" w:hAnsi="仿宋" w:eastAsia="仿宋"/>
          <w:sz w:val="24"/>
          <w:szCs w:val="24"/>
          <w:u w:val="dotted"/>
          <w:lang w:eastAsia="zh-CN"/>
        </w:rPr>
      </w:pPr>
      <w:r>
        <w:rPr>
          <w:rFonts w:ascii="仿宋" w:hAnsi="仿宋" w:eastAsia="仿宋" w:cs="仿宋"/>
          <w:b/>
          <w:bCs/>
          <w:sz w:val="24"/>
          <w:szCs w:val="24"/>
          <w:lang w:eastAsia="zh-CN"/>
        </w:rPr>
        <w:t>1.1</w:t>
      </w:r>
      <w:r>
        <w:rPr>
          <w:rFonts w:hint="eastAsia" w:ascii="仿宋" w:hAnsi="仿宋" w:eastAsia="仿宋" w:cs="仿宋"/>
          <w:b/>
          <w:bCs/>
          <w:sz w:val="24"/>
          <w:szCs w:val="24"/>
          <w:lang w:eastAsia="zh-CN"/>
        </w:rPr>
        <w:t>.1</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合同：</w:t>
      </w:r>
      <w:r>
        <w:rPr>
          <w:rFonts w:hint="eastAsia" w:ascii="仿宋" w:hAnsi="仿宋" w:eastAsia="仿宋" w:cs="仿宋"/>
          <w:sz w:val="24"/>
          <w:szCs w:val="24"/>
          <w:lang w:eastAsia="zh-CN"/>
        </w:rPr>
        <w:t>指合同双方当事人为实施、完成并保修合同工程所订立的全部合同文件。合同文件由第</w:t>
      </w:r>
      <w:r>
        <w:rPr>
          <w:rFonts w:ascii="仿宋" w:hAnsi="仿宋" w:eastAsia="仿宋" w:cs="仿宋"/>
          <w:sz w:val="24"/>
          <w:szCs w:val="24"/>
          <w:lang w:eastAsia="zh-CN"/>
        </w:rPr>
        <w:t>2.2</w:t>
      </w:r>
      <w:r>
        <w:rPr>
          <w:rFonts w:hint="eastAsia" w:ascii="仿宋" w:hAnsi="仿宋" w:eastAsia="仿宋" w:cs="仿宋"/>
          <w:sz w:val="24"/>
          <w:szCs w:val="24"/>
          <w:lang w:eastAsia="zh-CN"/>
        </w:rPr>
        <w:t>款所列的文件组成。</w:t>
      </w:r>
    </w:p>
    <w:p w14:paraId="3989C92F">
      <w:pPr>
        <w:pStyle w:val="22"/>
        <w:widowControl w:val="0"/>
        <w:tabs>
          <w:tab w:val="left" w:pos="1260"/>
          <w:tab w:val="left" w:pos="2160"/>
        </w:tabs>
        <w:adjustRightInd w:val="0"/>
        <w:spacing w:line="400" w:lineRule="exact"/>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1.</w:t>
      </w:r>
      <w:r>
        <w:rPr>
          <w:rFonts w:ascii="仿宋" w:hAnsi="仿宋" w:eastAsia="仿宋" w:cs="仿宋"/>
          <w:b/>
          <w:bCs/>
          <w:sz w:val="24"/>
          <w:szCs w:val="24"/>
          <w:lang w:eastAsia="zh-CN"/>
        </w:rPr>
        <w:t xml:space="preserve">2 </w:t>
      </w:r>
      <w:r>
        <w:rPr>
          <w:rFonts w:hint="eastAsia" w:ascii="仿宋" w:hAnsi="仿宋" w:eastAsia="仿宋" w:cs="仿宋"/>
          <w:b/>
          <w:bCs/>
          <w:sz w:val="24"/>
          <w:szCs w:val="24"/>
          <w:lang w:eastAsia="zh-CN"/>
        </w:rPr>
        <w:t>协议书：</w:t>
      </w:r>
      <w:r>
        <w:rPr>
          <w:rFonts w:hint="eastAsia" w:ascii="仿宋" w:hAnsi="仿宋" w:eastAsia="仿宋" w:cs="仿宋"/>
          <w:sz w:val="24"/>
          <w:szCs w:val="24"/>
          <w:lang w:eastAsia="zh-CN"/>
        </w:rPr>
        <w:t>是指构成合同的由发包人和承包人共同签署的称为“协议书”的书面文件。</w:t>
      </w:r>
    </w:p>
    <w:p w14:paraId="273DDCD5">
      <w:pPr>
        <w:pStyle w:val="22"/>
        <w:widowControl w:val="0"/>
        <w:tabs>
          <w:tab w:val="left" w:pos="1260"/>
          <w:tab w:val="left" w:pos="2160"/>
        </w:tabs>
        <w:adjustRightInd w:val="0"/>
        <w:spacing w:line="400" w:lineRule="exact"/>
        <w:ind w:left="1850" w:leftChars="771"/>
        <w:jc w:val="both"/>
        <w:rPr>
          <w:rFonts w:ascii="仿宋" w:hAnsi="仿宋" w:eastAsia="仿宋" w:cs="仿宋"/>
          <w:sz w:val="24"/>
          <w:szCs w:val="24"/>
          <w:lang w:eastAsia="zh-CN"/>
        </w:rPr>
      </w:pPr>
      <w:r>
        <w:rPr>
          <w:rFonts w:ascii="仿宋" w:hAnsi="仿宋" w:eastAsia="仿宋" w:cs="仿宋"/>
          <w:b/>
          <w:sz w:val="24"/>
          <w:szCs w:val="24"/>
          <w:lang w:eastAsia="zh-CN"/>
        </w:rPr>
        <w:t>1.</w:t>
      </w:r>
      <w:r>
        <w:rPr>
          <w:rFonts w:hint="eastAsia" w:ascii="仿宋" w:hAnsi="仿宋" w:eastAsia="仿宋" w:cs="仿宋"/>
          <w:b/>
          <w:sz w:val="24"/>
          <w:szCs w:val="24"/>
          <w:lang w:eastAsia="zh-CN"/>
        </w:rPr>
        <w:t>1.</w:t>
      </w:r>
      <w:r>
        <w:rPr>
          <w:rFonts w:ascii="仿宋" w:hAnsi="仿宋" w:eastAsia="仿宋" w:cs="仿宋"/>
          <w:b/>
          <w:sz w:val="24"/>
          <w:szCs w:val="24"/>
          <w:lang w:eastAsia="zh-CN"/>
        </w:rPr>
        <w:t xml:space="preserve">3 </w:t>
      </w:r>
      <w:r>
        <w:rPr>
          <w:rFonts w:hint="eastAsia" w:ascii="仿宋" w:hAnsi="仿宋" w:eastAsia="仿宋" w:cs="仿宋"/>
          <w:b/>
          <w:sz w:val="24"/>
          <w:szCs w:val="24"/>
          <w:lang w:eastAsia="zh-CN"/>
        </w:rPr>
        <w:t>通用条款：</w:t>
      </w:r>
      <w:r>
        <w:rPr>
          <w:rFonts w:hint="eastAsia" w:ascii="仿宋" w:hAnsi="仿宋" w:eastAsia="仿宋" w:cs="仿宋"/>
          <w:sz w:val="24"/>
          <w:szCs w:val="24"/>
          <w:lang w:eastAsia="zh-CN"/>
        </w:rPr>
        <w:t>指根据法律法规以及建设项目工程总承包管理的需要所订立的，是适用于建设工程设计、采购、施工或设计、施工等阶段总承包实施的基础性合同条款。</w:t>
      </w:r>
    </w:p>
    <w:p w14:paraId="4B7C9105">
      <w:pPr>
        <w:pStyle w:val="22"/>
        <w:widowControl w:val="0"/>
        <w:tabs>
          <w:tab w:val="left" w:pos="1260"/>
          <w:tab w:val="left" w:pos="2160"/>
        </w:tabs>
        <w:adjustRightIn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b/>
          <w:sz w:val="24"/>
          <w:szCs w:val="24"/>
          <w:lang w:eastAsia="zh-CN"/>
        </w:rPr>
        <w:t>1.1.4 专用条款：</w:t>
      </w:r>
      <w:r>
        <w:rPr>
          <w:rFonts w:hint="eastAsia" w:ascii="仿宋" w:hAnsi="仿宋" w:eastAsia="仿宋" w:cs="仿宋"/>
          <w:sz w:val="24"/>
          <w:szCs w:val="24"/>
          <w:lang w:eastAsia="zh-CN"/>
        </w:rPr>
        <w:t>指合同双方当事人根据法律法规，结合本合同工程实际情况，经协商达成一致意见的，专用于实施、完成本合同工程总承包范围与工程内容的条款。它是对通用条款的具体化，也是对通用条款的补充和完善。</w:t>
      </w:r>
    </w:p>
    <w:p w14:paraId="7B591C59">
      <w:pPr>
        <w:pStyle w:val="22"/>
        <w:widowControl w:val="0"/>
        <w:tabs>
          <w:tab w:val="left" w:pos="1260"/>
          <w:tab w:val="left" w:pos="2160"/>
        </w:tabs>
        <w:adjustRightInd w:val="0"/>
        <w:spacing w:line="400" w:lineRule="exact"/>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1.5</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中标通知书：</w:t>
      </w:r>
      <w:r>
        <w:rPr>
          <w:rFonts w:hint="eastAsia" w:ascii="仿宋" w:hAnsi="仿宋" w:eastAsia="仿宋" w:cs="仿宋"/>
          <w:sz w:val="24"/>
          <w:szCs w:val="24"/>
          <w:lang w:eastAsia="zh-CN"/>
        </w:rPr>
        <w:t>是指构成合同的由发包人通知承包人中标的书面文件。中标通知书随附的澄清、说明、补正事项纪要等，是中标通知书的组成部分。</w:t>
      </w:r>
    </w:p>
    <w:p w14:paraId="4E8559C5">
      <w:pPr>
        <w:pStyle w:val="22"/>
        <w:widowControl w:val="0"/>
        <w:tabs>
          <w:tab w:val="left" w:pos="1260"/>
          <w:tab w:val="left" w:pos="2160"/>
        </w:tabs>
        <w:adjustRightInd w:val="0"/>
        <w:spacing w:line="400" w:lineRule="exact"/>
        <w:ind w:left="1850" w:leftChars="771"/>
        <w:jc w:val="both"/>
        <w:rPr>
          <w:rFonts w:ascii="仿宋" w:hAnsi="仿宋" w:eastAsia="仿宋" w:cs="仿宋"/>
          <w:b/>
          <w:bCs/>
          <w:sz w:val="24"/>
          <w:szCs w:val="24"/>
          <w:lang w:eastAsia="zh-CN"/>
        </w:rPr>
      </w:pPr>
      <w:bookmarkStart w:id="88" w:name="_Toc26352"/>
      <w:r>
        <w:rPr>
          <w:rFonts w:hint="eastAsia" w:ascii="仿宋" w:hAnsi="仿宋" w:eastAsia="仿宋" w:cs="仿宋"/>
          <w:b/>
          <w:bCs/>
          <w:sz w:val="24"/>
          <w:szCs w:val="24"/>
          <w:lang w:eastAsia="zh-CN"/>
        </w:rPr>
        <w:t>1.2 技术文件</w:t>
      </w:r>
      <w:bookmarkEnd w:id="88"/>
    </w:p>
    <w:p w14:paraId="0D015004">
      <w:pPr>
        <w:pStyle w:val="22"/>
        <w:widowControl w:val="0"/>
        <w:tabs>
          <w:tab w:val="left" w:pos="1260"/>
          <w:tab w:val="left" w:pos="2160"/>
        </w:tabs>
        <w:adjustRightInd w:val="0"/>
        <w:spacing w:line="400" w:lineRule="exact"/>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2.1</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标准、规范：</w:t>
      </w:r>
      <w:r>
        <w:rPr>
          <w:rFonts w:hint="eastAsia" w:ascii="仿宋" w:hAnsi="仿宋" w:eastAsia="仿宋" w:cs="仿宋"/>
          <w:sz w:val="24"/>
          <w:szCs w:val="24"/>
          <w:lang w:eastAsia="zh-CN"/>
        </w:rPr>
        <w:t>指承包人实施工程总承包过程中应依法遵守的国家、行业或地方性标准与规范，以及本合同约定的其他技术标准与规范，构成合同的组成部分。由双方在专用条款中明确约定。</w:t>
      </w:r>
    </w:p>
    <w:p w14:paraId="0FEAD44D">
      <w:pPr>
        <w:pStyle w:val="22"/>
        <w:widowControl w:val="0"/>
        <w:tabs>
          <w:tab w:val="left" w:pos="1260"/>
          <w:tab w:val="left" w:pos="2160"/>
        </w:tabs>
        <w:adjustRightIn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b/>
          <w:bCs/>
          <w:sz w:val="24"/>
          <w:szCs w:val="24"/>
          <w:lang w:eastAsia="zh-CN"/>
        </w:rPr>
        <w:t>1.2.2 《发包人要求》：</w:t>
      </w:r>
      <w:r>
        <w:rPr>
          <w:rFonts w:hint="eastAsia" w:ascii="仿宋" w:hAnsi="仿宋" w:eastAsia="仿宋" w:cs="仿宋"/>
          <w:sz w:val="24"/>
          <w:szCs w:val="24"/>
          <w:lang w:eastAsia="zh-CN"/>
        </w:rPr>
        <w:t>指发包人就工程总承包范围与工程内容提出相应要求的书面文件，包括勘察、设计、BIM技术应用、采购、施工等方面，构成合同的组成部分。</w:t>
      </w:r>
    </w:p>
    <w:p w14:paraId="4936D453">
      <w:pPr>
        <w:pStyle w:val="22"/>
        <w:widowControl w:val="0"/>
        <w:tabs>
          <w:tab w:val="left" w:pos="1260"/>
          <w:tab w:val="left" w:pos="2160"/>
        </w:tabs>
        <w:adjustRightInd w:val="0"/>
        <w:spacing w:line="400" w:lineRule="exact"/>
        <w:ind w:left="1850" w:leftChars="771"/>
        <w:jc w:val="both"/>
        <w:rPr>
          <w:rFonts w:ascii="仿宋" w:hAnsi="仿宋" w:eastAsia="仿宋" w:cs="仿宋"/>
          <w:sz w:val="24"/>
          <w:szCs w:val="24"/>
          <w:lang w:eastAsia="zh-CN"/>
        </w:rPr>
      </w:pPr>
      <w:r>
        <w:rPr>
          <w:rFonts w:ascii="仿宋" w:hAnsi="仿宋" w:eastAsia="仿宋" w:cs="仿宋"/>
          <w:b/>
          <w:sz w:val="24"/>
          <w:szCs w:val="24"/>
          <w:lang w:eastAsia="zh-CN"/>
        </w:rPr>
        <w:t>1</w:t>
      </w:r>
      <w:r>
        <w:rPr>
          <w:rFonts w:hint="eastAsia" w:ascii="仿宋" w:hAnsi="仿宋" w:eastAsia="仿宋" w:cs="仿宋"/>
          <w:b/>
          <w:sz w:val="24"/>
          <w:szCs w:val="24"/>
          <w:lang w:eastAsia="zh-CN"/>
        </w:rPr>
        <w:t>.2.3</w:t>
      </w:r>
      <w:r>
        <w:rPr>
          <w:rFonts w:ascii="仿宋" w:hAnsi="仿宋" w:eastAsia="仿宋" w:cs="仿宋"/>
          <w:b/>
          <w:sz w:val="24"/>
          <w:szCs w:val="24"/>
          <w:lang w:eastAsia="zh-CN"/>
        </w:rPr>
        <w:t xml:space="preserve"> </w:t>
      </w:r>
      <w:r>
        <w:rPr>
          <w:rFonts w:hint="eastAsia" w:ascii="仿宋" w:hAnsi="仿宋" w:eastAsia="仿宋" w:cs="仿宋"/>
          <w:b/>
          <w:sz w:val="24"/>
          <w:szCs w:val="24"/>
          <w:lang w:eastAsia="zh-CN"/>
        </w:rPr>
        <w:t>项目基础资料：</w:t>
      </w:r>
      <w:r>
        <w:rPr>
          <w:rFonts w:hint="eastAsia" w:ascii="仿宋" w:hAnsi="仿宋" w:eastAsia="仿宋" w:cs="仿宋"/>
          <w:sz w:val="24"/>
          <w:szCs w:val="24"/>
          <w:lang w:eastAsia="zh-CN"/>
        </w:rPr>
        <w:t>指按合同约定由发包人提供给承包人实施、完成工程总承包范围与工程内容所需的工程资料，构成合同的组成部分。发包人应提供的项目基础资料由双方在专用条款中明确约定。</w:t>
      </w:r>
    </w:p>
    <w:p w14:paraId="6A4F7F69">
      <w:pPr>
        <w:pStyle w:val="22"/>
        <w:widowControl w:val="0"/>
        <w:tabs>
          <w:tab w:val="left" w:pos="1260"/>
          <w:tab w:val="left" w:pos="2160"/>
        </w:tabs>
        <w:adjustRightInd w:val="0"/>
        <w:spacing w:line="400" w:lineRule="exact"/>
        <w:ind w:left="1850" w:leftChars="771"/>
        <w:jc w:val="both"/>
        <w:rPr>
          <w:rFonts w:ascii="仿宋" w:hAnsi="仿宋" w:eastAsia="仿宋" w:cs="仿宋"/>
          <w:b/>
          <w:bCs/>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2.4</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技术标：</w:t>
      </w:r>
      <w:r>
        <w:rPr>
          <w:rFonts w:hint="eastAsia" w:ascii="仿宋" w:hAnsi="仿宋" w:eastAsia="仿宋" w:cs="仿宋"/>
          <w:sz w:val="24"/>
          <w:szCs w:val="24"/>
          <w:lang w:eastAsia="zh-CN"/>
        </w:rPr>
        <w:t>指承包人根据招标文件要求编制、签署并被发包人所接受的投标文件中技术部分及有效的澄清文件。</w:t>
      </w:r>
    </w:p>
    <w:p w14:paraId="2667068D">
      <w:pPr>
        <w:pStyle w:val="22"/>
        <w:widowControl w:val="0"/>
        <w:tabs>
          <w:tab w:val="left" w:pos="1260"/>
          <w:tab w:val="left" w:pos="2160"/>
        </w:tabs>
        <w:adjustRightInd w:val="0"/>
        <w:spacing w:line="400" w:lineRule="exact"/>
        <w:ind w:left="1850" w:leftChars="771"/>
        <w:jc w:val="both"/>
        <w:rPr>
          <w:rFonts w:ascii="仿宋" w:hAnsi="仿宋" w:eastAsia="仿宋" w:cs="仿宋"/>
          <w:b/>
          <w:bCs/>
          <w:sz w:val="24"/>
          <w:szCs w:val="24"/>
          <w:lang w:eastAsia="zh-CN"/>
        </w:rPr>
      </w:pPr>
      <w:bookmarkStart w:id="89" w:name="_Toc28161"/>
      <w:r>
        <w:rPr>
          <w:rFonts w:hint="eastAsia" w:ascii="仿宋" w:hAnsi="仿宋" w:eastAsia="仿宋" w:cs="仿宋"/>
          <w:b/>
          <w:bCs/>
          <w:sz w:val="24"/>
          <w:szCs w:val="24"/>
          <w:lang w:eastAsia="zh-CN"/>
        </w:rPr>
        <w:t>1.3 价格文件</w:t>
      </w:r>
      <w:bookmarkEnd w:id="89"/>
    </w:p>
    <w:p w14:paraId="35A2C20B">
      <w:pPr>
        <w:pStyle w:val="22"/>
        <w:widowControl w:val="0"/>
        <w:tabs>
          <w:tab w:val="left" w:pos="1260"/>
          <w:tab w:val="left" w:pos="2160"/>
        </w:tabs>
        <w:adjustRightInd w:val="0"/>
        <w:spacing w:line="400" w:lineRule="exact"/>
        <w:ind w:left="1850" w:leftChars="771"/>
        <w:jc w:val="both"/>
        <w:rPr>
          <w:rFonts w:ascii="仿宋" w:hAnsi="仿宋" w:eastAsia="仿宋"/>
          <w:b/>
          <w:sz w:val="24"/>
          <w:szCs w:val="24"/>
          <w:lang w:eastAsia="zh-CN"/>
        </w:rPr>
      </w:pPr>
      <w:r>
        <w:rPr>
          <w:rFonts w:hint="eastAsia" w:ascii="仿宋" w:hAnsi="仿宋" w:eastAsia="仿宋" w:cs="仿宋"/>
          <w:b/>
          <w:bCs/>
          <w:sz w:val="24"/>
          <w:szCs w:val="24"/>
          <w:lang w:eastAsia="zh-CN"/>
        </w:rPr>
        <w:t>1.</w:t>
      </w:r>
      <w:r>
        <w:rPr>
          <w:rFonts w:hint="eastAsia" w:ascii="仿宋" w:hAnsi="仿宋" w:eastAsia="仿宋"/>
          <w:b/>
          <w:sz w:val="24"/>
          <w:szCs w:val="24"/>
          <w:lang w:eastAsia="zh-CN"/>
        </w:rPr>
        <w:t>3.1 签约合同价：</w:t>
      </w:r>
      <w:r>
        <w:rPr>
          <w:rFonts w:hint="eastAsia" w:ascii="仿宋" w:hAnsi="仿宋" w:eastAsia="仿宋"/>
          <w:sz w:val="24"/>
          <w:szCs w:val="24"/>
          <w:lang w:eastAsia="zh-CN"/>
        </w:rPr>
        <w:t>是指发包人和承包人在合同协议书中确定的总金额，包括暂估价及暂列金额等。</w:t>
      </w:r>
    </w:p>
    <w:p w14:paraId="3C3DAB51">
      <w:pPr>
        <w:pStyle w:val="22"/>
        <w:widowControl w:val="0"/>
        <w:tabs>
          <w:tab w:val="left" w:pos="1260"/>
          <w:tab w:val="left" w:pos="2160"/>
        </w:tabs>
        <w:adjustRightIn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b/>
          <w:bCs/>
          <w:sz w:val="24"/>
          <w:szCs w:val="24"/>
          <w:lang w:eastAsia="zh-CN"/>
        </w:rPr>
        <w:t>1.</w:t>
      </w:r>
      <w:r>
        <w:rPr>
          <w:rFonts w:hint="eastAsia" w:ascii="仿宋" w:hAnsi="仿宋" w:eastAsia="仿宋"/>
          <w:b/>
          <w:sz w:val="24"/>
          <w:szCs w:val="24"/>
          <w:lang w:eastAsia="zh-CN"/>
        </w:rPr>
        <w:t>3.2 合同价格：</w:t>
      </w:r>
      <w:r>
        <w:rPr>
          <w:rFonts w:hint="eastAsia" w:ascii="仿宋" w:hAnsi="仿宋" w:eastAsia="仿宋"/>
          <w:sz w:val="24"/>
          <w:szCs w:val="24"/>
          <w:lang w:eastAsia="zh-CN"/>
        </w:rPr>
        <w:t>是指发包人用于支付承包人按照合同约定完成承包范围内全部工作的金额，包括合同履行过程中按合同约定</w:t>
      </w:r>
      <w:r>
        <w:rPr>
          <w:rFonts w:hint="eastAsia" w:ascii="仿宋" w:hAnsi="仿宋" w:eastAsia="仿宋" w:cs="仿宋"/>
          <w:sz w:val="24"/>
          <w:szCs w:val="24"/>
          <w:lang w:eastAsia="zh-CN"/>
        </w:rPr>
        <w:t>发生</w:t>
      </w:r>
      <w:r>
        <w:rPr>
          <w:rFonts w:hint="eastAsia" w:ascii="仿宋" w:hAnsi="仿宋" w:eastAsia="仿宋"/>
          <w:sz w:val="24"/>
          <w:szCs w:val="24"/>
          <w:lang w:eastAsia="zh-CN"/>
        </w:rPr>
        <w:t>的价格变化。</w:t>
      </w:r>
    </w:p>
    <w:p w14:paraId="4EC150AD">
      <w:pPr>
        <w:pStyle w:val="22"/>
        <w:widowControl w:val="0"/>
        <w:tabs>
          <w:tab w:val="left" w:pos="1260"/>
          <w:tab w:val="left" w:pos="2160"/>
        </w:tabs>
        <w:adjustRightIn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b/>
          <w:bCs/>
          <w:sz w:val="24"/>
          <w:szCs w:val="24"/>
          <w:lang w:eastAsia="zh-CN"/>
        </w:rPr>
        <w:t>1.3.3 合同价格清单：</w:t>
      </w:r>
      <w:r>
        <w:rPr>
          <w:rFonts w:hint="eastAsia" w:ascii="仿宋" w:hAnsi="仿宋" w:eastAsia="仿宋" w:cs="仿宋"/>
          <w:sz w:val="24"/>
          <w:szCs w:val="24"/>
          <w:lang w:eastAsia="zh-CN"/>
        </w:rPr>
        <w:t>指承包人按发包人规定的格式和要求填写、标明总承包范围内所有服务和（或）施工内容的项目名称、项目特征、数量及价格的清单项目及价格明细表，是双方进行合同价格结算的依据。价格清单包括工程勘察费（如果有）、工程设计费、BIM技术应用费、设备及工器具购置费（如果有）、建筑安装工程费等各项费用及明细。招标发包工程为中标通知书所接受的经济标以及有效的澄清文件。</w:t>
      </w:r>
    </w:p>
    <w:p w14:paraId="5992B58F">
      <w:pPr>
        <w:pStyle w:val="22"/>
        <w:widowControl w:val="0"/>
        <w:tabs>
          <w:tab w:val="left" w:pos="1260"/>
          <w:tab w:val="left" w:pos="2160"/>
        </w:tabs>
        <w:adjustRightInd w:val="0"/>
        <w:spacing w:line="400" w:lineRule="exact"/>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3.4</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中标价格：</w:t>
      </w:r>
      <w:r>
        <w:rPr>
          <w:rFonts w:hint="eastAsia" w:ascii="仿宋" w:hAnsi="仿宋" w:eastAsia="仿宋" w:cs="仿宋"/>
          <w:sz w:val="24"/>
          <w:szCs w:val="24"/>
          <w:lang w:eastAsia="zh-CN"/>
        </w:rPr>
        <w:t>指中标通知书中列明的，发包人接受中标人（承包人）完成工程总承包范围及工程内容并保修合同工程的价格。</w:t>
      </w:r>
    </w:p>
    <w:p w14:paraId="1F11E388">
      <w:pPr>
        <w:pStyle w:val="22"/>
        <w:widowControl w:val="0"/>
        <w:tabs>
          <w:tab w:val="left" w:pos="1260"/>
          <w:tab w:val="left" w:pos="2160"/>
        </w:tabs>
        <w:adjustRightInd w:val="0"/>
        <w:spacing w:line="400" w:lineRule="exact"/>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3.5</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经济标或报价文件：</w:t>
      </w:r>
      <w:r>
        <w:rPr>
          <w:rFonts w:hint="eastAsia" w:ascii="仿宋" w:hAnsi="仿宋" w:eastAsia="仿宋" w:cs="仿宋"/>
          <w:sz w:val="24"/>
          <w:szCs w:val="24"/>
          <w:lang w:eastAsia="zh-CN"/>
        </w:rPr>
        <w:t>指承包人根据招标文件要求编制、签署，并被发包人所接受的投标文件中的经济标及有效的澄清文件。</w:t>
      </w:r>
    </w:p>
    <w:p w14:paraId="19080134">
      <w:pPr>
        <w:pStyle w:val="22"/>
        <w:widowControl w:val="0"/>
        <w:tabs>
          <w:tab w:val="left" w:pos="1260"/>
          <w:tab w:val="left" w:pos="2160"/>
        </w:tabs>
        <w:adjustRightInd w:val="0"/>
        <w:spacing w:line="400" w:lineRule="exact"/>
        <w:ind w:left="1850" w:leftChars="771"/>
        <w:jc w:val="both"/>
        <w:rPr>
          <w:rFonts w:ascii="仿宋" w:hAnsi="仿宋" w:eastAsia="仿宋" w:cs="仿宋"/>
          <w:b/>
          <w:bCs/>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3.6</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费用或成本：</w:t>
      </w:r>
      <w:r>
        <w:rPr>
          <w:rFonts w:hint="eastAsia" w:ascii="仿宋" w:hAnsi="仿宋" w:eastAsia="仿宋" w:cs="仿宋"/>
          <w:sz w:val="24"/>
          <w:szCs w:val="24"/>
          <w:lang w:eastAsia="zh-CN"/>
        </w:rPr>
        <w:t>指承包人履行本工程总承包合同过程中所发生或将发生的所有合理开支，包括管理费用或其他性质的合理开支，除合同专用条款及合同价格清单另有约定外，不包括利润和税金。</w:t>
      </w:r>
    </w:p>
    <w:p w14:paraId="72D5D60F">
      <w:pPr>
        <w:pStyle w:val="22"/>
        <w:widowControl w:val="0"/>
        <w:tabs>
          <w:tab w:val="left" w:pos="1260"/>
          <w:tab w:val="left" w:pos="2160"/>
        </w:tabs>
        <w:adjustRightIn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b/>
          <w:sz w:val="24"/>
          <w:szCs w:val="24"/>
          <w:lang w:eastAsia="zh-CN"/>
        </w:rPr>
        <w:t>1.3.7 工程勘察费：</w:t>
      </w:r>
      <w:r>
        <w:rPr>
          <w:rFonts w:hint="eastAsia" w:ascii="仿宋" w:hAnsi="仿宋" w:eastAsia="仿宋" w:cs="仿宋"/>
          <w:sz w:val="24"/>
          <w:szCs w:val="24"/>
          <w:lang w:eastAsia="zh-CN"/>
        </w:rPr>
        <w:t>指承包人完成合同约定的工程勘察工作向发包人收取的服务费。</w:t>
      </w:r>
    </w:p>
    <w:p w14:paraId="4EDCEFF3">
      <w:pPr>
        <w:pStyle w:val="22"/>
        <w:widowControl w:val="0"/>
        <w:tabs>
          <w:tab w:val="left" w:pos="1260"/>
          <w:tab w:val="left" w:pos="2160"/>
        </w:tabs>
        <w:adjustRightIn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b/>
          <w:sz w:val="24"/>
          <w:szCs w:val="24"/>
          <w:lang w:eastAsia="zh-CN"/>
        </w:rPr>
        <w:t>1.3.8 工程设计费：</w:t>
      </w:r>
      <w:r>
        <w:rPr>
          <w:rFonts w:hint="eastAsia" w:ascii="仿宋" w:hAnsi="仿宋" w:eastAsia="仿宋" w:cs="仿宋"/>
          <w:sz w:val="24"/>
          <w:szCs w:val="24"/>
          <w:lang w:eastAsia="zh-CN"/>
        </w:rPr>
        <w:t>指承包人完成合同约定的设计工作向发包人收取的服务费。</w:t>
      </w:r>
    </w:p>
    <w:p w14:paraId="41A841BB">
      <w:pPr>
        <w:pStyle w:val="22"/>
        <w:widowControl w:val="0"/>
        <w:tabs>
          <w:tab w:val="left" w:pos="1260"/>
          <w:tab w:val="left" w:pos="2160"/>
        </w:tabs>
        <w:adjustRightIn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b/>
          <w:sz w:val="24"/>
          <w:szCs w:val="24"/>
          <w:lang w:eastAsia="zh-CN"/>
        </w:rPr>
        <w:t>1.3.9 BIM技术应用费：</w:t>
      </w:r>
      <w:r>
        <w:rPr>
          <w:rFonts w:hint="eastAsia" w:ascii="仿宋" w:hAnsi="仿宋" w:eastAsia="仿宋" w:cs="仿宋"/>
          <w:sz w:val="24"/>
          <w:szCs w:val="24"/>
          <w:lang w:eastAsia="zh-CN"/>
        </w:rPr>
        <w:t>指承包人完成合同约定的BIM技术服务内容和（或）利用BIM技术进行正向设计与建模（或建模与出图同步完成）、施工实施、造价管理、运营维护等向发包人收取的费用。</w:t>
      </w:r>
    </w:p>
    <w:p w14:paraId="14DC6B3C">
      <w:pPr>
        <w:pStyle w:val="22"/>
        <w:widowControl w:val="0"/>
        <w:tabs>
          <w:tab w:val="left" w:pos="1260"/>
          <w:tab w:val="left" w:pos="2160"/>
        </w:tabs>
        <w:adjustRightIn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b/>
          <w:sz w:val="24"/>
          <w:szCs w:val="24"/>
          <w:lang w:eastAsia="zh-CN"/>
        </w:rPr>
        <w:t>1.3.10 设备及工器具购置费：</w:t>
      </w:r>
      <w:r>
        <w:rPr>
          <w:rFonts w:hint="eastAsia" w:ascii="仿宋" w:hAnsi="仿宋" w:eastAsia="仿宋" w:cs="仿宋"/>
          <w:sz w:val="24"/>
          <w:szCs w:val="24"/>
          <w:lang w:eastAsia="zh-CN"/>
        </w:rPr>
        <w:t>指合同约定由承包人负责为本项目提供发包人组织生产、运营、办公等所需设备及工器具的购置费用。</w:t>
      </w:r>
    </w:p>
    <w:p w14:paraId="40405D73">
      <w:pPr>
        <w:pStyle w:val="22"/>
        <w:widowControl w:val="0"/>
        <w:tabs>
          <w:tab w:val="left" w:pos="1260"/>
          <w:tab w:val="left" w:pos="2160"/>
        </w:tabs>
        <w:adjustRightInd w:val="0"/>
        <w:spacing w:line="400" w:lineRule="exact"/>
        <w:ind w:left="1850" w:leftChars="771"/>
        <w:jc w:val="both"/>
        <w:rPr>
          <w:rFonts w:ascii="仿宋" w:hAnsi="仿宋" w:eastAsia="仿宋" w:cs="仿宋"/>
          <w:b/>
          <w:bCs/>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3.11 建筑安装工程费：</w:t>
      </w:r>
      <w:r>
        <w:rPr>
          <w:rFonts w:hint="eastAsia" w:ascii="仿宋" w:hAnsi="仿宋" w:eastAsia="仿宋" w:cs="仿宋"/>
          <w:bCs/>
          <w:sz w:val="24"/>
          <w:szCs w:val="24"/>
          <w:lang w:eastAsia="zh-CN"/>
        </w:rPr>
        <w:t>指</w:t>
      </w:r>
      <w:r>
        <w:rPr>
          <w:rFonts w:hint="eastAsia" w:ascii="仿宋" w:hAnsi="仿宋" w:eastAsia="仿宋" w:cs="仿宋"/>
          <w:sz w:val="24"/>
          <w:szCs w:val="24"/>
          <w:lang w:eastAsia="zh-CN"/>
        </w:rPr>
        <w:t>承包人按合同约定实施、完成并保修合同工程</w:t>
      </w:r>
      <w:r>
        <w:rPr>
          <w:rFonts w:hint="eastAsia" w:ascii="仿宋" w:hAnsi="仿宋" w:eastAsia="仿宋" w:cs="仿宋"/>
          <w:bCs/>
          <w:sz w:val="24"/>
          <w:szCs w:val="24"/>
          <w:lang w:eastAsia="zh-CN"/>
        </w:rPr>
        <w:t>的施工费用</w:t>
      </w:r>
      <w:r>
        <w:rPr>
          <w:rFonts w:hint="eastAsia" w:ascii="仿宋" w:hAnsi="仿宋" w:eastAsia="仿宋" w:cs="仿宋"/>
          <w:sz w:val="24"/>
          <w:szCs w:val="24"/>
          <w:lang w:eastAsia="zh-CN"/>
        </w:rPr>
        <w:t>。其中包含的</w:t>
      </w:r>
      <w:r>
        <w:rPr>
          <w:rFonts w:hint="eastAsia" w:ascii="仿宋" w:hAnsi="仿宋" w:eastAsia="仿宋" w:cs="仿宋"/>
          <w:bCs/>
          <w:sz w:val="24"/>
          <w:szCs w:val="24"/>
          <w:lang w:eastAsia="zh-CN"/>
        </w:rPr>
        <w:t>分部分项工程费、措施项目费、税金的定义分述如下：</w:t>
      </w:r>
    </w:p>
    <w:p w14:paraId="74978A8F">
      <w:pPr>
        <w:pStyle w:val="22"/>
        <w:widowControl w:val="0"/>
        <w:tabs>
          <w:tab w:val="left" w:pos="1260"/>
          <w:tab w:val="left" w:pos="2160"/>
        </w:tabs>
        <w:adjustRightInd w:val="0"/>
        <w:spacing w:line="400" w:lineRule="exact"/>
        <w:ind w:left="1850" w:leftChars="771"/>
        <w:jc w:val="both"/>
        <w:rPr>
          <w:rFonts w:ascii="仿宋" w:hAnsi="仿宋" w:eastAsia="仿宋"/>
          <w:sz w:val="24"/>
          <w:szCs w:val="24"/>
          <w:lang w:eastAsia="zh-CN"/>
        </w:rPr>
      </w:pPr>
      <w:r>
        <w:rPr>
          <w:rFonts w:hint="eastAsia" w:ascii="仿宋" w:hAnsi="仿宋" w:eastAsia="仿宋" w:cs="仿宋"/>
          <w:b/>
          <w:bCs/>
          <w:sz w:val="24"/>
          <w:szCs w:val="24"/>
          <w:lang w:eastAsia="zh-CN"/>
        </w:rPr>
        <w:t>1.3.11.1</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分部分项工程费：</w:t>
      </w:r>
      <w:r>
        <w:rPr>
          <w:rFonts w:hint="eastAsia" w:ascii="仿宋" w:hAnsi="仿宋" w:eastAsia="仿宋" w:cs="仿宋"/>
          <w:sz w:val="24"/>
          <w:szCs w:val="24"/>
          <w:lang w:eastAsia="zh-CN"/>
        </w:rPr>
        <w:t>指为实施、完成并保修合同工程，发生于永久工程实体项目所需的人工费、材料费、施工机具使用费、管理费、利润和风险费用。</w:t>
      </w:r>
    </w:p>
    <w:p w14:paraId="4D7F68E1">
      <w:pPr>
        <w:pStyle w:val="22"/>
        <w:widowControl w:val="0"/>
        <w:tabs>
          <w:tab w:val="left" w:pos="1260"/>
          <w:tab w:val="left" w:pos="2160"/>
        </w:tabs>
        <w:adjustRightInd w:val="0"/>
        <w:spacing w:line="400" w:lineRule="exact"/>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3.11.2</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措施项目费：</w:t>
      </w:r>
      <w:r>
        <w:rPr>
          <w:rFonts w:hint="eastAsia" w:ascii="仿宋" w:hAnsi="仿宋" w:eastAsia="仿宋" w:cs="仿宋"/>
          <w:sz w:val="24"/>
          <w:szCs w:val="24"/>
          <w:lang w:eastAsia="zh-CN"/>
        </w:rPr>
        <w:t>指为实施、完成并保修合同工程，发生于合同工程施工准备和施工过程中的技术、生活、安全、</w:t>
      </w:r>
      <w:r>
        <w:rPr>
          <w:rFonts w:hint="eastAsia" w:ascii="仿宋" w:hAnsi="仿宋" w:eastAsia="仿宋"/>
          <w:sz w:val="24"/>
          <w:szCs w:val="24"/>
          <w:lang w:eastAsia="zh-CN"/>
        </w:rPr>
        <w:t>环境保护等方面的非永久工程实体项目费用</w:t>
      </w:r>
      <w:r>
        <w:rPr>
          <w:rFonts w:hint="eastAsia" w:ascii="仿宋" w:hAnsi="仿宋" w:eastAsia="仿宋" w:cs="仿宋"/>
          <w:sz w:val="24"/>
          <w:szCs w:val="24"/>
          <w:lang w:eastAsia="zh-CN"/>
        </w:rPr>
        <w:t>。</w:t>
      </w:r>
    </w:p>
    <w:p w14:paraId="17736C78">
      <w:pPr>
        <w:pStyle w:val="22"/>
        <w:widowControl w:val="0"/>
        <w:tabs>
          <w:tab w:val="left" w:pos="1260"/>
          <w:tab w:val="left" w:pos="2160"/>
        </w:tabs>
        <w:adjustRightInd w:val="0"/>
        <w:spacing w:line="400" w:lineRule="exact"/>
        <w:ind w:left="1850" w:leftChars="771"/>
        <w:jc w:val="both"/>
        <w:rPr>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3.11.3</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税金：</w:t>
      </w:r>
      <w:r>
        <w:rPr>
          <w:rFonts w:hint="eastAsia" w:ascii="仿宋" w:hAnsi="仿宋" w:eastAsia="仿宋" w:cs="仿宋"/>
          <w:sz w:val="24"/>
          <w:szCs w:val="24"/>
          <w:lang w:eastAsia="zh-CN"/>
        </w:rPr>
        <w:t>指根据国家税法规定的应计入建筑安装工程造价内的增值税。</w:t>
      </w:r>
    </w:p>
    <w:p w14:paraId="698BCCF2">
      <w:pPr>
        <w:pStyle w:val="22"/>
        <w:widowControl w:val="0"/>
        <w:tabs>
          <w:tab w:val="left" w:pos="1260"/>
          <w:tab w:val="left" w:pos="2160"/>
        </w:tabs>
        <w:adjustRightInd w:val="0"/>
        <w:spacing w:line="400" w:lineRule="exact"/>
        <w:ind w:left="1850" w:leftChars="771"/>
        <w:jc w:val="both"/>
        <w:rPr>
          <w:rFonts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.3.12 暂列金额：</w:t>
      </w:r>
      <w:r>
        <w:rPr>
          <w:rFonts w:hint="eastAsia" w:ascii="仿宋" w:hAnsi="仿宋" w:eastAsia="仿宋" w:cs="仿宋"/>
          <w:sz w:val="24"/>
          <w:szCs w:val="24"/>
          <w:lang w:eastAsia="zh-CN"/>
        </w:rPr>
        <w:t>指发包人在工程量清单中暂定并包括在合同总价中的一笔金额（如果有）。用于在签订协议书时尚未确定或者不可预见的工程某一部分的施工；所需某一部分工程材料、工程设备、服务等的采购；</w:t>
      </w:r>
      <w:r>
        <w:rPr>
          <w:rFonts w:hint="eastAsia" w:ascii="仿宋" w:hAnsi="仿宋" w:eastAsia="仿宋"/>
          <w:sz w:val="24"/>
          <w:szCs w:val="24"/>
          <w:lang w:eastAsia="zh-CN"/>
        </w:rPr>
        <w:t>合同约定的调整事项以及经确认的索赔</w:t>
      </w:r>
      <w:r>
        <w:rPr>
          <w:rFonts w:hint="eastAsia" w:ascii="仿宋" w:hAnsi="仿宋" w:eastAsia="仿宋" w:cs="仿宋"/>
          <w:sz w:val="24"/>
          <w:szCs w:val="24"/>
          <w:lang w:eastAsia="zh-CN"/>
        </w:rPr>
        <w:t>、现场签证等的金额（包括以计日工方式支付的金额）。实际发生时按合同约定的计价方法计算调整，实际未发生不予计取。</w:t>
      </w:r>
    </w:p>
    <w:p w14:paraId="53265313">
      <w:pPr>
        <w:pStyle w:val="22"/>
        <w:widowControl w:val="0"/>
        <w:tabs>
          <w:tab w:val="left" w:pos="1260"/>
          <w:tab w:val="left" w:pos="2160"/>
        </w:tabs>
        <w:adjustRightInd w:val="0"/>
        <w:spacing w:line="400" w:lineRule="exact"/>
        <w:ind w:left="1850" w:leftChars="771"/>
        <w:jc w:val="both"/>
        <w:rPr>
          <w:rFonts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3.13</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暂估价：</w:t>
      </w:r>
      <w:r>
        <w:rPr>
          <w:rFonts w:hint="eastAsia" w:ascii="仿宋" w:hAnsi="仿宋" w:eastAsia="仿宋"/>
          <w:sz w:val="24"/>
          <w:szCs w:val="24"/>
          <w:lang w:eastAsia="zh-CN"/>
        </w:rPr>
        <w:t>指发包人在工程量清单中暂定的，用于支付必然发生但签订合同前无法确定的部分工程材料</w:t>
      </w:r>
      <w:r>
        <w:rPr>
          <w:rFonts w:hint="eastAsia" w:ascii="仿宋" w:hAnsi="仿宋" w:eastAsia="仿宋" w:cs="仿宋"/>
          <w:sz w:val="24"/>
          <w:szCs w:val="24"/>
          <w:lang w:eastAsia="zh-CN"/>
        </w:rPr>
        <w:t>、工程设备及专业工程的价格（如果有）。合同履行过程中，应视所涉及的采购金额或工程费用大小，遵守招投标政策法规组织采购或专业工程招标或双方根据市场行情协商确定，并按合同约定的调整方法调整合同价格。</w:t>
      </w:r>
    </w:p>
    <w:p w14:paraId="0EAB9A65">
      <w:pPr>
        <w:pStyle w:val="22"/>
        <w:widowControl w:val="0"/>
        <w:tabs>
          <w:tab w:val="left" w:pos="1260"/>
          <w:tab w:val="left" w:pos="2160"/>
        </w:tabs>
        <w:adjustRightInd w:val="0"/>
        <w:spacing w:line="400" w:lineRule="exact"/>
        <w:ind w:left="1850" w:leftChars="771"/>
        <w:jc w:val="both"/>
        <w:rPr>
          <w:rFonts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3.14</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计日工：</w:t>
      </w:r>
      <w:r>
        <w:rPr>
          <w:rFonts w:hint="eastAsia" w:ascii="仿宋" w:hAnsi="仿宋" w:eastAsia="仿宋" w:cs="仿宋"/>
          <w:sz w:val="24"/>
          <w:szCs w:val="24"/>
          <w:lang w:eastAsia="zh-CN"/>
        </w:rPr>
        <w:t>指在合同履行过程中，承包人完成发包人提出的总承包范围以外的零星项目或工作，按照合同中约定计价付款。</w:t>
      </w:r>
    </w:p>
    <w:p w14:paraId="35549933">
      <w:pPr>
        <w:pStyle w:val="22"/>
        <w:widowControl w:val="0"/>
        <w:tabs>
          <w:tab w:val="left" w:pos="1260"/>
          <w:tab w:val="left" w:pos="2160"/>
        </w:tabs>
        <w:adjustRightInd w:val="0"/>
        <w:spacing w:line="400" w:lineRule="exact"/>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3.15</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质量保证金：</w:t>
      </w:r>
      <w:r>
        <w:rPr>
          <w:rFonts w:hint="eastAsia" w:ascii="仿宋" w:hAnsi="仿宋" w:eastAsia="仿宋" w:cs="仿宋"/>
          <w:sz w:val="24"/>
          <w:szCs w:val="24"/>
          <w:lang w:eastAsia="zh-CN"/>
        </w:rPr>
        <w:t>指按照第</w:t>
      </w:r>
      <w:r>
        <w:rPr>
          <w:rFonts w:ascii="仿宋" w:hAnsi="仿宋" w:eastAsia="仿宋" w:cs="仿宋"/>
          <w:sz w:val="24"/>
          <w:szCs w:val="24"/>
          <w:lang w:eastAsia="zh-CN"/>
        </w:rPr>
        <w:t>8</w:t>
      </w:r>
      <w:r>
        <w:rPr>
          <w:rFonts w:hint="eastAsia" w:ascii="仿宋" w:hAnsi="仿宋" w:eastAsia="仿宋" w:cs="仿宋"/>
          <w:sz w:val="24"/>
          <w:szCs w:val="24"/>
          <w:lang w:eastAsia="zh-CN"/>
        </w:rPr>
        <w:t>9条约定用于保证在缺陷责任期内履行缺陷修复义务的金额。</w:t>
      </w:r>
    </w:p>
    <w:p w14:paraId="0FEDD845">
      <w:pPr>
        <w:pStyle w:val="22"/>
        <w:widowControl w:val="0"/>
        <w:tabs>
          <w:tab w:val="left" w:pos="1260"/>
          <w:tab w:val="left" w:pos="2160"/>
        </w:tabs>
        <w:adjustRightInd w:val="0"/>
        <w:spacing w:line="400" w:lineRule="exact"/>
        <w:ind w:left="1850" w:leftChars="771"/>
        <w:jc w:val="both"/>
        <w:rPr>
          <w:rFonts w:ascii="仿宋" w:hAnsi="仿宋" w:eastAsia="仿宋" w:cs="仿宋"/>
          <w:b/>
          <w:bCs/>
          <w:sz w:val="24"/>
          <w:szCs w:val="24"/>
          <w:lang w:eastAsia="zh-CN"/>
        </w:rPr>
      </w:pPr>
      <w:r>
        <w:rPr>
          <w:rFonts w:hint="eastAsia" w:ascii="仿宋" w:hAnsi="仿宋" w:eastAsia="仿宋" w:cs="仿宋"/>
          <w:b/>
          <w:bCs/>
          <w:sz w:val="24"/>
          <w:szCs w:val="24"/>
          <w:lang w:eastAsia="zh-CN"/>
        </w:rPr>
        <w:t>1.3.1</w:t>
      </w:r>
      <w:r>
        <w:rPr>
          <w:rFonts w:ascii="仿宋" w:hAnsi="仿宋" w:eastAsia="仿宋" w:cs="仿宋"/>
          <w:b/>
          <w:bCs/>
          <w:sz w:val="24"/>
          <w:szCs w:val="24"/>
          <w:lang w:eastAsia="zh-CN"/>
        </w:rPr>
        <w:t>6</w:t>
      </w:r>
      <w:r>
        <w:rPr>
          <w:rFonts w:hint="eastAsia" w:ascii="仿宋" w:hAnsi="仿宋" w:eastAsia="仿宋" w:cs="仿宋"/>
          <w:b/>
          <w:bCs/>
          <w:sz w:val="24"/>
          <w:szCs w:val="24"/>
          <w:lang w:eastAsia="zh-CN"/>
        </w:rPr>
        <w:t xml:space="preserve"> 利润：</w:t>
      </w:r>
      <w:r>
        <w:rPr>
          <w:rFonts w:hint="eastAsia" w:ascii="仿宋" w:hAnsi="仿宋" w:eastAsia="仿宋" w:cs="仿宋"/>
          <w:bCs/>
          <w:sz w:val="24"/>
          <w:szCs w:val="24"/>
          <w:lang w:eastAsia="zh-CN"/>
        </w:rPr>
        <w:t>系指合同专用条款中所列的适用的利润百分比（如未列出，则为百分之五（5%））。如承包人根据本合同的任何条款有权就成本加利润获得支付，则利润应以该部分成本作为基数计算。</w:t>
      </w:r>
    </w:p>
    <w:p w14:paraId="327172F9">
      <w:pPr>
        <w:pStyle w:val="22"/>
        <w:widowControl w:val="0"/>
        <w:tabs>
          <w:tab w:val="left" w:pos="1260"/>
          <w:tab w:val="left" w:pos="2160"/>
        </w:tabs>
        <w:adjustRightInd w:val="0"/>
        <w:spacing w:line="400" w:lineRule="exact"/>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.3.1</w:t>
      </w:r>
      <w:r>
        <w:rPr>
          <w:rFonts w:ascii="仿宋" w:hAnsi="仿宋" w:eastAsia="仿宋" w:cs="仿宋"/>
          <w:b/>
          <w:bCs/>
          <w:sz w:val="24"/>
          <w:szCs w:val="24"/>
          <w:lang w:eastAsia="zh-CN"/>
        </w:rPr>
        <w:t xml:space="preserve">7 </w:t>
      </w:r>
      <w:r>
        <w:rPr>
          <w:rFonts w:hint="eastAsia" w:ascii="仿宋" w:hAnsi="仿宋" w:eastAsia="仿宋" w:cs="仿宋"/>
          <w:b/>
          <w:bCs/>
          <w:sz w:val="24"/>
          <w:szCs w:val="24"/>
          <w:lang w:eastAsia="zh-CN"/>
        </w:rPr>
        <w:t>工程款：</w:t>
      </w:r>
      <w:r>
        <w:rPr>
          <w:rFonts w:hint="eastAsia" w:ascii="仿宋" w:hAnsi="仿宋" w:eastAsia="仿宋" w:cs="仿宋"/>
          <w:sz w:val="24"/>
          <w:szCs w:val="24"/>
          <w:lang w:eastAsia="zh-CN"/>
        </w:rPr>
        <w:t>指为实施、完成并保修合同工程，发包人支付或应当支付给承包人的各种价款，包括进度款、结算款等。</w:t>
      </w:r>
    </w:p>
    <w:p w14:paraId="60BA6E13">
      <w:pPr>
        <w:pStyle w:val="22"/>
        <w:widowControl w:val="0"/>
        <w:tabs>
          <w:tab w:val="left" w:pos="1260"/>
          <w:tab w:val="left" w:pos="2160"/>
        </w:tabs>
        <w:adjustRightIn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b/>
          <w:sz w:val="24"/>
          <w:szCs w:val="24"/>
          <w:lang w:eastAsia="zh-CN"/>
        </w:rPr>
        <w:t>1.3.1</w:t>
      </w:r>
      <w:r>
        <w:rPr>
          <w:rFonts w:ascii="仿宋" w:hAnsi="仿宋" w:eastAsia="仿宋" w:cs="仿宋"/>
          <w:b/>
          <w:sz w:val="24"/>
          <w:szCs w:val="24"/>
          <w:lang w:eastAsia="zh-CN"/>
        </w:rPr>
        <w:t>8</w:t>
      </w:r>
      <w:r>
        <w:rPr>
          <w:rFonts w:hint="eastAsia" w:ascii="仿宋" w:hAnsi="仿宋" w:eastAsia="仿宋" w:cs="仿宋"/>
          <w:b/>
          <w:sz w:val="24"/>
          <w:szCs w:val="24"/>
          <w:lang w:eastAsia="zh-CN"/>
        </w:rPr>
        <w:t xml:space="preserve"> 竣工结算书：</w:t>
      </w:r>
      <w:r>
        <w:rPr>
          <w:rFonts w:hint="eastAsia" w:ascii="仿宋" w:hAnsi="仿宋" w:eastAsia="仿宋" w:cs="仿宋"/>
          <w:sz w:val="24"/>
          <w:szCs w:val="24"/>
          <w:lang w:eastAsia="zh-CN"/>
        </w:rPr>
        <w:t>指合同工程通过竣工验收交付使用后，承包人按合同约定编制并经发包人审定的合同价格报表。</w:t>
      </w:r>
    </w:p>
    <w:p w14:paraId="65EB01E8">
      <w:pPr>
        <w:pStyle w:val="22"/>
        <w:widowControl w:val="0"/>
        <w:tabs>
          <w:tab w:val="left" w:pos="1260"/>
          <w:tab w:val="left" w:pos="2160"/>
        </w:tabs>
        <w:adjustRightInd w:val="0"/>
        <w:spacing w:line="400" w:lineRule="exact"/>
        <w:ind w:left="1850" w:leftChars="771"/>
        <w:jc w:val="both"/>
        <w:rPr>
          <w:rFonts w:ascii="仿宋" w:hAnsi="仿宋" w:eastAsia="仿宋" w:cs="仿宋"/>
          <w:b/>
          <w:bCs/>
          <w:sz w:val="24"/>
          <w:szCs w:val="24"/>
          <w:lang w:eastAsia="zh-CN"/>
        </w:rPr>
      </w:pPr>
      <w:bookmarkStart w:id="90" w:name="_Toc30064"/>
      <w:r>
        <w:rPr>
          <w:rFonts w:hint="eastAsia" w:ascii="仿宋" w:hAnsi="仿宋" w:eastAsia="仿宋" w:cs="仿宋"/>
          <w:b/>
          <w:bCs/>
          <w:sz w:val="24"/>
          <w:szCs w:val="24"/>
          <w:lang w:eastAsia="zh-CN"/>
        </w:rPr>
        <w:t>1.4 承包范围及工程内容</w:t>
      </w:r>
      <w:bookmarkEnd w:id="90"/>
    </w:p>
    <w:p w14:paraId="11D2BB83">
      <w:pPr>
        <w:pStyle w:val="22"/>
        <w:widowControl w:val="0"/>
        <w:tabs>
          <w:tab w:val="left" w:pos="1260"/>
          <w:tab w:val="left" w:pos="2160"/>
        </w:tabs>
        <w:adjustRightInd w:val="0"/>
        <w:spacing w:line="400" w:lineRule="exact"/>
        <w:ind w:left="1850" w:leftChars="771"/>
        <w:jc w:val="both"/>
        <w:rPr>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4.1</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勘察：</w:t>
      </w:r>
      <w:r>
        <w:rPr>
          <w:rFonts w:hint="eastAsia" w:ascii="仿宋" w:hAnsi="仿宋" w:eastAsia="仿宋" w:cs="仿宋"/>
          <w:sz w:val="24"/>
          <w:szCs w:val="24"/>
          <w:lang w:eastAsia="zh-CN"/>
        </w:rPr>
        <w:t>指发包人要求承包人提供本项目的工程地质勘察服务。具体承包范围及工程内容由双方在协议书中约定。</w:t>
      </w:r>
    </w:p>
    <w:p w14:paraId="2FEB7A8B">
      <w:pPr>
        <w:pStyle w:val="22"/>
        <w:widowControl w:val="0"/>
        <w:tabs>
          <w:tab w:val="left" w:pos="1260"/>
          <w:tab w:val="left" w:pos="2160"/>
        </w:tabs>
        <w:adjustRightInd w:val="0"/>
        <w:spacing w:line="400" w:lineRule="exact"/>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4.2 设计：</w:t>
      </w:r>
      <w:r>
        <w:rPr>
          <w:rFonts w:hint="eastAsia" w:ascii="仿宋" w:hAnsi="仿宋" w:eastAsia="仿宋" w:cs="仿宋"/>
          <w:sz w:val="24"/>
          <w:szCs w:val="24"/>
          <w:lang w:eastAsia="zh-CN"/>
        </w:rPr>
        <w:t>指发包人要求承包人提供本项目的初步设计文件和（或）施工图设计文件及相关深化设计、后期配合等服务。具体承包范围及工程内容由双方在协议书中约定。</w:t>
      </w:r>
    </w:p>
    <w:p w14:paraId="755DF463">
      <w:pPr>
        <w:pStyle w:val="22"/>
        <w:widowControl w:val="0"/>
        <w:tabs>
          <w:tab w:val="left" w:pos="1260"/>
          <w:tab w:val="left" w:pos="2160"/>
        </w:tabs>
        <w:adjustRightInd w:val="0"/>
        <w:spacing w:line="400" w:lineRule="exact"/>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4.3  BIM技术应用：</w:t>
      </w:r>
      <w:r>
        <w:rPr>
          <w:rFonts w:hint="eastAsia" w:ascii="仿宋" w:hAnsi="仿宋" w:eastAsia="仿宋" w:cs="仿宋"/>
          <w:sz w:val="24"/>
          <w:szCs w:val="24"/>
          <w:lang w:eastAsia="zh-CN"/>
        </w:rPr>
        <w:t>指发包人要求承包人于设计、施工、竣工验收或运维等阶段开展BIM技术应用或有关服务，提供本项目的建筑信息模型（BIM），利用BIM技术进行正向设计与建模（或建模与出图同步完成）、施工实施、造价管理及相关协调配合。具体承包范围及工程内容由双方在协议书中约定。</w:t>
      </w:r>
    </w:p>
    <w:p w14:paraId="6263D3DC">
      <w:pPr>
        <w:pStyle w:val="22"/>
        <w:widowControl w:val="0"/>
        <w:tabs>
          <w:tab w:val="left" w:pos="1260"/>
          <w:tab w:val="left" w:pos="2160"/>
        </w:tabs>
        <w:adjustRightInd w:val="0"/>
        <w:spacing w:line="400" w:lineRule="exact"/>
        <w:ind w:left="1850" w:leftChars="771"/>
        <w:jc w:val="both"/>
        <w:rPr>
          <w:rFonts w:ascii="仿宋" w:hAnsi="仿宋" w:eastAsia="仿宋" w:cs="仿宋"/>
          <w:b/>
          <w:bCs/>
          <w:sz w:val="24"/>
          <w:szCs w:val="24"/>
          <w:lang w:eastAsia="zh-CN"/>
        </w:rPr>
      </w:pPr>
      <w:r>
        <w:rPr>
          <w:rFonts w:hint="eastAsia" w:ascii="仿宋" w:hAnsi="仿宋" w:eastAsia="仿宋" w:cs="仿宋"/>
          <w:b/>
          <w:bCs/>
          <w:sz w:val="24"/>
          <w:szCs w:val="24"/>
          <w:lang w:eastAsia="zh-CN"/>
        </w:rPr>
        <w:t xml:space="preserve">1.4.4 </w:t>
      </w:r>
      <w:bookmarkStart w:id="91" w:name="OLE_LINK8"/>
      <w:bookmarkStart w:id="92" w:name="OLE_LINK9"/>
      <w:r>
        <w:rPr>
          <w:rFonts w:hint="eastAsia" w:ascii="仿宋" w:hAnsi="仿宋" w:eastAsia="仿宋" w:cs="仿宋"/>
          <w:b/>
          <w:bCs/>
          <w:sz w:val="24"/>
          <w:szCs w:val="24"/>
          <w:lang w:eastAsia="zh-CN"/>
        </w:rPr>
        <w:t>BIM正向设计：</w:t>
      </w:r>
      <w:bookmarkEnd w:id="91"/>
      <w:bookmarkEnd w:id="92"/>
      <w:r>
        <w:rPr>
          <w:rFonts w:hint="eastAsia" w:ascii="仿宋" w:hAnsi="仿宋" w:eastAsia="仿宋" w:cs="仿宋"/>
          <w:sz w:val="24"/>
          <w:szCs w:val="24"/>
          <w:lang w:eastAsia="zh-CN"/>
        </w:rPr>
        <w:t>在三维环境下开展设计，将不同维度的相关信息进行集成统一形成建筑信息模型（BIM）的设计方式。</w:t>
      </w:r>
    </w:p>
    <w:p w14:paraId="290A4AE0">
      <w:pPr>
        <w:pStyle w:val="22"/>
        <w:widowControl w:val="0"/>
        <w:tabs>
          <w:tab w:val="left" w:pos="1260"/>
          <w:tab w:val="left" w:pos="2160"/>
        </w:tabs>
        <w:adjustRightInd w:val="0"/>
        <w:spacing w:line="400" w:lineRule="exact"/>
        <w:ind w:left="1850" w:leftChars="771"/>
        <w:jc w:val="both"/>
        <w:rPr>
          <w:rFonts w:ascii="仿宋" w:hAnsi="仿宋" w:eastAsia="仿宋" w:cs="仿宋"/>
          <w:b/>
          <w:bCs/>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4.5</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设备及工器具购置：</w:t>
      </w:r>
      <w:r>
        <w:rPr>
          <w:rFonts w:hint="eastAsia" w:ascii="仿宋" w:hAnsi="仿宋" w:eastAsia="仿宋" w:cs="仿宋"/>
          <w:sz w:val="24"/>
          <w:szCs w:val="24"/>
          <w:lang w:eastAsia="zh-CN"/>
        </w:rPr>
        <w:t>指发包人要求承包人提供本项目所需的、为达到生产能力应配备的设备及工器具（不含构成建筑安装工程实体的建筑材料、建筑设备、机电设备以及施工用机械设备）。具体承包范围及工程内容由双方在协议书中约定。</w:t>
      </w:r>
    </w:p>
    <w:p w14:paraId="127C4B29">
      <w:pPr>
        <w:pStyle w:val="22"/>
        <w:widowControl w:val="0"/>
        <w:tabs>
          <w:tab w:val="left" w:pos="1260"/>
          <w:tab w:val="left" w:pos="2160"/>
        </w:tabs>
        <w:adjustRightInd w:val="0"/>
        <w:spacing w:line="400" w:lineRule="exact"/>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4.6</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施工：</w:t>
      </w:r>
      <w:r>
        <w:rPr>
          <w:rFonts w:hint="eastAsia" w:ascii="仿宋" w:hAnsi="仿宋" w:eastAsia="仿宋" w:cs="仿宋"/>
          <w:sz w:val="24"/>
          <w:szCs w:val="24"/>
          <w:lang w:eastAsia="zh-CN"/>
        </w:rPr>
        <w:t>指发包人要求承包人建造、完成并保修工程。具体承包范围及工程内容由双方在协议书中约定。</w:t>
      </w:r>
    </w:p>
    <w:p w14:paraId="3EA10F58">
      <w:pPr>
        <w:pStyle w:val="22"/>
        <w:widowControl w:val="0"/>
        <w:tabs>
          <w:tab w:val="left" w:pos="1260"/>
          <w:tab w:val="left" w:pos="2160"/>
        </w:tabs>
        <w:adjustRightInd w:val="0"/>
        <w:spacing w:line="400" w:lineRule="exact"/>
        <w:ind w:left="1850" w:leftChars="771"/>
        <w:jc w:val="both"/>
        <w:rPr>
          <w:rFonts w:ascii="仿宋" w:hAnsi="仿宋" w:eastAsia="仿宋" w:cs="仿宋"/>
          <w:b/>
          <w:bCs/>
          <w:sz w:val="24"/>
          <w:szCs w:val="24"/>
          <w:lang w:eastAsia="zh-CN"/>
        </w:rPr>
      </w:pPr>
      <w:bookmarkStart w:id="93" w:name="_Toc20462"/>
      <w:r>
        <w:rPr>
          <w:rFonts w:hint="eastAsia" w:ascii="仿宋" w:hAnsi="仿宋" w:eastAsia="仿宋" w:cs="仿宋"/>
          <w:b/>
          <w:bCs/>
          <w:sz w:val="24"/>
          <w:szCs w:val="24"/>
          <w:lang w:eastAsia="zh-CN"/>
        </w:rPr>
        <w:t>1.5 施工现场</w:t>
      </w:r>
      <w:bookmarkEnd w:id="93"/>
    </w:p>
    <w:p w14:paraId="061DA0C1">
      <w:pPr>
        <w:pStyle w:val="22"/>
        <w:widowControl w:val="0"/>
        <w:tabs>
          <w:tab w:val="left" w:pos="1260"/>
          <w:tab w:val="left" w:pos="2160"/>
        </w:tabs>
        <w:adjustRightInd w:val="0"/>
        <w:spacing w:line="400" w:lineRule="exact"/>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5.1</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施工现场：</w:t>
      </w:r>
      <w:r>
        <w:rPr>
          <w:rFonts w:hint="eastAsia" w:ascii="仿宋" w:hAnsi="仿宋" w:eastAsia="仿宋" w:cs="仿宋"/>
          <w:sz w:val="24"/>
          <w:szCs w:val="24"/>
          <w:lang w:eastAsia="zh-CN"/>
        </w:rPr>
        <w:t>指由发包人提供的用于合同工程施工、工程材料与工程设备存放的场所，以及发包人在合同中具体指定的供施工使用的其他任何场所。</w:t>
      </w:r>
    </w:p>
    <w:p w14:paraId="28D19F73">
      <w:pPr>
        <w:pStyle w:val="22"/>
        <w:widowControl w:val="0"/>
        <w:tabs>
          <w:tab w:val="left" w:pos="1260"/>
          <w:tab w:val="left" w:pos="2160"/>
        </w:tabs>
        <w:adjustRightInd w:val="0"/>
        <w:spacing w:line="400" w:lineRule="exact"/>
        <w:ind w:left="1850" w:leftChars="771"/>
        <w:jc w:val="both"/>
        <w:rPr>
          <w:rFonts w:ascii="仿宋" w:hAnsi="仿宋" w:eastAsia="仿宋"/>
          <w:b/>
          <w:sz w:val="24"/>
          <w:szCs w:val="24"/>
          <w:lang w:eastAsia="zh-CN"/>
        </w:rPr>
      </w:pPr>
      <w:r>
        <w:rPr>
          <w:rFonts w:hint="eastAsia" w:ascii="仿宋" w:hAnsi="仿宋" w:eastAsia="仿宋"/>
          <w:b/>
          <w:sz w:val="24"/>
          <w:szCs w:val="24"/>
          <w:lang w:eastAsia="zh-CN"/>
        </w:rPr>
        <w:t>1.5.2 现场进入权：</w:t>
      </w:r>
      <w:r>
        <w:rPr>
          <w:rFonts w:hint="eastAsia" w:ascii="仿宋" w:hAnsi="仿宋" w:eastAsia="仿宋"/>
          <w:sz w:val="24"/>
          <w:szCs w:val="24"/>
          <w:lang w:eastAsia="zh-CN"/>
        </w:rPr>
        <w:t>指发包人允许承包人为实施勘察、设计、采购、施工、验收、试验、缺陷修复等合同约定的工作内容，进入和占用现场各部分的权利。具体进入现场的</w:t>
      </w:r>
      <w:r>
        <w:rPr>
          <w:rFonts w:hint="eastAsia" w:ascii="仿宋" w:hAnsi="仿宋" w:eastAsia="仿宋" w:cs="仿宋"/>
          <w:sz w:val="24"/>
          <w:szCs w:val="24"/>
          <w:lang w:eastAsia="zh-CN"/>
        </w:rPr>
        <w:t>时间、占用各部分内容（建筑物、构筑物、生产设备等）及占用方式</w:t>
      </w:r>
      <w:r>
        <w:rPr>
          <w:rFonts w:hint="eastAsia" w:ascii="仿宋" w:hAnsi="仿宋" w:eastAsia="仿宋"/>
          <w:sz w:val="24"/>
          <w:szCs w:val="24"/>
          <w:lang w:eastAsia="zh-CN"/>
        </w:rPr>
        <w:t>，由合同双方在专用条款中约定。</w:t>
      </w:r>
    </w:p>
    <w:p w14:paraId="1872ED10">
      <w:pPr>
        <w:pStyle w:val="22"/>
        <w:widowControl w:val="0"/>
        <w:tabs>
          <w:tab w:val="left" w:pos="1260"/>
          <w:tab w:val="left" w:pos="2160"/>
        </w:tabs>
        <w:adjustRightInd w:val="0"/>
        <w:spacing w:line="400" w:lineRule="exact"/>
        <w:ind w:left="1850" w:leftChars="771"/>
        <w:jc w:val="both"/>
        <w:rPr>
          <w:rFonts w:ascii="仿宋" w:hAnsi="仿宋" w:eastAsia="仿宋" w:cs="仿宋"/>
          <w:b/>
          <w:bCs/>
          <w:sz w:val="24"/>
          <w:szCs w:val="24"/>
          <w:lang w:eastAsia="zh-CN"/>
        </w:rPr>
      </w:pPr>
      <w:bookmarkStart w:id="94" w:name="_Toc23046"/>
      <w:r>
        <w:rPr>
          <w:rFonts w:hint="eastAsia" w:ascii="仿宋" w:hAnsi="仿宋" w:eastAsia="仿宋" w:cs="仿宋"/>
          <w:b/>
          <w:bCs/>
          <w:sz w:val="24"/>
          <w:szCs w:val="24"/>
          <w:lang w:eastAsia="zh-CN"/>
        </w:rPr>
        <w:t>1.6 合同当事人及相关方</w:t>
      </w:r>
      <w:bookmarkEnd w:id="94"/>
    </w:p>
    <w:p w14:paraId="70D30906">
      <w:pPr>
        <w:pStyle w:val="22"/>
        <w:widowControl w:val="0"/>
        <w:tabs>
          <w:tab w:val="left" w:pos="1260"/>
          <w:tab w:val="left" w:pos="2160"/>
        </w:tabs>
        <w:adjustRightInd w:val="0"/>
        <w:spacing w:line="400" w:lineRule="exact"/>
        <w:ind w:left="1850" w:leftChars="771"/>
        <w:jc w:val="both"/>
        <w:rPr>
          <w:rFonts w:ascii="仿宋" w:hAnsi="仿宋" w:eastAsia="仿宋" w:cs="仿宋"/>
          <w:bCs/>
          <w:sz w:val="24"/>
          <w:szCs w:val="24"/>
          <w:lang w:eastAsia="zh-CN"/>
        </w:rPr>
      </w:pPr>
      <w:r>
        <w:rPr>
          <w:rFonts w:hint="eastAsia" w:ascii="仿宋" w:hAnsi="仿宋" w:eastAsia="仿宋" w:cs="仿宋"/>
          <w:b/>
          <w:bCs/>
          <w:sz w:val="24"/>
          <w:szCs w:val="24"/>
          <w:lang w:eastAsia="zh-CN"/>
        </w:rPr>
        <w:t>1.6.1合同当事人：</w:t>
      </w:r>
      <w:r>
        <w:rPr>
          <w:rFonts w:hint="eastAsia" w:ascii="仿宋" w:hAnsi="仿宋" w:eastAsia="仿宋" w:cs="仿宋"/>
          <w:bCs/>
          <w:sz w:val="24"/>
          <w:szCs w:val="24"/>
          <w:lang w:eastAsia="zh-CN"/>
        </w:rPr>
        <w:t>指发包人和（或）承包人。</w:t>
      </w:r>
    </w:p>
    <w:p w14:paraId="0B09D1D6">
      <w:pPr>
        <w:pStyle w:val="22"/>
        <w:widowControl w:val="0"/>
        <w:tabs>
          <w:tab w:val="left" w:pos="1260"/>
          <w:tab w:val="left" w:pos="2160"/>
        </w:tabs>
        <w:adjustRightInd w:val="0"/>
        <w:spacing w:line="400" w:lineRule="exact"/>
        <w:ind w:left="1850" w:leftChars="771"/>
        <w:jc w:val="both"/>
        <w:rPr>
          <w:rFonts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6.2</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发包人：</w:t>
      </w:r>
      <w:r>
        <w:rPr>
          <w:rFonts w:hint="eastAsia" w:ascii="仿宋" w:hAnsi="仿宋" w:eastAsia="仿宋" w:cs="仿宋"/>
          <w:sz w:val="24"/>
          <w:szCs w:val="24"/>
          <w:lang w:eastAsia="zh-CN"/>
        </w:rPr>
        <w:t>指在协议书中约定，具有工程发包主体资格和支付工程款能力的当事人，以及取得该当事人资格的合法继受人。</w:t>
      </w:r>
    </w:p>
    <w:p w14:paraId="55B44C91">
      <w:pPr>
        <w:pStyle w:val="22"/>
        <w:widowControl w:val="0"/>
        <w:tabs>
          <w:tab w:val="left" w:pos="1260"/>
          <w:tab w:val="left" w:pos="2160"/>
        </w:tabs>
        <w:adjustRightInd w:val="0"/>
        <w:spacing w:line="400" w:lineRule="exact"/>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6.3</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承包人：</w:t>
      </w:r>
      <w:r>
        <w:rPr>
          <w:rFonts w:hint="eastAsia" w:ascii="仿宋" w:hAnsi="仿宋" w:eastAsia="仿宋" w:cs="仿宋"/>
          <w:sz w:val="24"/>
          <w:szCs w:val="24"/>
          <w:lang w:eastAsia="zh-CN"/>
        </w:rPr>
        <w:t>指在协议书中约定，被发包人接受且具有勘察、设计、采购、施工或设计、施工等阶段总承包主体资格的当事人，以及取得该当事人资格的合法继受人。</w:t>
      </w:r>
    </w:p>
    <w:p w14:paraId="7664EFF7">
      <w:pPr>
        <w:pStyle w:val="22"/>
        <w:widowControl w:val="0"/>
        <w:tabs>
          <w:tab w:val="left" w:pos="1260"/>
          <w:tab w:val="left" w:pos="2160"/>
        </w:tabs>
        <w:adjustRightIn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b/>
          <w:bCs/>
          <w:sz w:val="24"/>
          <w:szCs w:val="24"/>
          <w:lang w:eastAsia="zh-CN"/>
        </w:rPr>
        <w:t>1.6.4 联合体：</w:t>
      </w:r>
      <w:r>
        <w:rPr>
          <w:rFonts w:hint="eastAsia" w:ascii="仿宋" w:hAnsi="仿宋" w:eastAsia="仿宋" w:cs="仿宋"/>
          <w:bCs/>
          <w:sz w:val="24"/>
          <w:szCs w:val="24"/>
          <w:lang w:eastAsia="zh-CN"/>
        </w:rPr>
        <w:t>指经发包人同意由两个或两个以上法人或者其他组织组成的，</w:t>
      </w:r>
      <w:r>
        <w:rPr>
          <w:rFonts w:hint="eastAsia" w:ascii="仿宋" w:hAnsi="仿宋" w:eastAsia="仿宋" w:cs="仿宋"/>
          <w:sz w:val="24"/>
          <w:szCs w:val="24"/>
          <w:lang w:eastAsia="zh-CN"/>
        </w:rPr>
        <w:t>作为承包人的临时机构，联合体各方向发包人承担连带责任。联合体各方应指定其中一方作为牵头人。</w:t>
      </w:r>
    </w:p>
    <w:p w14:paraId="4B30EF8C">
      <w:pPr>
        <w:pStyle w:val="22"/>
        <w:widowControl w:val="0"/>
        <w:tabs>
          <w:tab w:val="left" w:pos="1260"/>
          <w:tab w:val="left" w:pos="2160"/>
        </w:tabs>
        <w:adjustRightInd w:val="0"/>
        <w:spacing w:line="400" w:lineRule="exact"/>
        <w:ind w:left="1850" w:leftChars="771"/>
        <w:jc w:val="both"/>
        <w:rPr>
          <w:rFonts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6.5</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分包人：</w:t>
      </w:r>
      <w:r>
        <w:rPr>
          <w:rFonts w:hint="eastAsia" w:ascii="仿宋" w:hAnsi="仿宋" w:eastAsia="仿宋" w:cs="仿宋"/>
          <w:sz w:val="24"/>
          <w:szCs w:val="24"/>
          <w:lang w:eastAsia="zh-CN"/>
        </w:rPr>
        <w:t>指承包人对总承包范围内的部分工程、工程材料、工程设备或服务依法招标或直接分包，被发包人接受且具有相应资格，并与承包人签订了分包合同，接受承包人管理，依法开展施工、供货或服务的分包合同当事人，以及取得该分包合同当事人资格的合法继受人。</w:t>
      </w:r>
    </w:p>
    <w:p w14:paraId="2042E2B1">
      <w:pPr>
        <w:pStyle w:val="22"/>
        <w:widowControl w:val="0"/>
        <w:tabs>
          <w:tab w:val="left" w:pos="1260"/>
          <w:tab w:val="left" w:pos="2160"/>
        </w:tabs>
        <w:adjustRightInd w:val="0"/>
        <w:spacing w:line="400" w:lineRule="exact"/>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6.6</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相关方：</w:t>
      </w:r>
      <w:r>
        <w:rPr>
          <w:rFonts w:hint="eastAsia" w:ascii="仿宋" w:hAnsi="仿宋" w:eastAsia="仿宋" w:cs="仿宋"/>
          <w:sz w:val="24"/>
          <w:szCs w:val="24"/>
          <w:lang w:eastAsia="zh-CN"/>
        </w:rPr>
        <w:t>除合同当事人</w:t>
      </w:r>
      <w:r>
        <w:rPr>
          <w:rFonts w:ascii="仿宋" w:hAnsi="仿宋" w:eastAsia="仿宋" w:cs="仿宋"/>
          <w:sz w:val="24"/>
          <w:szCs w:val="24"/>
          <w:lang w:eastAsia="zh-CN"/>
        </w:rPr>
        <w:t>(</w:t>
      </w:r>
      <w:r>
        <w:rPr>
          <w:rFonts w:hint="eastAsia" w:ascii="仿宋" w:hAnsi="仿宋" w:eastAsia="仿宋" w:cs="仿宋"/>
          <w:sz w:val="24"/>
          <w:szCs w:val="24"/>
          <w:lang w:eastAsia="zh-CN"/>
        </w:rPr>
        <w:t>含双方雇员及代表其工作的人员</w:t>
      </w:r>
      <w:r>
        <w:rPr>
          <w:rFonts w:ascii="仿宋" w:hAnsi="仿宋" w:eastAsia="仿宋" w:cs="仿宋"/>
          <w:sz w:val="24"/>
          <w:szCs w:val="24"/>
          <w:lang w:eastAsia="zh-CN"/>
        </w:rPr>
        <w:t>)</w:t>
      </w:r>
      <w:r>
        <w:rPr>
          <w:rFonts w:hint="eastAsia" w:ascii="仿宋" w:hAnsi="仿宋" w:eastAsia="仿宋" w:cs="仿宋"/>
          <w:sz w:val="24"/>
          <w:szCs w:val="24"/>
          <w:lang w:eastAsia="zh-CN"/>
        </w:rPr>
        <w:t>以外的任何自然人、法人或其他组织。</w:t>
      </w:r>
    </w:p>
    <w:p w14:paraId="1D221CDF">
      <w:pPr>
        <w:pStyle w:val="22"/>
        <w:widowControl w:val="0"/>
        <w:tabs>
          <w:tab w:val="left" w:pos="1260"/>
          <w:tab w:val="left" w:pos="2160"/>
        </w:tabs>
        <w:adjustRightIn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b/>
          <w:sz w:val="24"/>
          <w:szCs w:val="24"/>
          <w:lang w:eastAsia="zh-CN"/>
        </w:rPr>
        <w:t>1.6.7 设计顾问人：</w:t>
      </w:r>
      <w:r>
        <w:rPr>
          <w:rFonts w:hint="eastAsia" w:ascii="仿宋" w:hAnsi="仿宋" w:eastAsia="仿宋" w:cs="仿宋"/>
          <w:sz w:val="24"/>
          <w:szCs w:val="24"/>
          <w:lang w:eastAsia="zh-CN"/>
        </w:rPr>
        <w:t>指受发包人委托，在项目建设各阶段协助发包人监督管理承包人的工程设计活动、审核设计成果、提供设计优化建议、审核设计变更、参与相关设计评审会、参与竣工验收等的自然人、法人或其他组织。</w:t>
      </w:r>
    </w:p>
    <w:p w14:paraId="62CDCBC8">
      <w:pPr>
        <w:pStyle w:val="22"/>
        <w:widowControl w:val="0"/>
        <w:tabs>
          <w:tab w:val="left" w:pos="1260"/>
          <w:tab w:val="left" w:pos="2160"/>
        </w:tabs>
        <w:adjustRightInd w:val="0"/>
        <w:spacing w:line="400" w:lineRule="exact"/>
        <w:ind w:left="1850" w:leftChars="771"/>
        <w:jc w:val="both"/>
        <w:rPr>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6.8</w:t>
      </w:r>
      <w:r>
        <w:rPr>
          <w:rFonts w:ascii="仿宋" w:hAnsi="仿宋" w:eastAsia="仿宋" w:cs="仿宋"/>
          <w:b/>
          <w:bCs/>
          <w:sz w:val="24"/>
          <w:szCs w:val="24"/>
          <w:lang w:eastAsia="zh-CN"/>
        </w:rPr>
        <w:t xml:space="preserve"> </w:t>
      </w:r>
      <w:r>
        <w:rPr>
          <w:rFonts w:hint="eastAsia" w:ascii="仿宋" w:hAnsi="仿宋" w:eastAsia="仿宋" w:cs="仿宋"/>
          <w:b/>
          <w:sz w:val="24"/>
          <w:szCs w:val="24"/>
          <w:lang w:eastAsia="zh-CN"/>
        </w:rPr>
        <w:t>监理人</w:t>
      </w:r>
      <w:r>
        <w:rPr>
          <w:rFonts w:hint="eastAsia" w:ascii="仿宋" w:hAnsi="仿宋" w:eastAsia="仿宋" w:cs="仿宋"/>
          <w:b/>
          <w:bCs/>
          <w:sz w:val="24"/>
          <w:szCs w:val="24"/>
          <w:lang w:eastAsia="zh-CN"/>
        </w:rPr>
        <w:t>：</w:t>
      </w:r>
      <w:r>
        <w:rPr>
          <w:rFonts w:hint="eastAsia" w:ascii="仿宋" w:hAnsi="仿宋" w:eastAsia="仿宋" w:cs="仿宋"/>
          <w:sz w:val="24"/>
          <w:szCs w:val="24"/>
          <w:lang w:eastAsia="zh-CN"/>
        </w:rPr>
        <w:t>指受发包人委托，负责合同工程的施工阶段及保修阶段监理且具有相应工程监理资质的法人或组织。</w:t>
      </w:r>
    </w:p>
    <w:p w14:paraId="33D6BD38">
      <w:pPr>
        <w:pStyle w:val="22"/>
        <w:widowControl w:val="0"/>
        <w:tabs>
          <w:tab w:val="left" w:pos="1260"/>
          <w:tab w:val="left" w:pos="2160"/>
        </w:tabs>
        <w:adjustRightInd w:val="0"/>
        <w:spacing w:line="400" w:lineRule="exact"/>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6.9</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造价咨询人：</w:t>
      </w:r>
      <w:r>
        <w:rPr>
          <w:rFonts w:hint="eastAsia" w:ascii="仿宋" w:hAnsi="仿宋" w:eastAsia="仿宋" w:cs="仿宋"/>
          <w:sz w:val="24"/>
          <w:szCs w:val="24"/>
          <w:lang w:eastAsia="zh-CN"/>
        </w:rPr>
        <w:t>指受发包人委托，负责合同工程的工程造价管理的法人或组织。</w:t>
      </w:r>
    </w:p>
    <w:p w14:paraId="7F606978">
      <w:pPr>
        <w:pStyle w:val="22"/>
        <w:widowControl w:val="0"/>
        <w:tabs>
          <w:tab w:val="left" w:pos="1260"/>
          <w:tab w:val="left" w:pos="2160"/>
        </w:tabs>
        <w:adjustRightInd w:val="0"/>
        <w:spacing w:line="400" w:lineRule="exact"/>
        <w:ind w:left="1850" w:leftChars="771"/>
        <w:jc w:val="both"/>
        <w:rPr>
          <w:rFonts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6.10</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工程造价管理机构：</w:t>
      </w:r>
      <w:r>
        <w:rPr>
          <w:rFonts w:hint="eastAsia" w:ascii="仿宋" w:hAnsi="仿宋" w:eastAsia="仿宋" w:cs="仿宋"/>
          <w:sz w:val="24"/>
          <w:szCs w:val="24"/>
          <w:lang w:eastAsia="zh-CN"/>
        </w:rPr>
        <w:t>指国务院有关部门、县级以上人民政府建设行政主管部门或受其委托的工程造价管理机构。</w:t>
      </w:r>
    </w:p>
    <w:p w14:paraId="3A0086D8">
      <w:pPr>
        <w:pStyle w:val="22"/>
        <w:widowControl w:val="0"/>
        <w:tabs>
          <w:tab w:val="left" w:pos="1260"/>
          <w:tab w:val="left" w:pos="2160"/>
        </w:tabs>
        <w:adjustRightInd w:val="0"/>
        <w:spacing w:line="400" w:lineRule="exact"/>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6.11</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发包人代表：</w:t>
      </w:r>
      <w:r>
        <w:rPr>
          <w:rFonts w:hint="eastAsia" w:ascii="仿宋" w:hAnsi="仿宋" w:eastAsia="仿宋" w:cs="仿宋"/>
          <w:sz w:val="24"/>
          <w:szCs w:val="24"/>
          <w:lang w:eastAsia="zh-CN"/>
        </w:rPr>
        <w:t>指发包人指定，代表发包人对合同工程进行管理的全权代表。发包人代表由发包人依据第</w:t>
      </w:r>
      <w:r>
        <w:rPr>
          <w:rFonts w:ascii="仿宋" w:hAnsi="仿宋" w:eastAsia="仿宋" w:cs="仿宋"/>
          <w:sz w:val="24"/>
          <w:szCs w:val="24"/>
          <w:lang w:eastAsia="zh-CN"/>
        </w:rPr>
        <w:t>2</w:t>
      </w:r>
      <w:r>
        <w:rPr>
          <w:rFonts w:hint="eastAsia" w:ascii="仿宋" w:hAnsi="仿宋" w:eastAsia="仿宋" w:cs="仿宋"/>
          <w:sz w:val="24"/>
          <w:szCs w:val="24"/>
          <w:lang w:eastAsia="zh-CN"/>
        </w:rPr>
        <w:t>5</w:t>
      </w:r>
      <w:r>
        <w:rPr>
          <w:rFonts w:ascii="仿宋" w:hAnsi="仿宋" w:eastAsia="仿宋" w:cs="仿宋"/>
          <w:sz w:val="24"/>
          <w:szCs w:val="24"/>
          <w:lang w:eastAsia="zh-CN"/>
        </w:rPr>
        <w:t>.1</w:t>
      </w:r>
      <w:r>
        <w:rPr>
          <w:rFonts w:hint="eastAsia" w:ascii="仿宋" w:hAnsi="仿宋" w:eastAsia="仿宋" w:cs="仿宋"/>
          <w:sz w:val="24"/>
          <w:szCs w:val="24"/>
          <w:lang w:eastAsia="zh-CN"/>
        </w:rPr>
        <w:t>款约定任命并书面通知承包人。</w:t>
      </w:r>
    </w:p>
    <w:p w14:paraId="4B630E90">
      <w:pPr>
        <w:pStyle w:val="22"/>
        <w:widowControl w:val="0"/>
        <w:tabs>
          <w:tab w:val="left" w:pos="1260"/>
          <w:tab w:val="left" w:pos="2160"/>
        </w:tabs>
        <w:adjustRightInd w:val="0"/>
        <w:spacing w:line="400" w:lineRule="exact"/>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6.12</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承包人代表及专业负责人：</w:t>
      </w:r>
      <w:r>
        <w:rPr>
          <w:rFonts w:hint="eastAsia" w:ascii="仿宋" w:hAnsi="仿宋" w:eastAsia="仿宋" w:cs="仿宋"/>
          <w:sz w:val="24"/>
          <w:szCs w:val="24"/>
          <w:lang w:eastAsia="zh-CN"/>
        </w:rPr>
        <w:t>指承包人指定，代表承包人负责合同工程总承包管理的全权代表，以及负责合同工程的勘察、设计、BIM技术、采购、施工等各专业管理的负责人。承包人代表及专业负责人由承包人依据第</w:t>
      </w:r>
      <w:r>
        <w:rPr>
          <w:rFonts w:ascii="仿宋" w:hAnsi="仿宋" w:eastAsia="仿宋" w:cs="仿宋"/>
          <w:sz w:val="24"/>
          <w:szCs w:val="24"/>
          <w:lang w:eastAsia="zh-CN"/>
        </w:rPr>
        <w:t>2</w:t>
      </w:r>
      <w:r>
        <w:rPr>
          <w:rFonts w:hint="eastAsia" w:ascii="仿宋" w:hAnsi="仿宋" w:eastAsia="仿宋" w:cs="仿宋"/>
          <w:sz w:val="24"/>
          <w:szCs w:val="24"/>
          <w:lang w:eastAsia="zh-CN"/>
        </w:rPr>
        <w:t>9</w:t>
      </w:r>
      <w:r>
        <w:rPr>
          <w:rFonts w:ascii="仿宋" w:hAnsi="仿宋" w:eastAsia="仿宋" w:cs="仿宋"/>
          <w:sz w:val="24"/>
          <w:szCs w:val="24"/>
          <w:lang w:eastAsia="zh-CN"/>
        </w:rPr>
        <w:t>.1</w:t>
      </w:r>
      <w:r>
        <w:rPr>
          <w:rFonts w:hint="eastAsia" w:ascii="仿宋" w:hAnsi="仿宋" w:eastAsia="仿宋" w:cs="仿宋"/>
          <w:sz w:val="24"/>
          <w:szCs w:val="24"/>
          <w:lang w:eastAsia="zh-CN"/>
        </w:rPr>
        <w:t>款约定任命并书面通知发包人。其中：</w:t>
      </w:r>
    </w:p>
    <w:p w14:paraId="3056C168">
      <w:pPr>
        <w:pStyle w:val="22"/>
        <w:widowControl w:val="0"/>
        <w:tabs>
          <w:tab w:val="left" w:pos="1260"/>
          <w:tab w:val="left" w:pos="2160"/>
        </w:tabs>
        <w:adjustRightIn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b/>
          <w:sz w:val="24"/>
          <w:szCs w:val="24"/>
          <w:lang w:eastAsia="zh-CN"/>
        </w:rPr>
        <w:t>1.6.12.1 勘察负责人</w:t>
      </w:r>
      <w:r>
        <w:rPr>
          <w:rFonts w:hint="eastAsia" w:ascii="仿宋" w:hAnsi="仿宋" w:eastAsia="仿宋" w:cs="仿宋"/>
          <w:sz w:val="24"/>
          <w:szCs w:val="24"/>
          <w:lang w:eastAsia="zh-CN"/>
        </w:rPr>
        <w:t>：指承包人指定负责开展勘察工作并具有相应资格的人员。</w:t>
      </w:r>
    </w:p>
    <w:p w14:paraId="1DED7516">
      <w:pPr>
        <w:pStyle w:val="22"/>
        <w:widowControl w:val="0"/>
        <w:tabs>
          <w:tab w:val="left" w:pos="1260"/>
          <w:tab w:val="left" w:pos="2160"/>
        </w:tabs>
        <w:adjustRightIn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b/>
          <w:sz w:val="24"/>
          <w:szCs w:val="24"/>
          <w:lang w:eastAsia="zh-CN"/>
        </w:rPr>
        <w:t>1.6.12.2 设计负责人：</w:t>
      </w:r>
      <w:r>
        <w:rPr>
          <w:rFonts w:hint="eastAsia" w:ascii="仿宋" w:hAnsi="仿宋" w:eastAsia="仿宋" w:cs="仿宋"/>
          <w:sz w:val="24"/>
          <w:szCs w:val="24"/>
          <w:lang w:eastAsia="zh-CN"/>
        </w:rPr>
        <w:t>指承包人指定负责开展设计工作并具有相应资格的人员。</w:t>
      </w:r>
    </w:p>
    <w:p w14:paraId="133C23B3">
      <w:pPr>
        <w:pStyle w:val="22"/>
        <w:widowControl w:val="0"/>
        <w:tabs>
          <w:tab w:val="left" w:pos="1260"/>
          <w:tab w:val="left" w:pos="2160"/>
        </w:tabs>
        <w:adjustRightIn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b/>
          <w:sz w:val="24"/>
          <w:szCs w:val="24"/>
          <w:lang w:eastAsia="zh-CN"/>
        </w:rPr>
        <w:t>1.6.12.3  BIM负责人：</w:t>
      </w:r>
      <w:r>
        <w:rPr>
          <w:rFonts w:hint="eastAsia" w:ascii="仿宋" w:hAnsi="仿宋" w:eastAsia="仿宋" w:cs="仿宋"/>
          <w:sz w:val="24"/>
          <w:szCs w:val="24"/>
          <w:lang w:eastAsia="zh-CN"/>
        </w:rPr>
        <w:t>指承包人指定负责开展BIM技术应用工作并具有相应资格的人员。</w:t>
      </w:r>
    </w:p>
    <w:p w14:paraId="24926F63">
      <w:pPr>
        <w:pStyle w:val="22"/>
        <w:widowControl w:val="0"/>
        <w:tabs>
          <w:tab w:val="left" w:pos="1260"/>
          <w:tab w:val="left" w:pos="2160"/>
        </w:tabs>
        <w:adjustRightIn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b/>
          <w:sz w:val="24"/>
          <w:szCs w:val="24"/>
          <w:lang w:eastAsia="zh-CN"/>
        </w:rPr>
        <w:t>1.6.12.4 采购负责人</w:t>
      </w:r>
      <w:r>
        <w:rPr>
          <w:rFonts w:hint="eastAsia" w:ascii="仿宋" w:hAnsi="仿宋" w:eastAsia="仿宋" w:cs="仿宋"/>
          <w:sz w:val="24"/>
          <w:szCs w:val="24"/>
          <w:lang w:eastAsia="zh-CN"/>
        </w:rPr>
        <w:t>：指承包人指定负责开展工程材料、工程设备、装配式构件、设备及工器具等采购工作的人员。</w:t>
      </w:r>
    </w:p>
    <w:p w14:paraId="574C018B">
      <w:pPr>
        <w:pStyle w:val="22"/>
        <w:widowControl w:val="0"/>
        <w:tabs>
          <w:tab w:val="left" w:pos="1260"/>
          <w:tab w:val="left" w:pos="2160"/>
        </w:tabs>
        <w:adjustRightIn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b/>
          <w:sz w:val="24"/>
          <w:szCs w:val="24"/>
          <w:lang w:eastAsia="zh-CN"/>
        </w:rPr>
        <w:t>1.6.12.5 施工负责人：</w:t>
      </w:r>
      <w:r>
        <w:rPr>
          <w:rFonts w:hint="eastAsia" w:ascii="仿宋" w:hAnsi="仿宋" w:eastAsia="仿宋" w:cs="仿宋"/>
          <w:sz w:val="24"/>
          <w:szCs w:val="24"/>
          <w:lang w:eastAsia="zh-CN"/>
        </w:rPr>
        <w:t>指承包人指定负责工程施工管理并具有相应资格的人员。</w:t>
      </w:r>
    </w:p>
    <w:p w14:paraId="564E124E">
      <w:pPr>
        <w:pStyle w:val="22"/>
        <w:widowControl w:val="0"/>
        <w:tabs>
          <w:tab w:val="left" w:pos="1260"/>
          <w:tab w:val="left" w:pos="2160"/>
        </w:tabs>
        <w:adjustRightIn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b/>
          <w:sz w:val="24"/>
          <w:szCs w:val="24"/>
          <w:lang w:eastAsia="zh-CN"/>
        </w:rPr>
        <w:t>1.6.12.6 其他工作负责人（如果有）：</w:t>
      </w:r>
      <w:r>
        <w:rPr>
          <w:rFonts w:hint="eastAsia" w:ascii="仿宋" w:hAnsi="仿宋" w:eastAsia="仿宋" w:cs="仿宋"/>
          <w:sz w:val="24"/>
          <w:szCs w:val="24"/>
          <w:lang w:eastAsia="zh-CN"/>
        </w:rPr>
        <w:t>指承包人指定负责开展其他工作并具有相应资格（如果有</w:t>
      </w:r>
      <w:r>
        <w:rPr>
          <w:rFonts w:ascii="仿宋" w:hAnsi="仿宋" w:eastAsia="仿宋" w:cs="仿宋"/>
          <w:sz w:val="24"/>
          <w:szCs w:val="24"/>
          <w:lang w:eastAsia="zh-CN"/>
        </w:rPr>
        <w:t>）</w:t>
      </w:r>
      <w:r>
        <w:rPr>
          <w:rFonts w:hint="eastAsia" w:ascii="仿宋" w:hAnsi="仿宋" w:eastAsia="仿宋" w:cs="仿宋"/>
          <w:sz w:val="24"/>
          <w:szCs w:val="24"/>
          <w:lang w:eastAsia="zh-CN"/>
        </w:rPr>
        <w:t>的人员。</w:t>
      </w:r>
    </w:p>
    <w:p w14:paraId="307FD7F2">
      <w:pPr>
        <w:pStyle w:val="22"/>
        <w:widowControl w:val="0"/>
        <w:tabs>
          <w:tab w:val="left" w:pos="1260"/>
          <w:tab w:val="left" w:pos="2160"/>
        </w:tabs>
        <w:adjustRightInd w:val="0"/>
        <w:spacing w:line="400" w:lineRule="exact"/>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6.13 设计顾问工程师：</w:t>
      </w:r>
      <w:r>
        <w:rPr>
          <w:rFonts w:hint="eastAsia" w:ascii="仿宋" w:hAnsi="仿宋" w:eastAsia="仿宋" w:cs="仿宋"/>
          <w:sz w:val="24"/>
          <w:szCs w:val="24"/>
          <w:lang w:eastAsia="zh-CN"/>
        </w:rPr>
        <w:t>指设计顾问人委派负责合同工程的设计专业技术咨询的专业人员。设计顾问工程师由设计顾问人提名，经发包人依据第26.1款约定任命并书面通知承包人。</w:t>
      </w:r>
    </w:p>
    <w:p w14:paraId="66129EEA">
      <w:pPr>
        <w:pStyle w:val="22"/>
        <w:widowControl w:val="0"/>
        <w:tabs>
          <w:tab w:val="left" w:pos="1260"/>
          <w:tab w:val="left" w:pos="2160"/>
        </w:tabs>
        <w:adjustRightInd w:val="0"/>
        <w:spacing w:line="400" w:lineRule="exact"/>
        <w:ind w:left="1850" w:leftChars="771"/>
        <w:jc w:val="both"/>
        <w:rPr>
          <w:rFonts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6.14</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监理工程师：</w:t>
      </w:r>
      <w:r>
        <w:rPr>
          <w:rFonts w:hint="eastAsia" w:ascii="仿宋" w:hAnsi="仿宋" w:eastAsia="仿宋" w:cs="仿宋"/>
          <w:sz w:val="24"/>
          <w:szCs w:val="24"/>
          <w:lang w:eastAsia="zh-CN"/>
        </w:rPr>
        <w:t>指监理人委派常驻施工现场负责合同工程的工程监理专业技术的专业人员。其中监理代表人由监理人提名，经发包人依据第</w:t>
      </w:r>
      <w:r>
        <w:rPr>
          <w:rFonts w:ascii="仿宋" w:hAnsi="仿宋" w:eastAsia="仿宋" w:cs="仿宋"/>
          <w:sz w:val="24"/>
          <w:szCs w:val="24"/>
          <w:lang w:eastAsia="zh-CN"/>
        </w:rPr>
        <w:t>2</w:t>
      </w:r>
      <w:r>
        <w:rPr>
          <w:rFonts w:hint="eastAsia" w:ascii="仿宋" w:hAnsi="仿宋" w:eastAsia="仿宋" w:cs="仿宋"/>
          <w:sz w:val="24"/>
          <w:szCs w:val="24"/>
          <w:lang w:eastAsia="zh-CN"/>
        </w:rPr>
        <w:t>7</w:t>
      </w:r>
      <w:r>
        <w:rPr>
          <w:rFonts w:ascii="仿宋" w:hAnsi="仿宋" w:eastAsia="仿宋" w:cs="仿宋"/>
          <w:sz w:val="24"/>
          <w:szCs w:val="24"/>
          <w:lang w:eastAsia="zh-CN"/>
        </w:rPr>
        <w:t>.1</w:t>
      </w:r>
      <w:r>
        <w:rPr>
          <w:rFonts w:hint="eastAsia" w:ascii="仿宋" w:hAnsi="仿宋" w:eastAsia="仿宋" w:cs="仿宋"/>
          <w:sz w:val="24"/>
          <w:szCs w:val="24"/>
          <w:lang w:eastAsia="zh-CN"/>
        </w:rPr>
        <w:t>款约定任命并书面通知承包人。</w:t>
      </w:r>
    </w:p>
    <w:p w14:paraId="10EED7E1">
      <w:pPr>
        <w:pStyle w:val="22"/>
        <w:widowControl w:val="0"/>
        <w:tabs>
          <w:tab w:val="left" w:pos="1260"/>
          <w:tab w:val="left" w:pos="2160"/>
        </w:tabs>
        <w:adjustRightInd w:val="0"/>
        <w:spacing w:line="400" w:lineRule="exact"/>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6.15</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造价工程师：</w:t>
      </w:r>
      <w:r>
        <w:rPr>
          <w:rFonts w:hint="eastAsia" w:ascii="仿宋" w:hAnsi="仿宋" w:eastAsia="仿宋" w:cs="仿宋"/>
          <w:sz w:val="24"/>
          <w:szCs w:val="24"/>
          <w:lang w:eastAsia="zh-CN"/>
        </w:rPr>
        <w:t>指造价咨询人委派负责合同工程的工程造价专业技术与管理的专业人员。造价工程师由造价咨询人提名，经发包人依据第</w:t>
      </w:r>
      <w:r>
        <w:rPr>
          <w:rFonts w:ascii="仿宋" w:hAnsi="仿宋" w:eastAsia="仿宋" w:cs="仿宋"/>
          <w:sz w:val="24"/>
          <w:szCs w:val="24"/>
          <w:lang w:eastAsia="zh-CN"/>
        </w:rPr>
        <w:t>2</w:t>
      </w:r>
      <w:r>
        <w:rPr>
          <w:rFonts w:hint="eastAsia" w:ascii="仿宋" w:hAnsi="仿宋" w:eastAsia="仿宋" w:cs="仿宋"/>
          <w:sz w:val="24"/>
          <w:szCs w:val="24"/>
          <w:lang w:eastAsia="zh-CN"/>
        </w:rPr>
        <w:t>8</w:t>
      </w:r>
      <w:r>
        <w:rPr>
          <w:rFonts w:ascii="仿宋" w:hAnsi="仿宋" w:eastAsia="仿宋" w:cs="仿宋"/>
          <w:sz w:val="24"/>
          <w:szCs w:val="24"/>
          <w:lang w:eastAsia="zh-CN"/>
        </w:rPr>
        <w:t>.1</w:t>
      </w:r>
      <w:r>
        <w:rPr>
          <w:rFonts w:hint="eastAsia" w:ascii="仿宋" w:hAnsi="仿宋" w:eastAsia="仿宋" w:cs="仿宋"/>
          <w:sz w:val="24"/>
          <w:szCs w:val="24"/>
          <w:lang w:eastAsia="zh-CN"/>
        </w:rPr>
        <w:t>款约定任命并书面通知承包人。</w:t>
      </w:r>
    </w:p>
    <w:p w14:paraId="1A42452C">
      <w:pPr>
        <w:pStyle w:val="22"/>
        <w:widowControl w:val="0"/>
        <w:tabs>
          <w:tab w:val="left" w:pos="1260"/>
          <w:tab w:val="left" w:pos="2160"/>
        </w:tabs>
        <w:adjustRightInd w:val="0"/>
        <w:spacing w:line="400" w:lineRule="exact"/>
        <w:ind w:left="1850" w:leftChars="771"/>
        <w:jc w:val="both"/>
        <w:rPr>
          <w:rFonts w:ascii="仿宋" w:hAnsi="仿宋" w:eastAsia="仿宋" w:cs="仿宋"/>
          <w:b/>
          <w:bCs/>
          <w:sz w:val="24"/>
          <w:szCs w:val="24"/>
          <w:lang w:eastAsia="zh-CN"/>
        </w:rPr>
      </w:pPr>
      <w:bookmarkStart w:id="95" w:name="_Toc27450"/>
      <w:r>
        <w:rPr>
          <w:rFonts w:hint="eastAsia" w:ascii="仿宋" w:hAnsi="仿宋" w:eastAsia="仿宋" w:cs="仿宋"/>
          <w:b/>
          <w:bCs/>
          <w:sz w:val="24"/>
          <w:szCs w:val="24"/>
          <w:lang w:eastAsia="zh-CN"/>
        </w:rPr>
        <w:t>1.7 工期</w:t>
      </w:r>
      <w:bookmarkEnd w:id="95"/>
    </w:p>
    <w:p w14:paraId="5E4335C7">
      <w:pPr>
        <w:pStyle w:val="22"/>
        <w:widowControl w:val="0"/>
        <w:tabs>
          <w:tab w:val="left" w:pos="1260"/>
          <w:tab w:val="left" w:pos="2160"/>
        </w:tabs>
        <w:adjustRightInd w:val="0"/>
        <w:spacing w:line="400" w:lineRule="exact"/>
        <w:ind w:left="1850" w:leftChars="771"/>
        <w:jc w:val="both"/>
        <w:rPr>
          <w:rFonts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7.1</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合同工期：</w:t>
      </w:r>
      <w:r>
        <w:rPr>
          <w:rFonts w:hint="eastAsia" w:ascii="仿宋" w:hAnsi="仿宋" w:eastAsia="仿宋" w:cs="仿宋"/>
          <w:sz w:val="24"/>
          <w:szCs w:val="24"/>
          <w:lang w:eastAsia="zh-CN"/>
        </w:rPr>
        <w:t>指合同双方当事人在协议书中约定，按照总日历天数（包括法定节假日）计算的从开始实施到完成合同工程的天数。包括勘察工期、设计工期、施工工期等。</w:t>
      </w:r>
    </w:p>
    <w:p w14:paraId="73CCF407">
      <w:pPr>
        <w:pStyle w:val="22"/>
        <w:widowControl w:val="0"/>
        <w:tabs>
          <w:tab w:val="left" w:pos="1260"/>
          <w:tab w:val="left" w:pos="2160"/>
        </w:tabs>
        <w:adjustRightInd w:val="0"/>
        <w:spacing w:line="400" w:lineRule="exact"/>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.7.2</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开始工作日期与开工日期：</w:t>
      </w:r>
      <w:r>
        <w:rPr>
          <w:rFonts w:hint="eastAsia" w:ascii="仿宋" w:hAnsi="仿宋" w:eastAsia="仿宋" w:cs="仿宋"/>
          <w:bCs/>
          <w:sz w:val="24"/>
          <w:szCs w:val="24"/>
          <w:lang w:eastAsia="zh-CN"/>
        </w:rPr>
        <w:t>开始工作日期</w:t>
      </w:r>
      <w:r>
        <w:rPr>
          <w:rFonts w:hint="eastAsia" w:ascii="仿宋" w:hAnsi="仿宋" w:eastAsia="仿宋" w:cs="仿宋"/>
          <w:sz w:val="24"/>
          <w:szCs w:val="24"/>
          <w:lang w:eastAsia="zh-CN"/>
        </w:rPr>
        <w:t>指发包人代表发出的工作指令中写明的、承包人按照合同约定最迟在该日期开始工程的勘察、初步设计和（或）施工图设计、设备及工器具购置等某项工作的日期；开工日期指根据第41条约定，监理人在开工指令中写明的、承包人按照合同约定最迟在该日期开始施工的日期。</w:t>
      </w:r>
    </w:p>
    <w:p w14:paraId="214A6E91">
      <w:pPr>
        <w:pStyle w:val="22"/>
        <w:widowControl w:val="0"/>
        <w:tabs>
          <w:tab w:val="left" w:pos="1260"/>
          <w:tab w:val="left" w:pos="2160"/>
        </w:tabs>
        <w:adjustRightInd w:val="0"/>
        <w:spacing w:line="400" w:lineRule="exact"/>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7.3</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完成工作日期：</w:t>
      </w:r>
      <w:r>
        <w:rPr>
          <w:rFonts w:hint="eastAsia" w:ascii="仿宋" w:hAnsi="仿宋" w:eastAsia="仿宋" w:cs="仿宋"/>
          <w:sz w:val="24"/>
          <w:szCs w:val="24"/>
          <w:lang w:eastAsia="zh-CN"/>
        </w:rPr>
        <w:t>指承包人完成合同工程或某单项工程的勘察、初步设计和（或）施工图设计、设备及工器具购置等某项工作后，由发包人按照专用条款约定的发包人要求、标准、规范等，对其工作成果组织审查或验收并颁发审查批准或验收合格通知书的日期。</w:t>
      </w:r>
    </w:p>
    <w:p w14:paraId="59C997DE">
      <w:pPr>
        <w:pStyle w:val="22"/>
        <w:widowControl w:val="0"/>
        <w:tabs>
          <w:tab w:val="left" w:pos="1260"/>
          <w:tab w:val="left" w:pos="2160"/>
        </w:tabs>
        <w:adjustRightInd w:val="0"/>
        <w:spacing w:line="400" w:lineRule="exact"/>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7.4</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竣工日期：</w:t>
      </w:r>
      <w:r>
        <w:rPr>
          <w:rFonts w:hint="eastAsia" w:ascii="仿宋" w:hAnsi="仿宋" w:eastAsia="仿宋" w:cs="仿宋"/>
          <w:sz w:val="24"/>
          <w:szCs w:val="24"/>
          <w:lang w:eastAsia="zh-CN"/>
        </w:rPr>
        <w:t>指承包人完成合同工程或某单项工程的施工后，由发包人按照第65条约定组织竣工验收、接收工程并颁发工程接收证书的日期。包括合同约定的工期与按合同约定允许调整的工期。</w:t>
      </w:r>
    </w:p>
    <w:p w14:paraId="7B5AA106">
      <w:pPr>
        <w:pStyle w:val="22"/>
        <w:widowControl w:val="0"/>
        <w:tabs>
          <w:tab w:val="left" w:pos="1260"/>
          <w:tab w:val="left" w:pos="2160"/>
        </w:tabs>
        <w:adjustRightInd w:val="0"/>
        <w:spacing w:line="400" w:lineRule="exact"/>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7.5</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绝对日期：</w:t>
      </w:r>
      <w:r>
        <w:rPr>
          <w:rFonts w:hint="eastAsia" w:ascii="仿宋" w:hAnsi="仿宋" w:eastAsia="仿宋" w:cs="仿宋"/>
          <w:sz w:val="24"/>
          <w:szCs w:val="24"/>
          <w:lang w:eastAsia="zh-CN"/>
        </w:rPr>
        <w:t>指以公历年、月、日所表示的起止时间。</w:t>
      </w:r>
    </w:p>
    <w:p w14:paraId="29DF39C9">
      <w:pPr>
        <w:pStyle w:val="22"/>
        <w:widowControl w:val="0"/>
        <w:tabs>
          <w:tab w:val="left" w:pos="1260"/>
          <w:tab w:val="left" w:pos="2160"/>
        </w:tabs>
        <w:adjustRightInd w:val="0"/>
        <w:spacing w:line="400" w:lineRule="exact"/>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7.6</w:t>
      </w:r>
      <w:r>
        <w:rPr>
          <w:b/>
          <w:bCs/>
          <w:sz w:val="24"/>
          <w:szCs w:val="24"/>
          <w:lang w:eastAsia="zh-CN"/>
        </w:rPr>
        <w:t xml:space="preserve"> </w:t>
      </w:r>
      <w:r>
        <w:rPr>
          <w:rFonts w:hint="eastAsia" w:ascii="仿宋" w:hAnsi="仿宋" w:eastAsia="仿宋" w:cs="仿宋"/>
          <w:b/>
          <w:bCs/>
          <w:sz w:val="24"/>
          <w:szCs w:val="24"/>
          <w:lang w:eastAsia="zh-CN"/>
        </w:rPr>
        <w:t>相对日期</w:t>
      </w:r>
      <w:r>
        <w:rPr>
          <w:rFonts w:hint="eastAsia"/>
          <w:b/>
          <w:bCs/>
          <w:lang w:eastAsia="zh-CN"/>
        </w:rPr>
        <w:t>：</w:t>
      </w:r>
      <w:r>
        <w:rPr>
          <w:rFonts w:hint="eastAsia" w:ascii="仿宋" w:hAnsi="仿宋" w:eastAsia="仿宋" w:cs="仿宋"/>
          <w:sz w:val="24"/>
          <w:szCs w:val="24"/>
          <w:lang w:eastAsia="zh-CN"/>
        </w:rPr>
        <w:t>指以日历天数表示两个绝对日期之间的时长，例如：合同签订日期后28天内开工。</w:t>
      </w:r>
    </w:p>
    <w:p w14:paraId="5DBF52A4">
      <w:pPr>
        <w:pStyle w:val="22"/>
        <w:widowControl w:val="0"/>
        <w:tabs>
          <w:tab w:val="left" w:pos="1260"/>
          <w:tab w:val="left" w:pos="2160"/>
        </w:tabs>
        <w:adjustRightInd w:val="0"/>
        <w:spacing w:line="400" w:lineRule="exact"/>
        <w:ind w:left="1850" w:leftChars="771"/>
        <w:jc w:val="both"/>
        <w:rPr>
          <w:rFonts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7.7</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基准日期：</w:t>
      </w:r>
      <w:r>
        <w:rPr>
          <w:rFonts w:hint="eastAsia" w:ascii="仿宋" w:hAnsi="仿宋" w:eastAsia="仿宋" w:cs="仿宋"/>
          <w:sz w:val="24"/>
          <w:szCs w:val="24"/>
          <w:lang w:eastAsia="zh-CN"/>
        </w:rPr>
        <w:t>指招标发包工程递交投标文件截止日期前</w:t>
      </w:r>
      <w:r>
        <w:rPr>
          <w:rFonts w:ascii="仿宋" w:hAnsi="仿宋" w:eastAsia="仿宋" w:cs="仿宋"/>
          <w:sz w:val="24"/>
          <w:szCs w:val="24"/>
          <w:lang w:eastAsia="zh-CN"/>
        </w:rPr>
        <w:t>28</w:t>
      </w:r>
      <w:r>
        <w:rPr>
          <w:rFonts w:hint="eastAsia" w:ascii="仿宋" w:hAnsi="仿宋" w:eastAsia="仿宋" w:cs="仿宋"/>
          <w:sz w:val="24"/>
          <w:szCs w:val="24"/>
          <w:lang w:eastAsia="zh-CN"/>
        </w:rPr>
        <w:t>天的日期；直接发包工程订立合同前第</w:t>
      </w:r>
      <w:r>
        <w:rPr>
          <w:rFonts w:ascii="仿宋" w:hAnsi="仿宋" w:eastAsia="仿宋" w:cs="仿宋"/>
          <w:sz w:val="24"/>
          <w:szCs w:val="24"/>
          <w:lang w:eastAsia="zh-CN"/>
        </w:rPr>
        <w:t>28</w:t>
      </w:r>
      <w:r>
        <w:rPr>
          <w:rFonts w:hint="eastAsia" w:ascii="仿宋" w:hAnsi="仿宋" w:eastAsia="仿宋" w:cs="仿宋"/>
          <w:sz w:val="24"/>
          <w:szCs w:val="24"/>
          <w:lang w:eastAsia="zh-CN"/>
        </w:rPr>
        <w:t>天的日期。</w:t>
      </w:r>
    </w:p>
    <w:p w14:paraId="2EAAF7F3">
      <w:pPr>
        <w:pStyle w:val="22"/>
        <w:widowControl w:val="0"/>
        <w:tabs>
          <w:tab w:val="left" w:pos="1260"/>
          <w:tab w:val="left" w:pos="2160"/>
        </w:tabs>
        <w:adjustRightInd w:val="0"/>
        <w:spacing w:line="400" w:lineRule="exact"/>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7.8</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缺陷责任期：</w:t>
      </w:r>
      <w:r>
        <w:rPr>
          <w:rFonts w:hint="eastAsia" w:ascii="仿宋" w:hAnsi="仿宋" w:eastAsia="仿宋" w:cs="仿宋"/>
          <w:sz w:val="24"/>
          <w:szCs w:val="24"/>
          <w:lang w:eastAsia="zh-CN"/>
        </w:rPr>
        <w:t>指履行第66</w:t>
      </w:r>
      <w:r>
        <w:rPr>
          <w:rFonts w:ascii="仿宋" w:hAnsi="仿宋" w:eastAsia="仿宋" w:cs="仿宋"/>
          <w:sz w:val="24"/>
          <w:szCs w:val="24"/>
          <w:lang w:eastAsia="zh-CN"/>
        </w:rPr>
        <w:t>.</w:t>
      </w:r>
      <w:r>
        <w:rPr>
          <w:rFonts w:hint="eastAsia" w:ascii="仿宋" w:hAnsi="仿宋" w:eastAsia="仿宋" w:cs="仿宋"/>
          <w:sz w:val="24"/>
          <w:szCs w:val="24"/>
          <w:lang w:eastAsia="zh-CN"/>
        </w:rPr>
        <w:t>3款约定的缺陷责任的期限。具体期限在专用条款中约定，包括第66</w:t>
      </w:r>
      <w:r>
        <w:rPr>
          <w:rFonts w:ascii="仿宋" w:hAnsi="仿宋" w:eastAsia="仿宋" w:cs="仿宋"/>
          <w:sz w:val="24"/>
          <w:szCs w:val="24"/>
          <w:lang w:eastAsia="zh-CN"/>
        </w:rPr>
        <w:t>.2</w:t>
      </w:r>
      <w:r>
        <w:rPr>
          <w:rFonts w:hint="eastAsia" w:ascii="仿宋" w:hAnsi="仿宋" w:eastAsia="仿宋" w:cs="仿宋"/>
          <w:sz w:val="24"/>
          <w:szCs w:val="24"/>
          <w:lang w:eastAsia="zh-CN"/>
        </w:rPr>
        <w:t>款约定的延长期限。</w:t>
      </w:r>
    </w:p>
    <w:p w14:paraId="297AADF6">
      <w:pPr>
        <w:pStyle w:val="22"/>
        <w:widowControl w:val="0"/>
        <w:tabs>
          <w:tab w:val="left" w:pos="1260"/>
          <w:tab w:val="left" w:pos="2160"/>
        </w:tabs>
        <w:adjustRightInd w:val="0"/>
        <w:spacing w:line="400" w:lineRule="exact"/>
        <w:ind w:left="1850" w:leftChars="771"/>
        <w:jc w:val="both"/>
        <w:rPr>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7.9</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保修期：</w:t>
      </w:r>
      <w:r>
        <w:rPr>
          <w:rFonts w:hint="eastAsia" w:ascii="仿宋" w:hAnsi="仿宋" w:eastAsia="仿宋" w:cs="仿宋"/>
          <w:sz w:val="24"/>
          <w:szCs w:val="24"/>
          <w:lang w:eastAsia="zh-CN"/>
        </w:rPr>
        <w:t>是指承包人按照合同约定和法律规定对工程质量缺陷责任承担保修责任的期限，该期限自缺陷责任期起算之日起计算。</w:t>
      </w:r>
    </w:p>
    <w:p w14:paraId="00047FE3">
      <w:pPr>
        <w:pStyle w:val="22"/>
        <w:widowControl w:val="0"/>
        <w:tabs>
          <w:tab w:val="left" w:pos="1260"/>
          <w:tab w:val="left" w:pos="2160"/>
        </w:tabs>
        <w:adjustRightInd w:val="0"/>
        <w:spacing w:line="400" w:lineRule="exact"/>
        <w:ind w:left="1850" w:leftChars="771"/>
        <w:jc w:val="both"/>
        <w:rPr>
          <w:rFonts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7.10</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小时或天：</w:t>
      </w:r>
      <w:r>
        <w:rPr>
          <w:rFonts w:hint="eastAsia" w:ascii="仿宋" w:hAnsi="仿宋" w:eastAsia="仿宋" w:cs="仿宋"/>
          <w:sz w:val="24"/>
          <w:szCs w:val="24"/>
          <w:lang w:eastAsia="zh-CN"/>
        </w:rPr>
        <w:t>除特别指明外，指时钟小时或日历天。合同中约定按照小时计算时间的，从发生事项有效时开始计算，不扣除休息时间；约定按照天计算时间的，开始当天不计入，从次日开始计算。时限的最后一天是休息日或其他法定节假日的，以节假日次日为时限，但竣工日期和完成工作日期除外。时限最后一天的截止时间为当天</w:t>
      </w:r>
      <w:r>
        <w:rPr>
          <w:rFonts w:ascii="仿宋" w:hAnsi="仿宋" w:eastAsia="仿宋" w:cs="仿宋"/>
          <w:sz w:val="24"/>
          <w:szCs w:val="24"/>
          <w:lang w:eastAsia="zh-CN"/>
        </w:rPr>
        <w:t>24:00</w:t>
      </w:r>
      <w:r>
        <w:rPr>
          <w:rFonts w:hint="eastAsia" w:ascii="仿宋" w:hAnsi="仿宋" w:eastAsia="仿宋" w:cs="仿宋"/>
          <w:sz w:val="24"/>
          <w:szCs w:val="24"/>
          <w:lang w:eastAsia="zh-CN"/>
        </w:rPr>
        <w:t>（即次日零点）。</w:t>
      </w:r>
    </w:p>
    <w:p w14:paraId="4EB72A2F">
      <w:pPr>
        <w:pStyle w:val="22"/>
        <w:widowControl w:val="0"/>
        <w:tabs>
          <w:tab w:val="left" w:pos="1260"/>
          <w:tab w:val="left" w:pos="2160"/>
        </w:tabs>
        <w:adjustRightInd w:val="0"/>
        <w:spacing w:line="400" w:lineRule="exact"/>
        <w:ind w:left="1850" w:leftChars="771"/>
        <w:jc w:val="both"/>
        <w:rPr>
          <w:rFonts w:ascii="仿宋" w:hAnsi="仿宋" w:eastAsia="仿宋" w:cs="仿宋"/>
          <w:b/>
          <w:bCs/>
          <w:sz w:val="24"/>
          <w:szCs w:val="24"/>
          <w:lang w:eastAsia="zh-CN"/>
        </w:rPr>
      </w:pPr>
      <w:bookmarkStart w:id="96" w:name="_Toc29850"/>
      <w:r>
        <w:rPr>
          <w:rFonts w:hint="eastAsia" w:ascii="仿宋" w:hAnsi="仿宋" w:eastAsia="仿宋" w:cs="仿宋"/>
          <w:b/>
          <w:bCs/>
          <w:sz w:val="24"/>
          <w:szCs w:val="24"/>
          <w:lang w:eastAsia="zh-CN"/>
        </w:rPr>
        <w:t>1.8 工程、工程材料与设备、装配式构件</w:t>
      </w:r>
      <w:bookmarkEnd w:id="96"/>
    </w:p>
    <w:p w14:paraId="77ABCB24">
      <w:pPr>
        <w:pStyle w:val="22"/>
        <w:widowControl w:val="0"/>
        <w:tabs>
          <w:tab w:val="left" w:pos="1260"/>
          <w:tab w:val="left" w:pos="2160"/>
        </w:tabs>
        <w:adjustRightInd w:val="0"/>
        <w:spacing w:line="400" w:lineRule="exact"/>
        <w:ind w:left="1850" w:leftChars="771"/>
        <w:jc w:val="both"/>
        <w:rPr>
          <w:rFonts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8.1</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合同工程：</w:t>
      </w:r>
      <w:r>
        <w:rPr>
          <w:rFonts w:hint="eastAsia" w:ascii="仿宋" w:hAnsi="仿宋" w:eastAsia="仿宋" w:cs="仿宋"/>
          <w:sz w:val="24"/>
          <w:szCs w:val="24"/>
          <w:lang w:eastAsia="zh-CN"/>
        </w:rPr>
        <w:t>指合同双方当事人在协议书中约定的承包范围内的工程，包括永久工程和（或）临时工程。</w:t>
      </w:r>
    </w:p>
    <w:p w14:paraId="52B63EC6">
      <w:pPr>
        <w:pStyle w:val="22"/>
        <w:widowControl w:val="0"/>
        <w:tabs>
          <w:tab w:val="left" w:pos="1260"/>
          <w:tab w:val="left" w:pos="2160"/>
        </w:tabs>
        <w:adjustRightInd w:val="0"/>
        <w:spacing w:line="400" w:lineRule="exact"/>
        <w:ind w:left="1850" w:leftChars="771"/>
        <w:jc w:val="both"/>
        <w:rPr>
          <w:rFonts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8.2</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永久工程：</w:t>
      </w:r>
      <w:r>
        <w:rPr>
          <w:rFonts w:hint="eastAsia" w:ascii="仿宋" w:hAnsi="仿宋" w:eastAsia="仿宋" w:cs="仿宋"/>
          <w:sz w:val="24"/>
          <w:szCs w:val="24"/>
          <w:lang w:eastAsia="zh-CN"/>
        </w:rPr>
        <w:t>指按照合同约定承包人应当实施、完成并移交给发包人的永久性工程，包括工程设备。</w:t>
      </w:r>
    </w:p>
    <w:p w14:paraId="05E494EE">
      <w:pPr>
        <w:pStyle w:val="22"/>
        <w:widowControl w:val="0"/>
        <w:tabs>
          <w:tab w:val="left" w:pos="1260"/>
          <w:tab w:val="left" w:pos="2160"/>
        </w:tabs>
        <w:adjustRightInd w:val="0"/>
        <w:spacing w:line="400" w:lineRule="exact"/>
        <w:ind w:left="1850" w:leftChars="771"/>
        <w:jc w:val="both"/>
        <w:rPr>
          <w:rFonts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8.3</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临时工程：</w:t>
      </w:r>
      <w:r>
        <w:rPr>
          <w:rFonts w:hint="eastAsia" w:ascii="仿宋" w:hAnsi="仿宋" w:eastAsia="仿宋" w:cs="仿宋"/>
          <w:sz w:val="24"/>
          <w:szCs w:val="24"/>
          <w:lang w:eastAsia="zh-CN"/>
        </w:rPr>
        <w:t>指实施、完成并保修永久工程过程中所需要的各类临时性工程，不包括施工设备。</w:t>
      </w:r>
    </w:p>
    <w:p w14:paraId="041CED64">
      <w:pPr>
        <w:pStyle w:val="22"/>
        <w:widowControl w:val="0"/>
        <w:tabs>
          <w:tab w:val="left" w:pos="1260"/>
          <w:tab w:val="left" w:pos="2160"/>
        </w:tabs>
        <w:adjustRightInd w:val="0"/>
        <w:spacing w:line="400" w:lineRule="exact"/>
        <w:ind w:left="1850" w:leftChars="771"/>
        <w:jc w:val="both"/>
        <w:rPr>
          <w:rFonts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8.4</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分包：</w:t>
      </w:r>
      <w:r>
        <w:rPr>
          <w:rFonts w:hint="eastAsia" w:ascii="仿宋" w:hAnsi="仿宋" w:eastAsia="仿宋" w:cs="仿宋"/>
          <w:sz w:val="24"/>
          <w:szCs w:val="24"/>
          <w:lang w:eastAsia="zh-CN"/>
        </w:rPr>
        <w:t>指合同工程中，由具有相应分包资质的分包人实施、完成的非主体、关键性工作。</w:t>
      </w:r>
    </w:p>
    <w:p w14:paraId="583B1CCA">
      <w:pPr>
        <w:pStyle w:val="22"/>
        <w:widowControl w:val="0"/>
        <w:tabs>
          <w:tab w:val="left" w:pos="1260"/>
          <w:tab w:val="left" w:pos="2160"/>
        </w:tabs>
        <w:adjustRightInd w:val="0"/>
        <w:spacing w:line="400" w:lineRule="exact"/>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8.5</w:t>
      </w:r>
      <w:r>
        <w:rPr>
          <w:rFonts w:ascii="仿宋" w:hAnsi="仿宋" w:eastAsia="仿宋" w:cs="仿宋"/>
          <w:b/>
          <w:bCs/>
          <w:sz w:val="24"/>
          <w:szCs w:val="24"/>
          <w:lang w:eastAsia="zh-CN"/>
        </w:rPr>
        <w:t xml:space="preserve"> </w:t>
      </w:r>
      <w:r>
        <w:rPr>
          <w:rFonts w:hint="eastAsia" w:ascii="仿宋" w:hAnsi="仿宋" w:eastAsia="仿宋" w:cs="仿宋"/>
          <w:b/>
          <w:bCs/>
          <w:sz w:val="24"/>
          <w:szCs w:val="24"/>
          <w:shd w:val="clear" w:color="auto" w:fill="FFFFFF"/>
          <w:lang w:eastAsia="zh-CN"/>
        </w:rPr>
        <w:t>单项工程：</w:t>
      </w:r>
      <w:r>
        <w:rPr>
          <w:rFonts w:hint="eastAsia" w:ascii="仿宋" w:hAnsi="仿宋" w:eastAsia="仿宋" w:cs="仿宋"/>
          <w:sz w:val="24"/>
          <w:szCs w:val="24"/>
          <w:lang w:eastAsia="zh-CN"/>
        </w:rPr>
        <w:t>指具有独立的设计文件，竣工后可以独立发挥生产能力和效益的永久工程。组成合同工程的单项工程名称、内容和范围等应在专用条款中明确。</w:t>
      </w:r>
    </w:p>
    <w:p w14:paraId="42D2998D">
      <w:pPr>
        <w:pStyle w:val="22"/>
        <w:widowControl w:val="0"/>
        <w:tabs>
          <w:tab w:val="left" w:pos="1260"/>
          <w:tab w:val="left" w:pos="2160"/>
        </w:tabs>
        <w:adjustRightInd w:val="0"/>
        <w:spacing w:line="400" w:lineRule="exact"/>
        <w:ind w:left="1850" w:leftChars="771"/>
        <w:jc w:val="both"/>
        <w:rPr>
          <w:rFonts w:ascii="仿宋" w:hAnsi="仿宋" w:eastAsia="仿宋" w:cs="仿宋"/>
          <w:bCs/>
          <w:sz w:val="24"/>
          <w:szCs w:val="24"/>
          <w:lang w:eastAsia="zh-CN"/>
        </w:rPr>
      </w:pPr>
      <w:r>
        <w:rPr>
          <w:rFonts w:hint="eastAsia" w:ascii="仿宋" w:hAnsi="仿宋" w:eastAsia="仿宋" w:cs="仿宋"/>
          <w:b/>
          <w:bCs/>
          <w:sz w:val="24"/>
          <w:szCs w:val="24"/>
          <w:lang w:eastAsia="zh-CN"/>
        </w:rPr>
        <w:t>1.8.6 工程材料：</w:t>
      </w:r>
      <w:r>
        <w:rPr>
          <w:rFonts w:hint="eastAsia" w:ascii="仿宋" w:hAnsi="仿宋" w:eastAsia="仿宋" w:cs="仿宋"/>
          <w:bCs/>
          <w:sz w:val="24"/>
          <w:szCs w:val="24"/>
          <w:lang w:eastAsia="zh-CN"/>
        </w:rPr>
        <w:t>指构成永久工程实体的各类物品（工程设备、装配式构件除外），包括根据合同约定由承包人自主采购供应的物品、由承包人采购供应的发包人指定物品（如果有）或由发包人采购</w:t>
      </w:r>
      <w:r>
        <w:rPr>
          <w:rFonts w:hint="eastAsia" w:ascii="仿宋" w:hAnsi="仿宋" w:eastAsia="仿宋" w:cs="仿宋"/>
          <w:sz w:val="24"/>
          <w:szCs w:val="24"/>
          <w:lang w:eastAsia="zh-CN"/>
        </w:rPr>
        <w:t>供应</w:t>
      </w:r>
      <w:r>
        <w:rPr>
          <w:rFonts w:hint="eastAsia" w:ascii="仿宋" w:hAnsi="仿宋" w:eastAsia="仿宋" w:cs="仿宋"/>
          <w:bCs/>
          <w:sz w:val="24"/>
          <w:szCs w:val="24"/>
          <w:lang w:eastAsia="zh-CN"/>
        </w:rPr>
        <w:t>的物品（如果有）。</w:t>
      </w:r>
    </w:p>
    <w:p w14:paraId="118926B3">
      <w:pPr>
        <w:pStyle w:val="22"/>
        <w:widowControl w:val="0"/>
        <w:tabs>
          <w:tab w:val="left" w:pos="1260"/>
          <w:tab w:val="left" w:pos="2160"/>
        </w:tabs>
        <w:adjustRightInd w:val="0"/>
        <w:spacing w:line="400" w:lineRule="exact"/>
        <w:ind w:left="1850" w:leftChars="771"/>
        <w:jc w:val="both"/>
        <w:rPr>
          <w:rFonts w:ascii="仿宋" w:hAnsi="仿宋" w:eastAsia="仿宋" w:cs="仿宋"/>
          <w:bCs/>
          <w:sz w:val="24"/>
          <w:szCs w:val="24"/>
          <w:lang w:eastAsia="zh-CN"/>
        </w:rPr>
      </w:pPr>
      <w:r>
        <w:rPr>
          <w:rFonts w:hint="eastAsia" w:ascii="仿宋" w:hAnsi="仿宋" w:eastAsia="仿宋" w:cs="仿宋"/>
          <w:b/>
          <w:bCs/>
          <w:sz w:val="24"/>
          <w:szCs w:val="24"/>
          <w:lang w:eastAsia="zh-CN"/>
        </w:rPr>
        <w:t>1.8.7 装配式构件：</w:t>
      </w:r>
      <w:r>
        <w:rPr>
          <w:rFonts w:hint="eastAsia" w:ascii="仿宋" w:hAnsi="仿宋" w:eastAsia="仿宋" w:cs="仿宋"/>
          <w:bCs/>
          <w:sz w:val="24"/>
          <w:szCs w:val="24"/>
          <w:lang w:eastAsia="zh-CN"/>
        </w:rPr>
        <w:t>指由承包人工厂自行预制或采购、运输到施工现场进行吊装、拼接后构成永久工程实体，且符合装配式结构技术标准与施工规范的主要结构及围护构件（梁、板、柱、墙板等），包括钢结构构件、预制钢筋混凝土构件等。</w:t>
      </w:r>
    </w:p>
    <w:p w14:paraId="4FB3232D">
      <w:pPr>
        <w:pStyle w:val="22"/>
        <w:widowControl w:val="0"/>
        <w:tabs>
          <w:tab w:val="left" w:pos="1260"/>
          <w:tab w:val="left" w:pos="2160"/>
        </w:tabs>
        <w:adjustRightInd w:val="0"/>
        <w:spacing w:line="400" w:lineRule="exact"/>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8.8</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工程设备：</w:t>
      </w:r>
      <w:r>
        <w:rPr>
          <w:rFonts w:hint="eastAsia" w:ascii="仿宋" w:hAnsi="仿宋" w:eastAsia="仿宋" w:cs="仿宋"/>
          <w:sz w:val="24"/>
          <w:szCs w:val="24"/>
          <w:lang w:eastAsia="zh-CN"/>
        </w:rPr>
        <w:t>指构成永久工程实体、能够发挥建筑安装工程功能的建筑设备、机电设备及其他配套设备和装置。</w:t>
      </w:r>
    </w:p>
    <w:p w14:paraId="3B749570">
      <w:pPr>
        <w:pStyle w:val="22"/>
        <w:widowControl w:val="0"/>
        <w:tabs>
          <w:tab w:val="left" w:pos="1260"/>
          <w:tab w:val="left" w:pos="2160"/>
        </w:tabs>
        <w:adjustRightInd w:val="0"/>
        <w:spacing w:line="400" w:lineRule="exact"/>
        <w:ind w:left="1850" w:leftChars="771"/>
        <w:jc w:val="both"/>
        <w:rPr>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8.9</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设备及工器具：</w:t>
      </w:r>
      <w:r>
        <w:rPr>
          <w:rFonts w:hint="eastAsia" w:ascii="仿宋" w:hAnsi="仿宋" w:eastAsia="仿宋" w:cs="仿宋"/>
          <w:sz w:val="24"/>
          <w:szCs w:val="24"/>
          <w:lang w:eastAsia="zh-CN"/>
        </w:rPr>
        <w:t>指独立于永久工程的实体之外、用于生产或运营的生产设备、办公设备及相关工具、仪器。</w:t>
      </w:r>
    </w:p>
    <w:p w14:paraId="02F10EB7">
      <w:pPr>
        <w:pStyle w:val="22"/>
        <w:widowControl w:val="0"/>
        <w:tabs>
          <w:tab w:val="left" w:pos="1260"/>
          <w:tab w:val="left" w:pos="2160"/>
        </w:tabs>
        <w:adjustRightInd w:val="0"/>
        <w:spacing w:line="400" w:lineRule="exact"/>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8.10</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施工设备：</w:t>
      </w:r>
      <w:r>
        <w:rPr>
          <w:rFonts w:hint="eastAsia" w:ascii="仿宋" w:hAnsi="仿宋" w:eastAsia="仿宋" w:cs="仿宋"/>
          <w:sz w:val="24"/>
          <w:szCs w:val="24"/>
          <w:lang w:eastAsia="zh-CN"/>
        </w:rPr>
        <w:t>指为实施、完成并保修永久工程，由承包人临时带入工程现场的所有仪器、机械、运输工具或其他物品，但不包括业主设备（如果有）、用于生产或运营的设备及工器具（如果有）和其他不属于承包人的物品（如果有）。</w:t>
      </w:r>
    </w:p>
    <w:p w14:paraId="3CD5B206">
      <w:pPr>
        <w:pStyle w:val="22"/>
        <w:widowControl w:val="0"/>
        <w:tabs>
          <w:tab w:val="left" w:pos="1260"/>
          <w:tab w:val="left" w:pos="2160"/>
        </w:tabs>
        <w:adjustRightInd w:val="0"/>
        <w:spacing w:line="400" w:lineRule="exact"/>
        <w:ind w:left="1850" w:leftChars="771"/>
        <w:jc w:val="both"/>
        <w:rPr>
          <w:rFonts w:ascii="仿宋" w:hAnsi="仿宋" w:eastAsia="仿宋" w:cs="仿宋"/>
          <w:b/>
          <w:bCs/>
          <w:sz w:val="24"/>
          <w:szCs w:val="24"/>
          <w:lang w:eastAsia="zh-CN"/>
        </w:rPr>
      </w:pPr>
      <w:bookmarkStart w:id="97" w:name="_Toc32566"/>
      <w:r>
        <w:rPr>
          <w:rFonts w:hint="eastAsia" w:ascii="仿宋" w:hAnsi="仿宋" w:eastAsia="仿宋" w:cs="仿宋"/>
          <w:b/>
          <w:bCs/>
          <w:sz w:val="24"/>
          <w:szCs w:val="24"/>
          <w:lang w:eastAsia="zh-CN"/>
        </w:rPr>
        <w:t>1.9 缺陷及修复</w:t>
      </w:r>
      <w:bookmarkEnd w:id="97"/>
    </w:p>
    <w:p w14:paraId="1FDB0933">
      <w:pPr>
        <w:pStyle w:val="22"/>
        <w:widowControl w:val="0"/>
        <w:tabs>
          <w:tab w:val="left" w:pos="1260"/>
          <w:tab w:val="left" w:pos="2160"/>
        </w:tabs>
        <w:adjustRightInd w:val="0"/>
        <w:spacing w:line="400" w:lineRule="exact"/>
        <w:ind w:left="1850" w:leftChars="771"/>
        <w:jc w:val="both"/>
        <w:rPr>
          <w:rFonts w:ascii="仿宋" w:hAnsi="仿宋" w:eastAsia="仿宋" w:cs="仿宋"/>
          <w:b/>
          <w:bCs/>
          <w:sz w:val="24"/>
          <w:szCs w:val="24"/>
          <w:lang w:eastAsia="zh-CN"/>
        </w:rPr>
      </w:pPr>
      <w:r>
        <w:rPr>
          <w:rFonts w:hint="eastAsia" w:ascii="仿宋" w:hAnsi="仿宋" w:eastAsia="仿宋"/>
          <w:b/>
          <w:sz w:val="24"/>
          <w:szCs w:val="24"/>
          <w:lang w:eastAsia="zh-CN"/>
        </w:rPr>
        <w:t>1.9.1</w:t>
      </w:r>
      <w:r>
        <w:rPr>
          <w:rFonts w:hint="eastAsia" w:ascii="仿宋" w:hAnsi="仿宋" w:eastAsia="仿宋" w:cs="仿宋"/>
          <w:b/>
          <w:bCs/>
          <w:sz w:val="24"/>
          <w:szCs w:val="24"/>
          <w:lang w:eastAsia="zh-CN"/>
        </w:rPr>
        <w:t xml:space="preserve"> 勘察缺陷：</w:t>
      </w:r>
      <w:r>
        <w:rPr>
          <w:rFonts w:hint="eastAsia" w:ascii="仿宋" w:hAnsi="仿宋" w:eastAsia="仿宋" w:cs="仿宋"/>
          <w:bCs/>
          <w:sz w:val="24"/>
          <w:szCs w:val="24"/>
          <w:lang w:eastAsia="zh-CN"/>
        </w:rPr>
        <w:t>指因承包人未按合同约定的要求进行工程勘察或勘察成果不符合合同约定的标准规范及发包人具体要求，勘察成果存在遗漏、错误，</w:t>
      </w:r>
      <w:r>
        <w:rPr>
          <w:rFonts w:hint="eastAsia" w:ascii="仿宋" w:hAnsi="仿宋" w:eastAsia="仿宋"/>
          <w:sz w:val="24"/>
          <w:szCs w:val="24"/>
          <w:lang w:eastAsia="zh-CN"/>
        </w:rPr>
        <w:t>导致设计成果或已完</w:t>
      </w:r>
      <w:r>
        <w:rPr>
          <w:rFonts w:hint="eastAsia" w:ascii="仿宋" w:hAnsi="仿宋" w:eastAsia="仿宋" w:cs="仿宋"/>
          <w:bCs/>
          <w:sz w:val="24"/>
          <w:szCs w:val="24"/>
          <w:lang w:eastAsia="zh-CN"/>
        </w:rPr>
        <w:t>工程存在重大缺陷或出现质量事故。</w:t>
      </w:r>
    </w:p>
    <w:p w14:paraId="4CABCEBB">
      <w:pPr>
        <w:pStyle w:val="22"/>
        <w:widowControl w:val="0"/>
        <w:tabs>
          <w:tab w:val="left" w:pos="1260"/>
          <w:tab w:val="left" w:pos="2160"/>
        </w:tabs>
        <w:adjustRightInd w:val="0"/>
        <w:spacing w:line="400" w:lineRule="exact"/>
        <w:ind w:left="1850" w:leftChars="771"/>
        <w:jc w:val="both"/>
        <w:rPr>
          <w:rFonts w:ascii="仿宋" w:hAnsi="仿宋" w:eastAsia="仿宋" w:cs="仿宋"/>
          <w:bCs/>
          <w:sz w:val="24"/>
          <w:szCs w:val="24"/>
          <w:lang w:eastAsia="zh-CN"/>
        </w:rPr>
      </w:pPr>
      <w:r>
        <w:rPr>
          <w:rFonts w:hint="eastAsia" w:ascii="仿宋" w:hAnsi="仿宋" w:eastAsia="仿宋"/>
          <w:b/>
          <w:sz w:val="24"/>
          <w:szCs w:val="24"/>
          <w:lang w:eastAsia="zh-CN"/>
        </w:rPr>
        <w:t>1.9.2</w:t>
      </w:r>
      <w:r>
        <w:rPr>
          <w:rFonts w:hint="eastAsia" w:ascii="仿宋" w:hAnsi="仿宋" w:eastAsia="仿宋" w:cs="仿宋"/>
          <w:b/>
          <w:bCs/>
          <w:sz w:val="24"/>
          <w:szCs w:val="24"/>
          <w:lang w:eastAsia="zh-CN"/>
        </w:rPr>
        <w:t xml:space="preserve"> 设计缺陷：</w:t>
      </w:r>
      <w:r>
        <w:rPr>
          <w:rFonts w:hint="eastAsia" w:ascii="仿宋" w:hAnsi="仿宋" w:eastAsia="仿宋" w:cs="仿宋"/>
          <w:bCs/>
          <w:sz w:val="24"/>
          <w:szCs w:val="24"/>
          <w:lang w:eastAsia="zh-CN"/>
        </w:rPr>
        <w:t>指因承包人未按合同约定的要求进行工程设计或设计成果不符合合同约定的标准规范及发包人具体要求，</w:t>
      </w:r>
      <w:r>
        <w:rPr>
          <w:rFonts w:ascii="仿宋" w:hAnsi="仿宋" w:eastAsia="仿宋"/>
          <w:sz w:val="24"/>
          <w:szCs w:val="24"/>
          <w:lang w:eastAsia="zh-CN"/>
        </w:rPr>
        <w:t>设计文件存在遗漏、错误</w:t>
      </w:r>
      <w:r>
        <w:rPr>
          <w:rFonts w:hint="eastAsia" w:ascii="仿宋" w:hAnsi="仿宋" w:eastAsia="仿宋"/>
          <w:sz w:val="24"/>
          <w:szCs w:val="24"/>
          <w:lang w:eastAsia="zh-CN"/>
        </w:rPr>
        <w:t>或超过限额设计指标，导致已完</w:t>
      </w:r>
      <w:r>
        <w:rPr>
          <w:rFonts w:hint="eastAsia" w:ascii="仿宋" w:hAnsi="仿宋" w:eastAsia="仿宋" w:cs="仿宋"/>
          <w:bCs/>
          <w:sz w:val="24"/>
          <w:szCs w:val="24"/>
          <w:lang w:eastAsia="zh-CN"/>
        </w:rPr>
        <w:t>工程存在重大缺陷、出现质量事故或增加工程费用。</w:t>
      </w:r>
    </w:p>
    <w:p w14:paraId="229C8FC0">
      <w:pPr>
        <w:pStyle w:val="22"/>
        <w:widowControl w:val="0"/>
        <w:tabs>
          <w:tab w:val="left" w:pos="1260"/>
          <w:tab w:val="left" w:pos="2160"/>
        </w:tabs>
        <w:adjustRightInd w:val="0"/>
        <w:spacing w:line="400" w:lineRule="exact"/>
        <w:ind w:left="1850" w:leftChars="771"/>
        <w:jc w:val="both"/>
        <w:rPr>
          <w:rFonts w:ascii="仿宋" w:hAnsi="仿宋" w:eastAsia="仿宋" w:cs="仿宋"/>
          <w:bCs/>
          <w:sz w:val="24"/>
          <w:szCs w:val="24"/>
          <w:lang w:eastAsia="zh-CN"/>
        </w:rPr>
      </w:pPr>
      <w:r>
        <w:rPr>
          <w:rFonts w:hint="eastAsia" w:ascii="仿宋" w:hAnsi="仿宋" w:eastAsia="仿宋"/>
          <w:b/>
          <w:sz w:val="24"/>
          <w:szCs w:val="24"/>
          <w:lang w:eastAsia="zh-CN"/>
        </w:rPr>
        <w:t xml:space="preserve">1.9.3 </w:t>
      </w:r>
      <w:r>
        <w:rPr>
          <w:rFonts w:hint="eastAsia" w:ascii="仿宋" w:hAnsi="仿宋" w:eastAsia="仿宋" w:cs="仿宋"/>
          <w:b/>
          <w:bCs/>
          <w:sz w:val="24"/>
          <w:szCs w:val="24"/>
          <w:lang w:eastAsia="zh-CN"/>
        </w:rPr>
        <w:t xml:space="preserve"> BIM技术应用缺陷：</w:t>
      </w:r>
      <w:r>
        <w:rPr>
          <w:rFonts w:hint="eastAsia" w:ascii="仿宋" w:hAnsi="仿宋" w:eastAsia="仿宋" w:cs="仿宋"/>
          <w:bCs/>
          <w:sz w:val="24"/>
          <w:szCs w:val="24"/>
          <w:lang w:eastAsia="zh-CN"/>
        </w:rPr>
        <w:t>指因承包人提供的建筑信息模型（BIM）、信息服务平台及协调管理等服务内容不符合合同约定的标准规范及发包人具体要求，</w:t>
      </w:r>
      <w:r>
        <w:rPr>
          <w:rFonts w:hint="eastAsia" w:ascii="仿宋" w:hAnsi="仿宋" w:eastAsia="仿宋"/>
          <w:sz w:val="24"/>
          <w:szCs w:val="24"/>
          <w:lang w:eastAsia="zh-CN"/>
        </w:rPr>
        <w:t>建筑信息模型（BIM）及相关工作</w:t>
      </w:r>
      <w:r>
        <w:rPr>
          <w:rFonts w:ascii="仿宋" w:hAnsi="仿宋" w:eastAsia="仿宋"/>
          <w:sz w:val="24"/>
          <w:szCs w:val="24"/>
          <w:lang w:eastAsia="zh-CN"/>
        </w:rPr>
        <w:t>存在遗漏、错误</w:t>
      </w:r>
      <w:r>
        <w:rPr>
          <w:rFonts w:hint="eastAsia" w:ascii="仿宋" w:hAnsi="仿宋" w:eastAsia="仿宋"/>
          <w:sz w:val="24"/>
          <w:szCs w:val="24"/>
          <w:lang w:eastAsia="zh-CN"/>
        </w:rPr>
        <w:t>，导致已完</w:t>
      </w:r>
      <w:r>
        <w:rPr>
          <w:rFonts w:hint="eastAsia" w:ascii="仿宋" w:hAnsi="仿宋" w:eastAsia="仿宋" w:cs="仿宋"/>
          <w:bCs/>
          <w:sz w:val="24"/>
          <w:szCs w:val="24"/>
          <w:lang w:eastAsia="zh-CN"/>
        </w:rPr>
        <w:t>工程存在重大缺陷、出现质量事故或增加工程费用。</w:t>
      </w:r>
    </w:p>
    <w:p w14:paraId="7CFFFC5A">
      <w:pPr>
        <w:pStyle w:val="22"/>
        <w:widowControl w:val="0"/>
        <w:tabs>
          <w:tab w:val="left" w:pos="1260"/>
          <w:tab w:val="left" w:pos="2160"/>
        </w:tabs>
        <w:adjustRightInd w:val="0"/>
        <w:spacing w:line="400" w:lineRule="exact"/>
        <w:ind w:left="1850" w:leftChars="771"/>
        <w:jc w:val="both"/>
        <w:rPr>
          <w:rFonts w:ascii="仿宋" w:hAnsi="仿宋" w:eastAsia="仿宋" w:cs="仿宋"/>
          <w:bCs/>
          <w:sz w:val="24"/>
          <w:szCs w:val="24"/>
          <w:lang w:eastAsia="zh-CN"/>
        </w:rPr>
      </w:pPr>
      <w:r>
        <w:rPr>
          <w:rFonts w:hint="eastAsia" w:ascii="仿宋" w:hAnsi="仿宋" w:eastAsia="仿宋"/>
          <w:b/>
          <w:sz w:val="24"/>
          <w:szCs w:val="24"/>
          <w:lang w:eastAsia="zh-CN"/>
        </w:rPr>
        <w:t>1.9.4</w:t>
      </w:r>
      <w:r>
        <w:rPr>
          <w:rFonts w:hint="eastAsia" w:ascii="仿宋" w:hAnsi="仿宋" w:eastAsia="仿宋" w:cs="仿宋"/>
          <w:b/>
          <w:bCs/>
          <w:sz w:val="24"/>
          <w:szCs w:val="24"/>
          <w:lang w:eastAsia="zh-CN"/>
        </w:rPr>
        <w:t xml:space="preserve"> 设备及工器具购置缺陷：</w:t>
      </w:r>
      <w:r>
        <w:rPr>
          <w:rFonts w:hint="eastAsia" w:ascii="仿宋" w:hAnsi="仿宋" w:eastAsia="仿宋" w:cs="仿宋"/>
          <w:bCs/>
          <w:sz w:val="24"/>
          <w:szCs w:val="24"/>
          <w:lang w:eastAsia="zh-CN"/>
        </w:rPr>
        <w:t>指因承包人未按合同约定的要求购置设备及工器具，或购置的设备及工器具质量与数量不符合合同约定的标准规范或发包人具体要求</w:t>
      </w:r>
      <w:r>
        <w:rPr>
          <w:rFonts w:hint="eastAsia" w:ascii="仿宋" w:hAnsi="仿宋" w:eastAsia="仿宋"/>
          <w:sz w:val="24"/>
          <w:szCs w:val="24"/>
          <w:lang w:eastAsia="zh-CN"/>
        </w:rPr>
        <w:t>，导致建设项目无法</w:t>
      </w:r>
      <w:r>
        <w:rPr>
          <w:rFonts w:hint="eastAsia" w:ascii="仿宋" w:hAnsi="仿宋" w:eastAsia="仿宋" w:cs="仿宋"/>
          <w:bCs/>
          <w:sz w:val="24"/>
          <w:szCs w:val="24"/>
          <w:lang w:eastAsia="zh-CN"/>
        </w:rPr>
        <w:t>达到生产或运营能力。</w:t>
      </w:r>
    </w:p>
    <w:p w14:paraId="1F0155D6">
      <w:pPr>
        <w:pStyle w:val="22"/>
        <w:widowControl w:val="0"/>
        <w:tabs>
          <w:tab w:val="left" w:pos="1260"/>
          <w:tab w:val="left" w:pos="2160"/>
        </w:tabs>
        <w:adjustRightInd w:val="0"/>
        <w:spacing w:line="400" w:lineRule="exact"/>
        <w:ind w:left="1850" w:leftChars="771"/>
        <w:jc w:val="both"/>
        <w:rPr>
          <w:rFonts w:ascii="仿宋" w:hAnsi="仿宋" w:eastAsia="仿宋" w:cs="仿宋"/>
          <w:bCs/>
          <w:sz w:val="24"/>
          <w:szCs w:val="24"/>
          <w:lang w:eastAsia="zh-CN"/>
        </w:rPr>
      </w:pPr>
      <w:r>
        <w:rPr>
          <w:rFonts w:hint="eastAsia" w:ascii="仿宋" w:hAnsi="仿宋" w:eastAsia="仿宋"/>
          <w:b/>
          <w:sz w:val="24"/>
          <w:szCs w:val="24"/>
          <w:lang w:eastAsia="zh-CN"/>
        </w:rPr>
        <w:t>1.9.5</w:t>
      </w:r>
      <w:r>
        <w:rPr>
          <w:rFonts w:hint="eastAsia" w:ascii="仿宋" w:hAnsi="仿宋" w:eastAsia="仿宋" w:cs="仿宋"/>
          <w:b/>
          <w:bCs/>
          <w:sz w:val="24"/>
          <w:szCs w:val="24"/>
          <w:lang w:eastAsia="zh-CN"/>
        </w:rPr>
        <w:t xml:space="preserve"> 采购缺陷：</w:t>
      </w:r>
      <w:r>
        <w:rPr>
          <w:rFonts w:hint="eastAsia" w:ascii="仿宋" w:hAnsi="仿宋" w:eastAsia="仿宋" w:cs="仿宋"/>
          <w:bCs/>
          <w:sz w:val="24"/>
          <w:szCs w:val="24"/>
          <w:lang w:eastAsia="zh-CN"/>
        </w:rPr>
        <w:t>指因承包人采购的构成工程实体的工程材料、工程设备及装配式构件等不符合产品合格标准或发包人要求，导致工程实体存在质量隐患、不良效果等缺陷。</w:t>
      </w:r>
    </w:p>
    <w:p w14:paraId="1B3BD35F">
      <w:pPr>
        <w:pStyle w:val="22"/>
        <w:widowControl w:val="0"/>
        <w:tabs>
          <w:tab w:val="left" w:pos="1260"/>
          <w:tab w:val="left" w:pos="2160"/>
        </w:tabs>
        <w:adjustRightInd w:val="0"/>
        <w:spacing w:line="400" w:lineRule="exact"/>
        <w:ind w:left="1850" w:leftChars="771"/>
        <w:jc w:val="both"/>
        <w:rPr>
          <w:rFonts w:ascii="仿宋" w:hAnsi="仿宋" w:eastAsia="仿宋" w:cs="仿宋"/>
          <w:b/>
          <w:bCs/>
          <w:sz w:val="24"/>
          <w:szCs w:val="24"/>
          <w:lang w:eastAsia="zh-CN"/>
        </w:rPr>
      </w:pPr>
      <w:r>
        <w:rPr>
          <w:rFonts w:hint="eastAsia" w:ascii="仿宋" w:hAnsi="仿宋" w:eastAsia="仿宋"/>
          <w:b/>
          <w:sz w:val="24"/>
          <w:szCs w:val="24"/>
          <w:lang w:eastAsia="zh-CN"/>
        </w:rPr>
        <w:t>1.9.6</w:t>
      </w:r>
      <w:r>
        <w:rPr>
          <w:rFonts w:hint="eastAsia" w:ascii="仿宋" w:hAnsi="仿宋" w:eastAsia="仿宋" w:cs="仿宋"/>
          <w:b/>
          <w:bCs/>
          <w:sz w:val="24"/>
          <w:szCs w:val="24"/>
          <w:lang w:eastAsia="zh-CN"/>
        </w:rPr>
        <w:t xml:space="preserve"> 工程质量缺陷：</w:t>
      </w:r>
      <w:r>
        <w:rPr>
          <w:rFonts w:hint="eastAsia" w:ascii="仿宋" w:hAnsi="仿宋" w:eastAsia="仿宋" w:cs="仿宋"/>
          <w:bCs/>
          <w:sz w:val="24"/>
          <w:szCs w:val="24"/>
          <w:lang w:eastAsia="zh-CN"/>
        </w:rPr>
        <w:t>指因承包人未按合同约定的要求进行施工或施工质量不符合合同约定的标准规范或发包人具体要求，</w:t>
      </w:r>
      <w:r>
        <w:rPr>
          <w:rFonts w:hint="eastAsia" w:ascii="仿宋" w:hAnsi="仿宋" w:eastAsia="仿宋"/>
          <w:sz w:val="24"/>
          <w:szCs w:val="24"/>
          <w:lang w:eastAsia="zh-CN"/>
        </w:rPr>
        <w:t>导致</w:t>
      </w:r>
      <w:r>
        <w:rPr>
          <w:rFonts w:hint="eastAsia" w:ascii="仿宋" w:hAnsi="仿宋" w:eastAsia="仿宋" w:cs="仿宋"/>
          <w:bCs/>
          <w:sz w:val="24"/>
          <w:szCs w:val="24"/>
          <w:lang w:eastAsia="zh-CN"/>
        </w:rPr>
        <w:t>工程存在重大缺陷或出现质量事故。</w:t>
      </w:r>
    </w:p>
    <w:p w14:paraId="5A1F1B72">
      <w:pPr>
        <w:pStyle w:val="22"/>
        <w:widowControl w:val="0"/>
        <w:tabs>
          <w:tab w:val="left" w:pos="1260"/>
          <w:tab w:val="left" w:pos="2160"/>
        </w:tabs>
        <w:adjustRightInd w:val="0"/>
        <w:spacing w:line="400" w:lineRule="exact"/>
        <w:ind w:left="1850" w:leftChars="771"/>
        <w:jc w:val="both"/>
        <w:rPr>
          <w:rFonts w:ascii="仿宋" w:hAnsi="仿宋" w:eastAsia="仿宋" w:cs="仿宋"/>
          <w:b/>
          <w:bCs/>
          <w:sz w:val="24"/>
          <w:szCs w:val="24"/>
          <w:lang w:eastAsia="zh-CN"/>
        </w:rPr>
      </w:pPr>
      <w:r>
        <w:rPr>
          <w:rFonts w:hint="eastAsia" w:ascii="仿宋" w:hAnsi="仿宋" w:eastAsia="仿宋"/>
          <w:b/>
          <w:sz w:val="24"/>
          <w:szCs w:val="24"/>
          <w:lang w:eastAsia="zh-CN"/>
        </w:rPr>
        <w:t>1.9.7 其他服务缺陷：</w:t>
      </w:r>
      <w:r>
        <w:rPr>
          <w:rFonts w:hint="eastAsia" w:ascii="仿宋" w:hAnsi="仿宋" w:eastAsia="仿宋"/>
          <w:sz w:val="24"/>
          <w:szCs w:val="24"/>
          <w:lang w:eastAsia="zh-CN"/>
        </w:rPr>
        <w:t>指承包人未按合同约定的要求开展其他服务或服务质量达不到合同约定的标准规范或发包人具体要求，导致发包人无法</w:t>
      </w:r>
      <w:r>
        <w:rPr>
          <w:rFonts w:hint="eastAsia" w:ascii="仿宋" w:hAnsi="仿宋" w:eastAsia="仿宋" w:cs="仿宋"/>
          <w:sz w:val="24"/>
          <w:szCs w:val="24"/>
          <w:lang w:eastAsia="zh-CN"/>
        </w:rPr>
        <w:t>正常</w:t>
      </w:r>
      <w:r>
        <w:rPr>
          <w:rFonts w:hint="eastAsia" w:ascii="仿宋" w:hAnsi="仿宋" w:eastAsia="仿宋"/>
          <w:sz w:val="24"/>
          <w:szCs w:val="24"/>
          <w:lang w:eastAsia="zh-CN"/>
        </w:rPr>
        <w:t>使用。</w:t>
      </w:r>
    </w:p>
    <w:p w14:paraId="31857B95">
      <w:pPr>
        <w:pStyle w:val="22"/>
        <w:widowControl w:val="0"/>
        <w:tabs>
          <w:tab w:val="left" w:pos="1260"/>
          <w:tab w:val="left" w:pos="2160"/>
        </w:tabs>
        <w:adjustRightInd w:val="0"/>
        <w:spacing w:line="400" w:lineRule="exact"/>
        <w:ind w:left="1850" w:leftChars="771"/>
        <w:jc w:val="both"/>
        <w:rPr>
          <w:rFonts w:ascii="仿宋" w:hAnsi="仿宋" w:eastAsia="仿宋" w:cs="仿宋"/>
          <w:b/>
          <w:bCs/>
          <w:sz w:val="24"/>
          <w:szCs w:val="24"/>
          <w:lang w:eastAsia="zh-CN"/>
        </w:rPr>
      </w:pPr>
      <w:bookmarkStart w:id="98" w:name="_Toc4634"/>
      <w:r>
        <w:rPr>
          <w:rFonts w:hint="eastAsia" w:ascii="仿宋" w:hAnsi="仿宋" w:eastAsia="仿宋" w:cs="仿宋"/>
          <w:b/>
          <w:bCs/>
          <w:sz w:val="24"/>
          <w:szCs w:val="24"/>
          <w:lang w:eastAsia="zh-CN"/>
        </w:rPr>
        <w:t>1.10 变更、索赔、验收及其他</w:t>
      </w:r>
      <w:bookmarkEnd w:id="98"/>
    </w:p>
    <w:p w14:paraId="2911742F">
      <w:pPr>
        <w:pStyle w:val="22"/>
        <w:widowControl w:val="0"/>
        <w:tabs>
          <w:tab w:val="left" w:pos="1260"/>
          <w:tab w:val="left" w:pos="2160"/>
        </w:tabs>
        <w:adjustRightInd w:val="0"/>
        <w:spacing w:line="400" w:lineRule="exact"/>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10.1变更：</w:t>
      </w:r>
      <w:r>
        <w:rPr>
          <w:rFonts w:hint="eastAsia" w:ascii="仿宋" w:hAnsi="仿宋" w:eastAsia="仿宋" w:cs="仿宋"/>
          <w:sz w:val="24"/>
          <w:szCs w:val="24"/>
          <w:lang w:eastAsia="zh-CN"/>
        </w:rPr>
        <w:t>变更分为可调价变更和不可调价变更。其中，不可调价变更是指采用总价合同形式的工程项目（子项目）且不符合第69.3款约定条件的变更，此类变更应参照第79条约定或本项目的预算编制规则确定变更预算，作为投资控制的依据，但不作为合同价格调整的依据；其他可调价变更应按照第79条约定确定变更的工程款，作为合同价格调整的依据。</w:t>
      </w:r>
    </w:p>
    <w:p w14:paraId="09DC2512">
      <w:pPr>
        <w:pStyle w:val="22"/>
        <w:widowControl w:val="0"/>
        <w:tabs>
          <w:tab w:val="left" w:pos="1260"/>
          <w:tab w:val="left" w:pos="2160"/>
        </w:tabs>
        <w:adjustRightInd w:val="0"/>
        <w:spacing w:line="400" w:lineRule="exact"/>
        <w:ind w:left="1850" w:leftChars="771"/>
        <w:jc w:val="both"/>
        <w:rPr>
          <w:rFonts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10.2</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索赔：</w:t>
      </w:r>
      <w:r>
        <w:rPr>
          <w:rFonts w:hint="eastAsia" w:ascii="仿宋" w:hAnsi="仿宋" w:eastAsia="仿宋" w:cs="仿宋"/>
          <w:sz w:val="24"/>
          <w:szCs w:val="24"/>
          <w:lang w:eastAsia="zh-CN"/>
        </w:rPr>
        <w:t>指合同履行期间，对于非自己的过错而应由对方当事人承担责任的情况所造成的损失，并根据第43条和第80条约定向对方当事人提出费用补偿和（或）工期顺延的要求。</w:t>
      </w:r>
    </w:p>
    <w:p w14:paraId="3E2864BF">
      <w:pPr>
        <w:pStyle w:val="22"/>
        <w:widowControl w:val="0"/>
        <w:tabs>
          <w:tab w:val="left" w:pos="1260"/>
          <w:tab w:val="left" w:pos="2160"/>
        </w:tabs>
        <w:adjustRightInd w:val="0"/>
        <w:spacing w:line="400" w:lineRule="exact"/>
        <w:ind w:left="1850" w:leftChars="771"/>
        <w:jc w:val="both"/>
        <w:rPr>
          <w:rFonts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10.3</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现场签证：</w:t>
      </w:r>
      <w:r>
        <w:rPr>
          <w:rFonts w:hint="eastAsia" w:ascii="仿宋" w:hAnsi="仿宋" w:eastAsia="仿宋" w:cs="仿宋"/>
          <w:sz w:val="24"/>
          <w:szCs w:val="24"/>
          <w:lang w:eastAsia="zh-CN"/>
        </w:rPr>
        <w:t>指合同双方当事人按照第</w:t>
      </w:r>
      <w:r>
        <w:rPr>
          <w:rFonts w:ascii="仿宋" w:hAnsi="仿宋" w:eastAsia="仿宋" w:cs="仿宋"/>
          <w:sz w:val="24"/>
          <w:szCs w:val="24"/>
          <w:lang w:eastAsia="zh-CN"/>
        </w:rPr>
        <w:t>1</w:t>
      </w:r>
      <w:r>
        <w:rPr>
          <w:rFonts w:hint="eastAsia" w:ascii="仿宋" w:hAnsi="仿宋" w:eastAsia="仿宋" w:cs="仿宋"/>
          <w:sz w:val="24"/>
          <w:szCs w:val="24"/>
          <w:lang w:eastAsia="zh-CN"/>
        </w:rPr>
        <w:t>7</w:t>
      </w:r>
      <w:r>
        <w:rPr>
          <w:rFonts w:ascii="仿宋" w:hAnsi="仿宋" w:eastAsia="仿宋" w:cs="仿宋"/>
          <w:sz w:val="24"/>
          <w:szCs w:val="24"/>
          <w:lang w:eastAsia="zh-CN"/>
        </w:rPr>
        <w:t>.2</w:t>
      </w:r>
      <w:r>
        <w:rPr>
          <w:rFonts w:hint="eastAsia" w:ascii="仿宋" w:hAnsi="仿宋" w:eastAsia="仿宋" w:cs="仿宋"/>
          <w:sz w:val="24"/>
          <w:szCs w:val="24"/>
          <w:lang w:eastAsia="zh-CN"/>
        </w:rPr>
        <w:t>款约定的指定人选根据第81条约定就工程总承包实施过程中涉及的责任事项所作的签认证明。</w:t>
      </w:r>
    </w:p>
    <w:p w14:paraId="2BE1B650">
      <w:pPr>
        <w:pStyle w:val="22"/>
        <w:widowControl w:val="0"/>
        <w:tabs>
          <w:tab w:val="left" w:pos="1260"/>
          <w:tab w:val="left" w:pos="2160"/>
        </w:tabs>
        <w:adjustRightInd w:val="0"/>
        <w:spacing w:line="400" w:lineRule="exact"/>
        <w:ind w:left="1850" w:leftChars="771"/>
        <w:jc w:val="both"/>
        <w:rPr>
          <w:rFonts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10.4</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工作成果验收：</w:t>
      </w:r>
      <w:r>
        <w:rPr>
          <w:rFonts w:hint="eastAsia" w:ascii="仿宋" w:hAnsi="仿宋" w:eastAsia="仿宋" w:cs="仿宋"/>
          <w:sz w:val="24"/>
          <w:szCs w:val="24"/>
          <w:lang w:eastAsia="zh-CN"/>
        </w:rPr>
        <w:t>指承包人完成了勘察、设计、建筑信息模型（BIM）等合同约定的阶段性工作后，发包人按照合同约定对其完成的工作成效和（或）成果文件进行的验收或确认。</w:t>
      </w:r>
    </w:p>
    <w:p w14:paraId="2F2A7E66">
      <w:pPr>
        <w:pStyle w:val="22"/>
        <w:widowControl w:val="0"/>
        <w:tabs>
          <w:tab w:val="left" w:pos="1260"/>
          <w:tab w:val="left" w:pos="2160"/>
        </w:tabs>
        <w:adjustRightInd w:val="0"/>
        <w:spacing w:line="400" w:lineRule="exact"/>
        <w:ind w:left="1850" w:leftChars="771"/>
        <w:jc w:val="both"/>
        <w:rPr>
          <w:rFonts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10.5</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竣工验收：</w:t>
      </w:r>
      <w:r>
        <w:rPr>
          <w:rFonts w:hint="eastAsia" w:ascii="仿宋" w:hAnsi="仿宋" w:eastAsia="仿宋" w:cs="仿宋"/>
          <w:sz w:val="24"/>
          <w:szCs w:val="24"/>
          <w:lang w:eastAsia="zh-CN"/>
        </w:rPr>
        <w:t>指承包人完成了全部合同工作后，发包人按照合同约定进行的验收。</w:t>
      </w:r>
    </w:p>
    <w:p w14:paraId="79115168">
      <w:pPr>
        <w:pStyle w:val="22"/>
        <w:widowControl w:val="0"/>
        <w:tabs>
          <w:tab w:val="left" w:pos="1260"/>
          <w:tab w:val="left" w:pos="2160"/>
        </w:tabs>
        <w:adjustRightInd w:val="0"/>
        <w:spacing w:line="400" w:lineRule="exact"/>
        <w:ind w:left="1850" w:leftChars="771"/>
        <w:jc w:val="both"/>
        <w:rPr>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10.6</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国家验收：</w:t>
      </w:r>
      <w:r>
        <w:rPr>
          <w:rFonts w:hint="eastAsia" w:ascii="仿宋" w:hAnsi="仿宋" w:eastAsia="仿宋" w:cs="仿宋"/>
          <w:sz w:val="24"/>
          <w:szCs w:val="24"/>
          <w:lang w:eastAsia="zh-CN"/>
        </w:rPr>
        <w:t>指政府部门根据法律和政策等有关规定，针对发包人全面组织实施的整个工程在正式交付投运前的验收。</w:t>
      </w:r>
    </w:p>
    <w:p w14:paraId="416F8F1B">
      <w:pPr>
        <w:pStyle w:val="22"/>
        <w:widowControl w:val="0"/>
        <w:tabs>
          <w:tab w:val="left" w:pos="1260"/>
          <w:tab w:val="left" w:pos="2160"/>
        </w:tabs>
        <w:adjustRightInd w:val="0"/>
        <w:spacing w:line="400" w:lineRule="exact"/>
        <w:ind w:left="1850" w:leftChars="771"/>
        <w:jc w:val="both"/>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10.7</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书面形式：</w:t>
      </w:r>
      <w:r>
        <w:rPr>
          <w:rFonts w:hint="eastAsia" w:ascii="仿宋" w:hAnsi="仿宋" w:eastAsia="仿宋" w:cs="仿宋"/>
          <w:sz w:val="24"/>
          <w:szCs w:val="24"/>
          <w:lang w:eastAsia="zh-CN"/>
        </w:rPr>
        <w:t>指合同文件、信函、电报、电传、传真、电子数据交换文件、电子邮件、会议纪要等可以有形地表现所载内容的形式。合同双方当事人可在专用条款中注明所采用的书面形式。</w:t>
      </w:r>
    </w:p>
    <w:p w14:paraId="45E6A493">
      <w:pPr>
        <w:pStyle w:val="22"/>
        <w:widowControl w:val="0"/>
        <w:tabs>
          <w:tab w:val="left" w:pos="1260"/>
          <w:tab w:val="left" w:pos="2160"/>
        </w:tabs>
        <w:adjustRightInd w:val="0"/>
        <w:spacing w:line="400" w:lineRule="exact"/>
        <w:ind w:left="1850" w:leftChars="771"/>
        <w:jc w:val="both"/>
        <w:rPr>
          <w:rFonts w:ascii="仿宋" w:hAnsi="仿宋" w:eastAsia="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10.8</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国家：</w:t>
      </w:r>
      <w:r>
        <w:rPr>
          <w:rFonts w:hint="eastAsia" w:ascii="仿宋" w:hAnsi="仿宋" w:eastAsia="仿宋" w:cs="仿宋"/>
          <w:sz w:val="24"/>
          <w:szCs w:val="24"/>
          <w:lang w:eastAsia="zh-CN"/>
        </w:rPr>
        <w:t>指中华人民共和国。</w:t>
      </w:r>
    </w:p>
    <w:p w14:paraId="7B435662">
      <w:pPr>
        <w:tabs>
          <w:tab w:val="left" w:pos="1620"/>
        </w:tabs>
        <w:spacing w:line="400" w:lineRule="exact"/>
        <w:rPr>
          <w:rFonts w:ascii="仿宋" w:hAnsi="仿宋" w:eastAsia="仿宋"/>
          <w:b/>
          <w:bCs/>
          <w:lang w:eastAsia="zh-CN"/>
        </w:rPr>
      </w:pPr>
      <w:r>
        <w:rPr>
          <w:rFonts w:ascii="仿宋" w:hAnsi="仿宋" w:eastAsia="仿宋" w:cs="仿宋"/>
          <w:b/>
          <w:bCs/>
          <w:u w:val="single"/>
          <w:lang w:eastAsia="zh-CN"/>
        </w:rPr>
        <w:t xml:space="preserve">                                         </w:t>
      </w:r>
      <w:r>
        <w:rPr>
          <w:rFonts w:hint="eastAsia" w:ascii="仿宋" w:hAnsi="仿宋" w:eastAsia="仿宋" w:cs="仿宋"/>
          <w:b/>
          <w:bCs/>
          <w:u w:val="single"/>
          <w:lang w:eastAsia="zh-CN"/>
        </w:rPr>
        <w:t xml:space="preserve">          </w:t>
      </w:r>
      <w:r>
        <w:rPr>
          <w:rFonts w:ascii="仿宋" w:hAnsi="仿宋" w:eastAsia="仿宋" w:cs="仿宋"/>
          <w:b/>
          <w:bCs/>
          <w:u w:val="single"/>
          <w:lang w:eastAsia="zh-CN"/>
        </w:rPr>
        <w:t xml:space="preserve">           </w:t>
      </w:r>
      <w:r>
        <w:rPr>
          <w:rFonts w:hint="eastAsia" w:ascii="仿宋" w:hAnsi="仿宋" w:eastAsia="仿宋" w:cs="仿宋"/>
          <w:b/>
          <w:bCs/>
          <w:u w:val="single"/>
          <w:lang w:eastAsia="zh-CN"/>
        </w:rPr>
        <w:t xml:space="preserve">              </w:t>
      </w:r>
      <w:r>
        <w:rPr>
          <w:rFonts w:ascii="仿宋" w:hAnsi="仿宋" w:eastAsia="仿宋" w:cs="仿宋"/>
          <w:b/>
          <w:bCs/>
          <w:u w:val="single"/>
          <w:lang w:eastAsia="zh-CN"/>
        </w:rPr>
        <w:t xml:space="preserve">          </w:t>
      </w:r>
    </w:p>
    <w:p w14:paraId="3E0D5741">
      <w:pPr>
        <w:pStyle w:val="4"/>
        <w:tabs>
          <w:tab w:val="left" w:pos="420"/>
        </w:tabs>
        <w:spacing w:before="0" w:after="0" w:line="400" w:lineRule="exact"/>
        <w:rPr>
          <w:rFonts w:ascii="仿宋" w:hAnsi="仿宋" w:eastAsia="仿宋"/>
          <w:bCs w:val="0"/>
          <w:sz w:val="24"/>
          <w:szCs w:val="24"/>
          <w:lang w:eastAsia="zh-CN"/>
        </w:rPr>
      </w:pPr>
      <w:bookmarkStart w:id="99" w:name="_Toc20463"/>
      <w:bookmarkStart w:id="100" w:name="_Toc27971"/>
      <w:bookmarkStart w:id="101" w:name="_Toc469383981"/>
      <w:bookmarkStart w:id="102" w:name="_Toc194073107"/>
      <w:bookmarkStart w:id="103" w:name="_Toc4882"/>
      <w:r>
        <w:rPr>
          <w:rFonts w:ascii="仿宋" w:hAnsi="仿宋" w:eastAsia="仿宋" w:cs="仿宋"/>
          <w:bCs w:val="0"/>
          <w:sz w:val="24"/>
          <w:szCs w:val="24"/>
          <w:lang w:eastAsia="zh-CN"/>
        </w:rPr>
        <w:t xml:space="preserve">2 </w:t>
      </w:r>
      <w:r>
        <w:rPr>
          <w:rFonts w:hint="eastAsia" w:ascii="仿宋" w:hAnsi="仿宋" w:eastAsia="仿宋" w:cs="仿宋"/>
          <w:bCs w:val="0"/>
          <w:sz w:val="24"/>
          <w:szCs w:val="24"/>
          <w:lang w:eastAsia="zh-CN"/>
        </w:rPr>
        <w:t>合同文件及解释</w:t>
      </w:r>
      <w:bookmarkEnd w:id="99"/>
      <w:bookmarkEnd w:id="100"/>
      <w:bookmarkEnd w:id="101"/>
      <w:bookmarkEnd w:id="102"/>
      <w:bookmarkEnd w:id="103"/>
    </w:p>
    <w:p w14:paraId="4CF7CC57">
      <w:pPr>
        <w:pStyle w:val="22"/>
        <w:tabs>
          <w:tab w:val="left" w:pos="1202"/>
        </w:tabs>
        <w:spacing w:line="400" w:lineRule="exact"/>
        <w:rPr>
          <w:rFonts w:ascii="仿宋" w:hAnsi="仿宋" w:eastAsia="仿宋" w:cs="仿宋"/>
          <w:b/>
          <w:bCs/>
          <w:sz w:val="24"/>
          <w:szCs w:val="24"/>
          <w:lang w:eastAsia="zh-CN"/>
        </w:rPr>
      </w:pPr>
      <w:r>
        <mc:AlternateContent>
          <mc:Choice Requires="wps">
            <w:drawing>
              <wp:anchor distT="0" distB="0" distL="114300" distR="114300" simplePos="0" relativeHeight="251659264" behindDoc="0" locked="0" layoutInCell="1" allowOverlap="1">
                <wp:simplePos x="0" y="0"/>
                <wp:positionH relativeFrom="column">
                  <wp:posOffset>-95250</wp:posOffset>
                </wp:positionH>
                <wp:positionV relativeFrom="paragraph">
                  <wp:posOffset>293370</wp:posOffset>
                </wp:positionV>
                <wp:extent cx="832485" cy="254000"/>
                <wp:effectExtent l="0" t="0" r="5715" b="5080"/>
                <wp:wrapNone/>
                <wp:docPr id="1" name="文本框 2"/>
                <wp:cNvGraphicFramePr/>
                <a:graphic xmlns:a="http://schemas.openxmlformats.org/drawingml/2006/main">
                  <a:graphicData uri="http://schemas.microsoft.com/office/word/2010/wordprocessingShape">
                    <wps:wsp>
                      <wps:cNvSpPr txBox="1"/>
                      <wps:spPr>
                        <a:xfrm>
                          <a:off x="0" y="0"/>
                          <a:ext cx="832485" cy="254000"/>
                        </a:xfrm>
                        <a:prstGeom prst="rect">
                          <a:avLst/>
                        </a:prstGeom>
                        <a:solidFill>
                          <a:srgbClr val="FFFFFF"/>
                        </a:solidFill>
                        <a:ln w="12700">
                          <a:noFill/>
                        </a:ln>
                      </wps:spPr>
                      <wps:txbx>
                        <w:txbxContent>
                          <w:p w14:paraId="58B290E9">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标题和旁注</w:t>
                            </w:r>
                          </w:p>
                        </w:txbxContent>
                      </wps:txbx>
                      <wps:bodyPr rot="0" vert="horz" wrap="square" lIns="91440" tIns="45720" rIns="91440" bIns="45720" anchor="t" anchorCtr="0"/>
                    </wps:wsp>
                  </a:graphicData>
                </a:graphic>
              </wp:anchor>
            </w:drawing>
          </mc:Choice>
          <mc:Fallback>
            <w:pict>
              <v:shape id="文本框 2" o:spid="_x0000_s1026" o:spt="202" type="#_x0000_t202" style="position:absolute;left:0pt;margin-left:-7.5pt;margin-top:23.1pt;height:20pt;width:65.55pt;z-index:251659264;mso-width-relative:page;mso-height-relative:page;" fillcolor="#FFFFFF" filled="t" stroked="f" coordsize="21600,21600" o:gfxdata="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f+g99gAAAAJAQAADwAAAAAAAAABACAAAAAiAAAAZHJzL2Rvd25yZXYu&#10;eG1sUEsBAhQAFAAAAAgAh07iQGFsVc/7AQAA4wMAAA4AAAAAAAAAAQAgAAAAJwEAAGRycy9lMm9E&#10;b2MueG1sUEsFBgAAAAAGAAYAWQEAAJQFAAAAAA==&#10;">
                <v:fill on="t" focussize="0,0"/>
                <v:stroke on="f" weight="1pt"/>
                <v:imagedata o:title=""/>
                <o:lock v:ext="edit" aspectratio="f"/>
                <v:textbox>
                  <w:txbxContent>
                    <w:p w14:paraId="58B290E9">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标题和旁注</w:t>
                      </w:r>
                    </w:p>
                  </w:txbxContent>
                </v:textbox>
              </v:shape>
            </w:pict>
          </mc:Fallback>
        </mc:AlternateContent>
      </w:r>
      <w:r>
        <w:rPr>
          <w:rFonts w:ascii="仿宋" w:hAnsi="仿宋" w:eastAsia="仿宋" w:cs="仿宋"/>
          <w:b/>
          <w:bCs/>
          <w:sz w:val="24"/>
          <w:szCs w:val="24"/>
          <w:lang w:eastAsia="zh-CN"/>
        </w:rPr>
        <w:t>2.1</w:t>
      </w:r>
    </w:p>
    <w:p w14:paraId="0A127B2D">
      <w:pPr>
        <w:pStyle w:val="22"/>
        <w:widowControl w:val="0"/>
        <w:tabs>
          <w:tab w:val="left" w:pos="1202"/>
          <w:tab w:val="left" w:pos="1620"/>
          <w:tab w:val="left" w:pos="1800"/>
          <w:tab w:val="left" w:pos="2160"/>
        </w:tabs>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本合同条款的标题和旁注不构成合同的组成部分。</w:t>
      </w:r>
    </w:p>
    <w:p w14:paraId="7C9A62B5">
      <w:pPr>
        <w:pStyle w:val="22"/>
        <w:tabs>
          <w:tab w:val="left" w:pos="1202"/>
        </w:tabs>
        <w:spacing w:line="400" w:lineRule="exact"/>
        <w:rPr>
          <w:rFonts w:ascii="仿宋" w:hAnsi="仿宋" w:eastAsia="仿宋"/>
          <w:b/>
          <w:bCs/>
          <w:sz w:val="24"/>
          <w:szCs w:val="24"/>
          <w:lang w:eastAsia="zh-CN"/>
        </w:rPr>
      </w:pPr>
      <w:r>
        <w:rPr>
          <w:rFonts w:hint="eastAsia" w:ascii="仿宋" w:hAnsi="仿宋" w:eastAsia="仿宋" w:cs="仿宋"/>
          <w:b/>
          <w:bCs/>
          <w:sz w:val="24"/>
          <w:szCs w:val="24"/>
          <w:lang w:eastAsia="zh-CN"/>
        </w:rPr>
        <w:t>★</w:t>
      </w:r>
      <w:r>
        <w:rPr>
          <w:rFonts w:ascii="仿宋" w:hAnsi="仿宋" w:eastAsia="仿宋" w:cs="仿宋"/>
          <w:b/>
          <w:bCs/>
          <w:sz w:val="24"/>
          <w:szCs w:val="24"/>
          <w:lang w:eastAsia="zh-CN"/>
        </w:rPr>
        <w:t xml:space="preserve">2.2  </w:t>
      </w:r>
      <w:r>
        <w:rPr>
          <w:rFonts w:ascii="仿宋" w:hAnsi="仿宋" w:eastAsia="仿宋" w:cs="仿宋"/>
          <w:b/>
          <w:bCs/>
          <w:sz w:val="24"/>
          <w:szCs w:val="24"/>
          <w:u w:val="dotted"/>
          <w:lang w:eastAsia="zh-CN"/>
        </w:rPr>
        <w:t xml:space="preserve">                                                                             </w:t>
      </w:r>
    </w:p>
    <w:p w14:paraId="6CB9DBF6">
      <w:pPr>
        <w:pStyle w:val="22"/>
        <w:widowControl w:val="0"/>
        <w:tabs>
          <w:tab w:val="left" w:pos="1202"/>
          <w:tab w:val="left" w:pos="1620"/>
          <w:tab w:val="left" w:pos="1800"/>
          <w:tab w:val="left" w:pos="2160"/>
        </w:tabs>
        <w:spacing w:line="400" w:lineRule="exact"/>
        <w:ind w:left="1850" w:leftChars="771"/>
        <w:jc w:val="both"/>
        <w:rPr>
          <w:rFonts w:ascii="仿宋" w:hAnsi="仿宋" w:eastAsia="仿宋" w:cs="仿宋"/>
          <w:sz w:val="24"/>
          <w:szCs w:val="24"/>
          <w:lang w:eastAsia="zh-CN"/>
        </w:rPr>
      </w:pPr>
      <w: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67310</wp:posOffset>
                </wp:positionV>
                <wp:extent cx="774065" cy="673735"/>
                <wp:effectExtent l="0" t="0" r="0" b="0"/>
                <wp:wrapNone/>
                <wp:docPr id="2" name="文本框 3"/>
                <wp:cNvGraphicFramePr/>
                <a:graphic xmlns:a="http://schemas.openxmlformats.org/drawingml/2006/main">
                  <a:graphicData uri="http://schemas.microsoft.com/office/word/2010/wordprocessingShape">
                    <wps:wsp>
                      <wps:cNvSpPr txBox="1"/>
                      <wps:spPr>
                        <a:xfrm>
                          <a:off x="0" y="0"/>
                          <a:ext cx="774065" cy="673735"/>
                        </a:xfrm>
                        <a:prstGeom prst="rect">
                          <a:avLst/>
                        </a:prstGeom>
                        <a:noFill/>
                        <a:ln w="12700">
                          <a:noFill/>
                        </a:ln>
                      </wps:spPr>
                      <wps:txbx>
                        <w:txbxContent>
                          <w:p w14:paraId="57464479">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合同文件组成及优先顺序</w:t>
                            </w:r>
                          </w:p>
                        </w:txbxContent>
                      </wps:txbx>
                      <wps:bodyPr rot="0" vert="horz" wrap="square" lIns="91440" tIns="45720" rIns="91440" bIns="45720" anchor="t" anchorCtr="0"/>
                    </wps:wsp>
                  </a:graphicData>
                </a:graphic>
              </wp:anchor>
            </w:drawing>
          </mc:Choice>
          <mc:Fallback>
            <w:pict>
              <v:shape id="文本框 3" o:spid="_x0000_s1026" o:spt="202" type="#_x0000_t202" style="position:absolute;left:0pt;margin-left:-9pt;margin-top:5.3pt;height:53.05pt;width:60.95pt;z-index:251660288;mso-width-relative:page;mso-height-relative:page;" filled="f" stroked="f" coordsize="21600,21600" o:gfxdata="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VfBi3Y&#10;AAAACgEAAA8AAAAAAAAAAQAgAAAAIgAAAGRycy9kb3ducmV2LnhtbFBLAQIUABQAAAAIAIdO4kDv&#10;owmX5wEAALoDAAAOAAAAAAAAAAEAIAAAACcBAABkcnMvZTJvRG9jLnhtbFBLBQYAAAAABgAGAFkB&#10;AACABQAAAAA=&#10;">
                <v:fill on="f" focussize="0,0"/>
                <v:stroke on="f" weight="1pt"/>
                <v:imagedata o:title=""/>
                <o:lock v:ext="edit" aspectratio="f"/>
                <v:textbox>
                  <w:txbxContent>
                    <w:p w14:paraId="57464479">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合同文件组成及优先顺序</w:t>
                      </w:r>
                    </w:p>
                  </w:txbxContent>
                </v:textbox>
              </v:shape>
            </w:pict>
          </mc:Fallback>
        </mc:AlternateContent>
      </w:r>
      <w:bookmarkStart w:id="104" w:name="_Ref531948776"/>
      <w:r>
        <w:rPr>
          <w:rFonts w:hint="eastAsia" w:ascii="仿宋" w:hAnsi="仿宋" w:eastAsia="仿宋" w:cs="仿宋"/>
          <w:sz w:val="24"/>
          <w:szCs w:val="24"/>
          <w:lang w:eastAsia="zh-CN"/>
        </w:rPr>
        <w:t>组成合同的各项文件应互相解释，互为说明。除专用条款另有约定外，</w:t>
      </w:r>
      <w:bookmarkEnd w:id="104"/>
      <w:r>
        <w:rPr>
          <w:rFonts w:hint="eastAsia" w:ascii="仿宋" w:hAnsi="仿宋" w:eastAsia="仿宋" w:cs="仿宋"/>
          <w:sz w:val="24"/>
          <w:szCs w:val="24"/>
          <w:lang w:eastAsia="zh-CN"/>
        </w:rPr>
        <w:t>解释合同文件的优先顺序如下：</w:t>
      </w:r>
    </w:p>
    <w:p w14:paraId="63AFAD72">
      <w:pPr>
        <w:widowControl w:val="0"/>
        <w:numPr>
          <w:ilvl w:val="0"/>
          <w:numId w:val="10"/>
        </w:numPr>
        <w:spacing w:line="400" w:lineRule="exact"/>
        <w:ind w:left="1850" w:leftChars="771"/>
        <w:rPr>
          <w:rFonts w:ascii="仿宋" w:hAnsi="仿宋" w:eastAsia="仿宋" w:cs="仿宋"/>
          <w:lang w:eastAsia="zh-CN" w:bidi="ar-SA"/>
        </w:rPr>
      </w:pPr>
      <w:r>
        <w:rPr>
          <w:rFonts w:hint="eastAsia" w:ascii="仿宋" w:hAnsi="仿宋" w:eastAsia="仿宋" w:cs="仿宋"/>
          <w:lang w:eastAsia="zh-CN" w:bidi="ar-SA"/>
        </w:rPr>
        <w:t>协议书；</w:t>
      </w:r>
    </w:p>
    <w:p w14:paraId="3B44A1F0">
      <w:pPr>
        <w:widowControl w:val="0"/>
        <w:numPr>
          <w:ilvl w:val="0"/>
          <w:numId w:val="10"/>
        </w:numPr>
        <w:spacing w:line="400" w:lineRule="exact"/>
        <w:ind w:left="1850" w:leftChars="771"/>
        <w:rPr>
          <w:rFonts w:ascii="仿宋" w:hAnsi="仿宋" w:eastAsia="仿宋" w:cs="仿宋"/>
          <w:lang w:eastAsia="zh-CN" w:bidi="ar-SA"/>
        </w:rPr>
      </w:pPr>
      <w:r>
        <w:rPr>
          <w:rFonts w:hint="eastAsia" w:ascii="仿宋" w:hAnsi="仿宋" w:eastAsia="仿宋" w:cs="仿宋"/>
          <w:lang w:eastAsia="zh-CN" w:bidi="ar-SA"/>
        </w:rPr>
        <w:t>中标通知书（如果有）；</w:t>
      </w:r>
    </w:p>
    <w:p w14:paraId="71A569AA">
      <w:pPr>
        <w:widowControl w:val="0"/>
        <w:numPr>
          <w:ilvl w:val="0"/>
          <w:numId w:val="10"/>
        </w:numPr>
        <w:spacing w:line="400" w:lineRule="exact"/>
        <w:ind w:left="1850" w:leftChars="771"/>
        <w:rPr>
          <w:rFonts w:ascii="仿宋" w:hAnsi="仿宋" w:eastAsia="仿宋" w:cs="仿宋"/>
          <w:lang w:eastAsia="zh-CN" w:bidi="ar-SA"/>
        </w:rPr>
      </w:pPr>
      <w:r>
        <w:rPr>
          <w:rFonts w:hint="eastAsia" w:ascii="仿宋" w:hAnsi="仿宋" w:eastAsia="仿宋" w:cs="仿宋"/>
          <w:lang w:eastAsia="zh-CN" w:bidi="ar-SA"/>
        </w:rPr>
        <w:t>承包人投标文件及其附件（含评标期间的澄清文件和补充资料）（如果有）；</w:t>
      </w:r>
    </w:p>
    <w:p w14:paraId="2D8FB394">
      <w:pPr>
        <w:widowControl w:val="0"/>
        <w:numPr>
          <w:ilvl w:val="0"/>
          <w:numId w:val="10"/>
        </w:numPr>
        <w:spacing w:line="400" w:lineRule="exact"/>
        <w:ind w:left="1850" w:leftChars="771"/>
        <w:rPr>
          <w:rFonts w:ascii="仿宋" w:hAnsi="仿宋" w:eastAsia="仿宋" w:cs="仿宋"/>
          <w:lang w:eastAsia="zh-CN" w:bidi="ar-SA"/>
        </w:rPr>
      </w:pPr>
      <w:r>
        <w:rPr>
          <w:rFonts w:hint="eastAsia" w:ascii="仿宋" w:hAnsi="仿宋" w:eastAsia="仿宋" w:cs="仿宋"/>
          <w:lang w:eastAsia="zh-CN" w:bidi="ar-SA"/>
        </w:rPr>
        <w:t>专用条款；</w:t>
      </w:r>
    </w:p>
    <w:p w14:paraId="63AFE00C">
      <w:pPr>
        <w:widowControl w:val="0"/>
        <w:numPr>
          <w:ilvl w:val="0"/>
          <w:numId w:val="10"/>
        </w:numPr>
        <w:spacing w:line="400" w:lineRule="exact"/>
        <w:ind w:left="1850" w:leftChars="771"/>
        <w:rPr>
          <w:rFonts w:ascii="仿宋" w:hAnsi="仿宋" w:eastAsia="仿宋" w:cs="仿宋"/>
          <w:lang w:eastAsia="zh-CN" w:bidi="ar-SA"/>
        </w:rPr>
      </w:pPr>
      <w:r>
        <w:rPr>
          <w:rFonts w:hint="eastAsia" w:ascii="仿宋" w:hAnsi="仿宋" w:eastAsia="仿宋" w:cs="仿宋"/>
          <w:lang w:eastAsia="zh-CN" w:bidi="ar-SA"/>
        </w:rPr>
        <w:t>通用条款；</w:t>
      </w:r>
    </w:p>
    <w:p w14:paraId="2AC5E7EA">
      <w:pPr>
        <w:widowControl w:val="0"/>
        <w:numPr>
          <w:ilvl w:val="0"/>
          <w:numId w:val="10"/>
        </w:numPr>
        <w:spacing w:line="400" w:lineRule="exact"/>
        <w:ind w:left="1850" w:leftChars="771"/>
        <w:rPr>
          <w:rFonts w:ascii="仿宋" w:hAnsi="仿宋" w:eastAsia="仿宋" w:cs="仿宋"/>
          <w:lang w:eastAsia="zh-CN" w:bidi="ar-SA"/>
        </w:rPr>
      </w:pPr>
      <w:r>
        <w:rPr>
          <w:rFonts w:hint="eastAsia" w:ascii="仿宋" w:hAnsi="仿宋" w:eastAsia="仿宋" w:cs="仿宋"/>
          <w:lang w:eastAsia="zh-CN" w:bidi="ar-SA"/>
        </w:rPr>
        <w:t>《发包人要求》；</w:t>
      </w:r>
    </w:p>
    <w:p w14:paraId="05E68379">
      <w:pPr>
        <w:widowControl w:val="0"/>
        <w:numPr>
          <w:ilvl w:val="0"/>
          <w:numId w:val="10"/>
        </w:numPr>
        <w:spacing w:line="400" w:lineRule="exact"/>
        <w:ind w:left="1850" w:leftChars="771"/>
        <w:rPr>
          <w:rFonts w:ascii="仿宋" w:hAnsi="仿宋" w:eastAsia="仿宋" w:cs="仿宋"/>
          <w:lang w:eastAsia="zh-CN" w:bidi="ar-SA"/>
        </w:rPr>
      </w:pPr>
      <w:r>
        <w:rPr>
          <w:rFonts w:hint="eastAsia" w:ascii="仿宋" w:hAnsi="仿宋" w:eastAsia="仿宋" w:cs="仿宋"/>
          <w:lang w:eastAsia="zh-CN" w:bidi="ar-SA"/>
        </w:rPr>
        <w:t>标准、规范；</w:t>
      </w:r>
    </w:p>
    <w:p w14:paraId="51A75785">
      <w:pPr>
        <w:widowControl w:val="0"/>
        <w:numPr>
          <w:ilvl w:val="0"/>
          <w:numId w:val="10"/>
        </w:numPr>
        <w:spacing w:line="400" w:lineRule="exact"/>
        <w:ind w:left="1850" w:leftChars="771"/>
        <w:rPr>
          <w:rFonts w:ascii="仿宋" w:hAnsi="仿宋" w:eastAsia="仿宋" w:cs="仿宋"/>
          <w:lang w:eastAsia="zh-CN" w:bidi="ar-SA"/>
        </w:rPr>
      </w:pPr>
      <w:r>
        <w:rPr>
          <w:rFonts w:hint="eastAsia" w:ascii="仿宋" w:hAnsi="仿宋" w:eastAsia="仿宋" w:cs="仿宋"/>
          <w:lang w:eastAsia="zh-CN" w:bidi="ar-SA"/>
        </w:rPr>
        <w:t>项目基础资料；</w:t>
      </w:r>
    </w:p>
    <w:p w14:paraId="3783E94D">
      <w:pPr>
        <w:widowControl w:val="0"/>
        <w:numPr>
          <w:ilvl w:val="0"/>
          <w:numId w:val="10"/>
        </w:numPr>
        <w:spacing w:line="400" w:lineRule="exact"/>
        <w:ind w:left="1850" w:leftChars="771"/>
        <w:rPr>
          <w:rFonts w:ascii="仿宋" w:hAnsi="仿宋" w:eastAsia="仿宋" w:cs="仿宋"/>
          <w:lang w:eastAsia="zh-CN" w:bidi="ar-SA"/>
        </w:rPr>
      </w:pPr>
      <w:r>
        <w:rPr>
          <w:rFonts w:hint="eastAsia" w:ascii="仿宋" w:hAnsi="仿宋" w:eastAsia="仿宋" w:cs="仿宋"/>
          <w:lang w:eastAsia="zh-CN" w:bidi="ar-SA"/>
        </w:rPr>
        <w:t>合同价格清单；</w:t>
      </w:r>
    </w:p>
    <w:p w14:paraId="3614F05B">
      <w:pPr>
        <w:widowControl w:val="0"/>
        <w:numPr>
          <w:ilvl w:val="0"/>
          <w:numId w:val="10"/>
        </w:numPr>
        <w:spacing w:line="400" w:lineRule="exact"/>
        <w:ind w:left="1850" w:leftChars="771"/>
        <w:rPr>
          <w:rFonts w:ascii="仿宋" w:hAnsi="仿宋" w:eastAsia="仿宋" w:cs="仿宋"/>
          <w:lang w:eastAsia="zh-CN" w:bidi="ar-SA"/>
        </w:rPr>
      </w:pPr>
      <w:r>
        <w:rPr>
          <w:rFonts w:hint="eastAsia" w:ascii="仿宋" w:hAnsi="仿宋" w:eastAsia="仿宋" w:cs="仿宋"/>
          <w:lang w:eastAsia="zh-CN"/>
        </w:rPr>
        <w:t>招标文件（包括补充、修改、澄清的文件、答疑纪要）（如果有）；</w:t>
      </w:r>
    </w:p>
    <w:p w14:paraId="614EB747">
      <w:pPr>
        <w:widowControl w:val="0"/>
        <w:numPr>
          <w:ilvl w:val="0"/>
          <w:numId w:val="10"/>
        </w:numPr>
        <w:spacing w:line="400" w:lineRule="exact"/>
        <w:ind w:left="1850" w:leftChars="771"/>
        <w:rPr>
          <w:rFonts w:ascii="仿宋" w:hAnsi="仿宋" w:eastAsia="仿宋" w:cs="仿宋"/>
          <w:lang w:eastAsia="zh-CN" w:bidi="ar-SA"/>
        </w:rPr>
      </w:pPr>
      <w:r>
        <w:rPr>
          <w:rFonts w:hint="eastAsia" w:ascii="仿宋" w:hAnsi="仿宋" w:eastAsia="仿宋" w:cs="仿宋"/>
          <w:lang w:eastAsia="zh-CN" w:bidi="ar-SA"/>
        </w:rPr>
        <w:t>双方约定的其他合同文件。</w:t>
      </w:r>
    </w:p>
    <w:p w14:paraId="752B7DEF">
      <w:pPr>
        <w:widowControl w:val="0"/>
        <w:spacing w:line="400" w:lineRule="exact"/>
        <w:ind w:left="1680" w:leftChars="700"/>
        <w:rPr>
          <w:rFonts w:ascii="仿宋" w:hAnsi="仿宋" w:eastAsia="仿宋" w:cs="仿宋"/>
          <w:lang w:eastAsia="zh-CN" w:bidi="ar-SA"/>
        </w:rPr>
      </w:pPr>
      <w:r>
        <w:rPr>
          <w:rFonts w:hint="eastAsia" w:ascii="仿宋" w:hAnsi="仿宋" w:eastAsia="仿宋" w:cs="仿宋"/>
          <w:lang w:eastAsia="zh-CN" w:bidi="ar-SA"/>
        </w:rPr>
        <w:t>上述各项合同文件包括合同当事人就该项合同文件所作出的补充和修改，同类文件相应内容不一致的，应以最新签署的为准。</w:t>
      </w:r>
      <w:r>
        <w:rPr>
          <w:rFonts w:hint="eastAsia" w:ascii="仿宋" w:hAnsi="仿宋" w:eastAsia="仿宋" w:cs="仿宋"/>
          <w:lang w:eastAsia="zh-CN"/>
        </w:rPr>
        <w:t>合同专用条款及其附件须经合同当事人签字并盖章。</w:t>
      </w:r>
    </w:p>
    <w:p w14:paraId="623CF417">
      <w:pPr>
        <w:widowControl w:val="0"/>
        <w:spacing w:line="400" w:lineRule="exact"/>
        <w:ind w:left="1680" w:leftChars="700"/>
        <w:rPr>
          <w:rFonts w:ascii="仿宋" w:hAnsi="仿宋" w:eastAsia="仿宋" w:cs="仿宋"/>
          <w:lang w:eastAsia="zh-CN" w:bidi="ar-SA"/>
        </w:rPr>
      </w:pPr>
      <w:r>
        <w:rPr>
          <w:rFonts w:hint="eastAsia" w:ascii="仿宋" w:hAnsi="仿宋" w:eastAsia="仿宋" w:cs="仿宋"/>
          <w:lang w:eastAsia="zh-CN" w:bidi="ar-SA"/>
        </w:rPr>
        <w:t>在合同订立及履行过程中形成的与合同有关的文件均构成合同文件组成部分，并根据其性质确定优先解释顺序。</w:t>
      </w:r>
    </w:p>
    <w:p w14:paraId="188D21C3">
      <w:pPr>
        <w:pStyle w:val="22"/>
        <w:tabs>
          <w:tab w:val="left" w:pos="1202"/>
        </w:tabs>
        <w:spacing w:line="400" w:lineRule="exact"/>
        <w:rPr>
          <w:rFonts w:ascii="仿宋" w:hAnsi="仿宋" w:eastAsia="仿宋"/>
          <w:b/>
          <w:bCs/>
          <w:sz w:val="24"/>
          <w:szCs w:val="24"/>
          <w:lang w:eastAsia="zh-CN"/>
        </w:rPr>
      </w:pPr>
      <w:bookmarkStart w:id="105" w:name="_Toc25289"/>
      <w:r>
        <w:rPr>
          <w:rFonts w:ascii="仿宋" w:hAnsi="仿宋" w:eastAsia="仿宋" w:cs="仿宋"/>
          <w:b/>
          <w:bCs/>
          <w:sz w:val="24"/>
          <w:szCs w:val="24"/>
          <w:lang w:eastAsia="zh-CN"/>
        </w:rPr>
        <w:t>2.3</w:t>
      </w:r>
      <w:bookmarkEnd w:id="105"/>
      <w:r>
        <w:rPr>
          <w:rFonts w:ascii="仿宋" w:hAnsi="仿宋" w:eastAsia="仿宋" w:cs="仿宋"/>
          <w:b/>
          <w:bCs/>
          <w:sz w:val="24"/>
          <w:szCs w:val="24"/>
          <w:lang w:eastAsia="zh-CN"/>
        </w:rPr>
        <w:t xml:space="preserve">  </w:t>
      </w:r>
      <w:r>
        <w:rPr>
          <w:rFonts w:ascii="仿宋" w:hAnsi="仿宋" w:eastAsia="仿宋" w:cs="仿宋"/>
          <w:b/>
          <w:bCs/>
          <w:sz w:val="24"/>
          <w:szCs w:val="24"/>
          <w:u w:val="dotted"/>
          <w:lang w:eastAsia="zh-CN"/>
        </w:rPr>
        <w:t xml:space="preserve">                                                                                </w:t>
      </w:r>
    </w:p>
    <w:p w14:paraId="6015FDA2">
      <w:pPr>
        <w:widowControl w:val="0"/>
        <w:spacing w:line="400" w:lineRule="exact"/>
        <w:ind w:left="1850" w:leftChars="771"/>
        <w:rPr>
          <w:rFonts w:ascii="仿宋" w:hAnsi="仿宋" w:eastAsia="仿宋"/>
          <w:lang w:eastAsia="zh-CN"/>
        </w:rPr>
      </w:pPr>
      <w: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0</wp:posOffset>
                </wp:positionV>
                <wp:extent cx="851535" cy="899160"/>
                <wp:effectExtent l="0" t="0" r="0" b="0"/>
                <wp:wrapNone/>
                <wp:docPr id="3" name="文本框 4"/>
                <wp:cNvGraphicFramePr/>
                <a:graphic xmlns:a="http://schemas.openxmlformats.org/drawingml/2006/main">
                  <a:graphicData uri="http://schemas.microsoft.com/office/word/2010/wordprocessingShape">
                    <wps:wsp>
                      <wps:cNvSpPr txBox="1"/>
                      <wps:spPr>
                        <a:xfrm>
                          <a:off x="0" y="0"/>
                          <a:ext cx="851535" cy="899160"/>
                        </a:xfrm>
                        <a:prstGeom prst="rect">
                          <a:avLst/>
                        </a:prstGeom>
                        <a:noFill/>
                        <a:ln w="12700">
                          <a:noFill/>
                        </a:ln>
                      </wps:spPr>
                      <wps:txbx>
                        <w:txbxContent>
                          <w:p w14:paraId="3611C954">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设计顾问人、监理人或造价咨询作人出解释</w:t>
                            </w:r>
                          </w:p>
                        </w:txbxContent>
                      </wps:txbx>
                      <wps:bodyPr rot="0" vert="horz" wrap="square" lIns="91440" tIns="45720" rIns="91440" bIns="45720" anchor="t" anchorCtr="0"/>
                    </wps:wsp>
                  </a:graphicData>
                </a:graphic>
              </wp:anchor>
            </w:drawing>
          </mc:Choice>
          <mc:Fallback>
            <w:pict>
              <v:shape id="文本框 4" o:spid="_x0000_s1026" o:spt="202" type="#_x0000_t202" style="position:absolute;left:0pt;margin-left:-9pt;margin-top:0pt;height:70.8pt;width:67.05pt;z-index:251661312;mso-width-relative:page;mso-height-relative:page;" filled="f" stroked="f" coordsize="21600,21600" o:gfxdata="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nF97etYA&#10;AAAIAQAADwAAAAAAAAABACAAAAAiAAAAZHJzL2Rvd25yZXYueG1sUEsBAhQAFAAAAAgAh07iQG5I&#10;ZZHoAQAAugMAAA4AAAAAAAAAAQAgAAAAJQEAAGRycy9lMm9Eb2MueG1sUEsFBgAAAAAGAAYAWQEA&#10;AH8FAAAAAA==&#10;">
                <v:fill on="f" focussize="0,0"/>
                <v:stroke on="f" weight="1pt"/>
                <v:imagedata o:title=""/>
                <o:lock v:ext="edit" aspectratio="f"/>
                <v:textbox>
                  <w:txbxContent>
                    <w:p w14:paraId="3611C954">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设计顾问人、监理人或造价咨询作人出解释</w:t>
                      </w:r>
                    </w:p>
                  </w:txbxContent>
                </v:textbox>
              </v:shape>
            </w:pict>
          </mc:Fallback>
        </mc:AlternateContent>
      </w:r>
      <w:r>
        <w:rPr>
          <w:rFonts w:hint="eastAsia" w:ascii="仿宋" w:hAnsi="仿宋" w:eastAsia="仿宋" w:cs="仿宋"/>
          <w:lang w:eastAsia="zh-CN"/>
        </w:rPr>
        <w:t>当合同文件内容出现含糊不清或不一致时，由合同双方当事人在不影响合同工程正常实施的情况下协商解决。协商不成的，由设计顾问人、监理人、造价咨询人分别按照第</w:t>
      </w:r>
      <w:r>
        <w:rPr>
          <w:rFonts w:ascii="仿宋" w:hAnsi="仿宋" w:eastAsia="仿宋" w:cs="仿宋"/>
          <w:lang w:eastAsia="zh-CN"/>
        </w:rPr>
        <w:t>2</w:t>
      </w:r>
      <w:r>
        <w:rPr>
          <w:rFonts w:hint="eastAsia" w:ascii="仿宋" w:hAnsi="仿宋" w:eastAsia="仿宋" w:cs="仿宋"/>
          <w:lang w:eastAsia="zh-CN"/>
        </w:rPr>
        <w:t>6</w:t>
      </w:r>
      <w:r>
        <w:rPr>
          <w:rFonts w:ascii="仿宋" w:hAnsi="仿宋" w:eastAsia="仿宋" w:cs="仿宋"/>
          <w:lang w:eastAsia="zh-CN"/>
        </w:rPr>
        <w:t>.2</w:t>
      </w:r>
      <w:r>
        <w:rPr>
          <w:rFonts w:hint="eastAsia" w:ascii="仿宋" w:hAnsi="仿宋" w:eastAsia="仿宋" w:cs="仿宋"/>
          <w:lang w:eastAsia="zh-CN"/>
        </w:rPr>
        <w:t>款、第</w:t>
      </w:r>
      <w:r>
        <w:rPr>
          <w:rFonts w:ascii="仿宋" w:hAnsi="仿宋" w:eastAsia="仿宋" w:cs="仿宋"/>
          <w:lang w:eastAsia="zh-CN"/>
        </w:rPr>
        <w:t>2</w:t>
      </w:r>
      <w:r>
        <w:rPr>
          <w:rFonts w:hint="eastAsia" w:ascii="仿宋" w:hAnsi="仿宋" w:eastAsia="仿宋" w:cs="仿宋"/>
          <w:lang w:eastAsia="zh-CN"/>
        </w:rPr>
        <w:t>7</w:t>
      </w:r>
      <w:r>
        <w:rPr>
          <w:rFonts w:ascii="仿宋" w:hAnsi="仿宋" w:eastAsia="仿宋" w:cs="仿宋"/>
          <w:lang w:eastAsia="zh-CN"/>
        </w:rPr>
        <w:t>.2</w:t>
      </w:r>
      <w:r>
        <w:rPr>
          <w:rFonts w:hint="eastAsia" w:ascii="仿宋" w:hAnsi="仿宋" w:eastAsia="仿宋" w:cs="仿宋"/>
          <w:lang w:eastAsia="zh-CN"/>
        </w:rPr>
        <w:t>款、第</w:t>
      </w:r>
      <w:r>
        <w:rPr>
          <w:rFonts w:ascii="仿宋" w:hAnsi="仿宋" w:eastAsia="仿宋" w:cs="仿宋"/>
          <w:lang w:eastAsia="zh-CN"/>
        </w:rPr>
        <w:t>2</w:t>
      </w:r>
      <w:r>
        <w:rPr>
          <w:rFonts w:hint="eastAsia" w:ascii="仿宋" w:hAnsi="仿宋" w:eastAsia="仿宋" w:cs="仿宋"/>
          <w:lang w:eastAsia="zh-CN"/>
        </w:rPr>
        <w:t>8</w:t>
      </w:r>
      <w:r>
        <w:rPr>
          <w:rFonts w:ascii="仿宋" w:hAnsi="仿宋" w:eastAsia="仿宋" w:cs="仿宋"/>
          <w:lang w:eastAsia="zh-CN"/>
        </w:rPr>
        <w:t>.2</w:t>
      </w:r>
      <w:r>
        <w:rPr>
          <w:rFonts w:hint="eastAsia" w:ascii="仿宋" w:hAnsi="仿宋" w:eastAsia="仿宋" w:cs="仿宋"/>
          <w:lang w:eastAsia="zh-CN"/>
        </w:rPr>
        <w:t>款约定职权作出解释。如合同任何一方当事人不同意设计顾问人、监理人或造价咨询人作出的解释，按照第91条约定处理。</w:t>
      </w:r>
    </w:p>
    <w:p w14:paraId="62B8786E">
      <w:pPr>
        <w:spacing w:line="400" w:lineRule="exact"/>
        <w:rPr>
          <w:rFonts w:ascii="仿宋" w:hAnsi="仿宋" w:eastAsia="仿宋"/>
          <w:b/>
          <w:bCs/>
          <w:u w:val="single"/>
          <w:lang w:eastAsia="zh-CN"/>
        </w:rPr>
      </w:pPr>
      <w:r>
        <w:rPr>
          <w:rFonts w:ascii="仿宋" w:hAnsi="仿宋" w:eastAsia="仿宋" w:cs="仿宋"/>
          <w:b/>
          <w:bCs/>
          <w:u w:val="single"/>
          <w:lang w:eastAsia="zh-CN"/>
        </w:rPr>
        <w:t xml:space="preserve">                                                                                     </w:t>
      </w:r>
    </w:p>
    <w:p w14:paraId="6AA878A5">
      <w:pPr>
        <w:pStyle w:val="4"/>
        <w:tabs>
          <w:tab w:val="left" w:pos="420"/>
        </w:tabs>
        <w:spacing w:before="0" w:after="0" w:line="400" w:lineRule="exact"/>
        <w:rPr>
          <w:rFonts w:ascii="仿宋" w:hAnsi="仿宋" w:eastAsia="仿宋"/>
          <w:bCs w:val="0"/>
          <w:sz w:val="24"/>
          <w:szCs w:val="24"/>
          <w:lang w:eastAsia="zh-CN"/>
        </w:rPr>
      </w:pPr>
      <w:bookmarkStart w:id="106" w:name="_Toc469383982"/>
      <w:bookmarkStart w:id="107" w:name="_Toc7592"/>
      <w:bookmarkStart w:id="108" w:name="_Toc31347"/>
      <w:bookmarkStart w:id="109" w:name="_Toc194073108"/>
      <w:bookmarkStart w:id="110" w:name="_Toc22926"/>
      <w:r>
        <w:rPr>
          <w:rFonts w:ascii="仿宋" w:hAnsi="仿宋" w:eastAsia="仿宋" w:cs="仿宋"/>
          <w:bCs w:val="0"/>
          <w:sz w:val="24"/>
          <w:szCs w:val="24"/>
          <w:lang w:eastAsia="zh-CN"/>
        </w:rPr>
        <w:t xml:space="preserve">3 </w:t>
      </w:r>
      <w:r>
        <w:rPr>
          <w:rFonts w:hint="eastAsia" w:ascii="仿宋" w:hAnsi="仿宋" w:eastAsia="仿宋" w:cs="仿宋"/>
          <w:bCs w:val="0"/>
          <w:sz w:val="24"/>
          <w:szCs w:val="24"/>
          <w:lang w:eastAsia="zh-CN"/>
        </w:rPr>
        <w:t>阅读、理解与接受</w:t>
      </w:r>
      <w:bookmarkEnd w:id="106"/>
      <w:bookmarkEnd w:id="107"/>
      <w:bookmarkEnd w:id="108"/>
      <w:bookmarkEnd w:id="109"/>
      <w:bookmarkEnd w:id="110"/>
    </w:p>
    <w:p w14:paraId="758FA2DC">
      <w:pPr>
        <w:tabs>
          <w:tab w:val="left" w:pos="1260"/>
        </w:tabs>
        <w:spacing w:line="400" w:lineRule="exact"/>
        <w:rPr>
          <w:rFonts w:ascii="仿宋" w:hAnsi="仿宋" w:eastAsia="仿宋"/>
          <w:b/>
          <w:bCs/>
          <w:lang w:eastAsia="zh-CN"/>
        </w:rPr>
      </w:pPr>
      <w:r>
        <w:rPr>
          <w:rFonts w:ascii="仿宋" w:hAnsi="仿宋" w:eastAsia="仿宋" w:cs="仿宋"/>
          <w:b/>
          <w:bCs/>
          <w:lang w:eastAsia="zh-CN"/>
        </w:rPr>
        <w:t>3.1</w:t>
      </w:r>
    </w:p>
    <w:p w14:paraId="662BA584">
      <w:pPr>
        <w:pStyle w:val="22"/>
        <w:widowControl w:val="0"/>
        <w:spacing w:line="400" w:lineRule="exact"/>
        <w:ind w:left="1850" w:leftChars="771"/>
        <w:jc w:val="both"/>
        <w:rPr>
          <w:rFonts w:ascii="仿宋" w:hAnsi="仿宋" w:eastAsia="仿宋"/>
          <w:sz w:val="24"/>
          <w:szCs w:val="24"/>
          <w:lang w:eastAsia="zh-CN"/>
        </w:rPr>
      </w:pPr>
      <w:r>
        <w:rPr>
          <w:rFonts w:ascii="仿宋" w:hAnsi="仿宋" w:eastAsia="仿宋" w:cs="仿宋"/>
          <w:sz w:val="24"/>
          <w:szCs w:val="24"/>
        </w:rP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0</wp:posOffset>
                </wp:positionV>
                <wp:extent cx="775970" cy="527050"/>
                <wp:effectExtent l="0" t="0" r="0" b="0"/>
                <wp:wrapNone/>
                <wp:docPr id="4" name="文本框 5"/>
                <wp:cNvGraphicFramePr/>
                <a:graphic xmlns:a="http://schemas.openxmlformats.org/drawingml/2006/main">
                  <a:graphicData uri="http://schemas.microsoft.com/office/word/2010/wordprocessingShape">
                    <wps:wsp>
                      <wps:cNvSpPr txBox="1"/>
                      <wps:spPr>
                        <a:xfrm>
                          <a:off x="0" y="0"/>
                          <a:ext cx="775970" cy="527050"/>
                        </a:xfrm>
                        <a:prstGeom prst="rect">
                          <a:avLst/>
                        </a:prstGeom>
                        <a:noFill/>
                        <a:ln w="12700">
                          <a:noFill/>
                        </a:ln>
                      </wps:spPr>
                      <wps:txbx>
                        <w:txbxContent>
                          <w:p w14:paraId="455CFBA1">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阅读、理解与接受</w:t>
                            </w:r>
                          </w:p>
                        </w:txbxContent>
                      </wps:txbx>
                      <wps:bodyPr rot="0" vert="horz" wrap="square" lIns="91440" tIns="45720" rIns="91440" bIns="45720" anchor="t" anchorCtr="0"/>
                    </wps:wsp>
                  </a:graphicData>
                </a:graphic>
              </wp:anchor>
            </w:drawing>
          </mc:Choice>
          <mc:Fallback>
            <w:pict>
              <v:shape id="文本框 5" o:spid="_x0000_s1026" o:spt="202" type="#_x0000_t202" style="position:absolute;left:0pt;margin-left:-9pt;margin-top:0pt;height:41.5pt;width:61.1pt;z-index:251662336;mso-width-relative:page;mso-height-relative:page;" filled="f" stroked="f" coordsize="21600,21600" o:gfxdata="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J9+6qNYAAAAH&#10;AQAADwAAAAAAAAABACAAAAAiAAAAZHJzL2Rvd25yZXYueG1sUEsBAhQAFAAAAAgAh07iQPFjaWfl&#10;AQAAugMAAA4AAAAAAAAAAQAgAAAAJQEAAGRycy9lMm9Eb2MueG1sUEsFBgAAAAAGAAYAWQEAAHwF&#10;AAAAAA==&#10;">
                <v:fill on="f" focussize="0,0"/>
                <v:stroke on="f" weight="1pt"/>
                <v:imagedata o:title=""/>
                <o:lock v:ext="edit" aspectratio="f"/>
                <v:textbox>
                  <w:txbxContent>
                    <w:p w14:paraId="455CFBA1">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阅读、理解与接受</w:t>
                      </w:r>
                    </w:p>
                  </w:txbxContent>
                </v:textbox>
              </v:shape>
            </w:pict>
          </mc:Fallback>
        </mc:AlternateContent>
      </w:r>
      <w:r>
        <w:rPr>
          <w:rFonts w:hint="eastAsia" w:ascii="仿宋" w:hAnsi="仿宋" w:eastAsia="仿宋" w:cs="仿宋"/>
          <w:sz w:val="24"/>
          <w:szCs w:val="24"/>
          <w:lang w:eastAsia="zh-CN"/>
        </w:rPr>
        <w:t>合同双方当事人应认真阅读和理解本合同的全部内容。除合同双方当事人同意修改外，本合同一旦订立，视为合同双方当事人已全面接受本合同的所有条款。</w:t>
      </w:r>
    </w:p>
    <w:p w14:paraId="4891B141">
      <w:pPr>
        <w:tabs>
          <w:tab w:val="left" w:pos="1260"/>
        </w:tabs>
        <w:spacing w:line="400" w:lineRule="exact"/>
        <w:rPr>
          <w:rFonts w:ascii="仿宋" w:hAnsi="仿宋" w:eastAsia="仿宋" w:cs="仿宋"/>
          <w:b/>
          <w:bCs/>
          <w:u w:val="dotted"/>
          <w:lang w:eastAsia="zh-CN"/>
        </w:rPr>
      </w:pPr>
      <w:bookmarkStart w:id="111" w:name="_Toc5121"/>
      <w:r>
        <w:rPr>
          <w:rFonts w:ascii="仿宋" w:hAnsi="仿宋" w:eastAsia="仿宋" w:cs="仿宋"/>
          <w:b/>
          <w:bCs/>
          <w:lang w:eastAsia="zh-CN"/>
        </w:rPr>
        <w:t>3.2</w:t>
      </w:r>
      <w:bookmarkEnd w:id="111"/>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2555091D">
      <w:pPr>
        <w:pStyle w:val="22"/>
        <w:widowControl w:val="0"/>
        <w:spacing w:line="400" w:lineRule="exact"/>
        <w:ind w:left="1850" w:leftChars="771"/>
        <w:jc w:val="both"/>
        <w:rPr>
          <w:rFonts w:ascii="仿宋" w:hAnsi="仿宋" w:eastAsia="仿宋"/>
          <w:sz w:val="24"/>
          <w:szCs w:val="24"/>
          <w:lang w:eastAsia="zh-CN"/>
        </w:rPr>
      </w:pPr>
      <w: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126365</wp:posOffset>
                </wp:positionV>
                <wp:extent cx="847725" cy="517525"/>
                <wp:effectExtent l="0" t="0" r="0" b="0"/>
                <wp:wrapNone/>
                <wp:docPr id="5" name="文本框 6"/>
                <wp:cNvGraphicFramePr/>
                <a:graphic xmlns:a="http://schemas.openxmlformats.org/drawingml/2006/main">
                  <a:graphicData uri="http://schemas.microsoft.com/office/word/2010/wordprocessingShape">
                    <wps:wsp>
                      <wps:cNvSpPr txBox="1"/>
                      <wps:spPr>
                        <a:xfrm>
                          <a:off x="0" y="0"/>
                          <a:ext cx="847725" cy="517525"/>
                        </a:xfrm>
                        <a:prstGeom prst="rect">
                          <a:avLst/>
                        </a:prstGeom>
                        <a:noFill/>
                        <a:ln w="12700">
                          <a:noFill/>
                        </a:ln>
                      </wps:spPr>
                      <wps:txbx>
                        <w:txbxContent>
                          <w:p w14:paraId="5FCA7860">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修改合同条款的限制</w:t>
                            </w:r>
                          </w:p>
                        </w:txbxContent>
                      </wps:txbx>
                      <wps:bodyPr rot="0" vert="horz" wrap="square" lIns="91440" tIns="45720" rIns="91440" bIns="45720" anchor="t" anchorCtr="0"/>
                    </wps:wsp>
                  </a:graphicData>
                </a:graphic>
              </wp:anchor>
            </w:drawing>
          </mc:Choice>
          <mc:Fallback>
            <w:pict>
              <v:shape id="文本框 6" o:spid="_x0000_s1026" o:spt="202" type="#_x0000_t202" style="position:absolute;left:0pt;margin-left:-9pt;margin-top:9.95pt;height:40.75pt;width:66.75pt;z-index:251663360;mso-width-relative:page;mso-height-relative:page;" filled="f" stroked="f" coordsize="21600,21600" o:gfxdata="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mRDKhNgA&#10;AAAKAQAADwAAAAAAAAABACAAAAAiAAAAZHJzL2Rvd25yZXYueG1sUEsBAhQAFAAAAAgAh07iQA8T&#10;D5rmAQAAugMAAA4AAAAAAAAAAQAgAAAAJwEAAGRycy9lMm9Eb2MueG1sUEsFBgAAAAAGAAYAWQEA&#10;AH8FAAAAAA==&#10;">
                <v:fill on="f" focussize="0,0"/>
                <v:stroke on="f" weight="1pt"/>
                <v:imagedata o:title=""/>
                <o:lock v:ext="edit" aspectratio="f"/>
                <v:textbox>
                  <w:txbxContent>
                    <w:p w14:paraId="5FCA7860">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修改合同条款的限制</w:t>
                      </w:r>
                    </w:p>
                  </w:txbxContent>
                </v:textbox>
              </v:shape>
            </w:pict>
          </mc:Fallback>
        </mc:AlternateContent>
      </w:r>
      <w:r>
        <w:rPr>
          <w:rFonts w:hint="eastAsia" w:ascii="仿宋" w:hAnsi="仿宋" w:eastAsia="仿宋" w:cs="仿宋"/>
          <w:sz w:val="24"/>
          <w:szCs w:val="24"/>
          <w:lang w:eastAsia="zh-CN"/>
        </w:rPr>
        <w:t>合同一方当事人违背本合同的承诺，要求另一方当事人接受对合同不公平修改,另一方当事人不接受的，应及时提出修正意见。经再次催告修正无效的情况下，不利一方当事人有权拒绝订立或单方解除本合同；给对方当事人造成损失的，责任方应予赔偿。</w:t>
      </w:r>
    </w:p>
    <w:p w14:paraId="589D7A81">
      <w:pPr>
        <w:pStyle w:val="22"/>
        <w:adjustRightInd w:val="0"/>
        <w:snapToGrid w:val="0"/>
        <w:spacing w:line="400" w:lineRule="exact"/>
        <w:rPr>
          <w:rFonts w:ascii="仿宋" w:hAnsi="仿宋" w:eastAsia="仿宋" w:cs="仿宋"/>
          <w:b/>
          <w:bCs/>
          <w:sz w:val="24"/>
          <w:szCs w:val="24"/>
          <w:u w:val="single"/>
          <w:lang w:eastAsia="zh-CN"/>
        </w:rPr>
      </w:pPr>
      <w:r>
        <w:rPr>
          <w:rFonts w:ascii="仿宋" w:hAnsi="仿宋" w:eastAsia="仿宋" w:cs="仿宋"/>
          <w:b/>
          <w:bCs/>
          <w:sz w:val="24"/>
          <w:szCs w:val="24"/>
          <w:u w:val="single"/>
          <w:lang w:eastAsia="zh-CN"/>
        </w:rPr>
        <w:t xml:space="preserve">                                                   </w:t>
      </w:r>
      <w:r>
        <w:rPr>
          <w:rFonts w:hint="eastAsia" w:ascii="仿宋" w:hAnsi="仿宋" w:eastAsia="仿宋" w:cs="仿宋"/>
          <w:b/>
          <w:bCs/>
          <w:sz w:val="24"/>
          <w:szCs w:val="24"/>
          <w:u w:val="single"/>
          <w:lang w:eastAsia="zh-CN"/>
        </w:rPr>
        <w:t xml:space="preserve">   </w:t>
      </w:r>
      <w:r>
        <w:rPr>
          <w:rFonts w:ascii="仿宋" w:hAnsi="仿宋" w:eastAsia="仿宋" w:cs="仿宋"/>
          <w:b/>
          <w:bCs/>
          <w:sz w:val="24"/>
          <w:szCs w:val="24"/>
          <w:u w:val="single"/>
          <w:lang w:eastAsia="zh-CN"/>
        </w:rPr>
        <w:t xml:space="preserve">                              </w:t>
      </w:r>
    </w:p>
    <w:p w14:paraId="7A81DE6D">
      <w:pPr>
        <w:pStyle w:val="4"/>
        <w:widowControl w:val="0"/>
        <w:tabs>
          <w:tab w:val="left" w:pos="420"/>
        </w:tabs>
        <w:spacing w:before="0" w:after="0" w:line="400" w:lineRule="exact"/>
        <w:rPr>
          <w:rFonts w:ascii="仿宋" w:hAnsi="仿宋" w:eastAsia="仿宋"/>
          <w:bCs w:val="0"/>
          <w:sz w:val="24"/>
          <w:szCs w:val="24"/>
          <w:lang w:eastAsia="zh-CN"/>
        </w:rPr>
      </w:pPr>
      <w:bookmarkStart w:id="112" w:name="_Toc194073109"/>
      <w:bookmarkStart w:id="113" w:name="_Toc3794"/>
      <w:bookmarkStart w:id="114" w:name="_Toc469383983"/>
      <w:bookmarkStart w:id="115" w:name="_Toc10779"/>
      <w:bookmarkStart w:id="116" w:name="_Toc21054"/>
      <w:r>
        <w:rPr>
          <w:rFonts w:ascii="仿宋" w:hAnsi="仿宋" w:eastAsia="仿宋" w:cs="仿宋"/>
          <w:bCs w:val="0"/>
          <w:sz w:val="24"/>
          <w:szCs w:val="24"/>
          <w:lang w:eastAsia="zh-CN"/>
        </w:rPr>
        <w:t xml:space="preserve">4 </w:t>
      </w:r>
      <w:r>
        <w:rPr>
          <w:rFonts w:hint="eastAsia" w:ascii="仿宋" w:hAnsi="仿宋" w:eastAsia="仿宋" w:cs="仿宋"/>
          <w:bCs w:val="0"/>
          <w:sz w:val="24"/>
          <w:szCs w:val="24"/>
          <w:lang w:eastAsia="zh-CN"/>
        </w:rPr>
        <w:t>语言及适用的法律、标准与规范</w:t>
      </w:r>
      <w:bookmarkEnd w:id="112"/>
      <w:bookmarkEnd w:id="113"/>
      <w:bookmarkEnd w:id="114"/>
      <w:bookmarkEnd w:id="115"/>
      <w:bookmarkEnd w:id="116"/>
    </w:p>
    <w:p w14:paraId="198EFB30">
      <w:pPr>
        <w:spacing w:line="400" w:lineRule="exact"/>
        <w:rPr>
          <w:rFonts w:ascii="仿宋" w:hAnsi="仿宋" w:eastAsia="仿宋"/>
          <w:b/>
          <w:bCs/>
          <w:lang w:eastAsia="zh-CN"/>
        </w:rPr>
      </w:pPr>
      <w:bookmarkStart w:id="117" w:name="_Toc12567"/>
      <w:r>
        <w:rPr>
          <w:rFonts w:ascii="仿宋" w:hAnsi="仿宋" w:eastAsia="仿宋" w:cs="仿宋"/>
          <w:b/>
          <w:bCs/>
          <w:lang w:eastAsia="zh-CN"/>
        </w:rPr>
        <w:t>4.1</w:t>
      </w:r>
      <w:bookmarkEnd w:id="117"/>
    </w:p>
    <w:p w14:paraId="08099F90">
      <w:pPr>
        <w:pStyle w:val="22"/>
        <w:widowControl w:val="0"/>
        <w:spacing w:line="400" w:lineRule="exact"/>
        <w:ind w:left="1850" w:leftChars="771"/>
        <w:jc w:val="both"/>
        <w:rPr>
          <w:rFonts w:ascii="仿宋" w:hAnsi="仿宋" w:eastAsia="仿宋" w:cs="仿宋"/>
          <w:sz w:val="24"/>
          <w:szCs w:val="24"/>
          <w:lang w:eastAsia="zh-CN" w:bidi="en-US"/>
        </w:rPr>
      </w:pPr>
      <w:r>
        <w:rPr>
          <w:rFonts w:hint="eastAsia" w:ascii="仿宋" w:hAnsi="仿宋" w:eastAsia="仿宋" w:cs="仿宋"/>
          <w:sz w:val="24"/>
          <w:szCs w:val="24"/>
          <w:lang w:bidi="en-US"/>
        </w:rPr>
        <mc:AlternateContent>
          <mc:Choice Requires="wps">
            <w:drawing>
              <wp:anchor distT="0" distB="0" distL="114300" distR="114300" simplePos="0" relativeHeight="251666432" behindDoc="0" locked="0" layoutInCell="1" allowOverlap="1">
                <wp:simplePos x="0" y="0"/>
                <wp:positionH relativeFrom="column">
                  <wp:posOffset>-133350</wp:posOffset>
                </wp:positionH>
                <wp:positionV relativeFrom="paragraph">
                  <wp:posOffset>63500</wp:posOffset>
                </wp:positionV>
                <wp:extent cx="647700" cy="287655"/>
                <wp:effectExtent l="0" t="0" r="0" b="0"/>
                <wp:wrapNone/>
                <wp:docPr id="6" name="文本框 416"/>
                <wp:cNvGraphicFramePr/>
                <a:graphic xmlns:a="http://schemas.openxmlformats.org/drawingml/2006/main">
                  <a:graphicData uri="http://schemas.microsoft.com/office/word/2010/wordprocessingShape">
                    <wps:wsp>
                      <wps:cNvSpPr txBox="1"/>
                      <wps:spPr>
                        <a:xfrm>
                          <a:off x="0" y="0"/>
                          <a:ext cx="647700" cy="287655"/>
                        </a:xfrm>
                        <a:prstGeom prst="rect">
                          <a:avLst/>
                        </a:prstGeom>
                        <a:noFill/>
                        <a:ln w="12700">
                          <a:noFill/>
                        </a:ln>
                      </wps:spPr>
                      <wps:txbx>
                        <w:txbxContent>
                          <w:p w14:paraId="56BB51B8">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语言文字</w:t>
                            </w:r>
                          </w:p>
                        </w:txbxContent>
                      </wps:txbx>
                      <wps:bodyPr rot="0" vert="horz" wrap="square" lIns="91440" tIns="45720" rIns="91440" bIns="45720" anchor="t" anchorCtr="0"/>
                    </wps:wsp>
                  </a:graphicData>
                </a:graphic>
              </wp:anchor>
            </w:drawing>
          </mc:Choice>
          <mc:Fallback>
            <w:pict>
              <v:shape id="文本框 416" o:spid="_x0000_s1026" o:spt="202" type="#_x0000_t202" style="position:absolute;left:0pt;margin-left:-10.5pt;margin-top:5pt;height:22.65pt;width:51pt;z-index:251666432;mso-width-relative:page;mso-height-relative:page;" filled="f" stroked="f" coordsize="21600,21600" o:gfxdata="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n6ujx1AAAAAgB&#10;AAAPAAAAAAAAAAEAIAAAACIAAABkcnMvZG93bnJldi54bWxQSwECFAAUAAAACACHTuJAFJ3KgOYB&#10;AAC8AwAADgAAAAAAAAABACAAAAAjAQAAZHJzL2Uyb0RvYy54bWxQSwUGAAAAAAYABgBZAQAAewUA&#10;AAAA&#10;">
                <v:fill on="f" focussize="0,0"/>
                <v:stroke on="f" weight="1pt"/>
                <v:imagedata o:title=""/>
                <o:lock v:ext="edit" aspectratio="f"/>
                <v:textbox>
                  <w:txbxContent>
                    <w:p w14:paraId="56BB51B8">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语言文字</w:t>
                      </w:r>
                    </w:p>
                  </w:txbxContent>
                </v:textbox>
              </v:shape>
            </w:pict>
          </mc:Fallback>
        </mc:AlternateContent>
      </w:r>
      <w:r>
        <w:rPr>
          <w:rFonts w:hint="eastAsia" w:ascii="仿宋" w:hAnsi="仿宋" w:eastAsia="仿宋" w:cs="仿宋"/>
          <w:sz w:val="24"/>
          <w:szCs w:val="24"/>
          <w:lang w:eastAsia="zh-CN" w:bidi="en-US"/>
        </w:rPr>
        <w:t>合同文件以中国的汉语简体语言文字编写、解释和说明。专用术语使用外文的，应附有中文注释。合同当事人在约定使用两种及以上语言时，汉语为优先解释和说明合同的语言。</w:t>
      </w:r>
    </w:p>
    <w:p w14:paraId="6AB26C9A">
      <w:pPr>
        <w:widowControl w:val="0"/>
        <w:tabs>
          <w:tab w:val="left" w:pos="4970"/>
        </w:tabs>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与合同有关的联络应使用约定的语言。如没有约定，则应使用中国的汉语简体语言文字。</w:t>
      </w:r>
    </w:p>
    <w:p w14:paraId="1A1D2835">
      <w:pPr>
        <w:spacing w:line="400" w:lineRule="exact"/>
        <w:rPr>
          <w:rFonts w:ascii="仿宋" w:hAnsi="仿宋" w:eastAsia="仿宋" w:cs="仿宋"/>
          <w:b/>
          <w:bCs/>
          <w:lang w:eastAsia="zh-CN"/>
        </w:rPr>
      </w:pPr>
      <w:bookmarkStart w:id="118" w:name="_Toc5003"/>
      <w:r>
        <w:rPr>
          <w:rFonts w:ascii="仿宋" w:hAnsi="仿宋" w:eastAsia="仿宋" w:cs="仿宋"/>
          <w:b/>
          <w:bCs/>
          <w:lang w:eastAsia="zh-CN"/>
        </w:rPr>
        <w:t>4.2</w:t>
      </w:r>
      <w:bookmarkEnd w:id="118"/>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066E63A8">
      <w:pPr>
        <w:widowControl w:val="0"/>
        <w:tabs>
          <w:tab w:val="left" w:pos="4970"/>
        </w:tabs>
        <w:spacing w:line="400" w:lineRule="exact"/>
        <w:ind w:left="1850" w:leftChars="771"/>
        <w:jc w:val="both"/>
        <w:rPr>
          <w:rFonts w:ascii="仿宋" w:hAnsi="仿宋" w:eastAsia="仿宋" w:cs="仿宋"/>
          <w:lang w:eastAsia="zh-CN"/>
        </w:rPr>
      </w:pPr>
      <w:r>
        <mc:AlternateContent>
          <mc:Choice Requires="wps">
            <w:drawing>
              <wp:anchor distT="0" distB="0" distL="114300" distR="114300" simplePos="0" relativeHeight="251664384" behindDoc="0" locked="0" layoutInCell="1" allowOverlap="1">
                <wp:simplePos x="0" y="0"/>
                <wp:positionH relativeFrom="column">
                  <wp:posOffset>-114300</wp:posOffset>
                </wp:positionH>
                <wp:positionV relativeFrom="paragraph">
                  <wp:posOffset>38100</wp:posOffset>
                </wp:positionV>
                <wp:extent cx="647700" cy="287655"/>
                <wp:effectExtent l="0" t="0" r="0" b="0"/>
                <wp:wrapNone/>
                <wp:docPr id="7" name="文本框 7"/>
                <wp:cNvGraphicFramePr/>
                <a:graphic xmlns:a="http://schemas.openxmlformats.org/drawingml/2006/main">
                  <a:graphicData uri="http://schemas.microsoft.com/office/word/2010/wordprocessingShape">
                    <wps:wsp>
                      <wps:cNvSpPr txBox="1"/>
                      <wps:spPr>
                        <a:xfrm>
                          <a:off x="0" y="0"/>
                          <a:ext cx="647700" cy="287655"/>
                        </a:xfrm>
                        <a:prstGeom prst="rect">
                          <a:avLst/>
                        </a:prstGeom>
                        <a:noFill/>
                        <a:ln w="12700">
                          <a:noFill/>
                        </a:ln>
                      </wps:spPr>
                      <wps:txbx>
                        <w:txbxContent>
                          <w:p w14:paraId="70F38F5C">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适用法律</w:t>
                            </w:r>
                          </w:p>
                        </w:txbxContent>
                      </wps:txbx>
                      <wps:bodyPr rot="0" vert="horz" wrap="square" lIns="91440" tIns="45720" rIns="91440" bIns="45720" anchor="t" anchorCtr="0"/>
                    </wps:wsp>
                  </a:graphicData>
                </a:graphic>
              </wp:anchor>
            </w:drawing>
          </mc:Choice>
          <mc:Fallback>
            <w:pict>
              <v:shape id="_x0000_s1026" o:spid="_x0000_s1026" o:spt="202" type="#_x0000_t202" style="position:absolute;left:0pt;margin-left:-9pt;margin-top:3pt;height:22.65pt;width:51pt;z-index:251664384;mso-width-relative:page;mso-height-relative:page;" filled="f" stroked="f" coordsize="21600,21600" o:gfxdata="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1n/tf1gAAAAcB&#10;AAAPAAAAAAAAAAEAIAAAACIAAABkcnMvZG93bnJldi54bWxQSwECFAAUAAAACACHTuJAWR4X8uQB&#10;AAC6AwAADgAAAAAAAAABACAAAAAlAQAAZHJzL2Uyb0RvYy54bWxQSwUGAAAAAAYABgBZAQAAewUA&#10;AAAA&#10;">
                <v:fill on="f" focussize="0,0"/>
                <v:stroke on="f" weight="1pt"/>
                <v:imagedata o:title=""/>
                <o:lock v:ext="edit" aspectratio="f"/>
                <v:textbox>
                  <w:txbxContent>
                    <w:p w14:paraId="70F38F5C">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适用法律</w:t>
                      </w:r>
                    </w:p>
                  </w:txbxContent>
                </v:textbox>
              </v:shape>
            </w:pict>
          </mc:Fallback>
        </mc:AlternateContent>
      </w:r>
      <w:r>
        <w:rPr>
          <w:rFonts w:hint="eastAsia" w:ascii="仿宋" w:hAnsi="仿宋" w:eastAsia="仿宋" w:cs="仿宋"/>
          <w:lang w:eastAsia="zh-CN"/>
        </w:rPr>
        <w:t>本合同适用的法律为中华人民共和国的现行法律、行政法规、部门规章和合同工程所在地的地方性法规、地方政府规章、行政规范性文件。</w:t>
      </w:r>
    </w:p>
    <w:p w14:paraId="79070184">
      <w:pPr>
        <w:widowControl w:val="0"/>
        <w:tabs>
          <w:tab w:val="left" w:pos="4970"/>
        </w:tabs>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合同当事人可以在合同专用条款中约定合同适用的其他规范性文件。</w:t>
      </w:r>
    </w:p>
    <w:p w14:paraId="7B3F24DC">
      <w:pPr>
        <w:spacing w:line="400" w:lineRule="exact"/>
        <w:rPr>
          <w:rFonts w:ascii="仿宋" w:hAnsi="仿宋" w:eastAsia="仿宋" w:cs="仿宋"/>
          <w:b/>
          <w:bCs/>
          <w:lang w:eastAsia="zh-CN"/>
        </w:rPr>
      </w:pPr>
      <w:bookmarkStart w:id="119" w:name="_Toc19514"/>
      <w:r>
        <w:rPr>
          <w:rFonts w:ascii="仿宋" w:hAnsi="仿宋" w:eastAsia="仿宋" w:cs="仿宋"/>
          <w:b/>
          <w:bCs/>
          <w:lang w:eastAsia="zh-CN"/>
        </w:rPr>
        <w:t>4.3</w:t>
      </w:r>
      <w:bookmarkEnd w:id="119"/>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21F4B329">
      <w:pPr>
        <w:widowControl w:val="0"/>
        <w:tabs>
          <w:tab w:val="left" w:pos="4970"/>
        </w:tabs>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665408" behindDoc="0" locked="0" layoutInCell="1" allowOverlap="1">
                <wp:simplePos x="0" y="0"/>
                <wp:positionH relativeFrom="column">
                  <wp:posOffset>-114300</wp:posOffset>
                </wp:positionH>
                <wp:positionV relativeFrom="paragraph">
                  <wp:posOffset>0</wp:posOffset>
                </wp:positionV>
                <wp:extent cx="828040" cy="382270"/>
                <wp:effectExtent l="0" t="0" r="0" b="0"/>
                <wp:wrapNone/>
                <wp:docPr id="8" name="文本框 8"/>
                <wp:cNvGraphicFramePr/>
                <a:graphic xmlns:a="http://schemas.openxmlformats.org/drawingml/2006/main">
                  <a:graphicData uri="http://schemas.microsoft.com/office/word/2010/wordprocessingShape">
                    <wps:wsp>
                      <wps:cNvSpPr txBox="1"/>
                      <wps:spPr>
                        <a:xfrm>
                          <a:off x="0" y="0"/>
                          <a:ext cx="828040" cy="382270"/>
                        </a:xfrm>
                        <a:prstGeom prst="rect">
                          <a:avLst/>
                        </a:prstGeom>
                        <a:noFill/>
                        <a:ln w="12700">
                          <a:noFill/>
                        </a:ln>
                      </wps:spPr>
                      <wps:txbx>
                        <w:txbxContent>
                          <w:p w14:paraId="0E32B705">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适用标准与规范</w:t>
                            </w:r>
                          </w:p>
                        </w:txbxContent>
                      </wps:txbx>
                      <wps:bodyPr rot="0" vert="horz" wrap="square" lIns="91440" tIns="45720" rIns="91440" bIns="45720" anchor="t" anchorCtr="0"/>
                    </wps:wsp>
                  </a:graphicData>
                </a:graphic>
              </wp:anchor>
            </w:drawing>
          </mc:Choice>
          <mc:Fallback>
            <w:pict>
              <v:shape id="_x0000_s1026" o:spid="_x0000_s1026" o:spt="202" type="#_x0000_t202" style="position:absolute;left:0pt;margin-left:-9pt;margin-top:0pt;height:30.1pt;width:65.2pt;z-index:251665408;mso-width-relative:page;mso-height-relative:page;" filled="f" stroked="f" coordsize="21600,21600" o:gfxdata="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RKKetYAAAAH&#10;AQAADwAAAAAAAAABACAAAAAiAAAAZHJzL2Rvd25yZXYueG1sUEsBAhQAFAAAAAgAh07iQF/rmBDl&#10;AQAAugMAAA4AAAAAAAAAAQAgAAAAJQEAAGRycy9lMm9Eb2MueG1sUEsFBgAAAAAGAAYAWQEAAHwF&#10;AAAAAA==&#10;">
                <v:fill on="f" focussize="0,0"/>
                <v:stroke on="f" weight="1pt"/>
                <v:imagedata o:title=""/>
                <o:lock v:ext="edit" aspectratio="f"/>
                <v:textbox>
                  <w:txbxContent>
                    <w:p w14:paraId="0E32B705">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适用标准与规范</w:t>
                      </w:r>
                    </w:p>
                  </w:txbxContent>
                </v:textbox>
              </v:shape>
            </w:pict>
          </mc:Fallback>
        </mc:AlternateContent>
      </w:r>
      <w:r>
        <w:rPr>
          <w:rFonts w:hint="eastAsia" w:ascii="仿宋" w:hAnsi="仿宋" w:eastAsia="仿宋" w:cs="仿宋"/>
          <w:lang w:eastAsia="zh-CN"/>
        </w:rPr>
        <w:t>4.3.1 本合同适用的标准与规范为国家、行业和广东省的标准与规范或规程，以及发包人在合同中要求使用的标准与规范。</w:t>
      </w:r>
    </w:p>
    <w:p w14:paraId="5E44FD83">
      <w:pPr>
        <w:widowControl w:val="0"/>
        <w:tabs>
          <w:tab w:val="left" w:pos="4970"/>
        </w:tabs>
        <w:spacing w:line="400" w:lineRule="exact"/>
        <w:ind w:left="1850" w:leftChars="771"/>
        <w:jc w:val="both"/>
        <w:rPr>
          <w:rFonts w:ascii="仿宋" w:hAnsi="仿宋" w:eastAsia="仿宋"/>
          <w:lang w:eastAsia="zh-CN"/>
        </w:rPr>
      </w:pPr>
      <w:r>
        <w:rPr>
          <w:rFonts w:hint="eastAsia" w:ascii="仿宋" w:hAnsi="仿宋" w:eastAsia="仿宋" w:cs="仿宋"/>
          <w:lang w:eastAsia="zh-CN"/>
        </w:rPr>
        <w:t>4.3.2  合同双方当事人在专用条款中约定适用的国家标准、规范名称；国家没有但行业有的，约定适用的行业标准、规范名称；国家和行业没有但广东省有的，约定适用的广东省地方标准、规范名称。</w:t>
      </w:r>
    </w:p>
    <w:p w14:paraId="7D435244">
      <w:pPr>
        <w:widowControl w:val="0"/>
        <w:tabs>
          <w:tab w:val="left" w:pos="4970"/>
        </w:tabs>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4.3.3 国内没有适用的标准、规范的，由发包人在招标文件中或在承包人投标报价前提出技术要求，承包人在自主报价时按照要求提供具体的技术标准或施工工艺，经发包人确认后执行。发包人要求使用国外标准、规范的，应负责提供中文译本；有异议时，以中文译本为准。</w:t>
      </w:r>
    </w:p>
    <w:p w14:paraId="506D8104">
      <w:pPr>
        <w:widowControl w:val="0"/>
        <w:tabs>
          <w:tab w:val="left" w:pos="4970"/>
        </w:tabs>
        <w:spacing w:line="400" w:lineRule="exact"/>
        <w:ind w:left="1850" w:leftChars="771"/>
        <w:jc w:val="both"/>
        <w:rPr>
          <w:rFonts w:ascii="仿宋" w:hAnsi="仿宋" w:eastAsia="仿宋"/>
          <w:lang w:eastAsia="zh-CN"/>
        </w:rPr>
      </w:pPr>
      <w:r>
        <w:rPr>
          <w:rFonts w:hint="eastAsia" w:ascii="仿宋" w:hAnsi="仿宋" w:eastAsia="仿宋" w:cs="仿宋"/>
          <w:lang w:eastAsia="zh-CN"/>
        </w:rPr>
        <w:t>4.3.4  在基准日期之后，因国家颁布新的强制性标准、规范导致承包人的费用增加的，应由发包人与承包人协商合理增加合同价格；导致关键路径工期延误的，应由发包人与承包人协商合理延长工期。</w:t>
      </w:r>
    </w:p>
    <w:p w14:paraId="704F9E34">
      <w:pPr>
        <w:spacing w:line="400" w:lineRule="exact"/>
        <w:rPr>
          <w:rFonts w:ascii="仿宋" w:hAnsi="仿宋" w:eastAsia="仿宋" w:cs="仿宋"/>
          <w:b/>
          <w:bCs/>
          <w:u w:val="single"/>
          <w:lang w:eastAsia="zh-CN"/>
        </w:rPr>
      </w:pPr>
      <w:r>
        <w:rPr>
          <w:rFonts w:ascii="仿宋" w:hAnsi="仿宋" w:eastAsia="仿宋" w:cs="仿宋"/>
          <w:b/>
          <w:bCs/>
          <w:u w:val="single"/>
          <w:lang w:eastAsia="zh-CN"/>
        </w:rPr>
        <w:t xml:space="preserve">                                                            </w:t>
      </w:r>
      <w:r>
        <w:rPr>
          <w:rFonts w:hint="eastAsia" w:ascii="仿宋" w:hAnsi="仿宋" w:eastAsia="仿宋" w:cs="仿宋"/>
          <w:b/>
          <w:bCs/>
          <w:u w:val="single"/>
          <w:lang w:eastAsia="zh-CN"/>
        </w:rPr>
        <w:t xml:space="preserve">      </w:t>
      </w:r>
      <w:r>
        <w:rPr>
          <w:rFonts w:ascii="仿宋" w:hAnsi="仿宋" w:eastAsia="仿宋" w:cs="仿宋"/>
          <w:b/>
          <w:bCs/>
          <w:u w:val="single"/>
          <w:lang w:eastAsia="zh-CN"/>
        </w:rPr>
        <w:t xml:space="preserve">                  </w:t>
      </w:r>
    </w:p>
    <w:p w14:paraId="7FFBE962">
      <w:pPr>
        <w:pStyle w:val="4"/>
        <w:tabs>
          <w:tab w:val="left" w:pos="420"/>
        </w:tabs>
        <w:spacing w:before="0" w:after="0" w:line="400" w:lineRule="exact"/>
        <w:rPr>
          <w:rFonts w:ascii="仿宋" w:hAnsi="仿宋" w:eastAsia="仿宋" w:cs="仿宋"/>
          <w:bCs w:val="0"/>
          <w:sz w:val="24"/>
          <w:szCs w:val="24"/>
          <w:lang w:eastAsia="zh-CN"/>
        </w:rPr>
      </w:pPr>
      <w:bookmarkStart w:id="120" w:name="_Toc21243"/>
      <w:bookmarkStart w:id="121" w:name="_Toc31289"/>
      <w:bookmarkStart w:id="122" w:name="_Toc194073110"/>
      <w:bookmarkStart w:id="123" w:name="_Toc19765"/>
      <w:r>
        <w:rPr>
          <w:rFonts w:hint="eastAsia" w:ascii="仿宋" w:hAnsi="仿宋" w:eastAsia="仿宋" w:cs="仿宋"/>
          <w:bCs w:val="0"/>
          <w:sz w:val="24"/>
          <w:szCs w:val="24"/>
          <w:lang w:eastAsia="zh-CN"/>
        </w:rPr>
        <w:t>5 发包人要求</w:t>
      </w:r>
      <w:bookmarkEnd w:id="120"/>
      <w:bookmarkEnd w:id="121"/>
      <w:bookmarkEnd w:id="122"/>
      <w:bookmarkEnd w:id="123"/>
    </w:p>
    <w:p w14:paraId="69276A56">
      <w:pPr>
        <w:spacing w:line="400" w:lineRule="exact"/>
        <w:rPr>
          <w:rFonts w:ascii="仿宋" w:hAnsi="仿宋" w:eastAsia="仿宋"/>
          <w:b/>
          <w:lang w:eastAsia="zh-CN"/>
        </w:rPr>
      </w:pPr>
      <w:bookmarkStart w:id="124" w:name="_Toc14222"/>
      <w:r>
        <w:rPr>
          <w:rFonts w:hint="eastAsia" w:ascii="仿宋" w:hAnsi="仿宋" w:eastAsia="仿宋"/>
          <w:b/>
          <w:lang w:eastAsia="zh-CN"/>
        </w:rPr>
        <w:t>5.1</w:t>
      </w:r>
      <w:bookmarkEnd w:id="124"/>
    </w:p>
    <w:p w14:paraId="0DB76BA2">
      <w:pPr>
        <w:widowControl w:val="0"/>
        <w:tabs>
          <w:tab w:val="left" w:pos="4970"/>
        </w:tabs>
        <w:spacing w:line="400" w:lineRule="exact"/>
        <w:ind w:left="1850" w:leftChars="771"/>
        <w:jc w:val="both"/>
        <w:rPr>
          <w:rFonts w:ascii="仿宋" w:hAnsi="仿宋" w:eastAsia="仿宋" w:cs="仿宋"/>
          <w:lang w:eastAsia="zh-CN" w:bidi="ar-SA"/>
        </w:rPr>
      </w:pPr>
      <w:r>
        <w:rPr>
          <w:rFonts w:ascii="仿宋" w:hAnsi="仿宋" w:eastAsia="仿宋" w:cs="仿宋"/>
        </w:rPr>
        <mc:AlternateContent>
          <mc:Choice Requires="wps">
            <w:drawing>
              <wp:anchor distT="0" distB="0" distL="114300" distR="114300" simplePos="0" relativeHeight="252087296" behindDoc="0" locked="0" layoutInCell="1" allowOverlap="1">
                <wp:simplePos x="0" y="0"/>
                <wp:positionH relativeFrom="column">
                  <wp:posOffset>-114300</wp:posOffset>
                </wp:positionH>
                <wp:positionV relativeFrom="paragraph">
                  <wp:posOffset>20320</wp:posOffset>
                </wp:positionV>
                <wp:extent cx="756920" cy="587375"/>
                <wp:effectExtent l="0" t="0" r="0" b="0"/>
                <wp:wrapNone/>
                <wp:docPr id="9" name="文本框 9"/>
                <wp:cNvGraphicFramePr/>
                <a:graphic xmlns:a="http://schemas.openxmlformats.org/drawingml/2006/main">
                  <a:graphicData uri="http://schemas.microsoft.com/office/word/2010/wordprocessingShape">
                    <wps:wsp>
                      <wps:cNvSpPr txBox="1"/>
                      <wps:spPr>
                        <a:xfrm>
                          <a:off x="0" y="0"/>
                          <a:ext cx="756920" cy="587375"/>
                        </a:xfrm>
                        <a:prstGeom prst="rect">
                          <a:avLst/>
                        </a:prstGeom>
                        <a:noFill/>
                        <a:ln w="12700">
                          <a:noFill/>
                        </a:ln>
                      </wps:spPr>
                      <wps:txbx>
                        <w:txbxContent>
                          <w:p w14:paraId="0452DA1E">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发包人要求的提供</w:t>
                            </w:r>
                          </w:p>
                        </w:txbxContent>
                      </wps:txbx>
                      <wps:bodyPr rot="0" vert="horz" wrap="square" lIns="91440" tIns="45720" rIns="91440" bIns="45720" anchor="t" anchorCtr="0"/>
                    </wps:wsp>
                  </a:graphicData>
                </a:graphic>
              </wp:anchor>
            </w:drawing>
          </mc:Choice>
          <mc:Fallback>
            <w:pict>
              <v:shape id="_x0000_s1026" o:spid="_x0000_s1026" o:spt="202" type="#_x0000_t202" style="position:absolute;left:0pt;margin-left:-9pt;margin-top:1.6pt;height:46.25pt;width:59.6pt;z-index:252087296;mso-width-relative:page;mso-height-relative:page;" filled="f" stroked="f" coordsize="21600,21600" o:gfxdata="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4ieRZNcA&#10;AAAIAQAADwAAAAAAAAABACAAAAAiAAAAZHJzL2Rvd25yZXYueG1sUEsBAhQAFAAAAAgAh07iQJ2R&#10;seHnAQAAugMAAA4AAAAAAAAAAQAgAAAAJgEAAGRycy9lMm9Eb2MueG1sUEsFBgAAAAAGAAYAWQEA&#10;AH8FAAAAAA==&#10;">
                <v:fill on="f" focussize="0,0"/>
                <v:stroke on="f" weight="1pt"/>
                <v:imagedata o:title=""/>
                <o:lock v:ext="edit" aspectratio="f"/>
                <v:textbox>
                  <w:txbxContent>
                    <w:p w14:paraId="0452DA1E">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发包人要求的提供</w:t>
                      </w:r>
                    </w:p>
                  </w:txbxContent>
                </v:textbox>
              </v:shape>
            </w:pict>
          </mc:Fallback>
        </mc:AlternateContent>
      </w:r>
      <w:r>
        <w:rPr>
          <w:rFonts w:hint="eastAsia" w:ascii="仿宋" w:hAnsi="仿宋" w:eastAsia="仿宋" w:cs="仿宋"/>
          <w:lang w:eastAsia="zh-CN"/>
        </w:rPr>
        <w:t>发包人</w:t>
      </w:r>
      <w:r>
        <w:rPr>
          <w:rFonts w:hint="eastAsia" w:ascii="仿宋" w:hAnsi="仿宋" w:eastAsia="仿宋" w:cs="仿宋"/>
          <w:lang w:eastAsia="zh-CN" w:bidi="ar-SA"/>
        </w:rPr>
        <w:t>（或其委托设计顾问人）应按</w:t>
      </w:r>
      <w:r>
        <w:rPr>
          <w:rFonts w:hint="eastAsia" w:ascii="仿宋" w:hAnsi="仿宋" w:eastAsia="仿宋" w:cs="仿宋"/>
          <w:lang w:eastAsia="zh-CN"/>
        </w:rPr>
        <w:t>专用条款约定的时间提供书面文件，分别明确勘察、设计、BIM技术应用、采购、施工等合同约定工作的范围、内容、标准、规范及具体要求。因发包人未按时提供该书面文件，承包人无法按时开展总承包各阶段工作造成合同总工期延误及费用增加，由发包人</w:t>
      </w:r>
      <w:r>
        <w:rPr>
          <w:rFonts w:hint="eastAsia" w:ascii="仿宋" w:hAnsi="仿宋" w:eastAsia="仿宋" w:cs="仿宋"/>
          <w:lang w:eastAsia="zh-CN" w:bidi="ar-SA"/>
        </w:rPr>
        <w:t>承担责任，按第43.3款约定处理。</w:t>
      </w:r>
    </w:p>
    <w:p w14:paraId="1F59E1C2">
      <w:pPr>
        <w:spacing w:line="400" w:lineRule="exact"/>
        <w:rPr>
          <w:rFonts w:ascii="仿宋" w:hAnsi="仿宋" w:eastAsia="仿宋"/>
          <w:b/>
          <w:lang w:eastAsia="zh-CN"/>
        </w:rPr>
      </w:pPr>
      <w:bookmarkStart w:id="125" w:name="_Toc26954"/>
      <w:r>
        <w:rPr>
          <w:rFonts w:hint="eastAsia" w:ascii="仿宋" w:hAnsi="仿宋" w:eastAsia="仿宋"/>
          <w:b/>
          <w:lang w:eastAsia="zh-CN"/>
        </w:rPr>
        <w:t>5.2</w:t>
      </w:r>
      <w:bookmarkEnd w:id="125"/>
      <w:r>
        <w:rPr>
          <w:rFonts w:ascii="仿宋" w:hAnsi="仿宋" w:eastAsia="仿宋"/>
          <w:b/>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0DBD630E">
      <w:pPr>
        <w:widowControl w:val="0"/>
        <w:tabs>
          <w:tab w:val="left" w:pos="4970"/>
        </w:tabs>
        <w:spacing w:line="400" w:lineRule="exact"/>
        <w:ind w:left="1850" w:leftChars="771"/>
        <w:jc w:val="both"/>
        <w:rPr>
          <w:rFonts w:ascii="仿宋" w:hAnsi="仿宋" w:eastAsia="仿宋"/>
          <w:lang w:eastAsia="zh-CN"/>
        </w:rPr>
      </w:pPr>
      <w:r>
        <w:rPr>
          <w:rFonts w:hint="eastAsia" w:ascii="仿宋" w:hAnsi="仿宋" w:eastAsia="仿宋"/>
        </w:rPr>
        <mc:AlternateContent>
          <mc:Choice Requires="wps">
            <w:drawing>
              <wp:anchor distT="0" distB="0" distL="114300" distR="114300" simplePos="0" relativeHeight="252088320" behindDoc="0" locked="0" layoutInCell="1" allowOverlap="1">
                <wp:simplePos x="0" y="0"/>
                <wp:positionH relativeFrom="column">
                  <wp:posOffset>-132715</wp:posOffset>
                </wp:positionH>
                <wp:positionV relativeFrom="paragraph">
                  <wp:posOffset>49530</wp:posOffset>
                </wp:positionV>
                <wp:extent cx="765810" cy="511810"/>
                <wp:effectExtent l="0" t="0" r="0" b="0"/>
                <wp:wrapNone/>
                <wp:docPr id="10" name="文本框 9"/>
                <wp:cNvGraphicFramePr/>
                <a:graphic xmlns:a="http://schemas.openxmlformats.org/drawingml/2006/main">
                  <a:graphicData uri="http://schemas.microsoft.com/office/word/2010/wordprocessingShape">
                    <wps:wsp>
                      <wps:cNvSpPr txBox="1"/>
                      <wps:spPr>
                        <a:xfrm>
                          <a:off x="0" y="0"/>
                          <a:ext cx="765810" cy="511810"/>
                        </a:xfrm>
                        <a:prstGeom prst="rect">
                          <a:avLst/>
                        </a:prstGeom>
                        <a:noFill/>
                        <a:ln w="12700">
                          <a:noFill/>
                        </a:ln>
                      </wps:spPr>
                      <wps:txbx>
                        <w:txbxContent>
                          <w:p w14:paraId="2505CAA9">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勘察的一般要求</w:t>
                            </w:r>
                          </w:p>
                        </w:txbxContent>
                      </wps:txbx>
                      <wps:bodyPr rot="0" vert="horz" wrap="square" lIns="91440" tIns="45720" rIns="91440" bIns="45720" anchor="t" anchorCtr="0"/>
                    </wps:wsp>
                  </a:graphicData>
                </a:graphic>
              </wp:anchor>
            </w:drawing>
          </mc:Choice>
          <mc:Fallback>
            <w:pict>
              <v:shape id="文本框 9" o:spid="_x0000_s1026" o:spt="202" type="#_x0000_t202" style="position:absolute;left:0pt;margin-left:-10.45pt;margin-top:3.9pt;height:40.3pt;width:60.3pt;z-index:252088320;mso-width-relative:page;mso-height-relative:page;" filled="f" stroked="f" coordsize="21600,21600" o:gfxdata="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OOVQi1gAAAAcB&#10;AAAPAAAAAAAAAAEAIAAAACIAAABkcnMvZG93bnJldi54bWxQSwECFAAUAAAACACHTuJA9cPxZuQB&#10;AAC7AwAADgAAAAAAAAABACAAAAAlAQAAZHJzL2Uyb0RvYy54bWxQSwUGAAAAAAYABgBZAQAAewUA&#10;AAAA&#10;">
                <v:fill on="f" focussize="0,0"/>
                <v:stroke on="f" weight="1pt"/>
                <v:imagedata o:title=""/>
                <o:lock v:ext="edit" aspectratio="f"/>
                <v:textbox>
                  <w:txbxContent>
                    <w:p w14:paraId="2505CAA9">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勘察的一般要求</w:t>
                      </w:r>
                    </w:p>
                  </w:txbxContent>
                </v:textbox>
              </v:shape>
            </w:pict>
          </mc:Fallback>
        </mc:AlternateContent>
      </w:r>
      <w:r>
        <w:rPr>
          <w:rFonts w:hint="eastAsia" w:ascii="仿宋" w:hAnsi="仿宋" w:eastAsia="仿宋"/>
          <w:lang w:eastAsia="zh-CN"/>
        </w:rPr>
        <w:t>5.2.1 承包人应被视为其已于基准日期前仔细审阅了发包人的勘察要求（包括标准、规范和相关数据，如果有），承包人应对发包人的勘察要求进行核实，并对发包人勘察要求的正确性和（或）完整性负责。但下述情况的正确性和（或）完整性，应由发包人负责：</w:t>
      </w:r>
    </w:p>
    <w:p w14:paraId="4FE86D2A">
      <w:pPr>
        <w:widowControl w:val="0"/>
        <w:tabs>
          <w:tab w:val="left" w:pos="4970"/>
        </w:tabs>
        <w:spacing w:line="400" w:lineRule="exact"/>
        <w:ind w:left="1850" w:leftChars="771"/>
        <w:jc w:val="both"/>
        <w:rPr>
          <w:rFonts w:ascii="仿宋" w:hAnsi="仿宋" w:eastAsia="仿宋"/>
          <w:lang w:eastAsia="zh-CN"/>
        </w:rPr>
      </w:pPr>
      <w:r>
        <w:rPr>
          <w:rFonts w:hint="eastAsia" w:ascii="仿宋" w:hAnsi="仿宋" w:eastAsia="仿宋"/>
          <w:lang w:eastAsia="zh-CN"/>
        </w:rPr>
        <w:t>（1）承包人不能或无法核实的部分要求、数据和（或）资料；</w:t>
      </w:r>
    </w:p>
    <w:p w14:paraId="48765500">
      <w:pPr>
        <w:widowControl w:val="0"/>
        <w:tabs>
          <w:tab w:val="left" w:pos="4970"/>
        </w:tabs>
        <w:spacing w:line="400" w:lineRule="exact"/>
        <w:ind w:left="1850" w:leftChars="771"/>
        <w:jc w:val="both"/>
        <w:rPr>
          <w:rFonts w:ascii="仿宋" w:hAnsi="仿宋" w:eastAsia="仿宋"/>
          <w:lang w:eastAsia="zh-CN"/>
        </w:rPr>
      </w:pPr>
      <w:r>
        <w:rPr>
          <w:rFonts w:hint="eastAsia" w:ascii="仿宋" w:hAnsi="仿宋" w:eastAsia="仿宋"/>
          <w:lang w:eastAsia="zh-CN"/>
        </w:rPr>
        <w:t>（2）专用条款约定不可变更的部分要求、数据和（或）资料。</w:t>
      </w:r>
    </w:p>
    <w:p w14:paraId="6AEEEED8">
      <w:pPr>
        <w:widowControl w:val="0"/>
        <w:tabs>
          <w:tab w:val="left" w:pos="4970"/>
        </w:tabs>
        <w:spacing w:line="400" w:lineRule="exact"/>
        <w:ind w:left="1850" w:leftChars="771"/>
        <w:jc w:val="both"/>
        <w:rPr>
          <w:rFonts w:ascii="仿宋" w:hAnsi="仿宋" w:eastAsia="仿宋"/>
          <w:lang w:eastAsia="zh-CN"/>
        </w:rPr>
      </w:pPr>
      <w:r>
        <w:rPr>
          <w:rFonts w:hint="eastAsia" w:ascii="仿宋" w:hAnsi="仿宋" w:eastAsia="仿宋"/>
          <w:lang w:eastAsia="zh-CN"/>
        </w:rPr>
        <w:t>5.2.2因承包人勘察工作缺陷影响后续设计或施工的，承包人应及时完善勘察工作及成果，因此对勘察及后续设计和（或）施工等阶段工作造成的工期延误及费用增加由承包人承担。</w:t>
      </w:r>
    </w:p>
    <w:p w14:paraId="0B617054">
      <w:pPr>
        <w:widowControl w:val="0"/>
        <w:tabs>
          <w:tab w:val="left" w:pos="4970"/>
        </w:tabs>
        <w:spacing w:line="400" w:lineRule="exact"/>
        <w:ind w:left="1850" w:leftChars="771"/>
        <w:jc w:val="both"/>
        <w:rPr>
          <w:rFonts w:ascii="仿宋" w:hAnsi="仿宋" w:eastAsia="仿宋"/>
          <w:lang w:eastAsia="zh-CN"/>
        </w:rPr>
      </w:pPr>
      <w:r>
        <w:rPr>
          <w:rFonts w:hint="eastAsia" w:ascii="仿宋" w:hAnsi="仿宋" w:eastAsia="仿宋"/>
          <w:lang w:eastAsia="zh-CN"/>
        </w:rPr>
        <w:t>5.2.3 因承包人自身原因造成的勘察及后续设计和（或）施工等阶段工期延误及费用增加，由承包人承担。</w:t>
      </w:r>
    </w:p>
    <w:p w14:paraId="667AA602">
      <w:pPr>
        <w:spacing w:line="400" w:lineRule="exact"/>
        <w:rPr>
          <w:lang w:eastAsia="zh-CN"/>
        </w:rPr>
      </w:pPr>
      <w:bookmarkStart w:id="126" w:name="_Toc6094"/>
      <w:r>
        <w:rPr>
          <w:rFonts w:hint="eastAsia" w:ascii="仿宋" w:hAnsi="仿宋" w:eastAsia="仿宋"/>
          <w:b/>
          <w:lang w:eastAsia="zh-CN"/>
        </w:rPr>
        <w:t>5.3</w:t>
      </w:r>
      <w:bookmarkEnd w:id="126"/>
      <w:r>
        <w:rPr>
          <w:rFonts w:ascii="仿宋" w:hAnsi="仿宋" w:eastAsia="仿宋"/>
          <w:b/>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23F19495">
      <w:pPr>
        <w:widowControl w:val="0"/>
        <w:tabs>
          <w:tab w:val="left" w:pos="4970"/>
        </w:tabs>
        <w:spacing w:line="400" w:lineRule="exact"/>
        <w:ind w:left="1850" w:leftChars="771"/>
        <w:jc w:val="both"/>
        <w:rPr>
          <w:rFonts w:ascii="仿宋" w:hAnsi="仿宋" w:eastAsia="仿宋"/>
          <w:lang w:eastAsia="zh-CN"/>
        </w:rPr>
      </w:pPr>
      <w:r>
        <w:rPr>
          <w:rFonts w:hint="eastAsia" w:ascii="仿宋" w:hAnsi="仿宋" w:eastAsia="仿宋"/>
        </w:rPr>
        <mc:AlternateContent>
          <mc:Choice Requires="wps">
            <w:drawing>
              <wp:anchor distT="0" distB="0" distL="114300" distR="114300" simplePos="0" relativeHeight="251667456" behindDoc="0" locked="0" layoutInCell="1" allowOverlap="1">
                <wp:simplePos x="0" y="0"/>
                <wp:positionH relativeFrom="column">
                  <wp:posOffset>-66675</wp:posOffset>
                </wp:positionH>
                <wp:positionV relativeFrom="paragraph">
                  <wp:posOffset>19685</wp:posOffset>
                </wp:positionV>
                <wp:extent cx="772795" cy="39052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72795" cy="390525"/>
                        </a:xfrm>
                        <a:prstGeom prst="rect">
                          <a:avLst/>
                        </a:prstGeom>
                        <a:noFill/>
                        <a:ln w="12700">
                          <a:noFill/>
                        </a:ln>
                      </wps:spPr>
                      <wps:txbx>
                        <w:txbxContent>
                          <w:p w14:paraId="3D5BD8EB">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设计的一般要求</w:t>
                            </w:r>
                          </w:p>
                        </w:txbxContent>
                      </wps:txbx>
                      <wps:bodyPr rot="0" vert="horz" wrap="square" lIns="91440" tIns="45720" rIns="91440" bIns="45720" anchor="t" anchorCtr="0"/>
                    </wps:wsp>
                  </a:graphicData>
                </a:graphic>
              </wp:anchor>
            </w:drawing>
          </mc:Choice>
          <mc:Fallback>
            <w:pict>
              <v:shape id="_x0000_s1026" o:spid="_x0000_s1026" o:spt="202" type="#_x0000_t202" style="position:absolute;left:0pt;margin-left:-5.25pt;margin-top:1.55pt;height:30.75pt;width:60.85pt;z-index:251667456;mso-width-relative:page;mso-height-relative:page;" filled="f" stroked="f" coordsize="21600,21600" o:gfxdata="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D1/7l9YA&#10;AAAIAQAADwAAAAAAAAABACAAAAAiAAAAZHJzL2Rvd25yZXYueG1sUEsBAhQAFAAAAAgAh07iQP7e&#10;xTvoAQAAvAMAAA4AAAAAAAAAAQAgAAAAJQEAAGRycy9lMm9Eb2MueG1sUEsFBgAAAAAGAAYAWQEA&#10;AH8FAAAAAA==&#10;">
                <v:fill on="f" focussize="0,0"/>
                <v:stroke on="f" weight="1pt"/>
                <v:imagedata o:title=""/>
                <o:lock v:ext="edit" aspectratio="f"/>
                <v:textbox>
                  <w:txbxContent>
                    <w:p w14:paraId="3D5BD8EB">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设计的一般要求</w:t>
                      </w:r>
                    </w:p>
                  </w:txbxContent>
                </v:textbox>
              </v:shape>
            </w:pict>
          </mc:Fallback>
        </mc:AlternateContent>
      </w:r>
      <w:r>
        <w:rPr>
          <w:rFonts w:hint="eastAsia" w:ascii="仿宋" w:hAnsi="仿宋" w:eastAsia="仿宋"/>
          <w:lang w:eastAsia="zh-CN"/>
        </w:rPr>
        <w:t>5.3.1承包人应被视为其已于基准日期前仔细审阅了发包人的设计要求（包括标准、规范和限额设计指标等相关数据，如果有），承包人应对发包人的设计要求进行核实，并对发包人设计要求的正确性和（或）完整性负责。但下述情况的正确性和（或）完整性，应由发包人负责：</w:t>
      </w:r>
    </w:p>
    <w:p w14:paraId="66E85654">
      <w:pPr>
        <w:widowControl w:val="0"/>
        <w:tabs>
          <w:tab w:val="left" w:pos="4970"/>
        </w:tabs>
        <w:spacing w:line="400" w:lineRule="exact"/>
        <w:ind w:left="1850" w:leftChars="771"/>
        <w:jc w:val="both"/>
        <w:rPr>
          <w:rFonts w:ascii="仿宋" w:hAnsi="仿宋" w:eastAsia="仿宋"/>
          <w:lang w:eastAsia="zh-CN"/>
        </w:rPr>
      </w:pPr>
      <w:r>
        <w:rPr>
          <w:rFonts w:hint="eastAsia" w:ascii="仿宋" w:hAnsi="仿宋" w:eastAsia="仿宋"/>
          <w:lang w:eastAsia="zh-CN"/>
        </w:rPr>
        <w:t>（1）有关合同工程或其任何部分的功能、用途等预期目的的说明；</w:t>
      </w:r>
    </w:p>
    <w:p w14:paraId="3B6CF69F">
      <w:pPr>
        <w:widowControl w:val="0"/>
        <w:tabs>
          <w:tab w:val="left" w:pos="4970"/>
        </w:tabs>
        <w:spacing w:line="400" w:lineRule="exact"/>
        <w:ind w:left="1850" w:leftChars="771"/>
        <w:jc w:val="both"/>
        <w:rPr>
          <w:rFonts w:ascii="仿宋" w:hAnsi="仿宋" w:eastAsia="仿宋"/>
          <w:lang w:eastAsia="zh-CN"/>
        </w:rPr>
      </w:pPr>
      <w:r>
        <w:rPr>
          <w:rFonts w:hint="eastAsia" w:ascii="仿宋" w:hAnsi="仿宋" w:eastAsia="仿宋"/>
          <w:lang w:eastAsia="zh-CN"/>
        </w:rPr>
        <w:t>（2）有关合同工程的试车、试验和（或）性能标准；</w:t>
      </w:r>
    </w:p>
    <w:p w14:paraId="5F325517">
      <w:pPr>
        <w:widowControl w:val="0"/>
        <w:tabs>
          <w:tab w:val="left" w:pos="4970"/>
        </w:tabs>
        <w:spacing w:line="400" w:lineRule="exact"/>
        <w:ind w:left="1850" w:leftChars="771"/>
        <w:jc w:val="both"/>
        <w:rPr>
          <w:rFonts w:ascii="仿宋" w:hAnsi="仿宋" w:eastAsia="仿宋"/>
          <w:lang w:eastAsia="zh-CN"/>
        </w:rPr>
      </w:pPr>
      <w:r>
        <w:rPr>
          <w:rFonts w:hint="eastAsia" w:ascii="仿宋" w:hAnsi="仿宋" w:eastAsia="仿宋"/>
          <w:lang w:eastAsia="zh-CN"/>
        </w:rPr>
        <w:t>（3）承包人不能或无法核实的部分要求、数据和（或）资料；</w:t>
      </w:r>
    </w:p>
    <w:p w14:paraId="13142C5B">
      <w:pPr>
        <w:widowControl w:val="0"/>
        <w:tabs>
          <w:tab w:val="left" w:pos="4970"/>
        </w:tabs>
        <w:spacing w:line="400" w:lineRule="exact"/>
        <w:ind w:left="1850" w:leftChars="771"/>
        <w:jc w:val="both"/>
        <w:rPr>
          <w:rFonts w:ascii="仿宋" w:hAnsi="仿宋" w:eastAsia="仿宋"/>
          <w:lang w:eastAsia="zh-CN"/>
        </w:rPr>
      </w:pPr>
      <w:r>
        <w:rPr>
          <w:rFonts w:hint="eastAsia" w:ascii="仿宋" w:hAnsi="仿宋" w:eastAsia="仿宋"/>
          <w:lang w:eastAsia="zh-CN"/>
        </w:rPr>
        <w:t>（4）专用条款约定不可变更的部分要求、数据和资料。</w:t>
      </w:r>
    </w:p>
    <w:p w14:paraId="09C0CD5A">
      <w:pPr>
        <w:widowControl w:val="0"/>
        <w:tabs>
          <w:tab w:val="left" w:pos="4970"/>
        </w:tabs>
        <w:spacing w:line="400" w:lineRule="exact"/>
        <w:ind w:left="1850" w:leftChars="771"/>
        <w:jc w:val="both"/>
        <w:rPr>
          <w:rFonts w:ascii="仿宋" w:hAnsi="仿宋" w:eastAsia="仿宋"/>
          <w:lang w:eastAsia="zh-CN"/>
        </w:rPr>
      </w:pPr>
      <w:r>
        <w:rPr>
          <w:rFonts w:hint="eastAsia" w:ascii="仿宋" w:hAnsi="仿宋" w:eastAsia="仿宋"/>
          <w:lang w:eastAsia="zh-CN"/>
        </w:rPr>
        <w:t>5.3.2因承包人原因造成设计文件存在遗漏、错误、缺陷和不足的，承包人应及时修复、弥补、纠正和完善。因此对设计及后续设计和（或）施工等阶段工作造成的工期延误及费用增加由承包人承担。</w:t>
      </w:r>
    </w:p>
    <w:p w14:paraId="37E02071">
      <w:pPr>
        <w:widowControl w:val="0"/>
        <w:tabs>
          <w:tab w:val="left" w:pos="4970"/>
        </w:tabs>
        <w:spacing w:line="400" w:lineRule="exact"/>
        <w:ind w:left="1865" w:leftChars="777" w:firstLine="40" w:firstLineChars="17"/>
        <w:jc w:val="both"/>
        <w:rPr>
          <w:rFonts w:ascii="仿宋" w:hAnsi="仿宋" w:eastAsia="仿宋"/>
          <w:lang w:eastAsia="zh-CN"/>
        </w:rPr>
      </w:pPr>
      <w:r>
        <w:rPr>
          <w:rFonts w:hint="eastAsia" w:ascii="仿宋" w:hAnsi="仿宋" w:eastAsia="仿宋"/>
          <w:lang w:eastAsia="zh-CN"/>
        </w:rPr>
        <w:t>5.3.3 因承包人自身原因造成的设计及后续设计和（或）施工等阶段工期延误及费用增加，由承包人承担。</w:t>
      </w:r>
    </w:p>
    <w:p w14:paraId="3E09F92A">
      <w:pPr>
        <w:widowControl w:val="0"/>
        <w:tabs>
          <w:tab w:val="left" w:pos="4970"/>
        </w:tabs>
        <w:spacing w:line="400" w:lineRule="exact"/>
        <w:ind w:left="1850" w:leftChars="771"/>
        <w:jc w:val="both"/>
        <w:rPr>
          <w:rFonts w:ascii="仿宋" w:hAnsi="仿宋" w:eastAsia="仿宋"/>
          <w:lang w:eastAsia="zh-CN"/>
        </w:rPr>
      </w:pPr>
      <w:r>
        <w:rPr>
          <w:rFonts w:hint="eastAsia" w:ascii="仿宋" w:hAnsi="仿宋" w:eastAsia="仿宋"/>
          <w:lang w:eastAsia="zh-CN"/>
        </w:rPr>
        <w:t>5.3.4 承包人应遵守国家法律、强制性标准规范及《发包人要求》进行设计，提倡采用BIM技术进行正向设计</w:t>
      </w:r>
      <w:r>
        <w:rPr>
          <w:rFonts w:hint="eastAsia" w:ascii="仿宋" w:hAnsi="仿宋" w:eastAsia="仿宋" w:cs="仿宋"/>
          <w:lang w:eastAsia="zh-CN"/>
        </w:rPr>
        <w:t>或建模与出图同步完成的设计方式</w:t>
      </w:r>
      <w:r>
        <w:rPr>
          <w:rFonts w:hint="eastAsia" w:ascii="仿宋" w:hAnsi="仿宋" w:eastAsia="仿宋"/>
          <w:lang w:eastAsia="zh-CN"/>
        </w:rPr>
        <w:t>，且设计文件不得超过发包人要求中的合理限额设计指标。由于承包人违规设计或设计文件超过合理限额设计指标的，承包人应当承担相应的违约责任。</w:t>
      </w:r>
    </w:p>
    <w:p w14:paraId="155837DA">
      <w:pPr>
        <w:spacing w:line="400" w:lineRule="exact"/>
        <w:rPr>
          <w:rFonts w:ascii="仿宋" w:hAnsi="仿宋" w:eastAsia="仿宋"/>
          <w:lang w:eastAsia="zh-CN"/>
        </w:rPr>
      </w:pPr>
      <w:bookmarkStart w:id="127" w:name="_Toc6473"/>
      <w:r>
        <w:rPr>
          <w:rFonts w:hint="eastAsia" w:ascii="仿宋" w:hAnsi="仿宋" w:eastAsia="仿宋"/>
          <w:b/>
          <w:lang w:eastAsia="zh-CN"/>
        </w:rPr>
        <w:t>5.4</w:t>
      </w:r>
      <w:bookmarkEnd w:id="127"/>
      <w:r>
        <w:rPr>
          <w:rFonts w:ascii="仿宋" w:hAnsi="仿宋" w:eastAsia="仿宋"/>
          <w:b/>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669C7B78">
      <w:pPr>
        <w:widowControl w:val="0"/>
        <w:tabs>
          <w:tab w:val="left" w:pos="4970"/>
        </w:tabs>
        <w:spacing w:line="400" w:lineRule="exact"/>
        <w:ind w:left="1850" w:leftChars="771"/>
        <w:jc w:val="both"/>
        <w:rPr>
          <w:rFonts w:ascii="仿宋" w:hAnsi="仿宋" w:eastAsia="仿宋"/>
          <w:lang w:eastAsia="zh-CN"/>
        </w:rPr>
      </w:pPr>
      <w:r>
        <w:rPr>
          <w:rFonts w:hint="eastAsia" w:ascii="仿宋" w:hAnsi="仿宋" w:eastAsia="仿宋"/>
        </w:rPr>
        <mc:AlternateContent>
          <mc:Choice Requires="wps">
            <w:drawing>
              <wp:anchor distT="0" distB="0" distL="114300" distR="114300" simplePos="0" relativeHeight="252085248" behindDoc="0" locked="0" layoutInCell="1" allowOverlap="1">
                <wp:simplePos x="0" y="0"/>
                <wp:positionH relativeFrom="column">
                  <wp:posOffset>-66675</wp:posOffset>
                </wp:positionH>
                <wp:positionV relativeFrom="paragraph">
                  <wp:posOffset>19685</wp:posOffset>
                </wp:positionV>
                <wp:extent cx="810260" cy="523240"/>
                <wp:effectExtent l="0" t="0" r="0" b="0"/>
                <wp:wrapNone/>
                <wp:docPr id="12" name="文本框 11"/>
                <wp:cNvGraphicFramePr/>
                <a:graphic xmlns:a="http://schemas.openxmlformats.org/drawingml/2006/main">
                  <a:graphicData uri="http://schemas.microsoft.com/office/word/2010/wordprocessingShape">
                    <wps:wsp>
                      <wps:cNvSpPr txBox="1"/>
                      <wps:spPr>
                        <a:xfrm>
                          <a:off x="0" y="0"/>
                          <a:ext cx="810260" cy="523240"/>
                        </a:xfrm>
                        <a:prstGeom prst="rect">
                          <a:avLst/>
                        </a:prstGeom>
                        <a:noFill/>
                        <a:ln w="12700">
                          <a:noFill/>
                        </a:ln>
                      </wps:spPr>
                      <wps:txbx>
                        <w:txbxContent>
                          <w:p w14:paraId="0BC8AEAD">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BIM技术应用的一般要求</w:t>
                            </w:r>
                          </w:p>
                        </w:txbxContent>
                      </wps:txbx>
                      <wps:bodyPr rot="0" vert="horz" wrap="square" lIns="91440" tIns="45720" rIns="91440" bIns="45720" anchor="t" anchorCtr="0"/>
                    </wps:wsp>
                  </a:graphicData>
                </a:graphic>
              </wp:anchor>
            </w:drawing>
          </mc:Choice>
          <mc:Fallback>
            <w:pict>
              <v:shape id="文本框 11" o:spid="_x0000_s1026" o:spt="202" type="#_x0000_t202" style="position:absolute;left:0pt;margin-left:-5.25pt;margin-top:1.55pt;height:41.2pt;width:63.8pt;z-index:252085248;mso-width-relative:page;mso-height-relative:page;" filled="f" stroked="f" coordsize="21600,21600" o:gfxdata="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dzS001wAA&#10;AAgBAAAPAAAAAAAAAAEAIAAAACIAAABkcnMvZG93bnJldi54bWxQSwECFAAUAAAACACHTuJAIRD2&#10;e+YBAAC8AwAADgAAAAAAAAABACAAAAAmAQAAZHJzL2Uyb0RvYy54bWxQSwUGAAAAAAYABgBZAQAA&#10;fgUAAAAA&#10;">
                <v:fill on="f" focussize="0,0"/>
                <v:stroke on="f" weight="1pt"/>
                <v:imagedata o:title=""/>
                <o:lock v:ext="edit" aspectratio="f"/>
                <v:textbox>
                  <w:txbxContent>
                    <w:p w14:paraId="0BC8AEAD">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BIM技术应用的一般要求</w:t>
                      </w:r>
                    </w:p>
                  </w:txbxContent>
                </v:textbox>
              </v:shape>
            </w:pict>
          </mc:Fallback>
        </mc:AlternateContent>
      </w:r>
      <w:r>
        <w:rPr>
          <w:rFonts w:hint="eastAsia" w:ascii="仿宋" w:hAnsi="仿宋" w:eastAsia="仿宋"/>
          <w:lang w:eastAsia="zh-CN"/>
        </w:rPr>
        <w:t>5.4.1承包人应被视为其已于基准日期前仔细审阅了发包人的BIM技术应用要求（包括标准、规范和相关数据，如果有），承包人应对发包人的设计要求进行核实，并对发包人BIM技术应用要求的正确性和（或）完整性负责。但下述情况的正确性和（或）完整性，应由发包人负责：</w:t>
      </w:r>
    </w:p>
    <w:p w14:paraId="4EDFCB9F">
      <w:pPr>
        <w:tabs>
          <w:tab w:val="left" w:pos="4970"/>
        </w:tabs>
        <w:spacing w:line="400" w:lineRule="exact"/>
        <w:ind w:left="1850" w:leftChars="771"/>
        <w:rPr>
          <w:rFonts w:ascii="仿宋" w:hAnsi="仿宋" w:eastAsia="仿宋"/>
          <w:lang w:eastAsia="zh-CN"/>
        </w:rPr>
      </w:pPr>
      <w:r>
        <w:rPr>
          <w:rFonts w:hint="eastAsia" w:ascii="仿宋" w:hAnsi="仿宋" w:eastAsia="仿宋"/>
          <w:lang w:eastAsia="zh-CN"/>
        </w:rPr>
        <w:t>（1）有关合同工程或其任何部分的功能、用途等预期目的的说明；</w:t>
      </w:r>
    </w:p>
    <w:p w14:paraId="3F4D631D">
      <w:pPr>
        <w:tabs>
          <w:tab w:val="left" w:pos="4970"/>
        </w:tabs>
        <w:spacing w:line="400" w:lineRule="exact"/>
        <w:ind w:left="1850" w:leftChars="771"/>
        <w:rPr>
          <w:rFonts w:ascii="仿宋" w:hAnsi="仿宋" w:eastAsia="仿宋"/>
          <w:lang w:eastAsia="zh-CN"/>
        </w:rPr>
      </w:pPr>
      <w:r>
        <w:rPr>
          <w:rFonts w:hint="eastAsia" w:ascii="仿宋" w:hAnsi="仿宋" w:eastAsia="仿宋"/>
          <w:lang w:eastAsia="zh-CN"/>
        </w:rPr>
        <w:t>（2）有关合同工程的试车、试验和（或）性能标准；</w:t>
      </w:r>
    </w:p>
    <w:p w14:paraId="55B015CE">
      <w:pPr>
        <w:tabs>
          <w:tab w:val="left" w:pos="4970"/>
        </w:tabs>
        <w:spacing w:line="400" w:lineRule="exact"/>
        <w:ind w:left="1850" w:leftChars="771"/>
        <w:rPr>
          <w:rFonts w:ascii="仿宋" w:hAnsi="仿宋" w:eastAsia="仿宋"/>
          <w:lang w:eastAsia="zh-CN"/>
        </w:rPr>
      </w:pPr>
      <w:r>
        <w:rPr>
          <w:rFonts w:hint="eastAsia" w:ascii="仿宋" w:hAnsi="仿宋" w:eastAsia="仿宋"/>
          <w:lang w:eastAsia="zh-CN"/>
        </w:rPr>
        <w:t>（3）承包人不能或无法核实的部分要求、数据和（或）资料；</w:t>
      </w:r>
    </w:p>
    <w:p w14:paraId="5405C2BA">
      <w:pPr>
        <w:tabs>
          <w:tab w:val="left" w:pos="4970"/>
        </w:tabs>
        <w:spacing w:line="400" w:lineRule="exact"/>
        <w:ind w:left="1850" w:leftChars="771"/>
        <w:rPr>
          <w:rFonts w:ascii="仿宋" w:hAnsi="仿宋" w:eastAsia="仿宋"/>
          <w:lang w:eastAsia="zh-CN"/>
        </w:rPr>
      </w:pPr>
      <w:r>
        <w:rPr>
          <w:rFonts w:hint="eastAsia" w:ascii="仿宋" w:hAnsi="仿宋" w:eastAsia="仿宋"/>
          <w:lang w:eastAsia="zh-CN"/>
        </w:rPr>
        <w:t>（4）专用条款约定不可变更的部分要求、数据和资料。</w:t>
      </w:r>
    </w:p>
    <w:p w14:paraId="7CBB7BC4">
      <w:pPr>
        <w:widowControl w:val="0"/>
        <w:tabs>
          <w:tab w:val="left" w:pos="4970"/>
        </w:tabs>
        <w:spacing w:line="400" w:lineRule="exact"/>
        <w:ind w:left="1850" w:leftChars="771"/>
        <w:jc w:val="both"/>
        <w:rPr>
          <w:rFonts w:ascii="仿宋" w:hAnsi="仿宋" w:eastAsia="仿宋"/>
          <w:lang w:eastAsia="zh-CN"/>
        </w:rPr>
      </w:pPr>
      <w:r>
        <w:rPr>
          <w:rFonts w:hint="eastAsia" w:ascii="仿宋" w:hAnsi="仿宋" w:eastAsia="仿宋"/>
          <w:lang w:eastAsia="zh-CN"/>
        </w:rPr>
        <w:t>5.4.2承包人提供的建筑信息模型（BIM）、协调管理平台及应用点等相关服务存在遗漏、错误、缺陷和不足的，承包人应及时修复、弥补、纠正和完善。因此对设计、采购、施工、造价管理等工作造成的工期延误及费用增加由承包人承担。</w:t>
      </w:r>
    </w:p>
    <w:p w14:paraId="31C26AB2">
      <w:pPr>
        <w:widowControl w:val="0"/>
        <w:tabs>
          <w:tab w:val="left" w:pos="4970"/>
        </w:tabs>
        <w:spacing w:line="400" w:lineRule="exact"/>
        <w:ind w:left="1850" w:leftChars="771"/>
        <w:jc w:val="both"/>
        <w:rPr>
          <w:rFonts w:ascii="仿宋" w:hAnsi="仿宋" w:eastAsia="仿宋"/>
          <w:lang w:eastAsia="zh-CN"/>
        </w:rPr>
      </w:pPr>
      <w:r>
        <w:rPr>
          <w:rFonts w:hint="eastAsia" w:ascii="仿宋" w:hAnsi="仿宋" w:eastAsia="仿宋"/>
          <w:lang w:eastAsia="zh-CN"/>
        </w:rPr>
        <w:t>5.4.3 因承包人自身原因造成的设计和（或）施工等阶段工期延误及费用增加，由承包人承担。</w:t>
      </w:r>
    </w:p>
    <w:p w14:paraId="242DD0BC">
      <w:pPr>
        <w:widowControl w:val="0"/>
        <w:tabs>
          <w:tab w:val="left" w:pos="4970"/>
        </w:tabs>
        <w:spacing w:line="400" w:lineRule="exact"/>
        <w:ind w:left="1850" w:leftChars="771"/>
        <w:jc w:val="both"/>
        <w:rPr>
          <w:rFonts w:ascii="仿宋" w:hAnsi="仿宋" w:eastAsia="仿宋"/>
          <w:lang w:eastAsia="zh-CN"/>
        </w:rPr>
      </w:pPr>
      <w:r>
        <w:rPr>
          <w:rFonts w:hint="eastAsia" w:ascii="仿宋" w:hAnsi="仿宋" w:eastAsia="仿宋"/>
          <w:lang w:eastAsia="zh-CN"/>
        </w:rPr>
        <w:t>5.4.4 承包人应遵守国家法律、强制性标准规范及《发包人要求》，采用BIM技术进行正向设计出图或建模和出图同步完成，并协助发包人及相关方等正确使用。由于承包人违规建模或应用造成质量缺陷、安全事故、工期延误、费用增加的，承包人应当承担相应的违约责任。</w:t>
      </w:r>
    </w:p>
    <w:p w14:paraId="64AB31CD">
      <w:pPr>
        <w:spacing w:line="400" w:lineRule="exact"/>
        <w:rPr>
          <w:rFonts w:ascii="仿宋" w:hAnsi="仿宋" w:eastAsia="仿宋"/>
          <w:b/>
          <w:lang w:eastAsia="zh-CN"/>
        </w:rPr>
      </w:pPr>
      <w:bookmarkStart w:id="128" w:name="_Toc9522"/>
      <w:r>
        <w:rPr>
          <w:rFonts w:hint="eastAsia"/>
        </w:rPr>
        <mc:AlternateContent>
          <mc:Choice Requires="wps">
            <w:drawing>
              <wp:anchor distT="0" distB="0" distL="114300" distR="114300" simplePos="0" relativeHeight="251970560" behindDoc="0" locked="0" layoutInCell="1" allowOverlap="1">
                <wp:simplePos x="0" y="0"/>
                <wp:positionH relativeFrom="column">
                  <wp:posOffset>-76200</wp:posOffset>
                </wp:positionH>
                <wp:positionV relativeFrom="paragraph">
                  <wp:posOffset>242570</wp:posOffset>
                </wp:positionV>
                <wp:extent cx="766445" cy="701040"/>
                <wp:effectExtent l="0" t="0" r="0" b="0"/>
                <wp:wrapNone/>
                <wp:docPr id="13" name="文本框 9"/>
                <wp:cNvGraphicFramePr/>
                <a:graphic xmlns:a="http://schemas.openxmlformats.org/drawingml/2006/main">
                  <a:graphicData uri="http://schemas.microsoft.com/office/word/2010/wordprocessingShape">
                    <wps:wsp>
                      <wps:cNvSpPr txBox="1"/>
                      <wps:spPr>
                        <a:xfrm>
                          <a:off x="0" y="0"/>
                          <a:ext cx="766445" cy="701040"/>
                        </a:xfrm>
                        <a:prstGeom prst="rect">
                          <a:avLst/>
                        </a:prstGeom>
                        <a:noFill/>
                        <a:ln w="12700">
                          <a:noFill/>
                        </a:ln>
                      </wps:spPr>
                      <wps:txbx>
                        <w:txbxContent>
                          <w:p w14:paraId="64A2AEF3">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设备及工器具购置的一般要求（如果有）</w:t>
                            </w:r>
                          </w:p>
                        </w:txbxContent>
                      </wps:txbx>
                      <wps:bodyPr rot="0" vert="horz" wrap="square" lIns="91440" tIns="45720" rIns="91440" bIns="45720" anchor="t" anchorCtr="0"/>
                    </wps:wsp>
                  </a:graphicData>
                </a:graphic>
              </wp:anchor>
            </w:drawing>
          </mc:Choice>
          <mc:Fallback>
            <w:pict>
              <v:shape id="文本框 9" o:spid="_x0000_s1026" o:spt="202" type="#_x0000_t202" style="position:absolute;left:0pt;margin-left:-6pt;margin-top:19.1pt;height:55.2pt;width:60.35pt;z-index:251970560;mso-width-relative:page;mso-height-relative:page;" filled="f" stroked="f" coordsize="21600,21600" o:gfxdata="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QB+We&#10;2QAAAAoBAAAPAAAAAAAAAAEAIAAAACIAAABkcnMvZG93bnJldi54bWxQSwECFAAUAAAACACHTuJA&#10;tt86QOcBAAC7AwAADgAAAAAAAAABACAAAAAoAQAAZHJzL2Uyb0RvYy54bWxQSwUGAAAAAAYABgBZ&#10;AQAAgQUAAAAA&#10;">
                <v:fill on="f" focussize="0,0"/>
                <v:stroke on="f" weight="1pt"/>
                <v:imagedata o:title=""/>
                <o:lock v:ext="edit" aspectratio="f"/>
                <v:textbox>
                  <w:txbxContent>
                    <w:p w14:paraId="64A2AEF3">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设备及工器具购置的一般要求（如果有）</w:t>
                      </w:r>
                    </w:p>
                  </w:txbxContent>
                </v:textbox>
              </v:shape>
            </w:pict>
          </mc:Fallback>
        </mc:AlternateContent>
      </w:r>
      <w:r>
        <w:rPr>
          <w:rFonts w:hint="eastAsia" w:ascii="仿宋" w:hAnsi="仿宋" w:eastAsia="仿宋"/>
          <w:b/>
          <w:lang w:eastAsia="zh-CN"/>
        </w:rPr>
        <w:t>5.5</w:t>
      </w:r>
      <w:bookmarkEnd w:id="128"/>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76AAE899">
      <w:pPr>
        <w:widowControl w:val="0"/>
        <w:tabs>
          <w:tab w:val="left" w:pos="4970"/>
        </w:tabs>
        <w:spacing w:line="400" w:lineRule="exact"/>
        <w:ind w:left="1850" w:leftChars="771"/>
        <w:jc w:val="both"/>
        <w:rPr>
          <w:rFonts w:ascii="仿宋" w:hAnsi="仿宋" w:eastAsia="仿宋" w:cs="仿宋"/>
          <w:lang w:eastAsia="zh-CN"/>
        </w:rPr>
      </w:pPr>
      <w:r>
        <w:rPr>
          <w:rFonts w:hint="eastAsia" w:ascii="仿宋" w:hAnsi="仿宋" w:eastAsia="仿宋"/>
          <w:lang w:eastAsia="zh-CN"/>
        </w:rPr>
        <w:t>5.5.1</w:t>
      </w:r>
      <w:r>
        <w:rPr>
          <w:rFonts w:hint="eastAsia" w:ascii="仿宋" w:hAnsi="仿宋" w:eastAsia="仿宋" w:cs="仿宋"/>
          <w:lang w:eastAsia="zh-CN"/>
        </w:rPr>
        <w:t>承包人被视为其已于基准日期前仔细审阅了发包人的设备及工器具购置要求和购置工程量清单（包括标准、规范和相关数据，如果有），承包人应对发包人的购置要求及购置工程量清单进行核实，并对发包人购置要求和购置工程量清单的正确性和（或）完整性负责。但下述情况的正确性和（或）完整性，应由发包人负责：</w:t>
      </w:r>
    </w:p>
    <w:p w14:paraId="78C9AEE7">
      <w:pPr>
        <w:widowControl w:val="0"/>
        <w:tabs>
          <w:tab w:val="left" w:pos="4970"/>
        </w:tabs>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（1）有关设备及工器具的预期目的的说明；</w:t>
      </w:r>
    </w:p>
    <w:p w14:paraId="2E277CFE">
      <w:pPr>
        <w:widowControl w:val="0"/>
        <w:tabs>
          <w:tab w:val="left" w:pos="4970"/>
        </w:tabs>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（2）有关设备及工器具的试车、试验、工艺流程、组装图纸、性能标准和（或）产品合格标准；</w:t>
      </w:r>
    </w:p>
    <w:p w14:paraId="62532471">
      <w:pPr>
        <w:widowControl w:val="0"/>
        <w:tabs>
          <w:tab w:val="left" w:pos="4970"/>
        </w:tabs>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（3）承包人不能或无法核实的部分要求、数据和（或）资料；</w:t>
      </w:r>
    </w:p>
    <w:p w14:paraId="0FDB4345">
      <w:pPr>
        <w:widowControl w:val="0"/>
        <w:tabs>
          <w:tab w:val="left" w:pos="4970"/>
        </w:tabs>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（4）专用条款约定不可变更的部分要求、数据和资料。</w:t>
      </w:r>
    </w:p>
    <w:p w14:paraId="5B020E03">
      <w:pPr>
        <w:widowControl w:val="0"/>
        <w:tabs>
          <w:tab w:val="left" w:pos="4970"/>
        </w:tabs>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5.5.2因承包人购置的设备及工器具不合格或不符合发包人要求，承包人应及时更换或修复。因此对设计和（或）施工等阶段工作造成的工期延误及费用增加由承包人承担。</w:t>
      </w:r>
    </w:p>
    <w:p w14:paraId="4A25ECBD">
      <w:pPr>
        <w:spacing w:line="400" w:lineRule="exact"/>
        <w:rPr>
          <w:rFonts w:ascii="仿宋" w:hAnsi="仿宋" w:eastAsia="仿宋"/>
          <w:b/>
          <w:lang w:eastAsia="zh-CN"/>
        </w:rPr>
      </w:pPr>
      <w:bookmarkStart w:id="129" w:name="_Toc27158"/>
      <w:r>
        <w:rPr>
          <w:rFonts w:hint="eastAsia" w:ascii="仿宋" w:hAnsi="仿宋" w:eastAsia="仿宋"/>
          <w:b/>
          <w:lang w:eastAsia="zh-CN"/>
        </w:rPr>
        <w:t>5.6</w:t>
      </w:r>
      <w:bookmarkEnd w:id="129"/>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02089DBC">
      <w:pPr>
        <w:widowControl w:val="0"/>
        <w:tabs>
          <w:tab w:val="left" w:pos="4970"/>
        </w:tabs>
        <w:spacing w:line="400" w:lineRule="exact"/>
        <w:ind w:left="1850" w:leftChars="771"/>
        <w:jc w:val="both"/>
        <w:rPr>
          <w:rFonts w:ascii="仿宋" w:hAnsi="仿宋" w:eastAsia="仿宋" w:cs="仿宋"/>
          <w:lang w:eastAsia="zh-CN"/>
        </w:rPr>
      </w:pPr>
      <w:r>
        <w:rPr>
          <w:rFonts w:hint="eastAsia"/>
        </w:rPr>
        <mc:AlternateContent>
          <mc:Choice Requires="wps">
            <w:drawing>
              <wp:anchor distT="0" distB="0" distL="114300" distR="114300" simplePos="0" relativeHeight="252086272" behindDoc="0" locked="0" layoutInCell="1" allowOverlap="1">
                <wp:simplePos x="0" y="0"/>
                <wp:positionH relativeFrom="column">
                  <wp:posOffset>-66675</wp:posOffset>
                </wp:positionH>
                <wp:positionV relativeFrom="paragraph">
                  <wp:posOffset>3175</wp:posOffset>
                </wp:positionV>
                <wp:extent cx="756920" cy="975360"/>
                <wp:effectExtent l="0" t="0" r="0" b="0"/>
                <wp:wrapNone/>
                <wp:docPr id="14" name="文本框 9"/>
                <wp:cNvGraphicFramePr/>
                <a:graphic xmlns:a="http://schemas.openxmlformats.org/drawingml/2006/main">
                  <a:graphicData uri="http://schemas.microsoft.com/office/word/2010/wordprocessingShape">
                    <wps:wsp>
                      <wps:cNvSpPr txBox="1"/>
                      <wps:spPr>
                        <a:xfrm>
                          <a:off x="0" y="0"/>
                          <a:ext cx="756920" cy="975360"/>
                        </a:xfrm>
                        <a:prstGeom prst="rect">
                          <a:avLst/>
                        </a:prstGeom>
                        <a:noFill/>
                        <a:ln w="12700">
                          <a:noFill/>
                        </a:ln>
                      </wps:spPr>
                      <wps:txbx>
                        <w:txbxContent>
                          <w:p w14:paraId="023E5357">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工程材料与工程设备、装配式构件采购的一般要求（如果有）</w:t>
                            </w:r>
                          </w:p>
                        </w:txbxContent>
                      </wps:txbx>
                      <wps:bodyPr rot="0" vert="horz" wrap="square" lIns="91440" tIns="45720" rIns="91440" bIns="45720" anchor="t" anchorCtr="0"/>
                    </wps:wsp>
                  </a:graphicData>
                </a:graphic>
              </wp:anchor>
            </w:drawing>
          </mc:Choice>
          <mc:Fallback>
            <w:pict>
              <v:shape id="文本框 9" o:spid="_x0000_s1026" o:spt="202" type="#_x0000_t202" style="position:absolute;left:0pt;margin-left:-5.25pt;margin-top:0.25pt;height:76.8pt;width:59.6pt;z-index:252086272;mso-width-relative:page;mso-height-relative:page;" filled="f" stroked="f" coordsize="21600,21600" o:gfxdata="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NDKZtcA&#10;AAAIAQAADwAAAAAAAAABACAAAAAiAAAAZHJzL2Rvd25yZXYueG1sUEsBAhQAFAAAAAgAh07iQI9v&#10;hEXnAQAAuwMAAA4AAAAAAAAAAQAgAAAAJgEAAGRycy9lMm9Eb2MueG1sUEsFBgAAAAAGAAYAWQEA&#10;AH8FAAAAAA==&#10;">
                <v:fill on="f" focussize="0,0"/>
                <v:stroke on="f" weight="1pt"/>
                <v:imagedata o:title=""/>
                <o:lock v:ext="edit" aspectratio="f"/>
                <v:textbox>
                  <w:txbxContent>
                    <w:p w14:paraId="023E5357">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工程材料与工程设备、装配式构件采购的一般要求（如果有）</w:t>
                      </w:r>
                    </w:p>
                  </w:txbxContent>
                </v:textbox>
              </v:shape>
            </w:pict>
          </mc:Fallback>
        </mc:AlternateContent>
      </w:r>
      <w:r>
        <w:rPr>
          <w:rFonts w:hint="eastAsia" w:ascii="仿宋" w:hAnsi="仿宋" w:eastAsia="仿宋"/>
          <w:lang w:eastAsia="zh-CN"/>
        </w:rPr>
        <w:t>5.6.1</w:t>
      </w:r>
      <w:r>
        <w:rPr>
          <w:rFonts w:hint="eastAsia" w:ascii="仿宋" w:hAnsi="仿宋" w:eastAsia="仿宋" w:cs="仿宋"/>
          <w:lang w:eastAsia="zh-CN"/>
        </w:rPr>
        <w:t>承包人被视为其已于基准日期前仔细审阅了发包人基于保证工程质量和功能用途对主要工程材料、工程设备的采购要求（包括标准、规范、品质、档次、生产厂家、运输方式、堆放场地、拼装工艺和相关数据等，如果有），承包人应对发包人的采购要求进行核实，并对发包人要求的正确性和（或）完整性负责。</w:t>
      </w:r>
      <w:r>
        <w:rPr>
          <w:rFonts w:hint="eastAsia" w:ascii="仿宋" w:hAnsi="仿宋" w:eastAsia="仿宋"/>
          <w:lang w:eastAsia="zh-CN"/>
        </w:rPr>
        <w:t>但下述情况的正确性和（或）完整性，应由发包人负责：</w:t>
      </w:r>
    </w:p>
    <w:p w14:paraId="6775BB6E">
      <w:pPr>
        <w:widowControl w:val="0"/>
        <w:tabs>
          <w:tab w:val="left" w:pos="4970"/>
        </w:tabs>
        <w:spacing w:line="400" w:lineRule="exact"/>
        <w:ind w:left="1850" w:leftChars="771"/>
        <w:jc w:val="both"/>
        <w:rPr>
          <w:rFonts w:ascii="仿宋" w:hAnsi="仿宋" w:eastAsia="仿宋" w:cs="仿宋"/>
          <w:lang w:eastAsia="zh-CN"/>
        </w:rPr>
      </w:pPr>
      <w:r>
        <w:rPr>
          <w:rFonts w:hint="eastAsia" w:ascii="仿宋" w:hAnsi="仿宋" w:eastAsia="仿宋"/>
          <w:lang w:eastAsia="zh-CN"/>
        </w:rPr>
        <w:t>（1）有关采购的预期目</w:t>
      </w:r>
      <w:r>
        <w:rPr>
          <w:rFonts w:hint="eastAsia" w:ascii="仿宋" w:hAnsi="仿宋" w:eastAsia="仿宋" w:cs="仿宋"/>
          <w:lang w:eastAsia="zh-CN"/>
        </w:rPr>
        <w:t>的的说明；</w:t>
      </w:r>
    </w:p>
    <w:p w14:paraId="5961A556">
      <w:pPr>
        <w:widowControl w:val="0"/>
        <w:tabs>
          <w:tab w:val="left" w:pos="4970"/>
        </w:tabs>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（2）有关工程设备或装配式构件的试车、试验、工艺流程、组装图纸、性能标准和（或）产品合格标准；</w:t>
      </w:r>
    </w:p>
    <w:p w14:paraId="35880524">
      <w:pPr>
        <w:widowControl w:val="0"/>
        <w:tabs>
          <w:tab w:val="left" w:pos="4970"/>
        </w:tabs>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（3）承包人不能或无法核实的部分要求、数据和（或）资料；</w:t>
      </w:r>
    </w:p>
    <w:p w14:paraId="154DDA24">
      <w:pPr>
        <w:widowControl w:val="0"/>
        <w:tabs>
          <w:tab w:val="left" w:pos="4970"/>
        </w:tabs>
        <w:spacing w:line="400" w:lineRule="exact"/>
        <w:ind w:left="1850" w:leftChars="771"/>
        <w:jc w:val="both"/>
        <w:rPr>
          <w:rFonts w:ascii="仿宋" w:hAnsi="仿宋" w:eastAsia="仿宋"/>
          <w:lang w:eastAsia="zh-CN"/>
        </w:rPr>
      </w:pPr>
      <w:r>
        <w:rPr>
          <w:rFonts w:hint="eastAsia" w:ascii="仿宋" w:hAnsi="仿宋" w:eastAsia="仿宋" w:cs="仿宋"/>
          <w:lang w:eastAsia="zh-CN"/>
        </w:rPr>
        <w:t>（4）专用条款约定不可变</w:t>
      </w:r>
      <w:r>
        <w:rPr>
          <w:rFonts w:hint="eastAsia" w:ascii="仿宋" w:hAnsi="仿宋" w:eastAsia="仿宋"/>
          <w:lang w:eastAsia="zh-CN"/>
        </w:rPr>
        <w:t>更的部分要求、数据和资料。</w:t>
      </w:r>
    </w:p>
    <w:p w14:paraId="70810C65">
      <w:pPr>
        <w:widowControl w:val="0"/>
        <w:tabs>
          <w:tab w:val="left" w:pos="4970"/>
        </w:tabs>
        <w:spacing w:line="400" w:lineRule="exact"/>
        <w:ind w:left="1850" w:leftChars="771"/>
        <w:jc w:val="both"/>
        <w:rPr>
          <w:rFonts w:ascii="仿宋" w:hAnsi="仿宋" w:eastAsia="仿宋"/>
          <w:lang w:eastAsia="zh-CN"/>
        </w:rPr>
      </w:pPr>
      <w:r>
        <w:rPr>
          <w:rFonts w:hint="eastAsia" w:ascii="仿宋" w:hAnsi="仿宋" w:eastAsia="仿宋"/>
          <w:lang w:eastAsia="zh-CN"/>
        </w:rPr>
        <w:t>5.6.2因承包人采购的工程材料、工程设备、装配式构件等不合格或不符合发包人要求，承包人应及时更换或修复。因此对设计和（或）施工等阶段工作造成的工期延误及费用增加由承包人承担。</w:t>
      </w:r>
    </w:p>
    <w:p w14:paraId="2E22C8C6">
      <w:pPr>
        <w:tabs>
          <w:tab w:val="left" w:pos="4970"/>
        </w:tabs>
        <w:spacing w:line="400" w:lineRule="exact"/>
        <w:rPr>
          <w:rFonts w:ascii="仿宋" w:hAnsi="仿宋" w:eastAsia="仿宋"/>
          <w:lang w:eastAsia="zh-CN"/>
        </w:rPr>
      </w:pPr>
      <w:r>
        <w:rPr>
          <w:rFonts w:ascii="仿宋" w:hAnsi="仿宋" w:eastAsia="仿宋" w:cs="仿宋"/>
          <w:b/>
          <w:bCs/>
          <w:u w:val="single"/>
          <w:lang w:eastAsia="zh-CN"/>
        </w:rPr>
        <w:t xml:space="preserve">                                                            </w:t>
      </w:r>
      <w:r>
        <w:rPr>
          <w:rFonts w:hint="eastAsia" w:ascii="仿宋" w:hAnsi="仿宋" w:eastAsia="仿宋" w:cs="仿宋"/>
          <w:b/>
          <w:bCs/>
          <w:u w:val="single"/>
          <w:lang w:eastAsia="zh-CN"/>
        </w:rPr>
        <w:t xml:space="preserve">      </w:t>
      </w:r>
      <w:r>
        <w:rPr>
          <w:rFonts w:ascii="仿宋" w:hAnsi="仿宋" w:eastAsia="仿宋" w:cs="仿宋"/>
          <w:b/>
          <w:bCs/>
          <w:u w:val="single"/>
          <w:lang w:eastAsia="zh-CN"/>
        </w:rPr>
        <w:t xml:space="preserve">                  </w:t>
      </w:r>
    </w:p>
    <w:p w14:paraId="4D1F2A58">
      <w:pPr>
        <w:pStyle w:val="4"/>
        <w:tabs>
          <w:tab w:val="left" w:pos="420"/>
        </w:tabs>
        <w:spacing w:before="0" w:after="0" w:line="400" w:lineRule="exact"/>
        <w:rPr>
          <w:rFonts w:ascii="仿宋" w:hAnsi="仿宋" w:eastAsia="仿宋" w:cs="仿宋"/>
          <w:bCs w:val="0"/>
          <w:sz w:val="24"/>
          <w:szCs w:val="24"/>
          <w:lang w:eastAsia="zh-CN"/>
        </w:rPr>
      </w:pPr>
      <w:bookmarkStart w:id="130" w:name="_Toc194073111"/>
      <w:bookmarkStart w:id="131" w:name="_Toc8321"/>
      <w:bookmarkStart w:id="132" w:name="_Toc27009"/>
      <w:bookmarkStart w:id="133" w:name="_Toc4335"/>
      <w:r>
        <w:rPr>
          <w:rFonts w:hint="eastAsia" w:ascii="仿宋" w:hAnsi="仿宋" w:eastAsia="仿宋" w:cs="仿宋"/>
          <w:bCs w:val="0"/>
          <w:sz w:val="24"/>
          <w:szCs w:val="24"/>
          <w:lang w:eastAsia="zh-CN"/>
        </w:rPr>
        <w:t>6 项目基础资料</w:t>
      </w:r>
      <w:bookmarkEnd w:id="130"/>
      <w:bookmarkEnd w:id="131"/>
      <w:bookmarkEnd w:id="132"/>
      <w:bookmarkEnd w:id="133"/>
    </w:p>
    <w:p w14:paraId="78880678">
      <w:pPr>
        <w:spacing w:line="400" w:lineRule="exact"/>
        <w:rPr>
          <w:rFonts w:ascii="仿宋" w:hAnsi="仿宋" w:eastAsia="仿宋"/>
          <w:b/>
          <w:lang w:eastAsia="zh-CN"/>
        </w:rPr>
      </w:pPr>
      <w:r>
        <w:rPr>
          <w:rFonts w:hint="eastAsia" w:ascii="仿宋" w:hAnsi="仿宋" w:eastAsia="仿宋"/>
          <w:b/>
          <w:lang w:eastAsia="zh-CN"/>
        </w:rPr>
        <w:t>6.1</w:t>
      </w:r>
    </w:p>
    <w:p w14:paraId="60E5B6F3">
      <w:pPr>
        <w:widowControl w:val="0"/>
        <w:tabs>
          <w:tab w:val="left" w:pos="4970"/>
        </w:tabs>
        <w:spacing w:line="400" w:lineRule="exact"/>
        <w:ind w:left="1850" w:leftChars="771"/>
        <w:jc w:val="both"/>
        <w:rPr>
          <w:rFonts w:ascii="仿宋" w:hAnsi="仿宋" w:eastAsia="仿宋" w:cs="仿宋"/>
          <w:lang w:eastAsia="zh-CN"/>
        </w:rPr>
      </w:pPr>
      <w:r>
        <w:rPr>
          <w:rFonts w:hint="eastAsia"/>
        </w:rPr>
        <mc:AlternateContent>
          <mc:Choice Requires="wps">
            <w:drawing>
              <wp:anchor distT="0" distB="0" distL="114300" distR="114300" simplePos="0" relativeHeight="251971584" behindDoc="0" locked="0" layoutInCell="1" allowOverlap="1">
                <wp:simplePos x="0" y="0"/>
                <wp:positionH relativeFrom="column">
                  <wp:posOffset>-47625</wp:posOffset>
                </wp:positionH>
                <wp:positionV relativeFrom="paragraph">
                  <wp:posOffset>24765</wp:posOffset>
                </wp:positionV>
                <wp:extent cx="803910" cy="462915"/>
                <wp:effectExtent l="0" t="0" r="0" b="0"/>
                <wp:wrapNone/>
                <wp:docPr id="15" name="文本框 9"/>
                <wp:cNvGraphicFramePr/>
                <a:graphic xmlns:a="http://schemas.openxmlformats.org/drawingml/2006/main">
                  <a:graphicData uri="http://schemas.microsoft.com/office/word/2010/wordprocessingShape">
                    <wps:wsp>
                      <wps:cNvSpPr txBox="1"/>
                      <wps:spPr>
                        <a:xfrm>
                          <a:off x="0" y="0"/>
                          <a:ext cx="803910" cy="462915"/>
                        </a:xfrm>
                        <a:prstGeom prst="rect">
                          <a:avLst/>
                        </a:prstGeom>
                        <a:noFill/>
                        <a:ln w="12700">
                          <a:noFill/>
                        </a:ln>
                      </wps:spPr>
                      <wps:txbx>
                        <w:txbxContent>
                          <w:p w14:paraId="3689FA36">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项目基础资料的提供</w:t>
                            </w:r>
                          </w:p>
                        </w:txbxContent>
                      </wps:txbx>
                      <wps:bodyPr rot="0" vert="horz" wrap="square" lIns="91440" tIns="45720" rIns="91440" bIns="45720" anchor="t" anchorCtr="0"/>
                    </wps:wsp>
                  </a:graphicData>
                </a:graphic>
              </wp:anchor>
            </w:drawing>
          </mc:Choice>
          <mc:Fallback>
            <w:pict>
              <v:shape id="文本框 9" o:spid="_x0000_s1026" o:spt="202" type="#_x0000_t202" style="position:absolute;left:0pt;margin-left:-3.75pt;margin-top:1.95pt;height:36.45pt;width:63.3pt;z-index:251971584;mso-width-relative:page;mso-height-relative:page;" filled="f" stroked="f" coordsize="21600,21600" o:gfxdata="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rt2Z/1AAAAAcB&#10;AAAPAAAAAAAAAAEAIAAAACIAAABkcnMvZG93bnJldi54bWxQSwECFAAUAAAACACHTuJAAB/7N+YB&#10;AAC7AwAADgAAAAAAAAABACAAAAAjAQAAZHJzL2Uyb0RvYy54bWxQSwUGAAAAAAYABgBZAQAAewUA&#10;AAAA&#10;">
                <v:fill on="f" focussize="0,0"/>
                <v:stroke on="f" weight="1pt"/>
                <v:imagedata o:title=""/>
                <o:lock v:ext="edit" aspectratio="f"/>
                <v:textbox>
                  <w:txbxContent>
                    <w:p w14:paraId="3689FA36">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项目基础资料的提供</w:t>
                      </w:r>
                    </w:p>
                  </w:txbxContent>
                </v:textbox>
              </v:shape>
            </w:pict>
          </mc:Fallback>
        </mc:AlternateContent>
      </w:r>
      <w:r>
        <w:rPr>
          <w:rFonts w:hint="eastAsia" w:ascii="仿宋" w:hAnsi="仿宋" w:eastAsia="仿宋"/>
          <w:lang w:eastAsia="zh-CN"/>
        </w:rPr>
        <w:t>6.1.1 发包人</w:t>
      </w:r>
      <w:r>
        <w:rPr>
          <w:rFonts w:hint="eastAsia" w:ascii="仿宋" w:hAnsi="仿宋" w:eastAsia="仿宋" w:cs="仿宋"/>
          <w:lang w:eastAsia="zh-CN"/>
        </w:rPr>
        <w:t>（或其委托设计顾问人）应按专用条款约定的时间和份数提供书面文件，</w:t>
      </w:r>
      <w:r>
        <w:rPr>
          <w:rFonts w:hint="eastAsia" w:ascii="仿宋" w:hAnsi="仿宋" w:eastAsia="仿宋"/>
          <w:lang w:eastAsia="zh-CN"/>
        </w:rPr>
        <w:t>向承包人提供已知悉的工程现场情况、工程地质勘察报告（如果有）、图纸（如果有）、项目建议书、已批准或备案的可行性研究报告、建设方案、工艺流程、初步设计文件（如果有）等相关资料，并为承包人收集其他有关资料提供必要的协助。</w:t>
      </w:r>
      <w:r>
        <w:rPr>
          <w:rFonts w:hint="eastAsia" w:ascii="仿宋" w:hAnsi="仿宋" w:eastAsia="仿宋" w:cs="仿宋"/>
          <w:lang w:eastAsia="zh-CN"/>
        </w:rPr>
        <w:t>如发包人未按时提供项目基础资料，承包人无法按时开展总承包各阶段工作造成合同总工期延误及费用增加，由发包人承担责任，按第43.3款约定处理。</w:t>
      </w:r>
    </w:p>
    <w:p w14:paraId="39F7B995">
      <w:pPr>
        <w:widowControl w:val="0"/>
        <w:tabs>
          <w:tab w:val="left" w:pos="4970"/>
        </w:tabs>
        <w:spacing w:line="400" w:lineRule="exact"/>
        <w:ind w:left="1850" w:leftChars="771"/>
        <w:jc w:val="both"/>
        <w:rPr>
          <w:rFonts w:ascii="仿宋" w:hAnsi="仿宋" w:eastAsia="仿宋"/>
          <w:lang w:eastAsia="zh-CN"/>
        </w:rPr>
      </w:pPr>
      <w:r>
        <w:rPr>
          <w:rFonts w:hint="eastAsia" w:ascii="仿宋" w:hAnsi="仿宋" w:eastAsia="仿宋"/>
          <w:lang w:eastAsia="zh-CN"/>
        </w:rPr>
        <w:t xml:space="preserve">6.1.2 </w:t>
      </w:r>
      <w:r>
        <w:rPr>
          <w:rFonts w:ascii="仿宋" w:hAnsi="仿宋" w:eastAsia="仿宋"/>
          <w:lang w:eastAsia="zh-CN"/>
        </w:rPr>
        <w:t>发包人提供的项目基础资料中有专利</w:t>
      </w:r>
      <w:r>
        <w:rPr>
          <w:rFonts w:hint="eastAsia" w:ascii="仿宋" w:hAnsi="仿宋" w:eastAsia="仿宋"/>
          <w:lang w:eastAsia="zh-CN"/>
        </w:rPr>
        <w:t>人或制造商</w:t>
      </w:r>
      <w:r>
        <w:rPr>
          <w:rFonts w:ascii="仿宋" w:hAnsi="仿宋" w:eastAsia="仿宋"/>
          <w:lang w:eastAsia="zh-CN"/>
        </w:rPr>
        <w:t>提供的技术或工艺包，或是第三方设计单位提供的建筑造型等，发包人应组织专利</w:t>
      </w:r>
      <w:r>
        <w:rPr>
          <w:rFonts w:hint="eastAsia" w:ascii="仿宋" w:hAnsi="仿宋" w:eastAsia="仿宋"/>
          <w:lang w:eastAsia="zh-CN"/>
        </w:rPr>
        <w:t>人、制造商</w:t>
      </w:r>
      <w:r>
        <w:rPr>
          <w:rFonts w:ascii="仿宋" w:hAnsi="仿宋" w:eastAsia="仿宋"/>
          <w:lang w:eastAsia="zh-CN"/>
        </w:rPr>
        <w:t>或第三方设计单位与承包人进行数据、条件和资料的交换、协调和交接。</w:t>
      </w:r>
    </w:p>
    <w:p w14:paraId="0F1785E9">
      <w:pPr>
        <w:spacing w:line="400" w:lineRule="exact"/>
        <w:rPr>
          <w:rFonts w:ascii="仿宋" w:hAnsi="仿宋" w:eastAsia="仿宋"/>
          <w:b/>
          <w:lang w:eastAsia="zh-CN"/>
        </w:rPr>
      </w:pPr>
      <w:r>
        <w:rPr>
          <w:rFonts w:hint="eastAsia" w:ascii="仿宋" w:hAnsi="仿宋" w:eastAsia="仿宋"/>
          <w:b/>
          <w:lang w:eastAsia="zh-CN"/>
        </w:rPr>
        <w:t>6.2</w:t>
      </w:r>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07E3E72E">
      <w:pPr>
        <w:widowControl w:val="0"/>
        <w:tabs>
          <w:tab w:val="left" w:pos="4970"/>
        </w:tabs>
        <w:spacing w:line="400" w:lineRule="exact"/>
        <w:ind w:left="1850" w:leftChars="771"/>
        <w:jc w:val="both"/>
        <w:rPr>
          <w:rFonts w:ascii="仿宋" w:hAnsi="仿宋" w:eastAsia="仿宋"/>
          <w:lang w:eastAsia="zh-CN"/>
        </w:rPr>
      </w:pPr>
      <w:r>
        <w:rPr>
          <w:rFonts w:hint="eastAsia" w:ascii="仿宋" w:hAnsi="仿宋" w:eastAsia="仿宋"/>
        </w:rPr>
        <mc:AlternateContent>
          <mc:Choice Requires="wps">
            <w:drawing>
              <wp:anchor distT="0" distB="0" distL="114300" distR="114300" simplePos="0" relativeHeight="252089344" behindDoc="0" locked="0" layoutInCell="1" allowOverlap="1">
                <wp:simplePos x="0" y="0"/>
                <wp:positionH relativeFrom="column">
                  <wp:posOffset>-207010</wp:posOffset>
                </wp:positionH>
                <wp:positionV relativeFrom="paragraph">
                  <wp:posOffset>156845</wp:posOffset>
                </wp:positionV>
                <wp:extent cx="813435" cy="520700"/>
                <wp:effectExtent l="0" t="0" r="0" b="0"/>
                <wp:wrapNone/>
                <wp:docPr id="16" name="文本框 9"/>
                <wp:cNvGraphicFramePr/>
                <a:graphic xmlns:a="http://schemas.openxmlformats.org/drawingml/2006/main">
                  <a:graphicData uri="http://schemas.microsoft.com/office/word/2010/wordprocessingShape">
                    <wps:wsp>
                      <wps:cNvSpPr txBox="1"/>
                      <wps:spPr>
                        <a:xfrm>
                          <a:off x="0" y="0"/>
                          <a:ext cx="813435" cy="520700"/>
                        </a:xfrm>
                        <a:prstGeom prst="rect">
                          <a:avLst/>
                        </a:prstGeom>
                        <a:noFill/>
                        <a:ln w="12700">
                          <a:noFill/>
                        </a:ln>
                      </wps:spPr>
                      <wps:txbx>
                        <w:txbxContent>
                          <w:p w14:paraId="726015A6">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项目基础资料的正确性和完整性</w:t>
                            </w:r>
                          </w:p>
                        </w:txbxContent>
                      </wps:txbx>
                      <wps:bodyPr rot="0" vert="horz" wrap="square" lIns="91440" tIns="45720" rIns="91440" bIns="45720" anchor="t" anchorCtr="0"/>
                    </wps:wsp>
                  </a:graphicData>
                </a:graphic>
              </wp:anchor>
            </w:drawing>
          </mc:Choice>
          <mc:Fallback>
            <w:pict>
              <v:shape id="文本框 9" o:spid="_x0000_s1026" o:spt="202" type="#_x0000_t202" style="position:absolute;left:0pt;margin-left:-16.3pt;margin-top:12.35pt;height:41pt;width:64.05pt;z-index:252089344;mso-width-relative:page;mso-height-relative:page;" filled="f" stroked="f" coordsize="21600,21600" o:gfxdata="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ko29TY&#10;AAAACQEAAA8AAAAAAAAAAQAgAAAAIgAAAGRycy9kb3ducmV2LnhtbFBLAQIUABQAAAAIAIdO4kA9&#10;Xzua5wEAALsDAAAOAAAAAAAAAAEAIAAAACcBAABkcnMvZTJvRG9jLnhtbFBLBQYAAAAABgAGAFkB&#10;AACABQAAAAA=&#10;">
                <v:fill on="f" focussize="0,0"/>
                <v:stroke on="f" weight="1pt"/>
                <v:imagedata o:title=""/>
                <o:lock v:ext="edit" aspectratio="f"/>
                <v:textbox>
                  <w:txbxContent>
                    <w:p w14:paraId="726015A6">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项目基础资料的正确性和完整性</w:t>
                      </w:r>
                    </w:p>
                  </w:txbxContent>
                </v:textbox>
              </v:shape>
            </w:pict>
          </mc:Fallback>
        </mc:AlternateContent>
      </w:r>
      <w:r>
        <w:rPr>
          <w:rFonts w:hint="eastAsia" w:ascii="仿宋" w:hAnsi="仿宋" w:eastAsia="仿宋"/>
          <w:lang w:eastAsia="zh-CN"/>
        </w:rPr>
        <w:t>承包人被视为其已于基准日期前仔细审阅了发包人提供的项目基础资料，</w:t>
      </w:r>
      <w:r>
        <w:rPr>
          <w:rFonts w:hint="eastAsia" w:ascii="仿宋" w:hAnsi="仿宋" w:eastAsia="仿宋" w:cs="仿宋"/>
          <w:lang w:eastAsia="zh-CN"/>
        </w:rPr>
        <w:t>承包人应对发包人提供的资料进行核实，</w:t>
      </w:r>
      <w:r>
        <w:rPr>
          <w:rFonts w:hint="eastAsia" w:ascii="仿宋" w:hAnsi="仿宋" w:eastAsia="仿宋"/>
          <w:lang w:eastAsia="zh-CN"/>
        </w:rPr>
        <w:t>并对发包人提供资料的正确性和（或）完整性负责。承包人从发包人或其他方面得到的任何数据或资料，不免除承包人应承担的责任。但下述情况的正确性和（或）完整性，应由发包人负责：</w:t>
      </w:r>
    </w:p>
    <w:p w14:paraId="74608E86">
      <w:pPr>
        <w:widowControl w:val="0"/>
        <w:tabs>
          <w:tab w:val="left" w:pos="4970"/>
        </w:tabs>
        <w:spacing w:line="400" w:lineRule="exact"/>
        <w:ind w:left="1850" w:leftChars="771"/>
        <w:jc w:val="both"/>
        <w:rPr>
          <w:rFonts w:ascii="仿宋" w:hAnsi="仿宋" w:eastAsia="仿宋"/>
          <w:lang w:eastAsia="zh-CN"/>
        </w:rPr>
      </w:pPr>
      <w:r>
        <w:rPr>
          <w:rFonts w:hint="eastAsia" w:ascii="仿宋" w:hAnsi="仿宋" w:eastAsia="仿宋"/>
          <w:lang w:eastAsia="zh-CN"/>
        </w:rPr>
        <w:t>（1）有关合同工程或其任何部分的功能、用途等预期目的的说明；</w:t>
      </w:r>
    </w:p>
    <w:p w14:paraId="15BFF9A2">
      <w:pPr>
        <w:widowControl w:val="0"/>
        <w:tabs>
          <w:tab w:val="left" w:pos="4970"/>
        </w:tabs>
        <w:spacing w:line="400" w:lineRule="exact"/>
        <w:ind w:left="1850" w:leftChars="771"/>
        <w:jc w:val="both"/>
        <w:rPr>
          <w:rFonts w:ascii="仿宋" w:hAnsi="仿宋" w:eastAsia="仿宋"/>
          <w:lang w:eastAsia="zh-CN"/>
        </w:rPr>
      </w:pPr>
      <w:r>
        <w:rPr>
          <w:rFonts w:hint="eastAsia" w:ascii="仿宋" w:hAnsi="仿宋" w:eastAsia="仿宋"/>
          <w:lang w:eastAsia="zh-CN"/>
        </w:rPr>
        <w:t>（2）有关合同工程的试车、试验、工艺流程和（或）性能标准；</w:t>
      </w:r>
    </w:p>
    <w:p w14:paraId="6C867F26">
      <w:pPr>
        <w:widowControl w:val="0"/>
        <w:tabs>
          <w:tab w:val="left" w:pos="4970"/>
        </w:tabs>
        <w:spacing w:line="400" w:lineRule="exact"/>
        <w:ind w:left="1850" w:leftChars="771"/>
        <w:jc w:val="both"/>
        <w:rPr>
          <w:rFonts w:ascii="仿宋" w:hAnsi="仿宋" w:eastAsia="仿宋"/>
          <w:lang w:eastAsia="zh-CN"/>
        </w:rPr>
      </w:pPr>
      <w:r>
        <w:rPr>
          <w:rFonts w:hint="eastAsia" w:ascii="仿宋" w:hAnsi="仿宋" w:eastAsia="仿宋"/>
          <w:lang w:eastAsia="zh-CN"/>
        </w:rPr>
        <w:t>（3）承包人不能或无法核实的数据和（或）资料；</w:t>
      </w:r>
    </w:p>
    <w:p w14:paraId="7FF374B0">
      <w:pPr>
        <w:widowControl w:val="0"/>
        <w:tabs>
          <w:tab w:val="left" w:pos="4970"/>
        </w:tabs>
        <w:spacing w:line="400" w:lineRule="exact"/>
        <w:ind w:left="1850" w:leftChars="771"/>
        <w:jc w:val="both"/>
        <w:rPr>
          <w:rFonts w:ascii="仿宋" w:hAnsi="仿宋" w:eastAsia="仿宋"/>
          <w:lang w:eastAsia="zh-CN"/>
        </w:rPr>
      </w:pPr>
      <w:r>
        <w:rPr>
          <w:rFonts w:hint="eastAsia" w:ascii="仿宋" w:hAnsi="仿宋" w:eastAsia="仿宋"/>
          <w:lang w:eastAsia="zh-CN"/>
        </w:rPr>
        <w:t>（4）工程现场发生的不利物质条件，包括不能预见的自然物质条件、非自然物质障碍和污染物；</w:t>
      </w:r>
    </w:p>
    <w:p w14:paraId="19EB6258">
      <w:pPr>
        <w:widowControl w:val="0"/>
        <w:tabs>
          <w:tab w:val="left" w:pos="4970"/>
        </w:tabs>
        <w:spacing w:line="400" w:lineRule="exact"/>
        <w:ind w:left="1850" w:leftChars="771"/>
        <w:jc w:val="both"/>
        <w:rPr>
          <w:rFonts w:ascii="仿宋" w:hAnsi="仿宋" w:eastAsia="仿宋"/>
          <w:lang w:eastAsia="zh-CN"/>
        </w:rPr>
      </w:pPr>
      <w:r>
        <w:rPr>
          <w:rFonts w:hint="eastAsia" w:ascii="仿宋" w:hAnsi="仿宋" w:eastAsia="仿宋"/>
          <w:lang w:eastAsia="zh-CN"/>
        </w:rPr>
        <w:t>（5）专用条款约定不可变更的数据和资料。</w:t>
      </w:r>
    </w:p>
    <w:p w14:paraId="33604CC9">
      <w:pPr>
        <w:widowControl w:val="0"/>
        <w:tabs>
          <w:tab w:val="left" w:pos="4970"/>
        </w:tabs>
        <w:spacing w:line="400" w:lineRule="exact"/>
        <w:rPr>
          <w:rFonts w:ascii="仿宋" w:hAnsi="仿宋" w:eastAsia="仿宋"/>
          <w:lang w:eastAsia="zh-CN"/>
        </w:rPr>
      </w:pPr>
      <w:r>
        <w:rPr>
          <w:rFonts w:ascii="仿宋" w:hAnsi="仿宋" w:eastAsia="仿宋" w:cs="仿宋"/>
          <w:b/>
          <w:bCs/>
          <w:u w:val="single"/>
          <w:lang w:eastAsia="zh-CN"/>
        </w:rPr>
        <w:t xml:space="preserve">                                                            </w:t>
      </w:r>
      <w:r>
        <w:rPr>
          <w:rFonts w:hint="eastAsia" w:ascii="仿宋" w:hAnsi="仿宋" w:eastAsia="仿宋" w:cs="仿宋"/>
          <w:b/>
          <w:bCs/>
          <w:u w:val="single"/>
          <w:lang w:eastAsia="zh-CN"/>
        </w:rPr>
        <w:t xml:space="preserve">      </w:t>
      </w:r>
      <w:r>
        <w:rPr>
          <w:rFonts w:ascii="仿宋" w:hAnsi="仿宋" w:eastAsia="仿宋" w:cs="仿宋"/>
          <w:b/>
          <w:bCs/>
          <w:u w:val="single"/>
          <w:lang w:eastAsia="zh-CN"/>
        </w:rPr>
        <w:t xml:space="preserve">                  </w:t>
      </w:r>
    </w:p>
    <w:p w14:paraId="0C71736D">
      <w:pPr>
        <w:pStyle w:val="4"/>
        <w:tabs>
          <w:tab w:val="left" w:pos="420"/>
        </w:tabs>
        <w:spacing w:before="0" w:after="0" w:line="400" w:lineRule="exact"/>
        <w:rPr>
          <w:rFonts w:ascii="仿宋" w:hAnsi="仿宋" w:eastAsia="仿宋" w:cs="仿宋"/>
          <w:bCs w:val="0"/>
          <w:sz w:val="24"/>
          <w:szCs w:val="24"/>
          <w:lang w:eastAsia="zh-CN"/>
        </w:rPr>
      </w:pPr>
      <w:bookmarkStart w:id="134" w:name="_Toc194073112"/>
      <w:bookmarkStart w:id="135" w:name="_Toc31903"/>
      <w:bookmarkStart w:id="136" w:name="_Toc20585"/>
      <w:bookmarkStart w:id="137" w:name="_Toc15567"/>
      <w:r>
        <w:rPr>
          <w:rFonts w:hint="eastAsia" w:ascii="仿宋" w:hAnsi="仿宋" w:eastAsia="仿宋" w:cs="仿宋"/>
          <w:bCs w:val="0"/>
          <w:sz w:val="24"/>
          <w:szCs w:val="24"/>
          <w:lang w:eastAsia="zh-CN"/>
        </w:rPr>
        <w:t>7 勘察报告、设计文件、建筑信息模型（BIM）</w:t>
      </w:r>
      <w:bookmarkEnd w:id="134"/>
      <w:bookmarkEnd w:id="135"/>
      <w:bookmarkEnd w:id="136"/>
      <w:bookmarkEnd w:id="137"/>
    </w:p>
    <w:p w14:paraId="0DC39023">
      <w:pPr>
        <w:spacing w:line="400" w:lineRule="exact"/>
        <w:rPr>
          <w:rFonts w:ascii="仿宋" w:hAnsi="仿宋" w:eastAsia="仿宋"/>
          <w:b/>
          <w:lang w:eastAsia="zh-CN"/>
        </w:rPr>
      </w:pPr>
      <w:r>
        <w:rPr>
          <w:rFonts w:ascii="仿宋" w:hAnsi="仿宋" w:eastAsia="仿宋" w:cs="仿宋"/>
        </w:rPr>
        <mc:AlternateContent>
          <mc:Choice Requires="wps">
            <w:drawing>
              <wp:anchor distT="0" distB="0" distL="114300" distR="114300" simplePos="0" relativeHeight="252090368" behindDoc="0" locked="0" layoutInCell="1" allowOverlap="1">
                <wp:simplePos x="0" y="0"/>
                <wp:positionH relativeFrom="column">
                  <wp:posOffset>-114300</wp:posOffset>
                </wp:positionH>
                <wp:positionV relativeFrom="paragraph">
                  <wp:posOffset>316865</wp:posOffset>
                </wp:positionV>
                <wp:extent cx="841375" cy="690880"/>
                <wp:effectExtent l="0" t="0" r="0" b="0"/>
                <wp:wrapNone/>
                <wp:docPr id="17" name="文本框 9"/>
                <wp:cNvGraphicFramePr/>
                <a:graphic xmlns:a="http://schemas.openxmlformats.org/drawingml/2006/main">
                  <a:graphicData uri="http://schemas.microsoft.com/office/word/2010/wordprocessingShape">
                    <wps:wsp>
                      <wps:cNvSpPr txBox="1"/>
                      <wps:spPr>
                        <a:xfrm>
                          <a:off x="0" y="0"/>
                          <a:ext cx="841375" cy="690880"/>
                        </a:xfrm>
                        <a:prstGeom prst="rect">
                          <a:avLst/>
                        </a:prstGeom>
                        <a:noFill/>
                        <a:ln w="12700">
                          <a:noFill/>
                        </a:ln>
                      </wps:spPr>
                      <wps:txbx>
                        <w:txbxContent>
                          <w:p w14:paraId="667766B6">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勘察报告的提供及一般要求</w:t>
                            </w:r>
                          </w:p>
                        </w:txbxContent>
                      </wps:txbx>
                      <wps:bodyPr rot="0" vert="horz" wrap="square" lIns="91440" tIns="45720" rIns="91440" bIns="45720" anchor="t" anchorCtr="0"/>
                    </wps:wsp>
                  </a:graphicData>
                </a:graphic>
              </wp:anchor>
            </w:drawing>
          </mc:Choice>
          <mc:Fallback>
            <w:pict>
              <v:shape id="文本框 9" o:spid="_x0000_s1026" o:spt="202" type="#_x0000_t202" style="position:absolute;left:0pt;margin-left:-9pt;margin-top:24.95pt;height:54.4pt;width:66.25pt;z-index:252090368;mso-width-relative:page;mso-height-relative:page;" filled="f" stroked="f" coordsize="21600,21600" o:gfxdata="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iQbY&#10;ntkAAAAKAQAADwAAAAAAAAABACAAAAAiAAAAZHJzL2Rvd25yZXYueG1sUEsBAhQAFAAAAAgAh07i&#10;QNwnzBjoAQAAuwMAAA4AAAAAAAAAAQAgAAAAKAEAAGRycy9lMm9Eb2MueG1sUEsFBgAAAAAGAAYA&#10;WQEAAIIFAAAAAA==&#10;">
                <v:fill on="f" focussize="0,0"/>
                <v:stroke on="f" weight="1pt"/>
                <v:imagedata o:title=""/>
                <o:lock v:ext="edit" aspectratio="f"/>
                <v:textbox>
                  <w:txbxContent>
                    <w:p w14:paraId="667766B6">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勘察报告的提供及一般要求</w:t>
                      </w:r>
                    </w:p>
                  </w:txbxContent>
                </v:textbox>
              </v:shape>
            </w:pict>
          </mc:Fallback>
        </mc:AlternateContent>
      </w:r>
      <w:r>
        <w:rPr>
          <w:rFonts w:ascii="仿宋" w:hAnsi="仿宋" w:eastAsia="仿宋"/>
          <w:b/>
          <w:lang w:eastAsia="zh-CN"/>
        </w:rPr>
        <w:t>7.1</w:t>
      </w:r>
    </w:p>
    <w:p w14:paraId="365E4019">
      <w:pPr>
        <w:widowControl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7.1.1 合同约定由承包人负责工程勘察的，承包人应按合同约定提供勘察报告，按约定的时间和份数报送发包人、设计顾问人。承包人应按审查意见修改完善勘察报告。如承包人未按时提供勘察报告并通过审查，导致后续设计和（或）施工工期延误及费用增加，由承包人承担责任，按第43.8款约定处理。</w:t>
      </w:r>
    </w:p>
    <w:p w14:paraId="73E6E078">
      <w:pPr>
        <w:widowControl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7.1.2 工程勘察报告的完备性、正确性由承包人负责，若勘察报告存在缺陷，承包人应及时完善、修正，由此造成的工程质量缺陷、工期延误及费用增加，责任由承包人承担。</w:t>
      </w:r>
    </w:p>
    <w:p w14:paraId="52084D46">
      <w:pPr>
        <w:widowControl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7.1.3 承包人不得将其承包的勘察工作或将其肢解后以分包的名义转包给第三方。因承包人不具备勘察资质，承包人应经发包人同意后方可将勘察工作分包给具有相应资质的勘察单位，但不免除承包人的相关责任。</w:t>
      </w:r>
    </w:p>
    <w:p w14:paraId="2E0A97D1">
      <w:pPr>
        <w:widowControl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7.1.4 承包人应按约定向发包人及设计顾问人、监理人、造价咨询人等相关方报送成果文件，配合审查、审批或备案，确认工作完成时间和成果。</w:t>
      </w:r>
    </w:p>
    <w:p w14:paraId="0C48EABB">
      <w:pPr>
        <w:spacing w:line="400" w:lineRule="exact"/>
        <w:rPr>
          <w:rFonts w:ascii="仿宋" w:hAnsi="仿宋" w:eastAsia="仿宋"/>
          <w:b/>
          <w:lang w:eastAsia="zh-CN"/>
        </w:rPr>
      </w:pPr>
      <w:r>
        <w:rPr>
          <w:rFonts w:hint="eastAsia" w:ascii="仿宋" w:hAnsi="仿宋" w:eastAsia="仿宋"/>
          <w:b/>
          <w:lang w:eastAsia="zh-CN"/>
        </w:rPr>
        <w:t>7.2</w:t>
      </w:r>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3536B80A">
      <w:pPr>
        <w:widowControl w:val="0"/>
        <w:spacing w:line="400" w:lineRule="exact"/>
        <w:ind w:left="1850" w:leftChars="771"/>
        <w:jc w:val="both"/>
        <w:rPr>
          <w:rFonts w:ascii="仿宋" w:hAnsi="仿宋" w:eastAsia="仿宋" w:cs="仿宋"/>
          <w:lang w:eastAsia="zh-CN"/>
        </w:rPr>
      </w:pPr>
      <w:r>
        <w:rPr>
          <w:rFonts w:ascii="仿宋" w:hAnsi="仿宋" w:eastAsia="仿宋" w:cs="仿宋"/>
        </w:rPr>
        <mc:AlternateContent>
          <mc:Choice Requires="wps">
            <w:drawing>
              <wp:anchor distT="0" distB="0" distL="114300" distR="114300" simplePos="0" relativeHeight="251972608" behindDoc="0" locked="0" layoutInCell="1" allowOverlap="1">
                <wp:simplePos x="0" y="0"/>
                <wp:positionH relativeFrom="column">
                  <wp:posOffset>-114300</wp:posOffset>
                </wp:positionH>
                <wp:positionV relativeFrom="paragraph">
                  <wp:posOffset>20320</wp:posOffset>
                </wp:positionV>
                <wp:extent cx="852170" cy="615315"/>
                <wp:effectExtent l="0" t="0" r="0" b="0"/>
                <wp:wrapNone/>
                <wp:docPr id="18" name="文本框 9"/>
                <wp:cNvGraphicFramePr/>
                <a:graphic xmlns:a="http://schemas.openxmlformats.org/drawingml/2006/main">
                  <a:graphicData uri="http://schemas.microsoft.com/office/word/2010/wordprocessingShape">
                    <wps:wsp>
                      <wps:cNvSpPr txBox="1"/>
                      <wps:spPr>
                        <a:xfrm>
                          <a:off x="0" y="0"/>
                          <a:ext cx="852170" cy="615315"/>
                        </a:xfrm>
                        <a:prstGeom prst="rect">
                          <a:avLst/>
                        </a:prstGeom>
                        <a:noFill/>
                        <a:ln w="12700">
                          <a:noFill/>
                        </a:ln>
                      </wps:spPr>
                      <wps:txbx>
                        <w:txbxContent>
                          <w:p w14:paraId="32D8E06C">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设计文件的提供及一般要求</w:t>
                            </w:r>
                          </w:p>
                        </w:txbxContent>
                      </wps:txbx>
                      <wps:bodyPr rot="0" vert="horz" wrap="square" lIns="91440" tIns="45720" rIns="91440" bIns="45720" anchor="t" anchorCtr="0"/>
                    </wps:wsp>
                  </a:graphicData>
                </a:graphic>
              </wp:anchor>
            </w:drawing>
          </mc:Choice>
          <mc:Fallback>
            <w:pict>
              <v:shape id="文本框 9" o:spid="_x0000_s1026" o:spt="202" type="#_x0000_t202" style="position:absolute;left:0pt;margin-left:-9pt;margin-top:1.6pt;height:48.45pt;width:67.1pt;z-index:251972608;mso-width-relative:page;mso-height-relative:page;" filled="f" stroked="f" coordsize="21600,21600" o:gfxdata="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qo3/mtYA&#10;AAAJAQAADwAAAAAAAAABACAAAAAiAAAAZHJzL2Rvd25yZXYueG1sUEsBAhQAFAAAAAgAh07iQBPk&#10;ZmjoAQAAuwMAAA4AAAAAAAAAAQAgAAAAJQEAAGRycy9lMm9Eb2MueG1sUEsFBgAAAAAGAAYAWQEA&#10;AH8FAAAAAA==&#10;">
                <v:fill on="f" focussize="0,0"/>
                <v:stroke on="f" weight="1pt"/>
                <v:imagedata o:title=""/>
                <o:lock v:ext="edit" aspectratio="f"/>
                <v:textbox>
                  <w:txbxContent>
                    <w:p w14:paraId="32D8E06C">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设计文件的提供及一般要求</w:t>
                      </w:r>
                    </w:p>
                  </w:txbxContent>
                </v:textbox>
              </v:shape>
            </w:pict>
          </mc:Fallback>
        </mc:AlternateContent>
      </w:r>
      <w:r>
        <w:rPr>
          <w:rFonts w:hint="eastAsia" w:ascii="仿宋" w:hAnsi="仿宋" w:eastAsia="仿宋" w:cs="仿宋"/>
          <w:lang w:eastAsia="zh-CN"/>
        </w:rPr>
        <w:t>7.2.1合同约定由承包人负责初步设计文件编制的，承包人应按合同约定提供包括初步设计图纸与设计概算的完整设计文件，按约定的时间和份数报送发包人及设计顾问人。承包人应按审查意见修改完善初步设计图纸及设计概算，直到审查批准或备案。</w:t>
      </w:r>
    </w:p>
    <w:p w14:paraId="43360DB3">
      <w:pPr>
        <w:widowControl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初步设计图纸及设计概算审查合格后，承包人应配合发包人完成审批或备案程序，并按审批或备案的初步设计文件进行施工图设计和投资控制。如承包人未按合理时间完成初步设计图纸及设计概算的编制，导致后续设计或施工工期延误及费用增加，由承包人承担责任，按第43.8款约定处理。</w:t>
      </w:r>
    </w:p>
    <w:p w14:paraId="2C7D0AAF">
      <w:pPr>
        <w:widowControl w:val="0"/>
        <w:spacing w:line="400" w:lineRule="exact"/>
        <w:ind w:left="1850" w:leftChars="771"/>
        <w:jc w:val="both"/>
        <w:rPr>
          <w:rFonts w:ascii="仿宋" w:hAnsi="仿宋" w:eastAsia="仿宋" w:cs="仿宋"/>
          <w:strike/>
          <w:lang w:eastAsia="zh-CN"/>
        </w:rPr>
      </w:pPr>
      <w:r>
        <w:rPr>
          <w:rFonts w:hint="eastAsia" w:ascii="仿宋" w:hAnsi="仿宋" w:eastAsia="仿宋" w:cs="仿宋"/>
          <w:lang w:eastAsia="zh-CN"/>
        </w:rPr>
        <w:t>7.2.2 承包人应按合同约定提供包括施工图及施工图预算的完整设计文件，按约定的时间和份数报送发包人及设计顾问人。承包人应按审查意见修改完善施工图。</w:t>
      </w:r>
    </w:p>
    <w:p w14:paraId="1B73125C">
      <w:pPr>
        <w:widowControl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承包人应配合发包人完成审批或备案程序以及发放工作，并按图施工。如承包人未按合理时间完成施工图设计及施工图预算编制，导致施工工期延误及费用增加，责任由承包人承担，按第43.8款约定处理。</w:t>
      </w:r>
    </w:p>
    <w:p w14:paraId="66041422">
      <w:pPr>
        <w:widowControl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7.2.3初步设计文件和（或）施工图设计文件的完备性、正确性由承包人负责，若初步设计文件和（或）施工图设计文件等存在缺陷，承包人应及时修正，其造成的工程质量缺陷、工期延误及费用增加，责任由承包人承担。</w:t>
      </w:r>
    </w:p>
    <w:p w14:paraId="3EA823A5">
      <w:pPr>
        <w:widowControl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7.2.4 承包人不得将其承包的全部设计工作或将其肢解后以分包的名义转包给第三方，也不得将建设工程主体部分的设计工作分包给第三方。因承包人不具备部分专项设计资质（如人防、幕墙、园林景观、装修等专业工程），承包人应经发包人同意后方可将部分工作分包给具有相应资质的专项设计单位，但不免除承包人的相关责任。</w:t>
      </w:r>
    </w:p>
    <w:p w14:paraId="22E98F3F">
      <w:pPr>
        <w:widowControl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7.2.5 承包人应及时组织勘察、设计、BIM技术应用、采购、施工等专业负责人对设计文件进行技术交底和审核，协调内部专业分工及责任划分，对设计文件的深度和质量进行完善和修正。</w:t>
      </w:r>
    </w:p>
    <w:p w14:paraId="2ACB0BB6">
      <w:pPr>
        <w:widowControl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7.2.6 承包人应按约定向发包人及设计顾问人、监理人、造价咨询人等相关方报送设计文件，配合审查、审批或备案，确认工作完成时间和成果。但发包人及相关方的审查、审批或确认通过与否，发包人及相关方均不承担责任，设计文件的质量责任由承包人承担。</w:t>
      </w:r>
    </w:p>
    <w:p w14:paraId="51268605">
      <w:pPr>
        <w:spacing w:line="400" w:lineRule="exact"/>
        <w:rPr>
          <w:rFonts w:ascii="仿宋" w:hAnsi="仿宋" w:eastAsia="仿宋"/>
          <w:b/>
          <w:lang w:eastAsia="zh-CN"/>
        </w:rPr>
      </w:pPr>
      <w:r>
        <w:rPr>
          <w:rFonts w:hint="eastAsia" w:ascii="仿宋" w:hAnsi="仿宋" w:eastAsia="仿宋"/>
          <w:b/>
          <w:lang w:eastAsia="zh-CN"/>
        </w:rPr>
        <w:t>7.3</w:t>
      </w:r>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50A3F74A">
      <w:pPr>
        <w:widowControl w:val="0"/>
        <w:spacing w:line="400" w:lineRule="exact"/>
        <w:ind w:left="1850" w:leftChars="771"/>
        <w:jc w:val="both"/>
        <w:rPr>
          <w:rFonts w:ascii="仿宋" w:hAnsi="仿宋" w:eastAsia="仿宋" w:cs="仿宋"/>
          <w:lang w:eastAsia="zh-CN"/>
        </w:rPr>
      </w:pPr>
      <w:r>
        <w:rPr>
          <w:rFonts w:ascii="仿宋" w:hAnsi="仿宋" w:eastAsia="仿宋" w:cs="仿宋"/>
        </w:rPr>
        <mc:AlternateContent>
          <mc:Choice Requires="wps">
            <w:drawing>
              <wp:anchor distT="0" distB="0" distL="114300" distR="114300" simplePos="0" relativeHeight="251975680" behindDoc="0" locked="0" layoutInCell="1" allowOverlap="1">
                <wp:simplePos x="0" y="0"/>
                <wp:positionH relativeFrom="column">
                  <wp:posOffset>-114300</wp:posOffset>
                </wp:positionH>
                <wp:positionV relativeFrom="paragraph">
                  <wp:posOffset>20320</wp:posOffset>
                </wp:positionV>
                <wp:extent cx="765810" cy="606425"/>
                <wp:effectExtent l="0" t="0" r="0" b="0"/>
                <wp:wrapNone/>
                <wp:docPr id="19" name="文本框 9"/>
                <wp:cNvGraphicFramePr/>
                <a:graphic xmlns:a="http://schemas.openxmlformats.org/drawingml/2006/main">
                  <a:graphicData uri="http://schemas.microsoft.com/office/word/2010/wordprocessingShape">
                    <wps:wsp>
                      <wps:cNvSpPr txBox="1"/>
                      <wps:spPr>
                        <a:xfrm>
                          <a:off x="0" y="0"/>
                          <a:ext cx="765810" cy="606425"/>
                        </a:xfrm>
                        <a:prstGeom prst="rect">
                          <a:avLst/>
                        </a:prstGeom>
                        <a:noFill/>
                        <a:ln w="12700">
                          <a:noFill/>
                        </a:ln>
                      </wps:spPr>
                      <wps:txbx>
                        <w:txbxContent>
                          <w:p w14:paraId="41068CA9">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BIM信息模型的提供及一般要求</w:t>
                            </w:r>
                          </w:p>
                        </w:txbxContent>
                      </wps:txbx>
                      <wps:bodyPr rot="0" vert="horz" wrap="square" lIns="91440" tIns="45720" rIns="91440" bIns="45720" anchor="t" anchorCtr="0"/>
                    </wps:wsp>
                  </a:graphicData>
                </a:graphic>
              </wp:anchor>
            </w:drawing>
          </mc:Choice>
          <mc:Fallback>
            <w:pict>
              <v:shape id="文本框 9" o:spid="_x0000_s1026" o:spt="202" type="#_x0000_t202" style="position:absolute;left:0pt;margin-left:-9pt;margin-top:1.6pt;height:47.75pt;width:60.3pt;z-index:251975680;mso-width-relative:page;mso-height-relative:page;" filled="f" stroked="f" coordsize="21600,21600" o:gfxdata="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tTV+x1wAA&#10;AAgBAAAPAAAAAAAAAAEAIAAAACIAAABkcnMvZG93bnJldi54bWxQSwECFAAUAAAACACHTuJAcrQ9&#10;TuYBAAC7AwAADgAAAAAAAAABACAAAAAmAQAAZHJzL2Uyb0RvYy54bWxQSwUGAAAAAAYABgBZAQAA&#10;fgUAAAAA&#10;">
                <v:fill on="f" focussize="0,0"/>
                <v:stroke on="f" weight="1pt"/>
                <v:imagedata o:title=""/>
                <o:lock v:ext="edit" aspectratio="f"/>
                <v:textbox>
                  <w:txbxContent>
                    <w:p w14:paraId="41068CA9">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BIM信息模型的提供及一般要求</w:t>
                      </w:r>
                    </w:p>
                  </w:txbxContent>
                </v:textbox>
              </v:shape>
            </w:pict>
          </mc:Fallback>
        </mc:AlternateContent>
      </w:r>
      <w:r>
        <w:rPr>
          <w:rFonts w:hint="eastAsia" w:ascii="仿宋" w:hAnsi="仿宋" w:eastAsia="仿宋" w:cs="仿宋"/>
          <w:lang w:eastAsia="zh-CN"/>
        </w:rPr>
        <w:t>合同约定由承包人负责提供本项目设计、施工、竣工验收、运维（如果有）等阶段的建筑信息模型（BIM）及有关应用的，承包人应按合同约定的应用节点和时间提供BIM模型及有关成果，同时协助发包人及设计顾问人、监理人、造价咨询人等相关方正确使用。如承包人未按要求提供建筑信息模型（BIM）及有关应用成果，导致设计和（或）施工工期延误及费用增加，责任由承包人承担，按第44.8款约定处理。</w:t>
      </w:r>
    </w:p>
    <w:p w14:paraId="7189A82C">
      <w:pPr>
        <w:widowControl w:val="0"/>
        <w:numPr>
          <w:ilvl w:val="0"/>
          <w:numId w:val="11"/>
        </w:numPr>
        <w:spacing w:line="400" w:lineRule="exact"/>
        <w:ind w:left="1850" w:leftChars="771" w:firstLine="0"/>
        <w:jc w:val="both"/>
        <w:rPr>
          <w:rFonts w:ascii="仿宋" w:hAnsi="仿宋" w:eastAsia="仿宋" w:cs="仿宋"/>
          <w:lang w:eastAsia="zh-CN"/>
        </w:rPr>
      </w:pPr>
      <w:r>
        <w:rPr>
          <w:rFonts w:hint="eastAsia" w:ascii="仿宋" w:hAnsi="仿宋" w:eastAsia="仿宋" w:cs="仿宋"/>
          <w:lang w:eastAsia="zh-CN"/>
        </w:rPr>
        <w:t xml:space="preserve"> 建筑信息模型（BIM）及有关应用成果的完备性、正确性由承包人负责，若存在缺陷，承包人应及时修正，其造成的工程质量缺陷、工期延误及费用增加，责任由承包人承担。</w:t>
      </w:r>
    </w:p>
    <w:p w14:paraId="1A1ED739">
      <w:pPr>
        <w:widowControl w:val="0"/>
        <w:numPr>
          <w:ilvl w:val="0"/>
          <w:numId w:val="11"/>
        </w:numPr>
        <w:spacing w:line="400" w:lineRule="exact"/>
        <w:ind w:left="1850" w:leftChars="771" w:firstLine="0"/>
        <w:jc w:val="both"/>
        <w:rPr>
          <w:rFonts w:ascii="仿宋" w:hAnsi="仿宋" w:eastAsia="仿宋" w:cs="仿宋"/>
          <w:lang w:eastAsia="zh-CN"/>
        </w:rPr>
      </w:pPr>
      <w:r>
        <w:rPr>
          <w:rFonts w:hint="eastAsia" w:ascii="仿宋" w:hAnsi="仿宋" w:eastAsia="仿宋" w:cs="仿宋"/>
          <w:lang w:eastAsia="zh-CN"/>
        </w:rPr>
        <w:t xml:space="preserve"> 承包人应及时组织勘察、设计、BIM技术应用、采购、施工等专业负责人对建筑信息模型（BIM）及有关应用成果进行技术交底和审核，协调内部专业分工及责任划分，对建模的深度和质量进行完善和修正。</w:t>
      </w:r>
    </w:p>
    <w:p w14:paraId="02905C77">
      <w:pPr>
        <w:widowControl w:val="0"/>
        <w:numPr>
          <w:ilvl w:val="0"/>
          <w:numId w:val="11"/>
        </w:numPr>
        <w:spacing w:line="400" w:lineRule="exact"/>
        <w:ind w:left="1850" w:leftChars="771" w:firstLine="0"/>
        <w:jc w:val="both"/>
        <w:rPr>
          <w:rFonts w:ascii="仿宋" w:hAnsi="仿宋" w:eastAsia="仿宋" w:cs="仿宋"/>
          <w:lang w:eastAsia="zh-CN"/>
        </w:rPr>
      </w:pPr>
      <w:r>
        <w:rPr>
          <w:rFonts w:hint="eastAsia" w:ascii="仿宋" w:hAnsi="仿宋" w:eastAsia="仿宋" w:cs="仿宋"/>
          <w:lang w:eastAsia="zh-CN"/>
        </w:rPr>
        <w:t xml:space="preserve"> 承包人应按约定向发包人及设计顾问人、监理人、造价咨询人等相关方报送建筑信息模型（BIM）及有关应用成果，配合审查、审批或备案，确认工作完成时间和成果。但发包人及相关方的审查、审批或确认通过与否，发包人及相关方均不承担责任，建筑信息模型（BIM）及有关应用成果的质量责任由承包人承担。</w:t>
      </w:r>
    </w:p>
    <w:p w14:paraId="6D82AF32">
      <w:pPr>
        <w:widowControl w:val="0"/>
        <w:numPr>
          <w:ilvl w:val="0"/>
          <w:numId w:val="11"/>
        </w:numPr>
        <w:spacing w:line="400" w:lineRule="exact"/>
        <w:ind w:left="1850" w:leftChars="771" w:firstLine="0"/>
        <w:jc w:val="both"/>
        <w:rPr>
          <w:rFonts w:ascii="仿宋" w:hAnsi="仿宋" w:eastAsia="仿宋" w:cs="仿宋"/>
          <w:lang w:eastAsia="zh-CN"/>
        </w:rPr>
      </w:pPr>
      <w:r>
        <w:rPr>
          <w:rFonts w:hint="eastAsia" w:ascii="仿宋" w:hAnsi="仿宋" w:eastAsia="仿宋" w:cs="仿宋"/>
          <w:lang w:eastAsia="zh-CN"/>
        </w:rPr>
        <w:t xml:space="preserve"> 承包人应在发包人有建立BIM协同管理平台需求时协助发包人建立BIM协同管理平台，指导设计顾问人、监理人、造价咨询人等参建各方正确使用建筑信息模型（BIM）及有关应用成果，实现项目建设各阶段BIM应用的信息传递和共享。具体服务内容和要求在专用条款中约定。</w:t>
      </w:r>
    </w:p>
    <w:p w14:paraId="01A3CE59">
      <w:pPr>
        <w:spacing w:line="400" w:lineRule="exact"/>
        <w:rPr>
          <w:rFonts w:ascii="仿宋" w:hAnsi="仿宋" w:eastAsia="仿宋" w:cs="仿宋"/>
          <w:lang w:eastAsia="zh-CN"/>
        </w:rPr>
      </w:pPr>
      <w:r>
        <w:rPr>
          <w:rFonts w:ascii="仿宋" w:hAnsi="仿宋" w:eastAsia="仿宋" w:cs="仿宋"/>
          <w:b/>
          <w:bCs/>
          <w:u w:val="single"/>
          <w:lang w:eastAsia="zh-CN"/>
        </w:rPr>
        <w:t xml:space="preserve">                                                            </w:t>
      </w:r>
      <w:r>
        <w:rPr>
          <w:rFonts w:hint="eastAsia" w:ascii="仿宋" w:hAnsi="仿宋" w:eastAsia="仿宋" w:cs="仿宋"/>
          <w:b/>
          <w:bCs/>
          <w:u w:val="single"/>
          <w:lang w:eastAsia="zh-CN"/>
        </w:rPr>
        <w:t xml:space="preserve">      </w:t>
      </w:r>
      <w:r>
        <w:rPr>
          <w:rFonts w:ascii="仿宋" w:hAnsi="仿宋" w:eastAsia="仿宋" w:cs="仿宋"/>
          <w:b/>
          <w:bCs/>
          <w:u w:val="single"/>
          <w:lang w:eastAsia="zh-CN"/>
        </w:rPr>
        <w:t xml:space="preserve">                  </w:t>
      </w:r>
    </w:p>
    <w:p w14:paraId="5DBBE6BD">
      <w:pPr>
        <w:pStyle w:val="4"/>
        <w:tabs>
          <w:tab w:val="left" w:pos="360"/>
          <w:tab w:val="left" w:pos="420"/>
        </w:tabs>
        <w:spacing w:before="0" w:after="0" w:line="400" w:lineRule="exact"/>
        <w:rPr>
          <w:rFonts w:ascii="仿宋" w:hAnsi="仿宋" w:eastAsia="仿宋" w:cs="仿宋"/>
          <w:bCs w:val="0"/>
          <w:sz w:val="24"/>
          <w:szCs w:val="24"/>
        </w:rPr>
      </w:pPr>
      <w:bookmarkStart w:id="138" w:name="_Toc25717"/>
      <w:bookmarkStart w:id="139" w:name="_Toc194073113"/>
      <w:bookmarkStart w:id="140" w:name="_Toc25"/>
      <w:bookmarkStart w:id="141" w:name="_Toc21814"/>
      <w:r>
        <w:rPr>
          <w:rFonts w:hint="eastAsia" w:ascii="仿宋" w:hAnsi="仿宋" w:eastAsia="仿宋" w:cs="仿宋"/>
          <w:bCs w:val="0"/>
          <w:sz w:val="24"/>
          <w:szCs w:val="24"/>
        </w:rPr>
        <w:t>8 合同价格的控制原则</w:t>
      </w:r>
      <w:bookmarkEnd w:id="138"/>
      <w:bookmarkEnd w:id="139"/>
      <w:bookmarkEnd w:id="140"/>
      <w:bookmarkEnd w:id="141"/>
    </w:p>
    <w:p w14:paraId="2C670174">
      <w:pPr>
        <w:spacing w:line="400" w:lineRule="exact"/>
        <w:rPr>
          <w:rFonts w:ascii="仿宋" w:hAnsi="仿宋" w:eastAsia="仿宋" w:cs="仿宋"/>
          <w:b/>
          <w:lang w:eastAsia="zh-CN"/>
        </w:rPr>
      </w:pPr>
      <w:r>
        <w:rPr>
          <w:rFonts w:hint="eastAsia" w:ascii="仿宋" w:hAnsi="仿宋" w:eastAsia="仿宋" w:cs="仿宋"/>
          <w:b/>
          <w:lang w:eastAsia="zh-CN"/>
        </w:rPr>
        <w:t>8.1</w:t>
      </w:r>
    </w:p>
    <w:p w14:paraId="3211D1E8">
      <w:pPr>
        <w:widowControl w:val="0"/>
        <w:spacing w:line="400" w:lineRule="exact"/>
        <w:ind w:left="1850" w:leftChars="771"/>
        <w:jc w:val="both"/>
        <w:rPr>
          <w:rFonts w:ascii="仿宋" w:hAnsi="仿宋" w:eastAsia="仿宋" w:cs="仿宋"/>
          <w:lang w:eastAsia="zh-CN"/>
        </w:rPr>
      </w:pPr>
      <w:r>
        <w:rPr>
          <w:rFonts w:hint="eastAsia" w:ascii="仿宋" w:hAnsi="仿宋" w:eastAsia="仿宋" w:cs="仿宋"/>
        </w:rPr>
        <mc:AlternateContent>
          <mc:Choice Requires="wps">
            <w:drawing>
              <wp:anchor distT="0" distB="0" distL="114300" distR="114300" simplePos="0" relativeHeight="252091392" behindDoc="0" locked="0" layoutInCell="1" allowOverlap="1">
                <wp:simplePos x="0" y="0"/>
                <wp:positionH relativeFrom="column">
                  <wp:posOffset>-171450</wp:posOffset>
                </wp:positionH>
                <wp:positionV relativeFrom="paragraph">
                  <wp:posOffset>78105</wp:posOffset>
                </wp:positionV>
                <wp:extent cx="795655" cy="396240"/>
                <wp:effectExtent l="0" t="0" r="0" b="0"/>
                <wp:wrapNone/>
                <wp:docPr id="20" name="文本框 9"/>
                <wp:cNvGraphicFramePr/>
                <a:graphic xmlns:a="http://schemas.openxmlformats.org/drawingml/2006/main">
                  <a:graphicData uri="http://schemas.microsoft.com/office/word/2010/wordprocessingShape">
                    <wps:wsp>
                      <wps:cNvSpPr txBox="1"/>
                      <wps:spPr>
                        <a:xfrm>
                          <a:off x="0" y="0"/>
                          <a:ext cx="795655" cy="396240"/>
                        </a:xfrm>
                        <a:prstGeom prst="rect">
                          <a:avLst/>
                        </a:prstGeom>
                        <a:noFill/>
                        <a:ln w="12700">
                          <a:noFill/>
                        </a:ln>
                      </wps:spPr>
                      <wps:txbx>
                        <w:txbxContent>
                          <w:p w14:paraId="590C6B37">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合同总价的控制</w:t>
                            </w:r>
                          </w:p>
                        </w:txbxContent>
                      </wps:txbx>
                      <wps:bodyPr rot="0" vert="horz" wrap="square" lIns="91440" tIns="45720" rIns="91440" bIns="45720" anchor="t" anchorCtr="0"/>
                    </wps:wsp>
                  </a:graphicData>
                </a:graphic>
              </wp:anchor>
            </w:drawing>
          </mc:Choice>
          <mc:Fallback>
            <w:pict>
              <v:shape id="文本框 9" o:spid="_x0000_s1026" o:spt="202" type="#_x0000_t202" style="position:absolute;left:0pt;margin-left:-13.5pt;margin-top:6.15pt;height:31.2pt;width:62.65pt;z-index:252091392;mso-width-relative:page;mso-height-relative:page;" filled="f" stroked="f" coordsize="21600,21600" o:gfxdata="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I8GcPX&#10;AAAACAEAAA8AAAAAAAAAAQAgAAAAIgAAAGRycy9kb3ducmV2LnhtbFBLAQIUABQAAAAIAIdO4kCY&#10;eP7Q6AEAALsDAAAOAAAAAAAAAAEAIAAAACYBAABkcnMvZTJvRG9jLnhtbFBLBQYAAAAABgAGAFkB&#10;AACABQAAAAA=&#10;">
                <v:fill on="f" focussize="0,0"/>
                <v:stroke on="f" weight="1pt"/>
                <v:imagedata o:title=""/>
                <o:lock v:ext="edit" aspectratio="f"/>
                <v:textbox>
                  <w:txbxContent>
                    <w:p w14:paraId="590C6B37">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合同总价的控制</w:t>
                      </w:r>
                    </w:p>
                  </w:txbxContent>
                </v:textbox>
              </v:shape>
            </w:pict>
          </mc:Fallback>
        </mc:AlternateContent>
      </w:r>
      <w:r>
        <w:rPr>
          <w:rFonts w:hint="eastAsia" w:ascii="仿宋" w:hAnsi="仿宋" w:eastAsia="仿宋" w:cs="仿宋"/>
          <w:lang w:eastAsia="zh-CN"/>
        </w:rPr>
        <w:t>8.1.1 对于立项后发包的，总承包范围内的工程勘察费、工程设计费、BIM技术应用费、设备及工器具购置费、建筑安装工程费等各项费用的概算金额及汇总金额，不得超过已批准立项的投资估算中相应各项费用金额及汇总金额（经发包人批准的符合第69.3款约定的允许调整事项除外）。对于招标发包工程，以承包人的中标价签订合同总价，承包人的中标价不得超过发包人招标文件规定的招标最高限价（经发包人批准的符合第69.3款约定的允许调整事项除外）。</w:t>
      </w:r>
    </w:p>
    <w:p w14:paraId="303F425F">
      <w:pPr>
        <w:widowControl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8.1.2  对于初步设计批准或备案后发包的，总承包范围内的工程勘察费、工程设计费、BIM技术应用费、设备及工器具购置费、建筑安装工程费等各项费用及汇总金额，不得超过已批准的初步设计概算中相应各项费用的概算金额及汇总金额（经发包人批准的符合第69.3款约定的允许调整事项除外）。对于招标发包工程，以承包人的中标价签订合同总价，承包人的中标价不得超过发包人招标文件规定的招标最高限价（经发包人批准的符合第69.3款约定的允许调整事项除外）。</w:t>
      </w:r>
    </w:p>
    <w:p w14:paraId="30DA0AA8">
      <w:pPr>
        <w:widowControl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8.1.3 已批准或备案的投资估算或初步设计概算中，工程勘察费、工程设计费、BIM技术应用费中没有初步勘察费、详细勘察费、初步设计费、施工图设计费、设计建模、施工建模等项目建设各阶段相应费用明细列项的，发包人应对工程勘察费、工程设计费、BIM技术应用费等分别按其各阶段工作合理比例进行划分，作为总承包范围内工程勘察费、工程设计费、BIM技术应用费的控制指标。</w:t>
      </w:r>
    </w:p>
    <w:p w14:paraId="356CA07C">
      <w:pPr>
        <w:widowControl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8.1.4 按合同约定的计价方法及允许调整事项进行竣工结算，工程勘察费、工程设计费、BIM技术应用费、设备及工器具购置费、建筑安装工程费等结算金额及汇总金额不得超过协议书约定的相应合同价格、合同总价及允许调整金额。</w:t>
      </w:r>
    </w:p>
    <w:p w14:paraId="7DA249DB">
      <w:pPr>
        <w:spacing w:line="400" w:lineRule="exact"/>
        <w:rPr>
          <w:rFonts w:ascii="仿宋" w:hAnsi="仿宋" w:eastAsia="仿宋" w:cs="仿宋"/>
          <w:b/>
          <w:lang w:eastAsia="zh-CN"/>
        </w:rPr>
      </w:pPr>
      <w:r>
        <w:rPr>
          <w:rFonts w:hint="eastAsia" w:ascii="仿宋" w:hAnsi="仿宋" w:eastAsia="仿宋" w:cs="仿宋"/>
          <w:b/>
          <w:lang w:eastAsia="zh-CN"/>
        </w:rPr>
        <w:t>8.2</w:t>
      </w:r>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7AF72043">
      <w:pPr>
        <w:widowControl w:val="0"/>
        <w:spacing w:line="400" w:lineRule="exact"/>
        <w:ind w:left="1850" w:leftChars="771"/>
        <w:jc w:val="both"/>
        <w:rPr>
          <w:rFonts w:ascii="仿宋" w:hAnsi="仿宋" w:eastAsia="仿宋" w:cs="仿宋"/>
          <w:lang w:eastAsia="zh-CN"/>
        </w:rPr>
      </w:pPr>
      <w:r>
        <w:rPr>
          <w:rFonts w:ascii="仿宋" w:hAnsi="仿宋" w:eastAsia="仿宋" w:cs="仿宋"/>
        </w:rPr>
        <mc:AlternateContent>
          <mc:Choice Requires="wps">
            <w:drawing>
              <wp:anchor distT="0" distB="0" distL="114300" distR="114300" simplePos="0" relativeHeight="252081152" behindDoc="0" locked="0" layoutInCell="1" allowOverlap="1">
                <wp:simplePos x="0" y="0"/>
                <wp:positionH relativeFrom="column">
                  <wp:posOffset>-114300</wp:posOffset>
                </wp:positionH>
                <wp:positionV relativeFrom="paragraph">
                  <wp:posOffset>55880</wp:posOffset>
                </wp:positionV>
                <wp:extent cx="803910" cy="436245"/>
                <wp:effectExtent l="0" t="0" r="0" b="0"/>
                <wp:wrapNone/>
                <wp:docPr id="21" name="文本框 9"/>
                <wp:cNvGraphicFramePr/>
                <a:graphic xmlns:a="http://schemas.openxmlformats.org/drawingml/2006/main">
                  <a:graphicData uri="http://schemas.microsoft.com/office/word/2010/wordprocessingShape">
                    <wps:wsp>
                      <wps:cNvSpPr txBox="1"/>
                      <wps:spPr>
                        <a:xfrm>
                          <a:off x="0" y="0"/>
                          <a:ext cx="803910" cy="436245"/>
                        </a:xfrm>
                        <a:prstGeom prst="rect">
                          <a:avLst/>
                        </a:prstGeom>
                        <a:noFill/>
                        <a:ln w="12700">
                          <a:noFill/>
                        </a:ln>
                      </wps:spPr>
                      <wps:txbx>
                        <w:txbxContent>
                          <w:p w14:paraId="131C06A5">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勘察费的控制</w:t>
                            </w:r>
                          </w:p>
                        </w:txbxContent>
                      </wps:txbx>
                      <wps:bodyPr rot="0" vert="horz" wrap="square" lIns="91440" tIns="45720" rIns="91440" bIns="45720" anchor="t" anchorCtr="0"/>
                    </wps:wsp>
                  </a:graphicData>
                </a:graphic>
              </wp:anchor>
            </w:drawing>
          </mc:Choice>
          <mc:Fallback>
            <w:pict>
              <v:shape id="文本框 9" o:spid="_x0000_s1026" o:spt="202" type="#_x0000_t202" style="position:absolute;left:0pt;margin-left:-9pt;margin-top:4.4pt;height:34.35pt;width:63.3pt;z-index:252081152;mso-width-relative:page;mso-height-relative:page;" filled="f" stroked="f" coordsize="21600,21600" o:gfxdata="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EqYhj1gAA&#10;AAgBAAAPAAAAAAAAAAEAIAAAACIAAABkcnMvZG93bnJldi54bWxQSwECFAAUAAAACACHTuJA1wyo&#10;qecBAAC7AwAADgAAAAAAAAABACAAAAAlAQAAZHJzL2Uyb0RvYy54bWxQSwUGAAAAAAYABgBZAQAA&#10;fgUAAAAA&#10;">
                <v:fill on="f" focussize="0,0"/>
                <v:stroke on="f" weight="1pt"/>
                <v:imagedata o:title=""/>
                <o:lock v:ext="edit" aspectratio="f"/>
                <v:textbox>
                  <w:txbxContent>
                    <w:p w14:paraId="131C06A5">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勘察费的控制</w:t>
                      </w:r>
                    </w:p>
                  </w:txbxContent>
                </v:textbox>
              </v:shape>
            </w:pict>
          </mc:Fallback>
        </mc:AlternateContent>
      </w:r>
      <w:r>
        <w:rPr>
          <w:rFonts w:hint="eastAsia" w:ascii="仿宋" w:hAnsi="仿宋" w:eastAsia="仿宋" w:cs="仿宋"/>
          <w:lang w:eastAsia="zh-CN"/>
        </w:rPr>
        <w:t>8.2.1对于立项后发包、合同约定由承包人提供勘察服务的，承包人应按专用条款约定的计价方式和允许调整事项编制初步设计概算，工程勘察费概算金额不得超过协议书中约定的相应合同价格及允许调整金额。</w:t>
      </w:r>
    </w:p>
    <w:p w14:paraId="3402B7F0">
      <w:pPr>
        <w:widowControl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8.2.2对于初步设计批准或备案后发包、合同约定由承包人提供详细勘察服务的，承包人应按专用条款约定的计价方式和允许调整事项计算，工程勘察费金额不得超过协议书中约定的相应合同价格及允许调整金额。</w:t>
      </w:r>
    </w:p>
    <w:p w14:paraId="28E1BEC4">
      <w:pPr>
        <w:widowControl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8.2.3按合同约定的计价方法及允许调整事项进行工程勘察费结算，其结算金额不得超过协议书约定的工程勘察费合同价格及允许调整金额。</w:t>
      </w:r>
    </w:p>
    <w:p w14:paraId="400847C1">
      <w:pPr>
        <w:spacing w:line="400" w:lineRule="exact"/>
        <w:rPr>
          <w:rFonts w:ascii="仿宋" w:hAnsi="仿宋" w:eastAsia="仿宋" w:cs="仿宋"/>
          <w:b/>
          <w:lang w:eastAsia="zh-CN"/>
        </w:rPr>
      </w:pPr>
      <w:bookmarkStart w:id="142" w:name="_Toc11973"/>
      <w:r>
        <w:rPr>
          <w:rFonts w:ascii="仿宋" w:hAnsi="仿宋" w:eastAsia="仿宋" w:cs="仿宋"/>
        </w:rPr>
        <mc:AlternateContent>
          <mc:Choice Requires="wps">
            <w:drawing>
              <wp:anchor distT="0" distB="0" distL="114300" distR="114300" simplePos="0" relativeHeight="252092416" behindDoc="0" locked="0" layoutInCell="1" allowOverlap="1">
                <wp:simplePos x="0" y="0"/>
                <wp:positionH relativeFrom="column">
                  <wp:posOffset>-114300</wp:posOffset>
                </wp:positionH>
                <wp:positionV relativeFrom="paragraph">
                  <wp:posOffset>292100</wp:posOffset>
                </wp:positionV>
                <wp:extent cx="813435" cy="417195"/>
                <wp:effectExtent l="0" t="0" r="0" b="0"/>
                <wp:wrapNone/>
                <wp:docPr id="22" name="文本框 9"/>
                <wp:cNvGraphicFramePr/>
                <a:graphic xmlns:a="http://schemas.openxmlformats.org/drawingml/2006/main">
                  <a:graphicData uri="http://schemas.microsoft.com/office/word/2010/wordprocessingShape">
                    <wps:wsp>
                      <wps:cNvSpPr txBox="1"/>
                      <wps:spPr>
                        <a:xfrm>
                          <a:off x="0" y="0"/>
                          <a:ext cx="813435" cy="417195"/>
                        </a:xfrm>
                        <a:prstGeom prst="rect">
                          <a:avLst/>
                        </a:prstGeom>
                        <a:noFill/>
                        <a:ln w="12700">
                          <a:noFill/>
                        </a:ln>
                      </wps:spPr>
                      <wps:txbx>
                        <w:txbxContent>
                          <w:p w14:paraId="2A52DE45">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设计费的控制</w:t>
                            </w:r>
                          </w:p>
                        </w:txbxContent>
                      </wps:txbx>
                      <wps:bodyPr rot="0" vert="horz" wrap="square" lIns="91440" tIns="45720" rIns="91440" bIns="45720" anchor="t" anchorCtr="0"/>
                    </wps:wsp>
                  </a:graphicData>
                </a:graphic>
              </wp:anchor>
            </w:drawing>
          </mc:Choice>
          <mc:Fallback>
            <w:pict>
              <v:shape id="文本框 9" o:spid="_x0000_s1026" o:spt="202" type="#_x0000_t202" style="position:absolute;left:0pt;margin-left:-9pt;margin-top:23pt;height:32.85pt;width:64.05pt;z-index:252092416;mso-width-relative:page;mso-height-relative:page;" filled="f" stroked="f" coordsize="21600,21600" o:gfxdata="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jES9jX&#10;AAAACgEAAA8AAAAAAAAAAQAgAAAAIgAAAGRycy9kb3ducmV2LnhtbFBLAQIUABQAAAAIAIdO4kDR&#10;NY0v6AEAALsDAAAOAAAAAAAAAAEAIAAAACYBAABkcnMvZTJvRG9jLnhtbFBLBQYAAAAABgAGAFkB&#10;AACABQAAAAA=&#10;">
                <v:fill on="f" focussize="0,0"/>
                <v:stroke on="f" weight="1pt"/>
                <v:imagedata o:title=""/>
                <o:lock v:ext="edit" aspectratio="f"/>
                <v:textbox>
                  <w:txbxContent>
                    <w:p w14:paraId="2A52DE45">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设计费的控制</w:t>
                      </w:r>
                    </w:p>
                  </w:txbxContent>
                </v:textbox>
              </v:shape>
            </w:pict>
          </mc:Fallback>
        </mc:AlternateContent>
      </w:r>
      <w:r>
        <w:rPr>
          <w:rFonts w:hint="eastAsia" w:ascii="仿宋" w:hAnsi="仿宋" w:eastAsia="仿宋" w:cs="仿宋"/>
          <w:b/>
          <w:lang w:eastAsia="zh-CN"/>
        </w:rPr>
        <w:t>8.3</w:t>
      </w:r>
      <w:bookmarkEnd w:id="142"/>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657B2158">
      <w:pPr>
        <w:widowControl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8.3.1对于立项后发包的、合同约定由承包人提供初步设计、施工图设计等服务的，承包人应按专用条款约定的计价方式和允许调整事项编制初步设计概算，初步设计费、施工图设计费等概算金额不得超过协议书中约定的相应合同价格及允许调整金额。</w:t>
      </w:r>
    </w:p>
    <w:p w14:paraId="63ECC479">
      <w:pPr>
        <w:widowControl w:val="0"/>
        <w:spacing w:line="400" w:lineRule="exact"/>
        <w:ind w:left="1850" w:leftChars="771"/>
        <w:jc w:val="both"/>
        <w:rPr>
          <w:rFonts w:ascii="仿宋" w:hAnsi="仿宋" w:eastAsia="仿宋" w:cs="仿宋"/>
          <w:strike/>
          <w:lang w:eastAsia="zh-CN"/>
        </w:rPr>
      </w:pPr>
      <w:r>
        <w:rPr>
          <w:rFonts w:hint="eastAsia" w:ascii="仿宋" w:hAnsi="仿宋" w:eastAsia="仿宋" w:cs="仿宋"/>
          <w:lang w:eastAsia="zh-CN"/>
        </w:rPr>
        <w:t>8.3.2对于初步设计批准或备案后发包的、合同约定由承包人提供施工图设计服务的，承包人应按专用条款约定的计价方式和允许调整事项计算，施工图设计费金额不得超过协议书中约定的相应合同价格及允许调整金额。</w:t>
      </w:r>
    </w:p>
    <w:p w14:paraId="44D976E0">
      <w:pPr>
        <w:widowControl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8.3.3  按合同约定的计价方法及允许调整事项进行工程设计费结算，其结算金额不得超过协议书约定的相应合同价格及允许调整金额。</w:t>
      </w:r>
    </w:p>
    <w:p w14:paraId="3E715674">
      <w:pPr>
        <w:spacing w:line="400" w:lineRule="exact"/>
        <w:rPr>
          <w:rFonts w:ascii="仿宋" w:hAnsi="仿宋" w:eastAsia="仿宋" w:cs="仿宋"/>
          <w:b/>
          <w:lang w:eastAsia="zh-CN"/>
        </w:rPr>
      </w:pPr>
      <w:bookmarkStart w:id="143" w:name="_Toc15376"/>
      <w:r>
        <w:rPr>
          <w:rFonts w:ascii="仿宋" w:hAnsi="仿宋" w:eastAsia="仿宋" w:cs="仿宋"/>
        </w:rPr>
        <mc:AlternateContent>
          <mc:Choice Requires="wps">
            <w:drawing>
              <wp:anchor distT="0" distB="0" distL="114300" distR="114300" simplePos="0" relativeHeight="252094464" behindDoc="0" locked="0" layoutInCell="1" allowOverlap="1">
                <wp:simplePos x="0" y="0"/>
                <wp:positionH relativeFrom="column">
                  <wp:posOffset>-114300</wp:posOffset>
                </wp:positionH>
                <wp:positionV relativeFrom="paragraph">
                  <wp:posOffset>269875</wp:posOffset>
                </wp:positionV>
                <wp:extent cx="803910" cy="473710"/>
                <wp:effectExtent l="0" t="0" r="0" b="0"/>
                <wp:wrapNone/>
                <wp:docPr id="23" name="文本框 9"/>
                <wp:cNvGraphicFramePr/>
                <a:graphic xmlns:a="http://schemas.openxmlformats.org/drawingml/2006/main">
                  <a:graphicData uri="http://schemas.microsoft.com/office/word/2010/wordprocessingShape">
                    <wps:wsp>
                      <wps:cNvSpPr txBox="1"/>
                      <wps:spPr>
                        <a:xfrm>
                          <a:off x="0" y="0"/>
                          <a:ext cx="803910" cy="473710"/>
                        </a:xfrm>
                        <a:prstGeom prst="rect">
                          <a:avLst/>
                        </a:prstGeom>
                        <a:noFill/>
                        <a:ln w="12700">
                          <a:noFill/>
                        </a:ln>
                      </wps:spPr>
                      <wps:txbx>
                        <w:txbxContent>
                          <w:p w14:paraId="6F2A59F1">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BIM技术应用费的控制</w:t>
                            </w:r>
                          </w:p>
                        </w:txbxContent>
                      </wps:txbx>
                      <wps:bodyPr rot="0" vert="horz" wrap="square" lIns="91440" tIns="45720" rIns="91440" bIns="45720" anchor="t" anchorCtr="0"/>
                    </wps:wsp>
                  </a:graphicData>
                </a:graphic>
              </wp:anchor>
            </w:drawing>
          </mc:Choice>
          <mc:Fallback>
            <w:pict>
              <v:shape id="文本框 9" o:spid="_x0000_s1026" o:spt="202" type="#_x0000_t202" style="position:absolute;left:0pt;margin-left:-9pt;margin-top:21.25pt;height:37.3pt;width:63.3pt;z-index:252094464;mso-width-relative:page;mso-height-relative:page;" filled="f" stroked="f" coordsize="21600,21600" o:gfxdata="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sOxLi&#10;2QAAAAoBAAAPAAAAAAAAAAEAIAAAACIAAABkcnMvZG93bnJldi54bWxQSwECFAAUAAAACACHTuJA&#10;0xv2/+cBAAC7AwAADgAAAAAAAAABACAAAAAoAQAAZHJzL2Uyb0RvYy54bWxQSwUGAAAAAAYABgBZ&#10;AQAAgQUAAAAA&#10;">
                <v:fill on="f" focussize="0,0"/>
                <v:stroke on="f" weight="1pt"/>
                <v:imagedata o:title=""/>
                <o:lock v:ext="edit" aspectratio="f"/>
                <v:textbox>
                  <w:txbxContent>
                    <w:p w14:paraId="6F2A59F1">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BIM技术应用费的控制</w:t>
                      </w:r>
                    </w:p>
                  </w:txbxContent>
                </v:textbox>
              </v:shape>
            </w:pict>
          </mc:Fallback>
        </mc:AlternateContent>
      </w:r>
      <w:r>
        <w:rPr>
          <w:rFonts w:hint="eastAsia" w:ascii="仿宋" w:hAnsi="仿宋" w:eastAsia="仿宋" w:cs="仿宋"/>
          <w:b/>
          <w:lang w:eastAsia="zh-CN"/>
        </w:rPr>
        <w:t>8.4</w:t>
      </w:r>
      <w:bookmarkEnd w:id="143"/>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74DCB2B1">
      <w:pPr>
        <w:widowControl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8.4.1对于可行性研究批准立项或备案后发包的、合同约定由承包人提供初步设计、施工图设计、施工、竣工验收、运维（如果有）等阶段BIM技术应用的，承包人应按专用条款约定的计价方式和允许调整事项编制初步设计概算，BIM技术应用费的概算金额不得超过已批准立项的投资估算中相应费用的金额。</w:t>
      </w:r>
    </w:p>
    <w:p w14:paraId="67EB3021">
      <w:pPr>
        <w:widowControl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8.4.2对于初步设计批准或备案后发包的、合同约定由承包人提供施工图设计、施工、竣工验收、运维（如果有）等阶段BIM技术应用的，承包人应按专用条款约定的计价方式和允许调整事项计算，BIM技术应用费金额不得超过协议书中约定的相应合同价格及允许调整金额。</w:t>
      </w:r>
    </w:p>
    <w:p w14:paraId="2ED6FE0B">
      <w:pPr>
        <w:widowControl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8.4.3  按合同约定的计价方法及允许调整事项进行BIM技术应用费结算，其结算金额不得超过协议书约定的相应合同价格及允许调整金额。</w:t>
      </w:r>
    </w:p>
    <w:p w14:paraId="54AD9035">
      <w:pPr>
        <w:spacing w:line="400" w:lineRule="exact"/>
        <w:rPr>
          <w:rFonts w:ascii="仿宋" w:hAnsi="仿宋" w:eastAsia="仿宋" w:cs="仿宋"/>
          <w:b/>
          <w:lang w:eastAsia="zh-CN"/>
        </w:rPr>
      </w:pPr>
      <w:bookmarkStart w:id="144" w:name="_Toc10468"/>
      <w:r>
        <w:rPr>
          <w:rFonts w:hint="eastAsia" w:ascii="仿宋" w:hAnsi="仿宋" w:eastAsia="仿宋" w:cs="仿宋"/>
          <w:b/>
          <w:lang w:eastAsia="zh-CN"/>
        </w:rPr>
        <w:t>8.5</w:t>
      </w:r>
      <w:bookmarkEnd w:id="144"/>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131750D6">
      <w:pPr>
        <w:widowControl w:val="0"/>
        <w:spacing w:line="400" w:lineRule="exact"/>
        <w:ind w:left="1850" w:leftChars="771"/>
        <w:jc w:val="both"/>
        <w:rPr>
          <w:rFonts w:ascii="仿宋" w:hAnsi="仿宋" w:eastAsia="仿宋" w:cs="仿宋"/>
          <w:lang w:eastAsia="zh-CN"/>
        </w:rPr>
      </w:pPr>
      <w:r>
        <w:rPr>
          <w:rFonts w:hint="eastAsia" w:ascii="仿宋" w:hAnsi="仿宋" w:eastAsia="仿宋" w:cs="仿宋"/>
          <w:b/>
        </w:rPr>
        <mc:AlternateContent>
          <mc:Choice Requires="wps">
            <w:drawing>
              <wp:anchor distT="0" distB="0" distL="114300" distR="114300" simplePos="0" relativeHeight="252093440" behindDoc="0" locked="0" layoutInCell="1" allowOverlap="1">
                <wp:simplePos x="0" y="0"/>
                <wp:positionH relativeFrom="column">
                  <wp:posOffset>-114300</wp:posOffset>
                </wp:positionH>
                <wp:positionV relativeFrom="paragraph">
                  <wp:posOffset>50800</wp:posOffset>
                </wp:positionV>
                <wp:extent cx="803910" cy="378460"/>
                <wp:effectExtent l="0" t="0" r="0" b="0"/>
                <wp:wrapNone/>
                <wp:docPr id="24" name="文本框 9"/>
                <wp:cNvGraphicFramePr/>
                <a:graphic xmlns:a="http://schemas.openxmlformats.org/drawingml/2006/main">
                  <a:graphicData uri="http://schemas.microsoft.com/office/word/2010/wordprocessingShape">
                    <wps:wsp>
                      <wps:cNvSpPr txBox="1"/>
                      <wps:spPr>
                        <a:xfrm>
                          <a:off x="0" y="0"/>
                          <a:ext cx="803910" cy="378460"/>
                        </a:xfrm>
                        <a:prstGeom prst="rect">
                          <a:avLst/>
                        </a:prstGeom>
                        <a:noFill/>
                        <a:ln w="12700">
                          <a:noFill/>
                        </a:ln>
                      </wps:spPr>
                      <wps:txbx>
                        <w:txbxContent>
                          <w:p w14:paraId="366FFBDE">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建筑安装工程费的控制</w:t>
                            </w:r>
                          </w:p>
                        </w:txbxContent>
                      </wps:txbx>
                      <wps:bodyPr rot="0" vert="horz" wrap="square" lIns="91440" tIns="45720" rIns="91440" bIns="45720" anchor="t" anchorCtr="0"/>
                    </wps:wsp>
                  </a:graphicData>
                </a:graphic>
              </wp:anchor>
            </w:drawing>
          </mc:Choice>
          <mc:Fallback>
            <w:pict>
              <v:shape id="文本框 9" o:spid="_x0000_s1026" o:spt="202" type="#_x0000_t202" style="position:absolute;left:0pt;margin-left:-9pt;margin-top:4pt;height:29.8pt;width:63.3pt;z-index:252093440;mso-width-relative:page;mso-height-relative:page;" filled="f" stroked="f" coordsize="21600,21600" o:gfxdata="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3R2kL9YA&#10;AAAIAQAADwAAAAAAAAABACAAAAAiAAAAZHJzL2Rvd25yZXYueG1sUEsBAhQAFAAAAAgAh07iQCYm&#10;uEnoAQAAuwMAAA4AAAAAAAAAAQAgAAAAJQEAAGRycy9lMm9Eb2MueG1sUEsFBgAAAAAGAAYAWQEA&#10;AH8FAAAAAA==&#10;">
                <v:fill on="f" focussize="0,0"/>
                <v:stroke on="f" weight="1pt"/>
                <v:imagedata o:title=""/>
                <o:lock v:ext="edit" aspectratio="f"/>
                <v:textbox>
                  <w:txbxContent>
                    <w:p w14:paraId="366FFBDE">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建筑安装工程费的控制</w:t>
                      </w:r>
                    </w:p>
                  </w:txbxContent>
                </v:textbox>
              </v:shape>
            </w:pict>
          </mc:Fallback>
        </mc:AlternateContent>
      </w:r>
      <w:r>
        <w:rPr>
          <w:rFonts w:hint="eastAsia" w:ascii="仿宋" w:hAnsi="仿宋" w:eastAsia="仿宋" w:cs="仿宋"/>
          <w:lang w:eastAsia="zh-CN"/>
        </w:rPr>
        <w:t>8.5.1建筑安装工程费严格实行限额设计，承包人提供的初步设计文件（如果有）、施工图设计文件、变更设计文件（如果有）均不得高于专用条款约定的相应投资限额（包括总额限额及专业分解限额指标）。承包人的设计应当依据分解限额控制标准和规模，确保项目投资得到充分利用，层层控制，但不得突破。确需局部突破的，必须获得发包人批准并应重新分配专业分解指标，确保总额不突破相应限额及合同约定允许调整金额，否则超出部分由承包人自行承担。</w:t>
      </w:r>
    </w:p>
    <w:p w14:paraId="1026820B">
      <w:pPr>
        <w:widowControl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8.5.2对于立项后发包的，在初步设计符合承包范围、工程内容、功能、规模、标准等要求的前提下，承包人应按专用条款约定的计价方式和允许调整事项编制初步设计概算，建筑安装工程费金额不得超过协议书约定的相应合同价格及允许调整金额。否则，承包人应在不降低承包范围、工程内容、功能、规模、标准等要求的前提下组织优化设计并修编初步设计概算。</w:t>
      </w:r>
    </w:p>
    <w:p w14:paraId="061F951B">
      <w:pPr>
        <w:widowControl w:val="0"/>
        <w:spacing w:line="400" w:lineRule="exact"/>
        <w:ind w:left="1848" w:leftChars="770"/>
        <w:jc w:val="both"/>
        <w:rPr>
          <w:rFonts w:ascii="仿宋" w:hAnsi="仿宋" w:eastAsia="仿宋" w:cs="仿宋"/>
          <w:strike/>
          <w:lang w:eastAsia="zh-CN"/>
        </w:rPr>
      </w:pPr>
      <w:r>
        <w:rPr>
          <w:rFonts w:hint="eastAsia" w:ascii="仿宋" w:hAnsi="仿宋" w:eastAsia="仿宋" w:cs="仿宋"/>
          <w:lang w:eastAsia="zh-CN"/>
        </w:rPr>
        <w:t>8.5.3 对于初步设计批准或备案后发包的，在施工图符合承包范围、工程内容、功能、规模、标准等要求的前提下，应按专用条款约定的计价方式和允许调整事项编制施工图预算，其施工图预算金额不得超过协议书约定的相应合同价格及允许调整金额。否则，承包人应在不降低承包范围、工程内容、功能、规模、标准等要求的前提下组织优化设计并修编施工图预算。</w:t>
      </w:r>
    </w:p>
    <w:p w14:paraId="7C41E01C">
      <w:pPr>
        <w:widowControl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8.5.4 按合同约定的计价方法及允许调整事项进行建筑安装工程费结算，其结算金额不得超过协议书约定的相应合同价格及允许调整金额。</w:t>
      </w:r>
    </w:p>
    <w:p w14:paraId="3A28E150">
      <w:pPr>
        <w:widowControl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8.5.5 若合同价格清单中存在暂列金额的，承包人应在初步设计、施工图设计及施工过程中及时报设计顾问人或监理人进行变更、现场签证等确认，并编制变更预算、现场签证费报造价咨询人审核确认，及时对比累计变更、签证金额与暂列金额的差值。合同工程竣工后，除合同双方当事人另有约定外，累计变更、签证金额不得突破合同约定的暂列金额。</w:t>
      </w:r>
    </w:p>
    <w:p w14:paraId="13B76A21">
      <w:pPr>
        <w:widowControl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8.5.6 若合同价格清单中存在专业工程或工程材料、工程设备暂估价，承包人应及时取得发包人的明确要求完成设计、采购或施工，也可遵守法律、政策规定通过招标或直接分包委托分包人完成设计、采购或施工，按变更事项报发包人批准后实施，除合同双方当事人另有约定外，不得突破合同约定的相应暂估价。</w:t>
      </w:r>
    </w:p>
    <w:p w14:paraId="30D7980B">
      <w:pPr>
        <w:spacing w:line="400" w:lineRule="exact"/>
        <w:rPr>
          <w:rFonts w:ascii="仿宋" w:hAnsi="仿宋" w:eastAsia="仿宋" w:cs="仿宋"/>
          <w:b/>
          <w:lang w:eastAsia="zh-CN"/>
        </w:rPr>
      </w:pPr>
      <w:r>
        <w:rPr>
          <w:rFonts w:hint="eastAsia" w:ascii="仿宋" w:hAnsi="仿宋" w:eastAsia="仿宋" w:cs="仿宋"/>
          <w:b/>
          <w:lang w:eastAsia="zh-CN"/>
        </w:rPr>
        <w:t>8.6</w:t>
      </w:r>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41B4674F">
      <w:pPr>
        <w:widowControl w:val="0"/>
        <w:spacing w:line="400" w:lineRule="exact"/>
        <w:ind w:left="1850" w:leftChars="771"/>
        <w:rPr>
          <w:rFonts w:ascii="仿宋" w:hAnsi="仿宋" w:eastAsia="仿宋" w:cs="仿宋"/>
          <w:lang w:eastAsia="zh-CN"/>
        </w:rPr>
      </w:pPr>
      <w:r>
        <w:rPr>
          <w:rFonts w:hint="eastAsia" w:ascii="仿宋" w:hAnsi="仿宋" w:eastAsia="仿宋" w:cs="仿宋"/>
          <w:b/>
        </w:rPr>
        <mc:AlternateContent>
          <mc:Choice Requires="wps">
            <w:drawing>
              <wp:anchor distT="0" distB="0" distL="114300" distR="114300" simplePos="0" relativeHeight="252095488" behindDoc="0" locked="0" layoutInCell="1" allowOverlap="1">
                <wp:simplePos x="0" y="0"/>
                <wp:positionH relativeFrom="column">
                  <wp:posOffset>-114300</wp:posOffset>
                </wp:positionH>
                <wp:positionV relativeFrom="paragraph">
                  <wp:posOffset>50800</wp:posOffset>
                </wp:positionV>
                <wp:extent cx="794385" cy="527685"/>
                <wp:effectExtent l="0" t="0" r="0" b="0"/>
                <wp:wrapNone/>
                <wp:docPr id="25" name="文本框 9"/>
                <wp:cNvGraphicFramePr/>
                <a:graphic xmlns:a="http://schemas.openxmlformats.org/drawingml/2006/main">
                  <a:graphicData uri="http://schemas.microsoft.com/office/word/2010/wordprocessingShape">
                    <wps:wsp>
                      <wps:cNvSpPr txBox="1"/>
                      <wps:spPr>
                        <a:xfrm>
                          <a:off x="0" y="0"/>
                          <a:ext cx="794385" cy="527685"/>
                        </a:xfrm>
                        <a:prstGeom prst="rect">
                          <a:avLst/>
                        </a:prstGeom>
                        <a:noFill/>
                        <a:ln w="12700">
                          <a:noFill/>
                        </a:ln>
                      </wps:spPr>
                      <wps:txbx>
                        <w:txbxContent>
                          <w:p w14:paraId="34F96B99">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设备及工器具购置费的控制</w:t>
                            </w:r>
                          </w:p>
                        </w:txbxContent>
                      </wps:txbx>
                      <wps:bodyPr rot="0" vert="horz" wrap="square" lIns="91440" tIns="45720" rIns="91440" bIns="45720" anchor="t" anchorCtr="0"/>
                    </wps:wsp>
                  </a:graphicData>
                </a:graphic>
              </wp:anchor>
            </w:drawing>
          </mc:Choice>
          <mc:Fallback>
            <w:pict>
              <v:shape id="文本框 9" o:spid="_x0000_s1026" o:spt="202" type="#_x0000_t202" style="position:absolute;left:0pt;margin-left:-9pt;margin-top:4pt;height:41.55pt;width:62.55pt;z-index:252095488;mso-width-relative:page;mso-height-relative:page;" filled="f" stroked="f" coordsize="21600,21600" o:gfxdata="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Q2d921gAA&#10;AAgBAAAPAAAAAAAAAAEAIAAAACIAAABkcnMvZG93bnJldi54bWxQSwECFAAUAAAACACHTuJAGpyO&#10;V+cBAAC7AwAADgAAAAAAAAABACAAAAAlAQAAZHJzL2Uyb0RvYy54bWxQSwUGAAAAAAYABgBZAQAA&#10;fgUAAAAA&#10;">
                <v:fill on="f" focussize="0,0"/>
                <v:stroke on="f" weight="1pt"/>
                <v:imagedata o:title=""/>
                <o:lock v:ext="edit" aspectratio="f"/>
                <v:textbox>
                  <w:txbxContent>
                    <w:p w14:paraId="34F96B99">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设备及工器具购置费的控制</w:t>
                      </w:r>
                    </w:p>
                  </w:txbxContent>
                </v:textbox>
              </v:shape>
            </w:pict>
          </mc:Fallback>
        </mc:AlternateContent>
      </w:r>
      <w:r>
        <w:rPr>
          <w:rFonts w:hint="eastAsia" w:ascii="仿宋" w:hAnsi="仿宋" w:eastAsia="仿宋" w:cs="仿宋"/>
          <w:lang w:eastAsia="zh-CN"/>
        </w:rPr>
        <w:t>8.6.1 对于可行性研究批准立项或备案后发包的，在初步设计符合承包范围、工程内容、功能、规模、标准等要求的前提下，承包人应按专用条款约定的计价方式和允许调整事项编制初步设计概算，设备及工器具购置费概算金额不得超过协议书约定的相应合同价格及允许调整金额。</w:t>
      </w:r>
    </w:p>
    <w:p w14:paraId="75ACBB57">
      <w:pPr>
        <w:widowControl w:val="0"/>
        <w:spacing w:line="400" w:lineRule="exact"/>
        <w:ind w:left="1850" w:leftChars="771"/>
        <w:rPr>
          <w:rFonts w:ascii="仿宋" w:hAnsi="仿宋" w:eastAsia="仿宋" w:cs="仿宋"/>
          <w:lang w:eastAsia="zh-CN"/>
        </w:rPr>
      </w:pPr>
      <w:r>
        <w:rPr>
          <w:rFonts w:hint="eastAsia" w:ascii="仿宋" w:hAnsi="仿宋" w:eastAsia="仿宋" w:cs="仿宋"/>
          <w:lang w:eastAsia="zh-CN"/>
        </w:rPr>
        <w:t>8.6.2 对于初步设计批准或备案后发包的，在施工图符合承包范围、工程内容、功能、规模、标准等要求的前提下，承包人应按专用条款约定的计价方式和允许调整事项计算，设备及工器具购置费金额不得超过协议书约定的相应合同价格及允许调整金额。</w:t>
      </w:r>
    </w:p>
    <w:p w14:paraId="6F9CF364">
      <w:pPr>
        <w:widowControl w:val="0"/>
        <w:spacing w:line="400" w:lineRule="exact"/>
        <w:ind w:left="1850" w:leftChars="771"/>
        <w:rPr>
          <w:rFonts w:ascii="仿宋" w:hAnsi="仿宋" w:eastAsia="仿宋" w:cs="仿宋"/>
          <w:lang w:eastAsia="zh-CN"/>
        </w:rPr>
      </w:pPr>
      <w:r>
        <w:rPr>
          <w:rFonts w:hint="eastAsia" w:ascii="仿宋" w:hAnsi="仿宋" w:eastAsia="仿宋" w:cs="仿宋"/>
          <w:lang w:eastAsia="zh-CN"/>
        </w:rPr>
        <w:t>8.6.3 按合同约定的计价方法及允许调整事项进行设备及工器具购置费结算，其结算金额不得超过协议书约定的相应合同价格及允许调整金额。</w:t>
      </w:r>
    </w:p>
    <w:p w14:paraId="7AE3BB67">
      <w:pPr>
        <w:spacing w:line="400" w:lineRule="exact"/>
        <w:rPr>
          <w:rFonts w:ascii="仿宋" w:hAnsi="仿宋" w:eastAsia="仿宋"/>
          <w:lang w:eastAsia="zh-CN"/>
        </w:rPr>
      </w:pPr>
      <w:r>
        <w:rPr>
          <w:rFonts w:ascii="仿宋" w:hAnsi="仿宋" w:eastAsia="仿宋" w:cs="仿宋"/>
          <w:b/>
          <w:bCs/>
          <w:u w:val="single"/>
          <w:lang w:eastAsia="zh-CN"/>
        </w:rPr>
        <w:t xml:space="preserve">                                                            </w:t>
      </w:r>
      <w:r>
        <w:rPr>
          <w:rFonts w:hint="eastAsia" w:ascii="仿宋" w:hAnsi="仿宋" w:eastAsia="仿宋" w:cs="仿宋"/>
          <w:b/>
          <w:bCs/>
          <w:u w:val="single"/>
          <w:lang w:eastAsia="zh-CN"/>
        </w:rPr>
        <w:t xml:space="preserve">      </w:t>
      </w:r>
      <w:r>
        <w:rPr>
          <w:rFonts w:ascii="仿宋" w:hAnsi="仿宋" w:eastAsia="仿宋" w:cs="仿宋"/>
          <w:b/>
          <w:bCs/>
          <w:u w:val="single"/>
          <w:lang w:eastAsia="zh-CN"/>
        </w:rPr>
        <w:t xml:space="preserve">                  </w:t>
      </w:r>
    </w:p>
    <w:p w14:paraId="5A43FB5F">
      <w:pPr>
        <w:pStyle w:val="4"/>
        <w:tabs>
          <w:tab w:val="left" w:pos="420"/>
        </w:tabs>
        <w:spacing w:before="0" w:after="0" w:line="400" w:lineRule="exact"/>
        <w:rPr>
          <w:rFonts w:ascii="仿宋" w:hAnsi="仿宋" w:eastAsia="仿宋"/>
          <w:sz w:val="24"/>
          <w:szCs w:val="24"/>
          <w:lang w:eastAsia="zh-CN"/>
        </w:rPr>
      </w:pPr>
      <w:bookmarkStart w:id="145" w:name="_Toc24608"/>
      <w:bookmarkStart w:id="146" w:name="_Toc13688"/>
      <w:bookmarkStart w:id="147" w:name="_Toc194073114"/>
      <w:bookmarkStart w:id="148" w:name="_Toc29795"/>
      <w:r>
        <w:rPr>
          <w:rFonts w:hint="eastAsia" w:ascii="仿宋" w:hAnsi="仿宋" w:eastAsia="仿宋" w:cs="仿宋"/>
          <w:sz w:val="24"/>
          <w:szCs w:val="24"/>
          <w:lang w:eastAsia="zh-CN"/>
        </w:rPr>
        <w:t>9</w:t>
      </w:r>
      <w:r>
        <w:rPr>
          <w:rFonts w:ascii="仿宋" w:hAnsi="仿宋" w:eastAsia="仿宋" w:cs="仿宋"/>
          <w:sz w:val="24"/>
          <w:szCs w:val="24"/>
          <w:lang w:eastAsia="zh-CN"/>
        </w:rPr>
        <w:t xml:space="preserve"> </w:t>
      </w:r>
      <w:r>
        <w:rPr>
          <w:rFonts w:hint="eastAsia" w:ascii="仿宋" w:hAnsi="仿宋" w:eastAsia="仿宋" w:cs="仿宋"/>
          <w:sz w:val="24"/>
          <w:szCs w:val="24"/>
          <w:lang w:eastAsia="zh-CN"/>
        </w:rPr>
        <w:t>通讯联络</w:t>
      </w:r>
      <w:bookmarkEnd w:id="145"/>
      <w:bookmarkEnd w:id="146"/>
      <w:bookmarkEnd w:id="147"/>
      <w:bookmarkEnd w:id="148"/>
    </w:p>
    <w:p w14:paraId="2D05BC3A">
      <w:pPr>
        <w:pStyle w:val="22"/>
        <w:spacing w:line="400" w:lineRule="exact"/>
        <w:rPr>
          <w:rFonts w:ascii="仿宋" w:hAnsi="仿宋" w:eastAsia="仿宋"/>
          <w:b/>
          <w:bCs/>
          <w:sz w:val="24"/>
          <w:szCs w:val="24"/>
          <w:lang w:eastAsia="zh-CN"/>
        </w:rPr>
      </w:pPr>
      <w:r>
        <w:rPr>
          <w:rFonts w:hint="eastAsia" w:ascii="仿宋" w:hAnsi="仿宋" w:eastAsia="仿宋" w:cs="仿宋"/>
          <w:b/>
          <w:bCs/>
          <w:sz w:val="24"/>
          <w:szCs w:val="24"/>
          <w:lang w:eastAsia="zh-CN"/>
        </w:rPr>
        <w:t>9</w:t>
      </w:r>
      <w:r>
        <w:rPr>
          <w:rFonts w:ascii="仿宋" w:hAnsi="仿宋" w:eastAsia="仿宋" w:cs="仿宋"/>
          <w:b/>
          <w:bCs/>
          <w:sz w:val="24"/>
          <w:szCs w:val="24"/>
          <w:lang w:eastAsia="zh-CN"/>
        </w:rPr>
        <w:t>.1</w:t>
      </w:r>
    </w:p>
    <w:p w14:paraId="0AFDDA28">
      <w:pPr>
        <w:widowControl w:val="0"/>
        <w:spacing w:line="400" w:lineRule="exact"/>
        <w:ind w:left="1850" w:leftChars="771"/>
        <w:jc w:val="both"/>
        <w:rPr>
          <w:rFonts w:ascii="仿宋" w:hAnsi="仿宋" w:eastAsia="仿宋" w:cs="仿宋"/>
          <w:lang w:eastAsia="zh-CN"/>
        </w:rPr>
      </w:pPr>
      <w:r>
        <w:rPr>
          <w:rFonts w:hint="eastAsia" w:ascii="仿宋" w:hAnsi="仿宋" w:eastAsia="仿宋" w:cs="仿宋"/>
        </w:rPr>
        <mc:AlternateContent>
          <mc:Choice Requires="wps">
            <w:drawing>
              <wp:anchor distT="0" distB="0" distL="114300" distR="114300" simplePos="0" relativeHeight="251669504" behindDoc="0" locked="0" layoutInCell="1" allowOverlap="1">
                <wp:simplePos x="0" y="0"/>
                <wp:positionH relativeFrom="column">
                  <wp:posOffset>-95250</wp:posOffset>
                </wp:positionH>
                <wp:positionV relativeFrom="paragraph">
                  <wp:posOffset>53975</wp:posOffset>
                </wp:positionV>
                <wp:extent cx="699770" cy="436880"/>
                <wp:effectExtent l="0" t="0" r="0" b="0"/>
                <wp:wrapNone/>
                <wp:docPr id="26" name="文本框 454"/>
                <wp:cNvGraphicFramePr/>
                <a:graphic xmlns:a="http://schemas.openxmlformats.org/drawingml/2006/main">
                  <a:graphicData uri="http://schemas.microsoft.com/office/word/2010/wordprocessingShape">
                    <wps:wsp>
                      <wps:cNvSpPr txBox="1"/>
                      <wps:spPr>
                        <a:xfrm>
                          <a:off x="0" y="0"/>
                          <a:ext cx="699770" cy="436880"/>
                        </a:xfrm>
                        <a:prstGeom prst="rect">
                          <a:avLst/>
                        </a:prstGeom>
                        <a:noFill/>
                        <a:ln w="12700">
                          <a:noFill/>
                        </a:ln>
                      </wps:spPr>
                      <wps:txbx>
                        <w:txbxContent>
                          <w:p w14:paraId="05DB71A4">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通讯形式</w:t>
                            </w:r>
                          </w:p>
                        </w:txbxContent>
                      </wps:txbx>
                      <wps:bodyPr rot="0" vert="horz" wrap="square" lIns="91440" tIns="45720" rIns="91440" bIns="45720" anchor="t" anchorCtr="0"/>
                    </wps:wsp>
                  </a:graphicData>
                </a:graphic>
              </wp:anchor>
            </w:drawing>
          </mc:Choice>
          <mc:Fallback>
            <w:pict>
              <v:shape id="文本框 454" o:spid="_x0000_s1026" o:spt="202" type="#_x0000_t202" style="position:absolute;left:0pt;margin-left:-7.5pt;margin-top:4.25pt;height:34.4pt;width:55.1pt;z-index:251669504;mso-width-relative:page;mso-height-relative:page;" filled="f" stroked="f" coordsize="21600,21600" o:gfxdata="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4Xz&#10;q9cAAAAHAQAADwAAAAAAAAABACAAAAAiAAAAZHJzL2Rvd25yZXYueG1sUEsBAhQAFAAAAAgAh07i&#10;QASZ4C3qAQAAvQMAAA4AAAAAAAAAAQAgAAAAJgEAAGRycy9lMm9Eb2MueG1sUEsFBgAAAAAGAAYA&#10;WQEAAIIFAAAAAA==&#10;">
                <v:fill on="f" focussize="0,0"/>
                <v:stroke on="f" weight="1pt"/>
                <v:imagedata o:title=""/>
                <o:lock v:ext="edit" aspectratio="f"/>
                <v:textbox>
                  <w:txbxContent>
                    <w:p w14:paraId="05DB71A4">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通讯形式</w:t>
                      </w:r>
                    </w:p>
                  </w:txbxContent>
                </v:textbox>
              </v:shape>
            </w:pict>
          </mc:Fallback>
        </mc:AlternateContent>
      </w:r>
      <w:r>
        <w:rPr>
          <w:rFonts w:hint="eastAsia" w:ascii="仿宋" w:hAnsi="仿宋" w:eastAsia="仿宋" w:cs="仿宋"/>
          <w:lang w:eastAsia="zh-CN"/>
        </w:rPr>
        <w:t>本合同中无论何处涉及到各方之间的申请、批准、确认、同意、决定、核实、通知、任命、指令、要求、意见、证明、证件或表示同意、否定等的通讯（含派人面交、邮寄、电子传输等），均应采用书面形式，且只有在按照合同约定送达对方当事人后方能生效。</w:t>
      </w:r>
    </w:p>
    <w:p w14:paraId="30D6D5E2">
      <w:pPr>
        <w:pStyle w:val="22"/>
        <w:spacing w:line="400" w:lineRule="exact"/>
        <w:ind w:right="-238"/>
        <w:rPr>
          <w:rFonts w:ascii="仿宋" w:hAnsi="仿宋" w:eastAsia="仿宋"/>
          <w:b/>
          <w:bCs/>
          <w:sz w:val="24"/>
          <w:szCs w:val="24"/>
          <w:lang w:eastAsia="zh-CN"/>
        </w:rPr>
      </w:pPr>
      <w:bookmarkStart w:id="149" w:name="_Toc16622"/>
      <w:r>
        <w:rPr>
          <w:rFonts w:hint="eastAsia" w:ascii="仿宋" w:hAnsi="仿宋" w:eastAsia="仿宋" w:cs="仿宋"/>
          <w:b/>
          <w:bCs/>
          <w:sz w:val="24"/>
          <w:szCs w:val="24"/>
          <w:lang w:eastAsia="zh-CN"/>
        </w:rPr>
        <w:t>9</w:t>
      </w:r>
      <w:r>
        <w:rPr>
          <w:rFonts w:ascii="仿宋" w:hAnsi="仿宋" w:eastAsia="仿宋" w:cs="仿宋"/>
          <w:b/>
          <w:bCs/>
          <w:sz w:val="24"/>
          <w:szCs w:val="24"/>
          <w:lang w:eastAsia="zh-CN"/>
        </w:rPr>
        <w:t>.2</w:t>
      </w:r>
      <w:bookmarkEnd w:id="149"/>
      <w:r>
        <w:rPr>
          <w:rFonts w:ascii="仿宋" w:hAnsi="仿宋" w:eastAsia="仿宋" w:cs="仿宋"/>
          <w:b/>
          <w:bCs/>
          <w:sz w:val="24"/>
          <w:szCs w:val="24"/>
          <w:lang w:eastAsia="zh-CN"/>
        </w:rPr>
        <w:t xml:space="preserve">  </w:t>
      </w:r>
      <w:r>
        <w:rPr>
          <w:rFonts w:ascii="仿宋" w:hAnsi="仿宋" w:eastAsia="仿宋" w:cs="仿宋"/>
          <w:b/>
          <w:bCs/>
          <w:sz w:val="24"/>
          <w:szCs w:val="24"/>
          <w:u w:val="dotted"/>
          <w:lang w:eastAsia="zh-CN"/>
        </w:rPr>
        <w:t xml:space="preserve">                                                      </w:t>
      </w:r>
      <w:r>
        <w:rPr>
          <w:rFonts w:hint="eastAsia" w:ascii="仿宋" w:hAnsi="仿宋" w:eastAsia="仿宋" w:cs="仿宋"/>
          <w:b/>
          <w:bCs/>
          <w:sz w:val="24"/>
          <w:szCs w:val="24"/>
          <w:u w:val="dotted"/>
          <w:lang w:eastAsia="zh-CN"/>
        </w:rPr>
        <w:t xml:space="preserve">  </w:t>
      </w:r>
      <w:r>
        <w:rPr>
          <w:rFonts w:ascii="仿宋" w:hAnsi="仿宋" w:eastAsia="仿宋" w:cs="仿宋"/>
          <w:b/>
          <w:bCs/>
          <w:sz w:val="24"/>
          <w:szCs w:val="24"/>
          <w:u w:val="dotted"/>
          <w:lang w:eastAsia="zh-CN"/>
        </w:rPr>
        <w:t xml:space="preserve">                        </w:t>
      </w:r>
    </w:p>
    <w:p w14:paraId="64A6E2F2">
      <w:pPr>
        <w:widowControl w:val="0"/>
        <w:spacing w:line="400" w:lineRule="exact"/>
        <w:ind w:left="1850" w:leftChars="771"/>
        <w:jc w:val="both"/>
        <w:rPr>
          <w:rFonts w:ascii="仿宋" w:hAnsi="仿宋" w:eastAsia="仿宋" w:cs="仿宋"/>
          <w:lang w:eastAsia="zh-CN"/>
        </w:rPr>
      </w:pPr>
      <w:r>
        <w:rPr>
          <w:rFonts w:ascii="仿宋" w:hAnsi="仿宋" w:eastAsia="仿宋" w:cs="仿宋"/>
        </w:rPr>
        <mc:AlternateContent>
          <mc:Choice Requires="wps">
            <w:drawing>
              <wp:anchor distT="0" distB="0" distL="114300" distR="114300" simplePos="0" relativeHeight="251668480" behindDoc="0" locked="0" layoutInCell="1" allowOverlap="1">
                <wp:simplePos x="0" y="0"/>
                <wp:positionH relativeFrom="column">
                  <wp:posOffset>-95250</wp:posOffset>
                </wp:positionH>
                <wp:positionV relativeFrom="paragraph">
                  <wp:posOffset>90805</wp:posOffset>
                </wp:positionV>
                <wp:extent cx="769620" cy="508635"/>
                <wp:effectExtent l="0" t="0" r="0" b="0"/>
                <wp:wrapNone/>
                <wp:docPr id="27" name="文本框 14"/>
                <wp:cNvGraphicFramePr/>
                <a:graphic xmlns:a="http://schemas.openxmlformats.org/drawingml/2006/main">
                  <a:graphicData uri="http://schemas.microsoft.com/office/word/2010/wordprocessingShape">
                    <wps:wsp>
                      <wps:cNvSpPr txBox="1"/>
                      <wps:spPr>
                        <a:xfrm>
                          <a:off x="0" y="0"/>
                          <a:ext cx="769620" cy="508635"/>
                        </a:xfrm>
                        <a:prstGeom prst="rect">
                          <a:avLst/>
                        </a:prstGeom>
                        <a:noFill/>
                        <a:ln w="12700">
                          <a:noFill/>
                        </a:ln>
                      </wps:spPr>
                      <wps:txbx>
                        <w:txbxContent>
                          <w:p w14:paraId="574887B9">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发送通讯</w:t>
                            </w:r>
                          </w:p>
                        </w:txbxContent>
                      </wps:txbx>
                      <wps:bodyPr rot="0" vert="horz" wrap="square" lIns="91440" tIns="45720" rIns="91440" bIns="45720" anchor="t" anchorCtr="0"/>
                    </wps:wsp>
                  </a:graphicData>
                </a:graphic>
              </wp:anchor>
            </w:drawing>
          </mc:Choice>
          <mc:Fallback>
            <w:pict>
              <v:shape id="文本框 14" o:spid="_x0000_s1026" o:spt="202" type="#_x0000_t202" style="position:absolute;left:0pt;margin-left:-7.5pt;margin-top:7.15pt;height:40.05pt;width:60.6pt;z-index:251668480;mso-width-relative:page;mso-height-relative:page;" filled="f" stroked="f" coordsize="21600,21600" o:gfxdata="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Rslue&#10;1wAAAAkBAAAPAAAAAAAAAAEAIAAAACIAAABkcnMvZG93bnJldi54bWxQSwECFAAUAAAACACHTuJA&#10;7dhNi+kBAAC8AwAADgAAAAAAAAABACAAAAAmAQAAZHJzL2Uyb0RvYy54bWxQSwUGAAAAAAYABgBZ&#10;AQAAgQUAAAAA&#10;">
                <v:fill on="f" focussize="0,0"/>
                <v:stroke on="f" weight="1pt"/>
                <v:imagedata o:title=""/>
                <o:lock v:ext="edit" aspectratio="f"/>
                <v:textbox>
                  <w:txbxContent>
                    <w:p w14:paraId="574887B9">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发送通讯</w:t>
                      </w:r>
                    </w:p>
                  </w:txbxContent>
                </v:textbox>
              </v:shape>
            </w:pict>
          </mc:Fallback>
        </mc:AlternateContent>
      </w:r>
      <w:r>
        <w:rPr>
          <w:rFonts w:hint="eastAsia" w:ascii="仿宋" w:hAnsi="仿宋" w:eastAsia="仿宋" w:cs="仿宋"/>
          <w:lang w:eastAsia="zh-CN"/>
        </w:rPr>
        <w:t>合同中无论何处涉及到各方之间的通讯都不应无理扣压或拖延。合同双方当事人应在专用条款中约定各方通讯地址和收件人，并按照约定期限内（如无约定，应在合理期限内）送达指定地点和接收人。任何一方合同当事人指定的通讯地址或收件人发生变更的，应提前3天以书面形式通知对方。</w:t>
      </w:r>
    </w:p>
    <w:p w14:paraId="5D0454CF">
      <w:pPr>
        <w:widowControl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收件人应在通讯回执上签署姓名和时间。一方当事人拒绝签收另一方当事人通讯，另一方当事人以特快专递、挂号信等专用条款约定的方式将通讯送至通讯地址的，视为送达。拒不签收的，由此增加的费用和（或）延误的工期由拒绝接收一方承担。</w:t>
      </w:r>
    </w:p>
    <w:p w14:paraId="55E62BF7">
      <w:pPr>
        <w:pStyle w:val="22"/>
        <w:spacing w:line="400" w:lineRule="exact"/>
        <w:ind w:right="-238"/>
        <w:rPr>
          <w:rFonts w:ascii="仿宋" w:hAnsi="仿宋" w:eastAsia="仿宋"/>
          <w:b/>
          <w:bCs/>
          <w:sz w:val="24"/>
          <w:szCs w:val="24"/>
          <w:lang w:eastAsia="zh-CN"/>
        </w:rPr>
      </w:pPr>
      <w:r>
        <w:rPr>
          <w:rFonts w:hint="eastAsia" w:ascii="仿宋" w:hAnsi="仿宋" w:eastAsia="仿宋" w:cs="仿宋"/>
          <w:b/>
          <w:bCs/>
          <w:sz w:val="24"/>
          <w:szCs w:val="24"/>
          <w:lang w:eastAsia="zh-CN"/>
        </w:rPr>
        <w:t>9</w:t>
      </w:r>
      <w:r>
        <w:rPr>
          <w:rFonts w:ascii="仿宋" w:hAnsi="仿宋" w:eastAsia="仿宋" w:cs="仿宋"/>
          <w:b/>
          <w:bCs/>
          <w:sz w:val="24"/>
          <w:szCs w:val="24"/>
          <w:lang w:eastAsia="zh-CN"/>
        </w:rPr>
        <w:t>.</w:t>
      </w:r>
      <w:r>
        <w:rPr>
          <w:rFonts w:hint="eastAsia" w:ascii="仿宋" w:hAnsi="仿宋" w:eastAsia="仿宋" w:cs="仿宋"/>
          <w:b/>
          <w:bCs/>
          <w:sz w:val="24"/>
          <w:szCs w:val="24"/>
          <w:lang w:eastAsia="zh-CN"/>
        </w:rPr>
        <w:t>3</w:t>
      </w:r>
      <w:r>
        <w:rPr>
          <w:rFonts w:ascii="仿宋" w:hAnsi="仿宋" w:eastAsia="仿宋" w:cs="仿宋"/>
          <w:b/>
          <w:bCs/>
          <w:sz w:val="24"/>
          <w:szCs w:val="24"/>
          <w:lang w:eastAsia="zh-CN"/>
        </w:rPr>
        <w:t xml:space="preserve">  </w:t>
      </w:r>
      <w:r>
        <w:rPr>
          <w:rFonts w:ascii="仿宋" w:hAnsi="仿宋" w:eastAsia="仿宋" w:cs="仿宋"/>
          <w:b/>
          <w:bCs/>
          <w:sz w:val="24"/>
          <w:szCs w:val="24"/>
          <w:u w:val="dotted"/>
          <w:lang w:eastAsia="zh-CN"/>
        </w:rPr>
        <w:t xml:space="preserve">                                                      </w:t>
      </w:r>
      <w:r>
        <w:rPr>
          <w:rFonts w:hint="eastAsia" w:ascii="仿宋" w:hAnsi="仿宋" w:eastAsia="仿宋" w:cs="仿宋"/>
          <w:b/>
          <w:bCs/>
          <w:sz w:val="24"/>
          <w:szCs w:val="24"/>
          <w:u w:val="dotted"/>
          <w:lang w:eastAsia="zh-CN"/>
        </w:rPr>
        <w:t xml:space="preserve">  </w:t>
      </w:r>
      <w:r>
        <w:rPr>
          <w:rFonts w:ascii="仿宋" w:hAnsi="仿宋" w:eastAsia="仿宋" w:cs="仿宋"/>
          <w:b/>
          <w:bCs/>
          <w:sz w:val="24"/>
          <w:szCs w:val="24"/>
          <w:u w:val="dotted"/>
          <w:lang w:eastAsia="zh-CN"/>
        </w:rPr>
        <w:t xml:space="preserve">                        </w:t>
      </w:r>
    </w:p>
    <w:p w14:paraId="47F1E774">
      <w:pPr>
        <w:widowControl w:val="0"/>
        <w:spacing w:line="400" w:lineRule="exact"/>
        <w:ind w:left="1850" w:leftChars="771"/>
        <w:jc w:val="both"/>
        <w:rPr>
          <w:rFonts w:ascii="仿宋" w:hAnsi="仿宋" w:eastAsia="仿宋" w:cs="仿宋"/>
          <w:lang w:eastAsia="zh-CN"/>
        </w:rPr>
      </w:pPr>
      <w:r>
        <w:rPr>
          <w:rFonts w:ascii="仿宋" w:hAnsi="仿宋" w:eastAsia="仿宋" w:cs="仿宋"/>
        </w:rPr>
        <mc:AlternateContent>
          <mc:Choice Requires="wps">
            <w:drawing>
              <wp:anchor distT="0" distB="0" distL="114300" distR="114300" simplePos="0" relativeHeight="252119040" behindDoc="0" locked="0" layoutInCell="1" allowOverlap="1">
                <wp:simplePos x="0" y="0"/>
                <wp:positionH relativeFrom="column">
                  <wp:posOffset>-95250</wp:posOffset>
                </wp:positionH>
                <wp:positionV relativeFrom="paragraph">
                  <wp:posOffset>90805</wp:posOffset>
                </wp:positionV>
                <wp:extent cx="843280" cy="735330"/>
                <wp:effectExtent l="0" t="0" r="0" b="0"/>
                <wp:wrapNone/>
                <wp:docPr id="28" name="文本框 14"/>
                <wp:cNvGraphicFramePr/>
                <a:graphic xmlns:a="http://schemas.openxmlformats.org/drawingml/2006/main">
                  <a:graphicData uri="http://schemas.microsoft.com/office/word/2010/wordprocessingShape">
                    <wps:wsp>
                      <wps:cNvSpPr txBox="1"/>
                      <wps:spPr>
                        <a:xfrm>
                          <a:off x="0" y="0"/>
                          <a:ext cx="843280" cy="735330"/>
                        </a:xfrm>
                        <a:prstGeom prst="rect">
                          <a:avLst/>
                        </a:prstGeom>
                        <a:noFill/>
                        <a:ln w="12700">
                          <a:noFill/>
                        </a:ln>
                      </wps:spPr>
                      <wps:txbx>
                        <w:txbxContent>
                          <w:p w14:paraId="4370520B">
                            <w:pPr>
                              <w:rPr>
                                <w:rFonts w:ascii="楷体_GB2312" w:hAnsi="宋体" w:eastAsia="楷体_GB2312" w:cs="楷体_GB2312"/>
                                <w:b/>
                                <w:bCs/>
                                <w:sz w:val="18"/>
                                <w:szCs w:val="18"/>
                                <w:lang w:eastAsia="zh-CN"/>
                              </w:rPr>
                            </w:pPr>
                            <w:r>
                              <w:rPr>
                                <w:rFonts w:hint="eastAsia" w:ascii="楷体_GB2312" w:hAnsi="宋体" w:eastAsia="楷体_GB2312" w:cs="楷体_GB2312"/>
                                <w:b/>
                                <w:bCs/>
                                <w:sz w:val="18"/>
                                <w:szCs w:val="18"/>
                              </w:rPr>
                              <w:t>通讯</w:t>
                            </w:r>
                            <w:r>
                              <w:rPr>
                                <w:rFonts w:hint="eastAsia" w:ascii="楷体_GB2312" w:hAnsi="宋体" w:eastAsia="楷体_GB2312" w:cs="楷体_GB2312"/>
                                <w:b/>
                                <w:bCs/>
                                <w:sz w:val="18"/>
                                <w:szCs w:val="18"/>
                                <w:lang w:eastAsia="zh-CN"/>
                              </w:rPr>
                              <w:t>联络的法律后果</w:t>
                            </w:r>
                          </w:p>
                        </w:txbxContent>
                      </wps:txbx>
                      <wps:bodyPr rot="0" vert="horz" wrap="square" lIns="91440" tIns="45720" rIns="91440" bIns="45720" anchor="t" anchorCtr="0"/>
                    </wps:wsp>
                  </a:graphicData>
                </a:graphic>
              </wp:anchor>
            </w:drawing>
          </mc:Choice>
          <mc:Fallback>
            <w:pict>
              <v:shape id="文本框 14" o:spid="_x0000_s1026" o:spt="202" type="#_x0000_t202" style="position:absolute;left:0pt;margin-left:-7.5pt;margin-top:7.15pt;height:57.9pt;width:66.4pt;z-index:252119040;mso-width-relative:page;mso-height-relative:page;" filled="f" stroked="f" coordsize="21600,21600" o:gfxdata="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1K6Uc&#10;1wAAAAoBAAAPAAAAAAAAAAEAIAAAACIAAABkcnMvZG93bnJldi54bWxQSwECFAAUAAAACACHTuJA&#10;ldaZ4ukBAAC8AwAADgAAAAAAAAABACAAAAAmAQAAZHJzL2Uyb0RvYy54bWxQSwUGAAAAAAYABgBZ&#10;AQAAgQUAAAAA&#10;">
                <v:fill on="f" focussize="0,0"/>
                <v:stroke on="f" weight="1pt"/>
                <v:imagedata o:title=""/>
                <o:lock v:ext="edit" aspectratio="f"/>
                <v:textbox>
                  <w:txbxContent>
                    <w:p w14:paraId="4370520B">
                      <w:pPr>
                        <w:rPr>
                          <w:rFonts w:ascii="楷体_GB2312" w:hAnsi="宋体" w:eastAsia="楷体_GB2312" w:cs="楷体_GB2312"/>
                          <w:b/>
                          <w:bCs/>
                          <w:sz w:val="18"/>
                          <w:szCs w:val="18"/>
                          <w:lang w:eastAsia="zh-CN"/>
                        </w:rPr>
                      </w:pPr>
                      <w:r>
                        <w:rPr>
                          <w:rFonts w:hint="eastAsia" w:ascii="楷体_GB2312" w:hAnsi="宋体" w:eastAsia="楷体_GB2312" w:cs="楷体_GB2312"/>
                          <w:b/>
                          <w:bCs/>
                          <w:sz w:val="18"/>
                          <w:szCs w:val="18"/>
                        </w:rPr>
                        <w:t>通讯</w:t>
                      </w:r>
                      <w:r>
                        <w:rPr>
                          <w:rFonts w:hint="eastAsia" w:ascii="楷体_GB2312" w:hAnsi="宋体" w:eastAsia="楷体_GB2312" w:cs="楷体_GB2312"/>
                          <w:b/>
                          <w:bCs/>
                          <w:sz w:val="18"/>
                          <w:szCs w:val="18"/>
                          <w:lang w:eastAsia="zh-CN"/>
                        </w:rPr>
                        <w:t>联络的法律后果</w:t>
                      </w:r>
                    </w:p>
                  </w:txbxContent>
                </v:textbox>
              </v:shape>
            </w:pict>
          </mc:Fallback>
        </mc:AlternateContent>
      </w:r>
      <w:r>
        <w:rPr>
          <w:rFonts w:hint="eastAsia" w:ascii="仿宋" w:hAnsi="仿宋" w:eastAsia="仿宋" w:cs="仿宋"/>
          <w:lang w:eastAsia="zh-CN"/>
        </w:rPr>
        <w:t>合同当事人约定的通讯形式，亦适用于在诉讼阶段当事人接收人民法院的各类诉讼材料（包括起诉状、证据材料、开庭传票、各类通知书、裁判文书等），由当事人填写其送达地址、电话号码、收件人、电子邮箱等信息并签名、盖章确认。</w:t>
      </w:r>
    </w:p>
    <w:p w14:paraId="16CED9D3">
      <w:pPr>
        <w:widowControl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合同一方当事人如需变更约定通讯地址或收件人，应按合同约定方式将变更后的通讯地址或收件人通知对方当事人。未按约定方式通知变更的，原约定的通讯地址和收件人仍为有效通讯地址和收件人。</w:t>
      </w:r>
    </w:p>
    <w:p w14:paraId="2E10ABB5">
      <w:pPr>
        <w:widowControl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按照约定地址和收件人送达文件并被签收的，视为当事人签收。因当事人提供或者确认的通讯地址不准确、通讯地址变更后未及时依程序告知对方当事人和法院、当事人或指定的收件人拒绝签收等原因，导致诉讼材料等未能被当事人实际接收的，邮寄送达的，以文件退回之日视为送达之日；直接送达的，以送达</w:t>
      </w:r>
      <w:r>
        <w:rPr>
          <w:rFonts w:hint="eastAsia" w:ascii="仿宋" w:hAnsi="仿宋" w:eastAsia="仿宋" w:cs="仿宋"/>
          <w:lang w:eastAsia="zh-CN" w:bidi="ar"/>
        </w:rPr>
        <w:t>文件留在该地址之日为送达之日</w:t>
      </w:r>
      <w:r>
        <w:rPr>
          <w:rFonts w:hint="eastAsia" w:ascii="仿宋" w:hAnsi="仿宋" w:eastAsia="仿宋" w:cs="仿宋"/>
          <w:lang w:eastAsia="zh-CN"/>
        </w:rPr>
        <w:t>。</w:t>
      </w:r>
    </w:p>
    <w:p w14:paraId="06D9B5A9">
      <w:pPr>
        <w:spacing w:line="400" w:lineRule="exact"/>
        <w:rPr>
          <w:lang w:eastAsia="zh-CN"/>
        </w:rPr>
      </w:pPr>
      <w:r>
        <w:rPr>
          <w:rFonts w:ascii="仿宋" w:hAnsi="仿宋" w:eastAsia="仿宋" w:cs="仿宋"/>
          <w:b/>
          <w:bCs/>
          <w:u w:val="single"/>
          <w:lang w:eastAsia="zh-CN"/>
        </w:rPr>
        <w:t xml:space="preserve">                                                      </w:t>
      </w:r>
      <w:r>
        <w:rPr>
          <w:rFonts w:hint="eastAsia" w:ascii="仿宋" w:hAnsi="仿宋" w:eastAsia="仿宋" w:cs="仿宋"/>
          <w:b/>
          <w:bCs/>
          <w:u w:val="single"/>
          <w:lang w:eastAsia="zh-CN"/>
        </w:rPr>
        <w:t xml:space="preserve">      </w:t>
      </w:r>
      <w:r>
        <w:rPr>
          <w:rFonts w:ascii="仿宋" w:hAnsi="仿宋" w:eastAsia="仿宋" w:cs="仿宋"/>
          <w:b/>
          <w:bCs/>
          <w:u w:val="single"/>
          <w:lang w:eastAsia="zh-CN"/>
        </w:rPr>
        <w:t xml:space="preserve">                  </w:t>
      </w:r>
    </w:p>
    <w:p w14:paraId="7803CD19">
      <w:pPr>
        <w:pStyle w:val="4"/>
        <w:tabs>
          <w:tab w:val="left" w:pos="420"/>
        </w:tabs>
        <w:spacing w:before="0" w:after="0" w:line="400" w:lineRule="exact"/>
        <w:rPr>
          <w:rFonts w:ascii="仿宋" w:hAnsi="仿宋" w:eastAsia="仿宋"/>
          <w:sz w:val="24"/>
          <w:szCs w:val="24"/>
          <w:lang w:eastAsia="zh-CN"/>
        </w:rPr>
      </w:pPr>
      <w:bookmarkStart w:id="150" w:name="_Toc29099"/>
      <w:bookmarkStart w:id="151" w:name="_Toc194073115"/>
      <w:bookmarkStart w:id="152" w:name="_Toc24026"/>
      <w:bookmarkStart w:id="153" w:name="_Toc26721"/>
      <w:r>
        <w:rPr>
          <w:rFonts w:hint="eastAsia" w:ascii="仿宋" w:hAnsi="仿宋" w:eastAsia="仿宋" w:cs="仿宋"/>
          <w:sz w:val="24"/>
          <w:szCs w:val="24"/>
          <w:lang w:eastAsia="zh-CN"/>
        </w:rPr>
        <w:t>10</w:t>
      </w:r>
      <w:r>
        <w:rPr>
          <w:rFonts w:ascii="仿宋" w:hAnsi="仿宋" w:eastAsia="仿宋" w:cs="仿宋"/>
          <w:sz w:val="24"/>
          <w:szCs w:val="24"/>
          <w:lang w:eastAsia="zh-CN"/>
        </w:rPr>
        <w:t xml:space="preserve"> </w:t>
      </w:r>
      <w:r>
        <w:rPr>
          <w:rFonts w:hint="eastAsia" w:ascii="仿宋" w:hAnsi="仿宋" w:eastAsia="仿宋" w:cs="仿宋"/>
          <w:sz w:val="24"/>
          <w:szCs w:val="24"/>
          <w:lang w:eastAsia="zh-CN"/>
        </w:rPr>
        <w:t>分包</w:t>
      </w:r>
      <w:bookmarkEnd w:id="150"/>
      <w:bookmarkEnd w:id="151"/>
      <w:bookmarkEnd w:id="152"/>
      <w:bookmarkEnd w:id="153"/>
    </w:p>
    <w:p w14:paraId="788ECDFE">
      <w:pPr>
        <w:pStyle w:val="22"/>
        <w:adjustRightInd w:val="0"/>
        <w:snapToGrid w:val="0"/>
        <w:spacing w:line="400" w:lineRule="exact"/>
        <w:rPr>
          <w:rFonts w:ascii="仿宋" w:hAnsi="仿宋" w:eastAsia="仿宋" w:cs="仿宋"/>
          <w:b/>
          <w:bCs/>
          <w:sz w:val="24"/>
          <w:szCs w:val="24"/>
          <w:lang w:eastAsia="zh-CN"/>
        </w:rPr>
      </w:pPr>
      <w:r>
        <w:rPr>
          <w:rFonts w:ascii="仿宋" w:hAnsi="仿宋" w:eastAsia="仿宋" w:cs="仿宋"/>
          <w:b/>
          <w:bCs/>
          <w:sz w:val="24"/>
          <w:szCs w:val="24"/>
        </w:rPr>
        <mc:AlternateContent>
          <mc:Choice Requires="wps">
            <w:drawing>
              <wp:anchor distT="0" distB="0" distL="114300" distR="114300" simplePos="0" relativeHeight="251670528" behindDoc="0" locked="0" layoutInCell="1" allowOverlap="1">
                <wp:simplePos x="0" y="0"/>
                <wp:positionH relativeFrom="column">
                  <wp:posOffset>-114300</wp:posOffset>
                </wp:positionH>
                <wp:positionV relativeFrom="paragraph">
                  <wp:posOffset>294640</wp:posOffset>
                </wp:positionV>
                <wp:extent cx="876300" cy="340360"/>
                <wp:effectExtent l="0" t="0" r="0" b="0"/>
                <wp:wrapNone/>
                <wp:docPr id="29" name="文本框 706"/>
                <wp:cNvGraphicFramePr/>
                <a:graphic xmlns:a="http://schemas.openxmlformats.org/drawingml/2006/main">
                  <a:graphicData uri="http://schemas.microsoft.com/office/word/2010/wordprocessingShape">
                    <wps:wsp>
                      <wps:cNvSpPr txBox="1"/>
                      <wps:spPr>
                        <a:xfrm>
                          <a:off x="0" y="0"/>
                          <a:ext cx="876300" cy="340360"/>
                        </a:xfrm>
                        <a:prstGeom prst="rect">
                          <a:avLst/>
                        </a:prstGeom>
                        <a:noFill/>
                        <a:ln w="12700">
                          <a:noFill/>
                        </a:ln>
                      </wps:spPr>
                      <wps:txbx>
                        <w:txbxContent>
                          <w:p w14:paraId="166E1A2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分包的要求</w:t>
                            </w:r>
                          </w:p>
                        </w:txbxContent>
                      </wps:txbx>
                      <wps:bodyPr rot="0" vert="horz" wrap="square" lIns="91440" tIns="45720" rIns="91440" bIns="45720" anchor="t" anchorCtr="0"/>
                    </wps:wsp>
                  </a:graphicData>
                </a:graphic>
              </wp:anchor>
            </w:drawing>
          </mc:Choice>
          <mc:Fallback>
            <w:pict>
              <v:shape id="文本框 706" o:spid="_x0000_s1026" o:spt="202" type="#_x0000_t202" style="position:absolute;left:0pt;margin-left:-9pt;margin-top:23.2pt;height:26.8pt;width:69pt;z-index:251670528;mso-width-relative:page;mso-height-relative:page;" filled="f" stroked="f" coordsize="21600,21600" o:gfxdata="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F5j0PUAAAA&#10;CgEAAA8AAAAAAAAAAQAgAAAAIgAAAGRycy9kb3ducmV2LnhtbFBLAQIUABQAAAAIAIdO4kDgOBhR&#10;6AEAAL0DAAAOAAAAAAAAAAEAIAAAACMBAABkcnMvZTJvRG9jLnhtbFBLBQYAAAAABgAGAFkBAAB9&#10;BQAAAAA=&#10;">
                <v:fill on="f" focussize="0,0"/>
                <v:stroke on="f" weight="1pt"/>
                <v:imagedata o:title=""/>
                <o:lock v:ext="edit" aspectratio="f"/>
                <v:textbox>
                  <w:txbxContent>
                    <w:p w14:paraId="166E1A2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分包的要求</w:t>
                      </w:r>
                    </w:p>
                  </w:txbxContent>
                </v:textbox>
              </v:shape>
            </w:pict>
          </mc:Fallback>
        </mc:AlternateContent>
      </w:r>
      <w:r>
        <w:rPr>
          <w:rFonts w:hint="eastAsia" w:ascii="仿宋" w:hAnsi="仿宋" w:eastAsia="仿宋" w:cs="仿宋"/>
          <w:b/>
          <w:bCs/>
          <w:sz w:val="24"/>
          <w:szCs w:val="24"/>
          <w:lang w:eastAsia="zh-CN"/>
        </w:rPr>
        <w:t>10</w:t>
      </w:r>
      <w:r>
        <w:rPr>
          <w:rFonts w:ascii="仿宋" w:hAnsi="仿宋" w:eastAsia="仿宋" w:cs="仿宋"/>
          <w:b/>
          <w:bCs/>
          <w:sz w:val="24"/>
          <w:szCs w:val="24"/>
          <w:lang w:eastAsia="zh-CN"/>
        </w:rPr>
        <w:t>.1</w:t>
      </w:r>
    </w:p>
    <w:p w14:paraId="4629CE06">
      <w:pPr>
        <w:widowControl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承包人应自己实施、完成合同工程的主体结构。承包人不得将其承包的全部工程或将其肢解后以分包的名义转包给第三方，也不得将合同工程主体结构、关键性工作分包给第三方。承包人对合同工程进行分包，应当遵守《房屋建筑和市政基础设施工程施工分包管理办法》的相关规定。</w:t>
      </w:r>
    </w:p>
    <w:p w14:paraId="10DEFBF1">
      <w:pPr>
        <w:pStyle w:val="22"/>
        <w:adjustRightInd w:val="0"/>
        <w:snapToGrid w:val="0"/>
        <w:spacing w:line="400" w:lineRule="exact"/>
        <w:rPr>
          <w:rFonts w:ascii="仿宋" w:hAnsi="仿宋" w:eastAsia="仿宋" w:cs="仿宋"/>
          <w:b/>
          <w:bCs/>
          <w:sz w:val="24"/>
          <w:szCs w:val="24"/>
          <w:lang w:eastAsia="zh-CN"/>
        </w:rPr>
      </w:pPr>
      <w:bookmarkStart w:id="154" w:name="_Toc1657"/>
      <w:r>
        <w:rPr>
          <w:rFonts w:hint="eastAsia" w:ascii="仿宋" w:hAnsi="仿宋" w:eastAsia="仿宋" w:cs="仿宋"/>
          <w:b/>
          <w:bCs/>
          <w:sz w:val="24"/>
          <w:szCs w:val="24"/>
          <w:lang w:eastAsia="zh-CN"/>
        </w:rPr>
        <w:t>10</w:t>
      </w:r>
      <w:r>
        <w:rPr>
          <w:rFonts w:ascii="仿宋" w:hAnsi="仿宋" w:eastAsia="仿宋" w:cs="仿宋"/>
          <w:b/>
          <w:bCs/>
          <w:sz w:val="24"/>
          <w:szCs w:val="24"/>
          <w:lang w:eastAsia="zh-CN"/>
        </w:rPr>
        <w:t>.2</w:t>
      </w:r>
      <w:bookmarkEnd w:id="154"/>
      <w:r>
        <w:rPr>
          <w:rFonts w:ascii="仿宋" w:hAnsi="仿宋" w:eastAsia="仿宋" w:cs="仿宋"/>
          <w:b/>
          <w:bCs/>
          <w:sz w:val="24"/>
          <w:szCs w:val="24"/>
          <w:lang w:eastAsia="zh-CN"/>
        </w:rPr>
        <w:t xml:space="preserve">   </w:t>
      </w:r>
      <w:r>
        <w:rPr>
          <w:rFonts w:ascii="仿宋" w:hAnsi="仿宋" w:eastAsia="仿宋" w:cs="仿宋"/>
          <w:b/>
          <w:bCs/>
          <w:sz w:val="24"/>
          <w:szCs w:val="24"/>
          <w:u w:val="dotted"/>
          <w:lang w:eastAsia="zh-CN"/>
        </w:rPr>
        <w:t xml:space="preserve">                                                                              </w:t>
      </w:r>
    </w:p>
    <w:p w14:paraId="6638389B">
      <w:pPr>
        <w:widowControl w:val="0"/>
        <w:spacing w:line="400" w:lineRule="exact"/>
        <w:ind w:left="1850" w:leftChars="771"/>
        <w:jc w:val="both"/>
        <w:rPr>
          <w:rFonts w:ascii="仿宋" w:hAnsi="仿宋" w:eastAsia="仿宋"/>
          <w:lang w:eastAsia="zh-CN"/>
        </w:rPr>
      </w:pPr>
      <w:r>
        <w:rPr>
          <w:rFonts w:hint="eastAsia" w:ascii="仿宋" w:hAnsi="仿宋" w:eastAsia="仿宋" w:cs="仿宋"/>
          <w:lang w:eastAsia="zh-CN"/>
        </w:rPr>
        <w:t>承包人可以采用直接发包的方式进行分包。但以暂估价形式包括在总承包范围内的工程、工程材料、工程设备、服务分包时，属于依法必须进行招标的项目范围且达到国家规定规模标准的，应当依法招标。</w:t>
      </w:r>
      <w:r>
        <mc:AlternateContent>
          <mc:Choice Requires="wps">
            <w:drawing>
              <wp:anchor distT="0" distB="0" distL="114300" distR="114300" simplePos="0" relativeHeight="251671552" behindDoc="0" locked="0" layoutInCell="1" allowOverlap="1">
                <wp:simplePos x="0" y="0"/>
                <wp:positionH relativeFrom="column">
                  <wp:posOffset>-114300</wp:posOffset>
                </wp:positionH>
                <wp:positionV relativeFrom="paragraph">
                  <wp:posOffset>31750</wp:posOffset>
                </wp:positionV>
                <wp:extent cx="847090" cy="419100"/>
                <wp:effectExtent l="0" t="0" r="0" b="0"/>
                <wp:wrapNone/>
                <wp:docPr id="30" name="文本框 707"/>
                <wp:cNvGraphicFramePr/>
                <a:graphic xmlns:a="http://schemas.openxmlformats.org/drawingml/2006/main">
                  <a:graphicData uri="http://schemas.microsoft.com/office/word/2010/wordprocessingShape">
                    <wps:wsp>
                      <wps:cNvSpPr txBox="1"/>
                      <wps:spPr>
                        <a:xfrm>
                          <a:off x="0" y="0"/>
                          <a:ext cx="847090" cy="419100"/>
                        </a:xfrm>
                        <a:prstGeom prst="rect">
                          <a:avLst/>
                        </a:prstGeom>
                        <a:noFill/>
                        <a:ln w="12700">
                          <a:noFill/>
                        </a:ln>
                      </wps:spPr>
                      <wps:txbx>
                        <w:txbxContent>
                          <w:p w14:paraId="1BAA431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分包的批准</w:t>
                            </w:r>
                          </w:p>
                        </w:txbxContent>
                      </wps:txbx>
                      <wps:bodyPr rot="0" vert="horz" wrap="square" lIns="91440" tIns="45720" rIns="91440" bIns="45720" anchor="t" anchorCtr="0"/>
                    </wps:wsp>
                  </a:graphicData>
                </a:graphic>
              </wp:anchor>
            </w:drawing>
          </mc:Choice>
          <mc:Fallback>
            <w:pict>
              <v:shape id="文本框 707" o:spid="_x0000_s1026" o:spt="202" type="#_x0000_t202" style="position:absolute;left:0pt;margin-left:-9pt;margin-top:2.5pt;height:33pt;width:66.7pt;z-index:251671552;mso-width-relative:page;mso-height-relative:page;" filled="f" stroked="f" coordsize="21600,21600" o:gfxdata="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fOpWL9cA&#10;AAAIAQAADwAAAAAAAAABACAAAAAiAAAAZHJzL2Rvd25yZXYueG1sUEsBAhQAFAAAAAgAh07iQJ96&#10;r1znAQAAvQMAAA4AAAAAAAAAAQAgAAAAJgEAAGRycy9lMm9Eb2MueG1sUEsFBgAAAAAGAAYAWQEA&#10;AH8FAAAAAA==&#10;">
                <v:fill on="f" focussize="0,0"/>
                <v:stroke on="f" weight="1pt"/>
                <v:imagedata o:title=""/>
                <o:lock v:ext="edit" aspectratio="f"/>
                <v:textbox>
                  <w:txbxContent>
                    <w:p w14:paraId="1BAA431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分包的批准</w:t>
                      </w:r>
                    </w:p>
                  </w:txbxContent>
                </v:textbox>
              </v:shape>
            </w:pict>
          </mc:Fallback>
        </mc:AlternateContent>
      </w:r>
      <w:r>
        <w:rPr>
          <w:rFonts w:hint="eastAsia" w:ascii="仿宋" w:hAnsi="仿宋" w:eastAsia="仿宋" w:cs="仿宋"/>
          <w:lang w:eastAsia="zh-CN"/>
        </w:rPr>
        <w:t>承包人可依法将部分工作事项（含勘察、设计、采购、劳务分包）分包给具有相应分包资质的分包人，但未经发包人同意，承包人不得将总承包工作事项的任何部分或任何工作分包给第三方。下列情况则属例外：</w:t>
      </w:r>
    </w:p>
    <w:p w14:paraId="76832A48">
      <w:pPr>
        <w:widowControl w:val="0"/>
        <w:spacing w:line="400" w:lineRule="exact"/>
        <w:ind w:left="1850" w:leftChars="771"/>
        <w:jc w:val="both"/>
        <w:rPr>
          <w:rFonts w:ascii="仿宋" w:hAnsi="仿宋" w:eastAsia="仿宋"/>
          <w:lang w:eastAsia="zh-CN"/>
        </w:rPr>
      </w:pPr>
      <w:r>
        <w:rPr>
          <w:rFonts w:hint="eastAsia" w:ascii="仿宋" w:hAnsi="仿宋" w:eastAsia="仿宋" w:cs="仿宋"/>
          <w:lang w:eastAsia="zh-CN"/>
        </w:rPr>
        <w:t>（1）施工及勘察劳务作业分包；</w:t>
      </w:r>
    </w:p>
    <w:p w14:paraId="253F5AFB">
      <w:pPr>
        <w:widowControl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（2）按照合同约定的标准购买工程材料和工程设备；</w:t>
      </w:r>
    </w:p>
    <w:p w14:paraId="5476A290">
      <w:pPr>
        <w:widowControl w:val="0"/>
        <w:spacing w:line="400" w:lineRule="exact"/>
        <w:ind w:left="1850" w:leftChars="771"/>
        <w:jc w:val="both"/>
        <w:rPr>
          <w:rFonts w:ascii="仿宋" w:hAnsi="仿宋" w:eastAsia="仿宋"/>
          <w:lang w:eastAsia="zh-CN"/>
        </w:rPr>
      </w:pPr>
      <w:r>
        <w:rPr>
          <w:rFonts w:hint="eastAsia" w:ascii="仿宋" w:hAnsi="仿宋" w:eastAsia="仿宋" w:cs="仿宋"/>
          <w:lang w:eastAsia="zh-CN"/>
        </w:rPr>
        <w:t>（3）合同中已指定的分包事项。</w:t>
      </w:r>
    </w:p>
    <w:p w14:paraId="475A895C">
      <w:pPr>
        <w:pStyle w:val="22"/>
        <w:adjustRightInd w:val="0"/>
        <w:snapToGrid w:val="0"/>
        <w:spacing w:line="400" w:lineRule="exact"/>
        <w:rPr>
          <w:rFonts w:ascii="仿宋" w:hAnsi="仿宋" w:eastAsia="仿宋"/>
          <w:b/>
          <w:bCs/>
          <w:sz w:val="24"/>
          <w:szCs w:val="24"/>
          <w:lang w:eastAsia="zh-CN"/>
        </w:rPr>
      </w:pPr>
      <w:r>
        <w:rPr>
          <w:rFonts w:hint="eastAsia" w:ascii="仿宋" w:hAnsi="仿宋" w:eastAsia="仿宋" w:cs="仿宋"/>
          <w:b/>
          <w:bCs/>
          <w:sz w:val="24"/>
          <w:szCs w:val="24"/>
          <w:lang w:eastAsia="zh-CN"/>
        </w:rPr>
        <w:t>10</w:t>
      </w:r>
      <w:r>
        <w:rPr>
          <w:rFonts w:ascii="仿宋" w:hAnsi="仿宋" w:eastAsia="仿宋" w:cs="仿宋"/>
          <w:b/>
          <w:bCs/>
          <w:sz w:val="24"/>
          <w:szCs w:val="24"/>
          <w:lang w:eastAsia="zh-CN"/>
        </w:rPr>
        <w:t xml:space="preserve">.3  </w:t>
      </w:r>
      <w:r>
        <w:rPr>
          <w:rFonts w:ascii="仿宋" w:hAnsi="仿宋" w:eastAsia="仿宋" w:cs="仿宋"/>
          <w:b/>
          <w:bCs/>
          <w:sz w:val="24"/>
          <w:szCs w:val="24"/>
          <w:u w:val="dotted"/>
          <w:lang w:eastAsia="zh-CN"/>
        </w:rPr>
        <w:t xml:space="preserve">                                                                                </w:t>
      </w:r>
    </w:p>
    <w:p w14:paraId="771CB63A">
      <w:pPr>
        <w:widowControl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672576" behindDoc="0" locked="0" layoutInCell="1" allowOverlap="1">
                <wp:simplePos x="0" y="0"/>
                <wp:positionH relativeFrom="column">
                  <wp:posOffset>-114300</wp:posOffset>
                </wp:positionH>
                <wp:positionV relativeFrom="paragraph">
                  <wp:posOffset>0</wp:posOffset>
                </wp:positionV>
                <wp:extent cx="790575" cy="363220"/>
                <wp:effectExtent l="0" t="0" r="0" b="0"/>
                <wp:wrapNone/>
                <wp:docPr id="31" name="文本框 708"/>
                <wp:cNvGraphicFramePr/>
                <a:graphic xmlns:a="http://schemas.openxmlformats.org/drawingml/2006/main">
                  <a:graphicData uri="http://schemas.microsoft.com/office/word/2010/wordprocessingShape">
                    <wps:wsp>
                      <wps:cNvSpPr txBox="1"/>
                      <wps:spPr>
                        <a:xfrm>
                          <a:off x="0" y="0"/>
                          <a:ext cx="790575" cy="363220"/>
                        </a:xfrm>
                        <a:prstGeom prst="rect">
                          <a:avLst/>
                        </a:prstGeom>
                        <a:noFill/>
                        <a:ln w="12700">
                          <a:noFill/>
                        </a:ln>
                      </wps:spPr>
                      <wps:txbx>
                        <w:txbxContent>
                          <w:p w14:paraId="3FD0ACF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txbxContent>
                      </wps:txbx>
                      <wps:bodyPr rot="0" vert="horz" wrap="square" lIns="91440" tIns="45720" rIns="91440" bIns="45720" anchor="t" anchorCtr="0"/>
                    </wps:wsp>
                  </a:graphicData>
                </a:graphic>
              </wp:anchor>
            </w:drawing>
          </mc:Choice>
          <mc:Fallback>
            <w:pict>
              <v:shape id="文本框 708" o:spid="_x0000_s1026" o:spt="202" type="#_x0000_t202" style="position:absolute;left:0pt;margin-left:-9pt;margin-top:0pt;height:28.6pt;width:62.25pt;z-index:251672576;mso-width-relative:page;mso-height-relative:page;" filled="f" stroked="f" coordsize="21600,21600" o:gfxdata="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AA&#10;jOvXAAAABwEAAA8AAAAAAAAAAQAgAAAAIgAAAGRycy9kb3ducmV2LnhtbFBLAQIUABQAAAAIAIdO&#10;4kBfFADc6wEAAL0DAAAOAAAAAAAAAAEAIAAAACYBAABkcnMvZTJvRG9jLnhtbFBLBQYAAAAABgAG&#10;AFkBAACDBQAAAAA=&#10;">
                <v:fill on="f" focussize="0,0"/>
                <v:stroke on="f" weight="1pt"/>
                <v:imagedata o:title=""/>
                <o:lock v:ext="edit" aspectratio="f"/>
                <v:textbox>
                  <w:txbxContent>
                    <w:p w14:paraId="3FD0ACF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txbxContent>
                </v:textbox>
              </v:shape>
            </w:pict>
          </mc:Fallback>
        </mc:AlternateContent>
      </w:r>
      <w:r>
        <w:rPr>
          <w:rFonts w:hint="eastAsia" w:ascii="仿宋" w:hAnsi="仿宋" w:eastAsia="仿宋" w:cs="仿宋"/>
          <w:lang w:eastAsia="zh-CN"/>
        </w:rPr>
        <w:t>承包人分包工作事项的，应与分包人签订分包合同，并在分包合同签订后的</w:t>
      </w:r>
      <w:r>
        <w:rPr>
          <w:rFonts w:ascii="仿宋" w:hAnsi="仿宋" w:eastAsia="仿宋" w:cs="仿宋"/>
          <w:lang w:eastAsia="zh-CN"/>
        </w:rPr>
        <w:t>7</w:t>
      </w:r>
      <w:r>
        <w:rPr>
          <w:rFonts w:hint="eastAsia" w:ascii="仿宋" w:hAnsi="仿宋" w:eastAsia="仿宋" w:cs="仿宋"/>
          <w:lang w:eastAsia="zh-CN"/>
        </w:rPr>
        <w:t>天内向发包人和设计顾问人或监理人、造价咨询人各提交一份分包合同。承包人有权利禁止分包人将分包事项再次分包。</w:t>
      </w:r>
    </w:p>
    <w:p w14:paraId="73E17199">
      <w:pPr>
        <w:pStyle w:val="22"/>
        <w:adjustRightInd w:val="0"/>
        <w:snapToGrid w:val="0"/>
        <w:spacing w:line="400" w:lineRule="exact"/>
        <w:rPr>
          <w:rFonts w:ascii="仿宋" w:hAnsi="仿宋" w:eastAsia="仿宋"/>
          <w:b/>
          <w:bCs/>
          <w:sz w:val="24"/>
          <w:szCs w:val="24"/>
          <w:lang w:eastAsia="zh-CN"/>
        </w:rPr>
      </w:pPr>
      <w:r>
        <w:rPr>
          <w:rFonts w:hint="eastAsia" w:ascii="仿宋" w:hAnsi="仿宋" w:eastAsia="仿宋" w:cs="仿宋"/>
          <w:b/>
          <w:bCs/>
          <w:sz w:val="24"/>
          <w:szCs w:val="24"/>
          <w:lang w:eastAsia="zh-CN"/>
        </w:rPr>
        <w:t>10</w:t>
      </w:r>
      <w:r>
        <w:rPr>
          <w:rFonts w:ascii="仿宋" w:hAnsi="仿宋" w:eastAsia="仿宋" w:cs="仿宋"/>
          <w:b/>
          <w:bCs/>
          <w:sz w:val="24"/>
          <w:szCs w:val="24"/>
          <w:lang w:eastAsia="zh-CN"/>
        </w:rPr>
        <w:t xml:space="preserve">.4  </w:t>
      </w:r>
      <w:r>
        <w:rPr>
          <w:rFonts w:ascii="仿宋" w:hAnsi="仿宋" w:eastAsia="仿宋" w:cs="仿宋"/>
          <w:b/>
          <w:bCs/>
          <w:sz w:val="24"/>
          <w:szCs w:val="24"/>
          <w:u w:val="dotted"/>
          <w:lang w:eastAsia="zh-CN"/>
        </w:rPr>
        <w:t xml:space="preserve">                                                                                </w:t>
      </w:r>
    </w:p>
    <w:p w14:paraId="2EAE3B09">
      <w:pPr>
        <w:widowControl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673600" behindDoc="0" locked="0" layoutInCell="1" allowOverlap="1">
                <wp:simplePos x="0" y="0"/>
                <wp:positionH relativeFrom="column">
                  <wp:posOffset>-114300</wp:posOffset>
                </wp:positionH>
                <wp:positionV relativeFrom="paragraph">
                  <wp:posOffset>12065</wp:posOffset>
                </wp:positionV>
                <wp:extent cx="851535" cy="511175"/>
                <wp:effectExtent l="0" t="0" r="0" b="0"/>
                <wp:wrapNone/>
                <wp:docPr id="32" name="文本框 709"/>
                <wp:cNvGraphicFramePr/>
                <a:graphic xmlns:a="http://schemas.openxmlformats.org/drawingml/2006/main">
                  <a:graphicData uri="http://schemas.microsoft.com/office/word/2010/wordprocessingShape">
                    <wps:wsp>
                      <wps:cNvSpPr txBox="1"/>
                      <wps:spPr>
                        <a:xfrm>
                          <a:off x="0" y="0"/>
                          <a:ext cx="851535" cy="511175"/>
                        </a:xfrm>
                        <a:prstGeom prst="rect">
                          <a:avLst/>
                        </a:prstGeom>
                        <a:noFill/>
                        <a:ln w="12700">
                          <a:noFill/>
                        </a:ln>
                      </wps:spPr>
                      <wps:txbx>
                        <w:txbxContent>
                          <w:p w14:paraId="2D67C345">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分包工程款结算与支付</w:t>
                            </w:r>
                          </w:p>
                        </w:txbxContent>
                      </wps:txbx>
                      <wps:bodyPr rot="0" vert="horz" wrap="square" lIns="91440" tIns="45720" rIns="91440" bIns="45720" anchor="t" anchorCtr="0"/>
                    </wps:wsp>
                  </a:graphicData>
                </a:graphic>
              </wp:anchor>
            </w:drawing>
          </mc:Choice>
          <mc:Fallback>
            <w:pict>
              <v:shape id="文本框 709" o:spid="_x0000_s1026" o:spt="202" type="#_x0000_t202" style="position:absolute;left:0pt;margin-left:-9pt;margin-top:0.95pt;height:40.25pt;width:67.05pt;z-index:251673600;mso-width-relative:page;mso-height-relative:page;" filled="f" stroked="f" coordsize="21600,21600" o:gfxdata="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1hEqPW&#10;AAAACAEAAA8AAAAAAAAAAQAgAAAAIgAAAGRycy9kb3ducmV2LnhtbFBLAQIUABQAAAAIAIdO4kBv&#10;vh/c6QEAAL0DAAAOAAAAAAAAAAEAIAAAACUBAABkcnMvZTJvRG9jLnhtbFBLBQYAAAAABgAGAFkB&#10;AACABQAAAAA=&#10;">
                <v:fill on="f" focussize="0,0"/>
                <v:stroke on="f" weight="1pt"/>
                <v:imagedata o:title=""/>
                <o:lock v:ext="edit" aspectratio="f"/>
                <v:textbox>
                  <w:txbxContent>
                    <w:p w14:paraId="2D67C345">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分包工程款结算与支付</w:t>
                      </w:r>
                    </w:p>
                  </w:txbxContent>
                </v:textbox>
              </v:shape>
            </w:pict>
          </mc:Fallback>
        </mc:AlternateContent>
      </w:r>
      <w:r>
        <w:rPr>
          <w:rFonts w:hint="eastAsia" w:ascii="仿宋" w:hAnsi="仿宋" w:eastAsia="仿宋" w:cs="仿宋"/>
          <w:lang w:eastAsia="zh-CN"/>
        </w:rPr>
        <w:t>分包合同价款由承包人与分包人结算。除合同另有约定或取得承包人的同意外，发包人应将分包合同价款按专用条款约定的支付方式全部支付给承包人，禁止发包人直接向分包人支付任何分包合同价款。</w:t>
      </w:r>
    </w:p>
    <w:p w14:paraId="33494C4B">
      <w:pPr>
        <w:widowControl w:val="0"/>
        <w:spacing w:line="400" w:lineRule="exact"/>
        <w:ind w:left="1850" w:leftChars="771"/>
        <w:jc w:val="both"/>
        <w:rPr>
          <w:rFonts w:ascii="仿宋" w:hAnsi="仿宋" w:eastAsia="仿宋"/>
          <w:lang w:eastAsia="zh-CN"/>
        </w:rPr>
      </w:pPr>
      <w:r>
        <w:rPr>
          <w:rFonts w:hint="eastAsia" w:ascii="仿宋" w:hAnsi="仿宋" w:eastAsia="仿宋" w:cs="仿宋"/>
          <w:lang w:eastAsia="zh-CN"/>
        </w:rPr>
        <w:t>如发包人有要求时，承包人应提供能证明自己已向分包人支付其分包合同价款等证明资料。否则，发包人有权直接向分包人支付承包人应支付而未支付的分包合同价款，并在承包人得到的合同价款中扣除。</w:t>
      </w:r>
    </w:p>
    <w:p w14:paraId="1224B251">
      <w:pPr>
        <w:pStyle w:val="22"/>
        <w:adjustRightInd w:val="0"/>
        <w:snapToGrid w:val="0"/>
        <w:spacing w:line="400" w:lineRule="exact"/>
        <w:rPr>
          <w:rFonts w:ascii="仿宋" w:hAnsi="仿宋" w:eastAsia="仿宋"/>
          <w:b/>
          <w:bCs/>
          <w:sz w:val="24"/>
          <w:szCs w:val="24"/>
          <w:lang w:eastAsia="zh-CN"/>
        </w:rPr>
      </w:pPr>
      <w:r>
        <w:rPr>
          <w:rFonts w:ascii="仿宋" w:hAnsi="仿宋" w:eastAsia="仿宋" w:cs="仿宋"/>
          <w:b/>
          <w:bCs/>
          <w:sz w:val="24"/>
          <w:szCs w:val="24"/>
        </w:rPr>
        <mc:AlternateContent>
          <mc:Choice Requires="wps">
            <w:drawing>
              <wp:anchor distT="0" distB="0" distL="114300" distR="114300" simplePos="0" relativeHeight="251674624" behindDoc="0" locked="0" layoutInCell="1" allowOverlap="1">
                <wp:simplePos x="0" y="0"/>
                <wp:positionH relativeFrom="column">
                  <wp:posOffset>-114300</wp:posOffset>
                </wp:positionH>
                <wp:positionV relativeFrom="paragraph">
                  <wp:posOffset>287655</wp:posOffset>
                </wp:positionV>
                <wp:extent cx="803275" cy="483235"/>
                <wp:effectExtent l="0" t="0" r="0" b="0"/>
                <wp:wrapNone/>
                <wp:docPr id="33" name="文本框 710"/>
                <wp:cNvGraphicFramePr/>
                <a:graphic xmlns:a="http://schemas.openxmlformats.org/drawingml/2006/main">
                  <a:graphicData uri="http://schemas.microsoft.com/office/word/2010/wordprocessingShape">
                    <wps:wsp>
                      <wps:cNvSpPr txBox="1"/>
                      <wps:spPr>
                        <a:xfrm>
                          <a:off x="0" y="0"/>
                          <a:ext cx="803275" cy="483235"/>
                        </a:xfrm>
                        <a:prstGeom prst="rect">
                          <a:avLst/>
                        </a:prstGeom>
                        <a:noFill/>
                        <a:ln w="12700">
                          <a:noFill/>
                        </a:ln>
                      </wps:spPr>
                      <wps:txbx>
                        <w:txbxContent>
                          <w:p w14:paraId="378348A1">
                            <w:pPr>
                              <w:rPr>
                                <w:rFonts w:ascii="楷体_GB2312" w:hAnsi="宋体" w:eastAsia="楷体_GB2312"/>
                                <w:sz w:val="18"/>
                                <w:szCs w:val="18"/>
                              </w:rPr>
                            </w:pPr>
                            <w:r>
                              <w:rPr>
                                <w:rFonts w:hint="eastAsia" w:ascii="楷体_GB2312" w:hAnsi="宋体" w:eastAsia="楷体_GB2312" w:cs="楷体_GB2312"/>
                                <w:b/>
                                <w:bCs/>
                                <w:color w:val="000000"/>
                                <w:sz w:val="18"/>
                                <w:szCs w:val="18"/>
                              </w:rPr>
                              <w:t>分包责任和义务</w:t>
                            </w:r>
                          </w:p>
                        </w:txbxContent>
                      </wps:txbx>
                      <wps:bodyPr rot="0" vert="horz" wrap="square" lIns="91440" tIns="45720" rIns="91440" bIns="45720" anchor="t" anchorCtr="0"/>
                    </wps:wsp>
                  </a:graphicData>
                </a:graphic>
              </wp:anchor>
            </w:drawing>
          </mc:Choice>
          <mc:Fallback>
            <w:pict>
              <v:shape id="文本框 710" o:spid="_x0000_s1026" o:spt="202" type="#_x0000_t202" style="position:absolute;left:0pt;margin-left:-9pt;margin-top:22.65pt;height:38.05pt;width:63.25pt;z-index:251674624;mso-width-relative:page;mso-height-relative:page;" filled="f" stroked="f" coordsize="21600,21600" o:gfxdata="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st&#10;4YPZAAAACgEAAA8AAAAAAAAAAQAgAAAAIgAAAGRycy9kb3ducmV2LnhtbFBLAQIUABQAAAAIAIdO&#10;4kC6aDOg6QEAAL0DAAAOAAAAAAAAAAEAIAAAACgBAABkcnMvZTJvRG9jLnhtbFBLBQYAAAAABgAG&#10;AFkBAACDBQAAAAA=&#10;">
                <v:fill on="f" focussize="0,0"/>
                <v:stroke on="f" weight="1pt"/>
                <v:imagedata o:title=""/>
                <o:lock v:ext="edit" aspectratio="f"/>
                <v:textbox>
                  <w:txbxContent>
                    <w:p w14:paraId="378348A1">
                      <w:pPr>
                        <w:rPr>
                          <w:rFonts w:ascii="楷体_GB2312" w:hAnsi="宋体" w:eastAsia="楷体_GB2312"/>
                          <w:sz w:val="18"/>
                          <w:szCs w:val="18"/>
                        </w:rPr>
                      </w:pPr>
                      <w:r>
                        <w:rPr>
                          <w:rFonts w:hint="eastAsia" w:ascii="楷体_GB2312" w:hAnsi="宋体" w:eastAsia="楷体_GB2312" w:cs="楷体_GB2312"/>
                          <w:b/>
                          <w:bCs/>
                          <w:color w:val="000000"/>
                          <w:sz w:val="18"/>
                          <w:szCs w:val="18"/>
                        </w:rPr>
                        <w:t>分包责任和义务</w:t>
                      </w:r>
                    </w:p>
                  </w:txbxContent>
                </v:textbox>
              </v:shape>
            </w:pict>
          </mc:Fallback>
        </mc:AlternateContent>
      </w:r>
      <w:r>
        <w:rPr>
          <w:rFonts w:hint="eastAsia" w:ascii="仿宋" w:hAnsi="仿宋" w:eastAsia="仿宋" w:cs="仿宋"/>
          <w:b/>
          <w:bCs/>
          <w:sz w:val="24"/>
          <w:szCs w:val="24"/>
          <w:lang w:eastAsia="zh-CN"/>
        </w:rPr>
        <w:t>10</w:t>
      </w:r>
      <w:r>
        <w:rPr>
          <w:rFonts w:ascii="仿宋" w:hAnsi="仿宋" w:eastAsia="仿宋" w:cs="仿宋"/>
          <w:b/>
          <w:bCs/>
          <w:sz w:val="24"/>
          <w:szCs w:val="24"/>
          <w:lang w:eastAsia="zh-CN"/>
        </w:rPr>
        <w:t xml:space="preserve">.5 </w:t>
      </w:r>
      <w:r>
        <w:rPr>
          <w:rFonts w:ascii="仿宋" w:hAnsi="仿宋" w:eastAsia="仿宋" w:cs="仿宋"/>
          <w:b/>
          <w:bCs/>
          <w:sz w:val="24"/>
          <w:szCs w:val="24"/>
          <w:u w:val="dotted"/>
          <w:lang w:eastAsia="zh-CN"/>
        </w:rPr>
        <w:t xml:space="preserve">                         </w:t>
      </w:r>
      <w:r>
        <w:rPr>
          <w:rFonts w:hint="eastAsia" w:ascii="仿宋" w:hAnsi="仿宋" w:eastAsia="仿宋" w:cs="仿宋"/>
          <w:b/>
          <w:bCs/>
          <w:sz w:val="24"/>
          <w:szCs w:val="24"/>
          <w:u w:val="dotted"/>
          <w:lang w:eastAsia="zh-CN"/>
        </w:rPr>
        <w:t xml:space="preserve">   </w:t>
      </w:r>
      <w:r>
        <w:rPr>
          <w:rFonts w:ascii="仿宋" w:hAnsi="仿宋" w:eastAsia="仿宋" w:cs="仿宋"/>
          <w:b/>
          <w:bCs/>
          <w:sz w:val="24"/>
          <w:szCs w:val="24"/>
          <w:u w:val="dotted"/>
          <w:lang w:eastAsia="zh-CN"/>
        </w:rPr>
        <w:t xml:space="preserve">                                                    </w:t>
      </w:r>
    </w:p>
    <w:p w14:paraId="24693999">
      <w:pPr>
        <w:widowControl w:val="0"/>
        <w:spacing w:line="400" w:lineRule="exact"/>
        <w:ind w:left="1850" w:leftChars="771"/>
        <w:jc w:val="both"/>
        <w:rPr>
          <w:rFonts w:ascii="仿宋" w:hAnsi="仿宋" w:eastAsia="仿宋"/>
          <w:lang w:eastAsia="zh-CN"/>
        </w:rPr>
      </w:pPr>
      <w:r>
        <w:rPr>
          <w:rFonts w:hint="eastAsia" w:ascii="仿宋" w:hAnsi="仿宋" w:eastAsia="仿宋" w:cs="仿宋"/>
          <w:lang w:eastAsia="zh-CN"/>
        </w:rPr>
        <w:t>分包不能免除承包人应承担的任何责任和应履行的任何义务。承包人应在分包场地派驻相应管理人员保证本合同的履行。</w:t>
      </w:r>
    </w:p>
    <w:p w14:paraId="4831717F">
      <w:pPr>
        <w:widowControl w:val="0"/>
        <w:spacing w:line="400" w:lineRule="exact"/>
        <w:ind w:left="1850" w:leftChars="771"/>
        <w:jc w:val="both"/>
        <w:rPr>
          <w:rFonts w:ascii="仿宋" w:hAnsi="仿宋" w:eastAsia="仿宋"/>
          <w:lang w:eastAsia="zh-CN"/>
        </w:rPr>
      </w:pPr>
      <w:r>
        <w:rPr>
          <w:rFonts w:hint="eastAsia" w:ascii="仿宋" w:hAnsi="仿宋" w:eastAsia="仿宋" w:cs="仿宋"/>
          <w:lang w:eastAsia="zh-CN"/>
        </w:rPr>
        <w:t>分包人应对分包事项负责。分包人的任何违约行为或疏忽导致工程损坏、损害或给发包人造成损失的，承包人应承担连带责任。</w:t>
      </w:r>
    </w:p>
    <w:p w14:paraId="6182E610">
      <w:pPr>
        <w:pStyle w:val="22"/>
        <w:adjustRightInd w:val="0"/>
        <w:snapToGrid w:val="0"/>
        <w:spacing w:line="400" w:lineRule="exact"/>
        <w:rPr>
          <w:rFonts w:ascii="仿宋" w:hAnsi="仿宋" w:eastAsia="仿宋"/>
          <w:sz w:val="24"/>
          <w:szCs w:val="24"/>
          <w:lang w:eastAsia="zh-CN"/>
        </w:rPr>
      </w:pPr>
      <w:r>
        <mc:AlternateContent>
          <mc:Choice Requires="wps">
            <w:drawing>
              <wp:anchor distT="0" distB="0" distL="114300" distR="114300" simplePos="0" relativeHeight="251675648" behindDoc="0" locked="0" layoutInCell="1" allowOverlap="1">
                <wp:simplePos x="0" y="0"/>
                <wp:positionH relativeFrom="column">
                  <wp:posOffset>-114300</wp:posOffset>
                </wp:positionH>
                <wp:positionV relativeFrom="paragraph">
                  <wp:posOffset>285750</wp:posOffset>
                </wp:positionV>
                <wp:extent cx="767080" cy="517525"/>
                <wp:effectExtent l="0" t="0" r="0" b="0"/>
                <wp:wrapNone/>
                <wp:docPr id="34" name="文本框 711"/>
                <wp:cNvGraphicFramePr/>
                <a:graphic xmlns:a="http://schemas.openxmlformats.org/drawingml/2006/main">
                  <a:graphicData uri="http://schemas.microsoft.com/office/word/2010/wordprocessingShape">
                    <wps:wsp>
                      <wps:cNvSpPr txBox="1"/>
                      <wps:spPr>
                        <a:xfrm>
                          <a:off x="0" y="0"/>
                          <a:ext cx="767080" cy="517525"/>
                        </a:xfrm>
                        <a:prstGeom prst="rect">
                          <a:avLst/>
                        </a:prstGeom>
                        <a:noFill/>
                        <a:ln w="12700">
                          <a:noFill/>
                        </a:ln>
                      </wps:spPr>
                      <wps:txbx>
                        <w:txbxContent>
                          <w:p w14:paraId="30D25F4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txbxContent>
                      </wps:txbx>
                      <wps:bodyPr rot="0" vert="horz" wrap="square" lIns="91440" tIns="45720" rIns="91440" bIns="45720" anchor="t" anchorCtr="0"/>
                    </wps:wsp>
                  </a:graphicData>
                </a:graphic>
              </wp:anchor>
            </w:drawing>
          </mc:Choice>
          <mc:Fallback>
            <w:pict>
              <v:shape id="文本框 711" o:spid="_x0000_s1026" o:spt="202" type="#_x0000_t202" style="position:absolute;left:0pt;margin-left:-9pt;margin-top:22.5pt;height:40.75pt;width:60.4pt;z-index:251675648;mso-width-relative:page;mso-height-relative:page;" filled="f" stroked="f" coordsize="21600,21600" o:gfxdata="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rojiN&#10;2AAAAAoBAAAPAAAAAAAAAAEAIAAAACIAAABkcnMvZG93bnJldi54bWxQSwECFAAUAAAACACHTuJA&#10;RAlJYegBAAC9AwAADgAAAAAAAAABACAAAAAnAQAAZHJzL2Uyb0RvYy54bWxQSwUGAAAAAAYABgBZ&#10;AQAAgQUAAAAA&#10;">
                <v:fill on="f" focussize="0,0"/>
                <v:stroke on="f" weight="1pt"/>
                <v:imagedata o:title=""/>
                <o:lock v:ext="edit" aspectratio="f"/>
                <v:textbox>
                  <w:txbxContent>
                    <w:p w14:paraId="30D25F4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txbxContent>
                </v:textbox>
              </v:shape>
            </w:pict>
          </mc:Fallback>
        </mc:AlternateContent>
      </w:r>
      <w:r>
        <w:rPr>
          <w:rFonts w:hint="eastAsia" w:ascii="仿宋" w:hAnsi="仿宋" w:eastAsia="仿宋" w:cs="仿宋"/>
          <w:b/>
          <w:bCs/>
          <w:sz w:val="24"/>
          <w:szCs w:val="24"/>
          <w:lang w:eastAsia="zh-CN"/>
        </w:rPr>
        <w:t>10</w:t>
      </w:r>
      <w:r>
        <w:rPr>
          <w:rFonts w:ascii="仿宋" w:hAnsi="仿宋" w:eastAsia="仿宋" w:cs="仿宋"/>
          <w:b/>
          <w:bCs/>
          <w:sz w:val="24"/>
          <w:szCs w:val="24"/>
          <w:lang w:eastAsia="zh-CN"/>
        </w:rPr>
        <w:t xml:space="preserve">.6 </w:t>
      </w:r>
      <w:r>
        <w:rPr>
          <w:rFonts w:ascii="仿宋" w:hAnsi="仿宋" w:eastAsia="仿宋" w:cs="仿宋"/>
          <w:sz w:val="24"/>
          <w:szCs w:val="24"/>
          <w:lang w:eastAsia="zh-CN"/>
        </w:rPr>
        <w:t xml:space="preserve"> </w:t>
      </w:r>
      <w:r>
        <w:rPr>
          <w:rFonts w:ascii="仿宋" w:hAnsi="仿宋" w:eastAsia="仿宋" w:cs="仿宋"/>
          <w:sz w:val="24"/>
          <w:szCs w:val="24"/>
          <w:u w:val="dotted"/>
          <w:lang w:eastAsia="zh-CN"/>
        </w:rPr>
        <w:t xml:space="preserve">                                                                                </w:t>
      </w:r>
    </w:p>
    <w:p w14:paraId="609774D1">
      <w:pPr>
        <w:widowControl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无论何种原因，当本合同终止时，承包人应与分包人解除分包合同。承包人应在本合同终止前向分包人支付分包人应得款项。</w:t>
      </w:r>
    </w:p>
    <w:p w14:paraId="4FA47387">
      <w:pPr>
        <w:pStyle w:val="22"/>
        <w:adjustRightInd w:val="0"/>
        <w:snapToGrid w:val="0"/>
        <w:spacing w:line="400" w:lineRule="exact"/>
        <w:rPr>
          <w:rFonts w:ascii="仿宋" w:hAnsi="仿宋" w:eastAsia="仿宋"/>
          <w:sz w:val="24"/>
          <w:szCs w:val="24"/>
          <w:lang w:eastAsia="zh-CN"/>
        </w:rPr>
      </w:pPr>
      <w:r>
        <w:rPr>
          <w:rFonts w:hint="eastAsia" w:ascii="仿宋" w:hAnsi="仿宋" w:eastAsia="仿宋" w:cs="仿宋"/>
          <w:b/>
          <w:bCs/>
          <w:sz w:val="24"/>
          <w:szCs w:val="24"/>
          <w:lang w:eastAsia="zh-CN"/>
        </w:rPr>
        <w:t>10</w:t>
      </w:r>
      <w:r>
        <w:rPr>
          <w:rFonts w:ascii="仿宋" w:hAnsi="仿宋" w:eastAsia="仿宋" w:cs="仿宋"/>
          <w:b/>
          <w:bCs/>
          <w:sz w:val="24"/>
          <w:szCs w:val="24"/>
          <w:lang w:eastAsia="zh-CN"/>
        </w:rPr>
        <w:t>.</w:t>
      </w:r>
      <w:r>
        <w:rPr>
          <w:rFonts w:hint="eastAsia" w:ascii="仿宋" w:hAnsi="仿宋" w:eastAsia="仿宋" w:cs="仿宋"/>
          <w:b/>
          <w:bCs/>
          <w:sz w:val="24"/>
          <w:szCs w:val="24"/>
          <w:lang w:eastAsia="zh-CN"/>
        </w:rPr>
        <w:t>7</w:t>
      </w:r>
      <w:r>
        <w:rPr>
          <w:rFonts w:ascii="仿宋" w:hAnsi="仿宋" w:eastAsia="仿宋" w:cs="仿宋"/>
          <w:b/>
          <w:bCs/>
          <w:sz w:val="24"/>
          <w:szCs w:val="24"/>
          <w:lang w:eastAsia="zh-CN"/>
        </w:rPr>
        <w:t xml:space="preserve"> </w:t>
      </w:r>
      <w:r>
        <w:rPr>
          <w:rFonts w:ascii="仿宋" w:hAnsi="仿宋" w:eastAsia="仿宋" w:cs="仿宋"/>
          <w:sz w:val="24"/>
          <w:szCs w:val="24"/>
          <w:lang w:eastAsia="zh-CN"/>
        </w:rPr>
        <w:t xml:space="preserve"> </w:t>
      </w:r>
      <w:r>
        <w:rPr>
          <w:rFonts w:ascii="仿宋" w:hAnsi="仿宋" w:eastAsia="仿宋" w:cs="仿宋"/>
          <w:sz w:val="24"/>
          <w:szCs w:val="24"/>
          <w:u w:val="dotted"/>
          <w:lang w:eastAsia="zh-CN"/>
        </w:rPr>
        <w:t xml:space="preserve">                                                                                </w:t>
      </w:r>
    </w:p>
    <w:p w14:paraId="21D132B2">
      <w:pPr>
        <w:widowControl w:val="0"/>
        <w:spacing w:line="400" w:lineRule="exact"/>
        <w:ind w:left="1850" w:leftChars="771"/>
        <w:jc w:val="both"/>
        <w:rPr>
          <w:rFonts w:ascii="仿宋" w:hAnsi="仿宋" w:eastAsia="仿宋" w:cs="仿宋"/>
          <w:lang w:eastAsia="zh-CN"/>
        </w:rPr>
      </w:pPr>
      <w:r>
        <w:rPr>
          <w:rFonts w:ascii="仿宋" w:hAnsi="仿宋" w:eastAsia="仿宋" w:cs="仿宋"/>
        </w:rPr>
        <mc:AlternateContent>
          <mc:Choice Requires="wps">
            <w:drawing>
              <wp:anchor distT="0" distB="0" distL="114300" distR="114300" simplePos="0" relativeHeight="251979776" behindDoc="0" locked="0" layoutInCell="1" allowOverlap="1">
                <wp:simplePos x="0" y="0"/>
                <wp:positionH relativeFrom="column">
                  <wp:posOffset>-114300</wp:posOffset>
                </wp:positionH>
                <wp:positionV relativeFrom="paragraph">
                  <wp:posOffset>-1270</wp:posOffset>
                </wp:positionV>
                <wp:extent cx="765810" cy="543560"/>
                <wp:effectExtent l="0" t="0" r="0" b="0"/>
                <wp:wrapNone/>
                <wp:docPr id="35" name="文本框 711"/>
                <wp:cNvGraphicFramePr/>
                <a:graphic xmlns:a="http://schemas.openxmlformats.org/drawingml/2006/main">
                  <a:graphicData uri="http://schemas.microsoft.com/office/word/2010/wordprocessingShape">
                    <wps:wsp>
                      <wps:cNvSpPr txBox="1"/>
                      <wps:spPr>
                        <a:xfrm>
                          <a:off x="0" y="0"/>
                          <a:ext cx="765810" cy="543560"/>
                        </a:xfrm>
                        <a:prstGeom prst="rect">
                          <a:avLst/>
                        </a:prstGeom>
                        <a:noFill/>
                        <a:ln w="12700">
                          <a:noFill/>
                        </a:ln>
                      </wps:spPr>
                      <wps:txbx>
                        <w:txbxContent>
                          <w:p w14:paraId="74622DD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发包人强制分包</w:t>
                            </w:r>
                          </w:p>
                        </w:txbxContent>
                      </wps:txbx>
                      <wps:bodyPr rot="0" vert="horz" wrap="square" lIns="91440" tIns="45720" rIns="91440" bIns="45720" anchor="t" anchorCtr="0"/>
                    </wps:wsp>
                  </a:graphicData>
                </a:graphic>
              </wp:anchor>
            </w:drawing>
          </mc:Choice>
          <mc:Fallback>
            <w:pict>
              <v:shape id="文本框 711" o:spid="_x0000_s1026" o:spt="202" type="#_x0000_t202" style="position:absolute;left:0pt;margin-left:-9pt;margin-top:-0.1pt;height:42.8pt;width:60.3pt;z-index:251979776;mso-width-relative:page;mso-height-relative:page;" filled="f" stroked="f" coordsize="21600,21600" o:gfxdata="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TB2jHW&#10;AAAACAEAAA8AAAAAAAAAAQAgAAAAIgAAAGRycy9kb3ducmV2LnhtbFBLAQIUABQAAAAIAIdO4kAt&#10;JUQg6QEAAL0DAAAOAAAAAAAAAAEAIAAAACUBAABkcnMvZTJvRG9jLnhtbFBLBQYAAAAABgAGAFkB&#10;AACABQAAAAA=&#10;">
                <v:fill on="f" focussize="0,0"/>
                <v:stroke on="f" weight="1pt"/>
                <v:imagedata o:title=""/>
                <o:lock v:ext="edit" aspectratio="f"/>
                <v:textbox>
                  <w:txbxContent>
                    <w:p w14:paraId="74622DD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发包人强制分包</w:t>
                      </w:r>
                    </w:p>
                  </w:txbxContent>
                </v:textbox>
              </v:shape>
            </w:pict>
          </mc:Fallback>
        </mc:AlternateContent>
      </w:r>
      <w:r>
        <w:rPr>
          <w:rFonts w:hint="eastAsia" w:ascii="仿宋" w:hAnsi="仿宋" w:eastAsia="仿宋" w:cs="仿宋"/>
          <w:lang w:eastAsia="zh-CN"/>
        </w:rPr>
        <w:t>因承包人违约或发生重大的质量、安全事故以及出现进度严重滞后的情况或工程专业化施工等的需要，发包人有权对承包人部分工作事项进行切割，做分包处理，因此而增加的一切费用由承包人承担。</w:t>
      </w:r>
    </w:p>
    <w:p w14:paraId="729AF575">
      <w:pPr>
        <w:widowControl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当发包人决定采取分包时，承包人应无条件接受并全力配合发包人开展相关工作，并无条件提供已有的临时设施供分包人使用，且不得为此要求增加或支付任何费用，否则视承包人违约。发包人委托造价咨询人按合同价格清单、分包工程量及相关违约条款计算该分包工程造价，并按以下原则从承包人的合同总价中扣除相应价款：</w:t>
      </w:r>
    </w:p>
    <w:p w14:paraId="7B016F32">
      <w:pPr>
        <w:widowControl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（1）若计算结果等于或高于发包人与分包人就该分包事项协商确定的合同总价，则按造价咨询人计算结果扣除。</w:t>
      </w:r>
    </w:p>
    <w:p w14:paraId="709DF8E2">
      <w:pPr>
        <w:widowControl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（2）若计算结果低于发包人与分包人就该分包事项协商确定的合同总价，按发包人与分包人协商确定的该分包事项合同总价扣除。</w:t>
      </w:r>
    </w:p>
    <w:p w14:paraId="39256A27">
      <w:pPr>
        <w:spacing w:line="400" w:lineRule="exact"/>
        <w:rPr>
          <w:lang w:eastAsia="zh-CN"/>
        </w:rPr>
      </w:pPr>
      <w:r>
        <w:rPr>
          <w:rFonts w:ascii="仿宋" w:hAnsi="仿宋" w:eastAsia="仿宋" w:cs="仿宋"/>
          <w:b/>
          <w:bCs/>
          <w:u w:val="single"/>
          <w:lang w:eastAsia="zh-CN"/>
        </w:rPr>
        <w:t xml:space="preserve">                                                            </w:t>
      </w:r>
      <w:r>
        <w:rPr>
          <w:rFonts w:hint="eastAsia" w:ascii="仿宋" w:hAnsi="仿宋" w:eastAsia="仿宋" w:cs="仿宋"/>
          <w:b/>
          <w:bCs/>
          <w:u w:val="single"/>
          <w:lang w:eastAsia="zh-CN"/>
        </w:rPr>
        <w:t xml:space="preserve">      </w:t>
      </w:r>
      <w:r>
        <w:rPr>
          <w:rFonts w:ascii="仿宋" w:hAnsi="仿宋" w:eastAsia="仿宋" w:cs="仿宋"/>
          <w:b/>
          <w:bCs/>
          <w:u w:val="single"/>
          <w:lang w:eastAsia="zh-CN"/>
        </w:rPr>
        <w:t xml:space="preserve">                  </w:t>
      </w:r>
    </w:p>
    <w:p w14:paraId="795C74C0">
      <w:pPr>
        <w:pStyle w:val="4"/>
        <w:tabs>
          <w:tab w:val="left" w:pos="420"/>
        </w:tabs>
        <w:spacing w:before="0" w:after="0" w:line="400" w:lineRule="exact"/>
        <w:rPr>
          <w:rFonts w:ascii="仿宋" w:hAnsi="仿宋" w:eastAsia="仿宋"/>
          <w:sz w:val="24"/>
          <w:szCs w:val="24"/>
          <w:lang w:eastAsia="zh-CN"/>
        </w:rPr>
      </w:pPr>
      <w:bookmarkStart w:id="155" w:name="_Toc469383987"/>
      <w:bookmarkStart w:id="156" w:name="_Toc0"/>
      <w:bookmarkStart w:id="157" w:name="_Toc194073116"/>
      <w:bookmarkStart w:id="158" w:name="_Toc13229"/>
      <w:bookmarkStart w:id="159" w:name="_Toc14275"/>
      <w:r>
        <w:rPr>
          <w:rFonts w:hint="eastAsia" w:ascii="仿宋" w:hAnsi="仿宋" w:eastAsia="仿宋" w:cs="仿宋"/>
          <w:sz w:val="24"/>
          <w:szCs w:val="24"/>
          <w:lang w:eastAsia="zh-CN"/>
        </w:rPr>
        <w:t>11</w:t>
      </w:r>
      <w:r>
        <w:rPr>
          <w:rFonts w:ascii="仿宋" w:hAnsi="仿宋" w:eastAsia="仿宋" w:cs="仿宋"/>
          <w:sz w:val="24"/>
          <w:szCs w:val="24"/>
          <w:lang w:eastAsia="zh-CN"/>
        </w:rPr>
        <w:t xml:space="preserve"> </w:t>
      </w:r>
      <w:r>
        <w:rPr>
          <w:rFonts w:hint="eastAsia" w:ascii="仿宋" w:hAnsi="仿宋" w:eastAsia="仿宋" w:cs="仿宋"/>
          <w:sz w:val="24"/>
          <w:szCs w:val="24"/>
          <w:lang w:eastAsia="zh-CN"/>
        </w:rPr>
        <w:t>现场查勘</w:t>
      </w:r>
      <w:bookmarkEnd w:id="155"/>
      <w:bookmarkEnd w:id="156"/>
      <w:bookmarkEnd w:id="157"/>
      <w:bookmarkEnd w:id="158"/>
      <w:bookmarkEnd w:id="159"/>
    </w:p>
    <w:p w14:paraId="402D93FB">
      <w:pPr>
        <w:pStyle w:val="22"/>
        <w:adjustRightInd w:val="0"/>
        <w:snapToGrid w:val="0"/>
        <w:spacing w:line="400" w:lineRule="exact"/>
        <w:rPr>
          <w:rFonts w:ascii="仿宋" w:hAnsi="仿宋" w:eastAsia="仿宋" w:cs="仿宋"/>
          <w:b/>
          <w:bCs/>
          <w:sz w:val="24"/>
          <w:szCs w:val="24"/>
          <w:lang w:eastAsia="zh-CN"/>
        </w:rPr>
      </w:pPr>
      <w:r>
        <w:rPr>
          <w:rFonts w:ascii="仿宋" w:hAnsi="仿宋" w:eastAsia="仿宋" w:cs="仿宋"/>
          <w:b/>
          <w:bCs/>
          <w:sz w:val="24"/>
          <w:szCs w:val="24"/>
        </w:rPr>
        <mc:AlternateContent>
          <mc:Choice Requires="wps">
            <w:drawing>
              <wp:anchor distT="0" distB="0" distL="114300" distR="114300" simplePos="0" relativeHeight="251676672" behindDoc="0" locked="0" layoutInCell="1" allowOverlap="1">
                <wp:simplePos x="0" y="0"/>
                <wp:positionH relativeFrom="column">
                  <wp:posOffset>-114300</wp:posOffset>
                </wp:positionH>
                <wp:positionV relativeFrom="paragraph">
                  <wp:posOffset>236855</wp:posOffset>
                </wp:positionV>
                <wp:extent cx="765810" cy="359410"/>
                <wp:effectExtent l="0" t="0" r="0" b="0"/>
                <wp:wrapNone/>
                <wp:docPr id="36" name="文本框 712"/>
                <wp:cNvGraphicFramePr/>
                <a:graphic xmlns:a="http://schemas.openxmlformats.org/drawingml/2006/main">
                  <a:graphicData uri="http://schemas.microsoft.com/office/word/2010/wordprocessingShape">
                    <wps:wsp>
                      <wps:cNvSpPr txBox="1"/>
                      <wps:spPr>
                        <a:xfrm>
                          <a:off x="0" y="0"/>
                          <a:ext cx="765810" cy="359410"/>
                        </a:xfrm>
                        <a:prstGeom prst="rect">
                          <a:avLst/>
                        </a:prstGeom>
                        <a:noFill/>
                        <a:ln w="12700">
                          <a:noFill/>
                        </a:ln>
                      </wps:spPr>
                      <wps:txbx>
                        <w:txbxContent>
                          <w:p w14:paraId="1E2D2024">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发包人提供资料的责任</w:t>
                            </w:r>
                          </w:p>
                        </w:txbxContent>
                      </wps:txbx>
                      <wps:bodyPr rot="0" vert="horz" wrap="square" lIns="91440" tIns="45720" rIns="91440" bIns="45720" anchor="t" anchorCtr="0"/>
                    </wps:wsp>
                  </a:graphicData>
                </a:graphic>
              </wp:anchor>
            </w:drawing>
          </mc:Choice>
          <mc:Fallback>
            <w:pict>
              <v:shape id="文本框 712" o:spid="_x0000_s1026" o:spt="202" type="#_x0000_t202" style="position:absolute;left:0pt;margin-left:-9pt;margin-top:18.65pt;height:28.3pt;width:60.3pt;z-index:251676672;mso-width-relative:page;mso-height-relative:page;" filled="f" stroked="f" coordsize="21600,21600" o:gfxdata="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MQsY&#10;6dgAAAAJAQAADwAAAAAAAAABACAAAAAiAAAAZHJzL2Rvd25yZXYueG1sUEsBAhQAFAAAAAgAh07i&#10;QOMlv4vpAQAAvQMAAA4AAAAAAAAAAQAgAAAAJwEAAGRycy9lMm9Eb2MueG1sUEsFBgAAAAAGAAYA&#10;WQEAAIIFAAAAAA==&#10;">
                <v:fill on="f" focussize="0,0"/>
                <v:stroke on="f" weight="1pt"/>
                <v:imagedata o:title=""/>
                <o:lock v:ext="edit" aspectratio="f"/>
                <v:textbox>
                  <w:txbxContent>
                    <w:p w14:paraId="1E2D2024">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发包人提供资料的责任</w:t>
                      </w:r>
                    </w:p>
                  </w:txbxContent>
                </v:textbox>
              </v:shape>
            </w:pict>
          </mc:Fallback>
        </mc:AlternateContent>
      </w:r>
      <w:r>
        <w:rPr>
          <w:rFonts w:hint="eastAsia" w:ascii="仿宋" w:hAnsi="仿宋" w:eastAsia="仿宋" w:cs="仿宋"/>
          <w:b/>
          <w:bCs/>
          <w:sz w:val="24"/>
          <w:szCs w:val="24"/>
          <w:lang w:eastAsia="zh-CN"/>
        </w:rPr>
        <w:t>11</w:t>
      </w:r>
      <w:r>
        <w:rPr>
          <w:rFonts w:ascii="仿宋" w:hAnsi="仿宋" w:eastAsia="仿宋" w:cs="仿宋"/>
          <w:b/>
          <w:bCs/>
          <w:sz w:val="24"/>
          <w:szCs w:val="24"/>
          <w:lang w:eastAsia="zh-CN"/>
        </w:rPr>
        <w:t>.1</w:t>
      </w:r>
    </w:p>
    <w:p w14:paraId="6A75A926">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发包人应按照第6条和第22</w:t>
      </w:r>
      <w:r>
        <w:rPr>
          <w:rFonts w:ascii="仿宋" w:hAnsi="仿宋" w:eastAsia="仿宋" w:cs="仿宋"/>
          <w:sz w:val="24"/>
          <w:szCs w:val="24"/>
          <w:lang w:eastAsia="zh-CN"/>
        </w:rPr>
        <w:t>.2</w:t>
      </w:r>
      <w:r>
        <w:rPr>
          <w:rFonts w:hint="eastAsia" w:ascii="仿宋" w:hAnsi="仿宋" w:eastAsia="仿宋" w:cs="仿宋"/>
          <w:sz w:val="24"/>
          <w:szCs w:val="24"/>
          <w:lang w:eastAsia="zh-CN"/>
        </w:rPr>
        <w:t>款第（1）点约定向承包人提供《发包人要求》和项目基础资料。</w:t>
      </w:r>
    </w:p>
    <w:p w14:paraId="02CF0382">
      <w:pPr>
        <w:pStyle w:val="22"/>
        <w:adjustRightInd w:val="0"/>
        <w:snapToGrid w:val="0"/>
        <w:spacing w:line="400" w:lineRule="exact"/>
        <w:rPr>
          <w:rFonts w:ascii="仿宋" w:hAnsi="仿宋" w:eastAsia="仿宋"/>
          <w:b/>
          <w:bCs/>
          <w:sz w:val="24"/>
          <w:szCs w:val="24"/>
          <w:lang w:eastAsia="zh-CN"/>
        </w:rPr>
      </w:pPr>
      <w:r>
        <w:rPr>
          <w:rFonts w:hint="eastAsia" w:ascii="仿宋" w:hAnsi="仿宋" w:eastAsia="仿宋" w:cs="仿宋"/>
          <w:b/>
          <w:bCs/>
          <w:sz w:val="24"/>
          <w:szCs w:val="24"/>
          <w:lang w:eastAsia="zh-CN"/>
        </w:rPr>
        <w:t>11</w:t>
      </w:r>
      <w:r>
        <w:rPr>
          <w:rFonts w:ascii="仿宋" w:hAnsi="仿宋" w:eastAsia="仿宋" w:cs="仿宋"/>
          <w:b/>
          <w:bCs/>
          <w:sz w:val="24"/>
          <w:szCs w:val="24"/>
          <w:lang w:eastAsia="zh-CN"/>
        </w:rPr>
        <w:t xml:space="preserve">.2  </w:t>
      </w:r>
      <w:r>
        <w:rPr>
          <w:rFonts w:ascii="仿宋" w:hAnsi="仿宋" w:eastAsia="仿宋" w:cs="仿宋"/>
          <w:b/>
          <w:bCs/>
          <w:sz w:val="24"/>
          <w:szCs w:val="24"/>
          <w:u w:val="dotted"/>
          <w:lang w:eastAsia="zh-CN"/>
        </w:rPr>
        <w:t xml:space="preserve">                                                                                </w:t>
      </w:r>
    </w:p>
    <w:p w14:paraId="433078BC">
      <w:pPr>
        <w:pStyle w:val="22"/>
        <w:widowControl w:val="0"/>
        <w:adjustRightInd w:val="0"/>
        <w:snapToGrid w:val="0"/>
        <w:spacing w:line="400" w:lineRule="exact"/>
        <w:ind w:left="1850" w:leftChars="771"/>
        <w:jc w:val="both"/>
        <w:rPr>
          <w:rFonts w:ascii="仿宋" w:hAnsi="仿宋" w:eastAsia="仿宋"/>
          <w:sz w:val="24"/>
          <w:szCs w:val="24"/>
          <w:lang w:eastAsia="zh-CN"/>
        </w:rPr>
      </w:pPr>
      <w:r>
        <mc:AlternateContent>
          <mc:Choice Requires="wps">
            <w:drawing>
              <wp:anchor distT="0" distB="0" distL="114300" distR="114300" simplePos="0" relativeHeight="251677696" behindDoc="0" locked="0" layoutInCell="1" allowOverlap="1">
                <wp:simplePos x="0" y="0"/>
                <wp:positionH relativeFrom="column">
                  <wp:posOffset>-114300</wp:posOffset>
                </wp:positionH>
                <wp:positionV relativeFrom="paragraph">
                  <wp:posOffset>0</wp:posOffset>
                </wp:positionV>
                <wp:extent cx="850900" cy="494665"/>
                <wp:effectExtent l="0" t="0" r="0" b="0"/>
                <wp:wrapNone/>
                <wp:docPr id="37" name="文本框 713"/>
                <wp:cNvGraphicFramePr/>
                <a:graphic xmlns:a="http://schemas.openxmlformats.org/drawingml/2006/main">
                  <a:graphicData uri="http://schemas.microsoft.com/office/word/2010/wordprocessingShape">
                    <wps:wsp>
                      <wps:cNvSpPr txBox="1"/>
                      <wps:spPr>
                        <a:xfrm>
                          <a:off x="0" y="0"/>
                          <a:ext cx="850900" cy="494665"/>
                        </a:xfrm>
                        <a:prstGeom prst="rect">
                          <a:avLst/>
                        </a:prstGeom>
                        <a:noFill/>
                        <a:ln w="12700">
                          <a:noFill/>
                        </a:ln>
                      </wps:spPr>
                      <wps:txbx>
                        <w:txbxContent>
                          <w:p w14:paraId="4CD05443">
                            <w:pPr>
                              <w:rPr>
                                <w:rFonts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txbxContent>
                      </wps:txbx>
                      <wps:bodyPr rot="0" vert="horz" wrap="square" lIns="91440" tIns="45720" rIns="91440" bIns="45720" anchor="t" anchorCtr="0"/>
                    </wps:wsp>
                  </a:graphicData>
                </a:graphic>
              </wp:anchor>
            </w:drawing>
          </mc:Choice>
          <mc:Fallback>
            <w:pict>
              <v:shape id="文本框 713" o:spid="_x0000_s1026" o:spt="202" type="#_x0000_t202" style="position:absolute;left:0pt;margin-left:-9pt;margin-top:0pt;height:38.95pt;width:67pt;z-index:251677696;mso-width-relative:page;mso-height-relative:page;" filled="f" stroked="f" coordsize="21600,21600" o:gfxdata="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ETN1ydYA&#10;AAAHAQAADwAAAAAAAAABACAAAAAiAAAAZHJzL2Rvd25yZXYueG1sUEsBAhQAFAAAAAgAh07iQFFC&#10;zYjoAQAAvQMAAA4AAAAAAAAAAQAgAAAAJQEAAGRycy9lMm9Eb2MueG1sUEsFBgAAAAAGAAYAWQEA&#10;AH8FAAAAAA==&#10;">
                <v:fill on="f" focussize="0,0"/>
                <v:stroke on="f" weight="1pt"/>
                <v:imagedata o:title=""/>
                <o:lock v:ext="edit" aspectratio="f"/>
                <v:textbox>
                  <w:txbxContent>
                    <w:p w14:paraId="4CD05443">
                      <w:pPr>
                        <w:rPr>
                          <w:rFonts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txbxContent>
                </v:textbox>
              </v:shape>
            </w:pict>
          </mc:Fallback>
        </mc:AlternateContent>
      </w:r>
      <w:r>
        <w:rPr>
          <w:rFonts w:hint="eastAsia" w:ascii="仿宋" w:hAnsi="仿宋" w:eastAsia="仿宋" w:cs="仿宋"/>
          <w:sz w:val="24"/>
          <w:szCs w:val="24"/>
          <w:lang w:eastAsia="zh-CN"/>
        </w:rPr>
        <w:t>承包人已依据发包人提供的项目基础资料和自己对现场查勘来编制投标文件或报价文件，应对发包人提供项目基础资料的理解、推断和应用负责。</w:t>
      </w:r>
      <w:r>
        <w:rPr>
          <w:rFonts w:ascii="仿宋" w:hAnsi="仿宋" w:eastAsia="仿宋" w:cs="仿宋"/>
          <w:sz w:val="24"/>
          <w:szCs w:val="24"/>
          <w:lang w:eastAsia="zh-CN"/>
        </w:rPr>
        <w:t>因承包人未能充分查勘、了解</w:t>
      </w:r>
      <w:r>
        <w:rPr>
          <w:rFonts w:hint="eastAsia" w:ascii="仿宋" w:hAnsi="仿宋" w:eastAsia="仿宋" w:cs="仿宋"/>
          <w:sz w:val="24"/>
          <w:szCs w:val="24"/>
          <w:lang w:eastAsia="zh-CN"/>
        </w:rPr>
        <w:t>以下</w:t>
      </w:r>
      <w:r>
        <w:rPr>
          <w:rFonts w:ascii="仿宋" w:hAnsi="仿宋" w:eastAsia="仿宋" w:cs="仿宋"/>
          <w:sz w:val="24"/>
          <w:szCs w:val="24"/>
          <w:lang w:eastAsia="zh-CN"/>
        </w:rPr>
        <w:t>情况或未能充分估计</w:t>
      </w:r>
      <w:r>
        <w:rPr>
          <w:rFonts w:hint="eastAsia" w:ascii="仿宋" w:hAnsi="仿宋" w:eastAsia="仿宋" w:cs="仿宋"/>
          <w:sz w:val="24"/>
          <w:szCs w:val="24"/>
          <w:lang w:eastAsia="zh-CN"/>
        </w:rPr>
        <w:t>以下</w:t>
      </w:r>
      <w:r>
        <w:rPr>
          <w:rFonts w:ascii="仿宋" w:hAnsi="仿宋" w:eastAsia="仿宋" w:cs="仿宋"/>
          <w:sz w:val="24"/>
          <w:szCs w:val="24"/>
          <w:lang w:eastAsia="zh-CN"/>
        </w:rPr>
        <w:t>情况所可能产</w:t>
      </w:r>
      <w:r>
        <w:rPr>
          <w:rFonts w:hint="eastAsia" w:ascii="仿宋" w:hAnsi="仿宋" w:eastAsia="仿宋" w:cs="仿宋"/>
          <w:sz w:val="24"/>
          <w:szCs w:val="24"/>
          <w:lang w:eastAsia="zh-CN"/>
        </w:rPr>
        <w:t>生的</w:t>
      </w:r>
      <w:r>
        <w:rPr>
          <w:rFonts w:ascii="仿宋" w:hAnsi="仿宋" w:eastAsia="仿宋" w:cs="仿宋"/>
          <w:sz w:val="24"/>
          <w:szCs w:val="24"/>
          <w:lang w:eastAsia="zh-CN"/>
        </w:rPr>
        <w:t>后果，承包人承担由此增加的费用和（或）延误的工期。</w:t>
      </w:r>
      <w:r>
        <w:rPr>
          <w:rFonts w:hint="eastAsia" w:ascii="仿宋" w:hAnsi="仿宋" w:eastAsia="仿宋" w:cs="仿宋"/>
          <w:sz w:val="24"/>
          <w:szCs w:val="24"/>
          <w:lang w:eastAsia="zh-CN"/>
        </w:rPr>
        <w:t>承包人的投标文件或报价文件应被认为已经考虑了工程现场及其周围环境的影响，包括但不限于以下内容：</w:t>
      </w:r>
    </w:p>
    <w:p w14:paraId="74FCCBCF">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1</w:t>
      </w:r>
      <w:r>
        <w:rPr>
          <w:rFonts w:hint="eastAsia" w:ascii="仿宋" w:hAnsi="仿宋" w:eastAsia="仿宋" w:cs="仿宋"/>
          <w:sz w:val="24"/>
          <w:szCs w:val="24"/>
          <w:lang w:eastAsia="zh-CN"/>
        </w:rPr>
        <w:t>）现场地质情况及地形地貌特征；</w:t>
      </w:r>
    </w:p>
    <w:p w14:paraId="7FE1850A">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（2）水文和气候条件；</w:t>
      </w:r>
    </w:p>
    <w:p w14:paraId="32A8965A">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（3）为实施、完成并保修合同工程所需的临时工程和措施项目；</w:t>
      </w:r>
    </w:p>
    <w:p w14:paraId="44599C13">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（4）为实施、完成并保修合同工程所需的工程材料采购和加工、工程设备的采购，及所需的施工设备、周转性材料、人员和管理等；</w:t>
      </w:r>
    </w:p>
    <w:p w14:paraId="2B174C75">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（5）场地内外的交通情况及水、电、食宿供应条件；</w:t>
      </w:r>
    </w:p>
    <w:p w14:paraId="29732F47">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（6）可能对投标或报价有影响或起作用的其他情况。</w:t>
      </w:r>
    </w:p>
    <w:p w14:paraId="6EF87904">
      <w:pPr>
        <w:pStyle w:val="22"/>
        <w:adjustRightInd w:val="0"/>
        <w:snapToGrid w:val="0"/>
        <w:spacing w:line="400" w:lineRule="exact"/>
        <w:rPr>
          <w:rFonts w:ascii="仿宋" w:hAnsi="仿宋" w:eastAsia="仿宋"/>
          <w:sz w:val="24"/>
          <w:szCs w:val="24"/>
          <w:u w:val="single"/>
          <w:lang w:eastAsia="zh-CN"/>
        </w:rPr>
      </w:pPr>
      <w:r>
        <w:rPr>
          <w:rFonts w:ascii="仿宋" w:hAnsi="仿宋" w:eastAsia="仿宋" w:cs="仿宋"/>
          <w:b/>
          <w:bCs/>
          <w:sz w:val="24"/>
          <w:szCs w:val="24"/>
          <w:u w:val="single"/>
          <w:lang w:eastAsia="zh-CN"/>
        </w:rPr>
        <w:t xml:space="preserve">                                                                           </w:t>
      </w:r>
      <w:r>
        <w:rPr>
          <w:rFonts w:hint="eastAsia" w:ascii="仿宋" w:hAnsi="仿宋" w:eastAsia="仿宋" w:cs="仿宋"/>
          <w:b/>
          <w:bCs/>
          <w:sz w:val="24"/>
          <w:szCs w:val="24"/>
          <w:u w:val="single"/>
          <w:lang w:eastAsia="zh-CN"/>
        </w:rPr>
        <w:t xml:space="preserve">   </w:t>
      </w:r>
      <w:r>
        <w:rPr>
          <w:rFonts w:ascii="仿宋" w:hAnsi="仿宋" w:eastAsia="仿宋" w:cs="仿宋"/>
          <w:b/>
          <w:bCs/>
          <w:sz w:val="24"/>
          <w:szCs w:val="24"/>
          <w:u w:val="single"/>
          <w:lang w:eastAsia="zh-CN"/>
        </w:rPr>
        <w:t xml:space="preserve">       </w:t>
      </w:r>
    </w:p>
    <w:p w14:paraId="1FF1B9CD">
      <w:pPr>
        <w:pStyle w:val="4"/>
        <w:tabs>
          <w:tab w:val="left" w:pos="420"/>
        </w:tabs>
        <w:spacing w:before="0" w:after="0" w:line="400" w:lineRule="exact"/>
        <w:rPr>
          <w:rFonts w:ascii="仿宋" w:hAnsi="仿宋" w:eastAsia="仿宋"/>
          <w:sz w:val="24"/>
          <w:szCs w:val="24"/>
          <w:lang w:eastAsia="zh-CN"/>
        </w:rPr>
      </w:pPr>
      <w:bookmarkStart w:id="160" w:name="_Toc22681"/>
      <w:bookmarkStart w:id="161" w:name="_Toc194073117"/>
      <w:bookmarkStart w:id="162" w:name="_Toc3037"/>
      <w:bookmarkStart w:id="163" w:name="_Toc469383988"/>
      <w:bookmarkStart w:id="164" w:name="_Toc10175"/>
      <w:r>
        <w:rPr>
          <w:rFonts w:hint="eastAsia" w:ascii="仿宋" w:hAnsi="仿宋" w:eastAsia="仿宋" w:cs="仿宋"/>
          <w:sz w:val="24"/>
          <w:szCs w:val="24"/>
          <w:lang w:eastAsia="zh-CN"/>
        </w:rPr>
        <w:t>12</w:t>
      </w:r>
      <w:r>
        <w:rPr>
          <w:rFonts w:ascii="仿宋" w:hAnsi="仿宋" w:eastAsia="仿宋" w:cs="仿宋"/>
          <w:sz w:val="24"/>
          <w:szCs w:val="24"/>
          <w:lang w:eastAsia="zh-CN"/>
        </w:rPr>
        <w:t xml:space="preserve"> </w:t>
      </w:r>
      <w:r>
        <w:rPr>
          <w:rFonts w:hint="eastAsia" w:ascii="仿宋" w:hAnsi="仿宋" w:eastAsia="仿宋" w:cs="仿宋"/>
          <w:sz w:val="24"/>
          <w:szCs w:val="24"/>
          <w:lang w:eastAsia="zh-CN"/>
        </w:rPr>
        <w:t>招标错失的修正</w:t>
      </w:r>
      <w:bookmarkEnd w:id="160"/>
      <w:bookmarkEnd w:id="161"/>
      <w:bookmarkEnd w:id="162"/>
      <w:bookmarkEnd w:id="163"/>
      <w:bookmarkEnd w:id="164"/>
    </w:p>
    <w:p w14:paraId="2449579F">
      <w:pPr>
        <w:pStyle w:val="22"/>
        <w:adjustRightInd w:val="0"/>
        <w:snapToGrid w:val="0"/>
        <w:spacing w:line="400" w:lineRule="exact"/>
        <w:rPr>
          <w:rFonts w:ascii="仿宋" w:hAnsi="仿宋" w:eastAsia="仿宋" w:cs="仿宋"/>
          <w:b/>
          <w:bCs/>
          <w:sz w:val="24"/>
          <w:szCs w:val="24"/>
          <w:lang w:eastAsia="zh-CN"/>
        </w:rPr>
      </w:pPr>
      <w:r>
        <mc:AlternateContent>
          <mc:Choice Requires="wps">
            <w:drawing>
              <wp:anchor distT="0" distB="0" distL="114300" distR="114300" simplePos="0" relativeHeight="251678720" behindDoc="0" locked="0" layoutInCell="1" allowOverlap="1">
                <wp:simplePos x="0" y="0"/>
                <wp:positionH relativeFrom="column">
                  <wp:posOffset>-60960</wp:posOffset>
                </wp:positionH>
                <wp:positionV relativeFrom="paragraph">
                  <wp:posOffset>241300</wp:posOffset>
                </wp:positionV>
                <wp:extent cx="824230" cy="783590"/>
                <wp:effectExtent l="0" t="0" r="0" b="0"/>
                <wp:wrapNone/>
                <wp:docPr id="38" name="文本框 714"/>
                <wp:cNvGraphicFramePr/>
                <a:graphic xmlns:a="http://schemas.openxmlformats.org/drawingml/2006/main">
                  <a:graphicData uri="http://schemas.microsoft.com/office/word/2010/wordprocessingShape">
                    <wps:wsp>
                      <wps:cNvSpPr txBox="1"/>
                      <wps:spPr>
                        <a:xfrm>
                          <a:off x="0" y="0"/>
                          <a:ext cx="824230" cy="783590"/>
                        </a:xfrm>
                        <a:prstGeom prst="rect">
                          <a:avLst/>
                        </a:prstGeom>
                        <a:noFill/>
                        <a:ln w="12700">
                          <a:noFill/>
                        </a:ln>
                      </wps:spPr>
                      <wps:txbx>
                        <w:txbxContent>
                          <w:p w14:paraId="6391985D">
                            <w:pPr>
                              <w:pStyle w:val="22"/>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合同条款及格式完备性和义务</w:t>
                            </w:r>
                          </w:p>
                        </w:txbxContent>
                      </wps:txbx>
                      <wps:bodyPr rot="0" vert="horz" wrap="square" lIns="91440" tIns="45720" rIns="91440" bIns="45720" anchor="t" anchorCtr="0"/>
                    </wps:wsp>
                  </a:graphicData>
                </a:graphic>
              </wp:anchor>
            </w:drawing>
          </mc:Choice>
          <mc:Fallback>
            <w:pict>
              <v:shape id="文本框 714" o:spid="_x0000_s1026" o:spt="202" type="#_x0000_t202" style="position:absolute;left:0pt;margin-left:-4.8pt;margin-top:19pt;height:61.7pt;width:64.9pt;z-index:251678720;mso-width-relative:page;mso-height-relative:page;" filled="f" stroked="f" coordsize="21600,21600" o:gfxdata="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Ge&#10;mDbYAAAACQEAAA8AAAAAAAAAAQAgAAAAIgAAAGRycy9kb3ducmV2LnhtbFBLAQIUABQAAAAIAIdO&#10;4kCEoGWq6gEAAL0DAAAOAAAAAAAAAAEAIAAAACcBAABkcnMvZTJvRG9jLnhtbFBLBQYAAAAABgAG&#10;AFkBAACDBQAAAAA=&#10;">
                <v:fill on="f" focussize="0,0"/>
                <v:stroke on="f" weight="1pt"/>
                <v:imagedata o:title=""/>
                <o:lock v:ext="edit" aspectratio="f"/>
                <v:textbox>
                  <w:txbxContent>
                    <w:p w14:paraId="6391985D">
                      <w:pPr>
                        <w:pStyle w:val="22"/>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合同条款及格式完备性和义务</w:t>
                      </w:r>
                    </w:p>
                  </w:txbxContent>
                </v:textbox>
              </v:shape>
            </w:pict>
          </mc:Fallback>
        </mc:AlternateContent>
      </w:r>
      <w:r>
        <w:rPr>
          <w:rFonts w:hint="eastAsia" w:ascii="仿宋" w:hAnsi="仿宋" w:eastAsia="仿宋" w:cs="仿宋"/>
          <w:b/>
          <w:bCs/>
          <w:sz w:val="24"/>
          <w:szCs w:val="24"/>
          <w:lang w:eastAsia="zh-CN"/>
        </w:rPr>
        <w:t>12</w:t>
      </w:r>
      <w:r>
        <w:rPr>
          <w:rFonts w:ascii="仿宋" w:hAnsi="仿宋" w:eastAsia="仿宋" w:cs="仿宋"/>
          <w:b/>
          <w:bCs/>
          <w:sz w:val="24"/>
          <w:szCs w:val="24"/>
          <w:lang w:eastAsia="zh-CN"/>
        </w:rPr>
        <w:t>.1</w:t>
      </w:r>
    </w:p>
    <w:p w14:paraId="0BF94E62">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发包人招标文件中的合同条款及格式，被认为是正确的和公平的，并已包括了发包人履行本合同的全部义务，包括但不限于以下内容：</w:t>
      </w:r>
    </w:p>
    <w:p w14:paraId="06A167F4">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1</w:t>
      </w:r>
      <w:r>
        <w:rPr>
          <w:rFonts w:hint="eastAsia" w:ascii="仿宋" w:hAnsi="仿宋" w:eastAsia="仿宋" w:cs="仿宋"/>
          <w:sz w:val="24"/>
          <w:szCs w:val="24"/>
          <w:lang w:eastAsia="zh-CN"/>
        </w:rPr>
        <w:t>）支付工程款及其他应付款项的义务；</w:t>
      </w:r>
    </w:p>
    <w:p w14:paraId="7516643F">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2</w:t>
      </w:r>
      <w:r>
        <w:rPr>
          <w:rFonts w:hint="eastAsia" w:ascii="仿宋" w:hAnsi="仿宋" w:eastAsia="仿宋" w:cs="仿宋"/>
          <w:sz w:val="24"/>
          <w:szCs w:val="24"/>
          <w:lang w:eastAsia="zh-CN"/>
        </w:rPr>
        <w:t>）完成本合同第22</w:t>
      </w:r>
      <w:r>
        <w:rPr>
          <w:rFonts w:ascii="仿宋" w:hAnsi="仿宋" w:eastAsia="仿宋" w:cs="仿宋"/>
          <w:sz w:val="24"/>
          <w:szCs w:val="24"/>
          <w:lang w:eastAsia="zh-CN"/>
        </w:rPr>
        <w:t>.2</w:t>
      </w:r>
      <w:r>
        <w:rPr>
          <w:rFonts w:hint="eastAsia" w:ascii="仿宋" w:hAnsi="仿宋" w:eastAsia="仿宋" w:cs="仿宋"/>
          <w:sz w:val="24"/>
          <w:szCs w:val="24"/>
          <w:lang w:eastAsia="zh-CN"/>
        </w:rPr>
        <w:t>款约定工作的义务；</w:t>
      </w:r>
    </w:p>
    <w:p w14:paraId="18FD4779">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3</w:t>
      </w:r>
      <w:r>
        <w:rPr>
          <w:rFonts w:hint="eastAsia" w:ascii="仿宋" w:hAnsi="仿宋" w:eastAsia="仿宋" w:cs="仿宋"/>
          <w:sz w:val="24"/>
          <w:szCs w:val="24"/>
          <w:lang w:eastAsia="zh-CN"/>
        </w:rPr>
        <w:t>）修正不正确合同条款及格式的义务；</w:t>
      </w:r>
    </w:p>
    <w:p w14:paraId="193D07D4">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4</w:t>
      </w:r>
      <w:r>
        <w:rPr>
          <w:rFonts w:hint="eastAsia" w:ascii="仿宋" w:hAnsi="仿宋" w:eastAsia="仿宋" w:cs="仿宋"/>
          <w:sz w:val="24"/>
          <w:szCs w:val="24"/>
          <w:lang w:eastAsia="zh-CN"/>
        </w:rPr>
        <w:t>）澄清并改正被认定有失公平的合同条款的义务；</w:t>
      </w:r>
    </w:p>
    <w:p w14:paraId="08AD6822">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5</w:t>
      </w:r>
      <w:r>
        <w:rPr>
          <w:rFonts w:hint="eastAsia" w:ascii="仿宋" w:hAnsi="仿宋" w:eastAsia="仿宋" w:cs="仿宋"/>
          <w:sz w:val="24"/>
          <w:szCs w:val="24"/>
          <w:lang w:eastAsia="zh-CN"/>
        </w:rPr>
        <w:t>）协助承包人实施、完成并保修合同工程的义务。</w:t>
      </w:r>
    </w:p>
    <w:p w14:paraId="0B223EA7">
      <w:pPr>
        <w:pStyle w:val="22"/>
        <w:tabs>
          <w:tab w:val="left" w:pos="2160"/>
        </w:tabs>
        <w:spacing w:line="400" w:lineRule="exact"/>
        <w:rPr>
          <w:rFonts w:ascii="仿宋" w:hAnsi="仿宋" w:eastAsia="仿宋"/>
          <w:b/>
          <w:bCs/>
          <w:sz w:val="24"/>
          <w:szCs w:val="24"/>
          <w:lang w:eastAsia="zh-CN"/>
        </w:rPr>
      </w:pPr>
      <w:r>
        <w:rPr>
          <w:rFonts w:hint="eastAsia" w:ascii="仿宋" w:hAnsi="仿宋" w:eastAsia="仿宋" w:cs="仿宋"/>
          <w:b/>
          <w:bCs/>
          <w:sz w:val="24"/>
          <w:szCs w:val="24"/>
          <w:lang w:eastAsia="zh-CN"/>
        </w:rPr>
        <w:t>12</w:t>
      </w:r>
      <w:r>
        <w:rPr>
          <w:rFonts w:ascii="仿宋" w:hAnsi="仿宋" w:eastAsia="仿宋" w:cs="仿宋"/>
          <w:b/>
          <w:bCs/>
          <w:sz w:val="24"/>
          <w:szCs w:val="24"/>
          <w:lang w:eastAsia="zh-CN"/>
        </w:rPr>
        <w:t xml:space="preserve">.2  </w:t>
      </w:r>
      <w:r>
        <w:rPr>
          <w:rFonts w:ascii="仿宋" w:hAnsi="仿宋" w:eastAsia="仿宋" w:cs="仿宋"/>
          <w:b/>
          <w:bCs/>
          <w:sz w:val="24"/>
          <w:szCs w:val="24"/>
          <w:u w:val="dotted"/>
          <w:lang w:eastAsia="zh-CN"/>
        </w:rPr>
        <w:t xml:space="preserve">                                                                               </w:t>
      </w:r>
    </w:p>
    <w:p w14:paraId="083E8850">
      <w:pPr>
        <w:pStyle w:val="22"/>
        <w:widowControl w:val="0"/>
        <w:adjustRightInd w:val="0"/>
        <w:snapToGrid w:val="0"/>
        <w:spacing w:line="400" w:lineRule="exact"/>
        <w:ind w:left="1850" w:leftChars="771"/>
        <w:jc w:val="both"/>
        <w:rPr>
          <w:rFonts w:ascii="仿宋" w:hAnsi="仿宋" w:eastAsia="仿宋"/>
          <w:sz w:val="24"/>
          <w:szCs w:val="24"/>
          <w:lang w:eastAsia="zh-CN"/>
        </w:rPr>
      </w:pPr>
      <w:r>
        <mc:AlternateContent>
          <mc:Choice Requires="wps">
            <w:drawing>
              <wp:anchor distT="0" distB="0" distL="114300" distR="114300" simplePos="0" relativeHeight="251679744" behindDoc="0" locked="0" layoutInCell="1" allowOverlap="1">
                <wp:simplePos x="0" y="0"/>
                <wp:positionH relativeFrom="column">
                  <wp:posOffset>-1270</wp:posOffset>
                </wp:positionH>
                <wp:positionV relativeFrom="paragraph">
                  <wp:posOffset>9525</wp:posOffset>
                </wp:positionV>
                <wp:extent cx="851535" cy="1025525"/>
                <wp:effectExtent l="0" t="0" r="0" b="0"/>
                <wp:wrapNone/>
                <wp:docPr id="39" name="文本框 715"/>
                <wp:cNvGraphicFramePr/>
                <a:graphic xmlns:a="http://schemas.openxmlformats.org/drawingml/2006/main">
                  <a:graphicData uri="http://schemas.microsoft.com/office/word/2010/wordprocessingShape">
                    <wps:wsp>
                      <wps:cNvSpPr txBox="1"/>
                      <wps:spPr>
                        <a:xfrm>
                          <a:off x="0" y="0"/>
                          <a:ext cx="851535" cy="1025525"/>
                        </a:xfrm>
                        <a:prstGeom prst="rect">
                          <a:avLst/>
                        </a:prstGeom>
                        <a:noFill/>
                        <a:ln w="12700">
                          <a:noFill/>
                        </a:ln>
                      </wps:spPr>
                      <wps:txbx>
                        <w:txbxContent>
                          <w:p w14:paraId="2E7A347B">
                            <w:pPr>
                              <w:pStyle w:val="22"/>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工程量清单或报价格式的准确性和修正</w:t>
                            </w:r>
                          </w:p>
                        </w:txbxContent>
                      </wps:txbx>
                      <wps:bodyPr rot="0" vert="horz" wrap="square" lIns="91440" tIns="45720" rIns="91440" bIns="45720" anchor="t" anchorCtr="0"/>
                    </wps:wsp>
                  </a:graphicData>
                </a:graphic>
              </wp:anchor>
            </w:drawing>
          </mc:Choice>
          <mc:Fallback>
            <w:pict>
              <v:shape id="文本框 715" o:spid="_x0000_s1026" o:spt="202" type="#_x0000_t202" style="position:absolute;left:0pt;margin-left:-0.1pt;margin-top:0.75pt;height:80.75pt;width:67.05pt;z-index:251679744;mso-width-relative:page;mso-height-relative:page;" filled="f" stroked="f" coordsize="21600,21600" o:gfxdata="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SzqpjV&#10;AAAABwEAAA8AAAAAAAAAAQAgAAAAIgAAAGRycy9kb3ducmV2LnhtbFBLAQIUABQAAAAIAIdO4kDW&#10;rTmz6gEAAL4DAAAOAAAAAAAAAAEAIAAAACQBAABkcnMvZTJvRG9jLnhtbFBLBQYAAAAABgAGAFkB&#10;AACABQAAAAA=&#10;">
                <v:fill on="f" focussize="0,0"/>
                <v:stroke on="f" weight="1pt"/>
                <v:imagedata o:title=""/>
                <o:lock v:ext="edit" aspectratio="f"/>
                <v:textbox>
                  <w:txbxContent>
                    <w:p w14:paraId="2E7A347B">
                      <w:pPr>
                        <w:pStyle w:val="22"/>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工程量清单或报价格式的准确性和修正</w:t>
                      </w:r>
                    </w:p>
                  </w:txbxContent>
                </v:textbox>
              </v:shape>
            </w:pict>
          </mc:Fallback>
        </mc:AlternateContent>
      </w:r>
      <w:r>
        <w:rPr>
          <w:rFonts w:hint="eastAsia" w:ascii="仿宋" w:hAnsi="仿宋" w:eastAsia="仿宋" w:cs="仿宋"/>
          <w:sz w:val="24"/>
          <w:szCs w:val="24"/>
          <w:lang w:eastAsia="zh-CN"/>
        </w:rPr>
        <w:t>发包人招标文件提供的工程量清单或报价格式及其投资估算、设计概算等资料仅供参考，投标人已根据发包人提供的项目基础资料及现场查勘进行核实修正，并按发包人招标文件提供的报价格式自主报价。当出现下列情形之一的，发包人应及时予以修正，并相应调整合同价格：</w:t>
      </w:r>
    </w:p>
    <w:p w14:paraId="478E4B69">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1</w:t>
      </w:r>
      <w:r>
        <w:rPr>
          <w:rFonts w:hint="eastAsia" w:ascii="仿宋" w:hAnsi="仿宋" w:eastAsia="仿宋" w:cs="仿宋"/>
          <w:sz w:val="24"/>
          <w:szCs w:val="24"/>
          <w:lang w:eastAsia="zh-CN"/>
        </w:rPr>
        <w:t>）发包人提供的可行性研究报告或初步设计发生实质性变化的；</w:t>
      </w:r>
    </w:p>
    <w:p w14:paraId="1FC38954">
      <w:pPr>
        <w:pStyle w:val="22"/>
        <w:widowControl w:val="0"/>
        <w:adjustRightInd w:val="0"/>
        <w:snapToGrid w:val="0"/>
        <w:spacing w:line="400" w:lineRule="exact"/>
        <w:ind w:left="1850" w:leftChars="771"/>
        <w:jc w:val="both"/>
        <w:rPr>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2</w:t>
      </w:r>
      <w:r>
        <w:rPr>
          <w:rFonts w:hint="eastAsia" w:ascii="仿宋" w:hAnsi="仿宋" w:eastAsia="仿宋" w:cs="仿宋"/>
          <w:sz w:val="24"/>
          <w:szCs w:val="24"/>
          <w:lang w:eastAsia="zh-CN"/>
        </w:rPr>
        <w:t>）出现第69</w:t>
      </w:r>
      <w:r>
        <w:rPr>
          <w:rFonts w:ascii="仿宋" w:hAnsi="仿宋" w:eastAsia="仿宋" w:cs="仿宋"/>
          <w:sz w:val="24"/>
          <w:szCs w:val="24"/>
          <w:lang w:eastAsia="zh-CN"/>
        </w:rPr>
        <w:t>.</w:t>
      </w:r>
      <w:r>
        <w:rPr>
          <w:rFonts w:hint="eastAsia" w:ascii="仿宋" w:hAnsi="仿宋" w:eastAsia="仿宋" w:cs="仿宋"/>
          <w:sz w:val="24"/>
          <w:szCs w:val="24"/>
          <w:lang w:eastAsia="zh-CN"/>
        </w:rPr>
        <w:t>3款约定调整合同价格事项的。</w:t>
      </w:r>
    </w:p>
    <w:p w14:paraId="3E96929F">
      <w:pPr>
        <w:pStyle w:val="22"/>
        <w:adjustRightInd w:val="0"/>
        <w:snapToGrid w:val="0"/>
        <w:spacing w:line="400" w:lineRule="exact"/>
        <w:rPr>
          <w:rFonts w:ascii="仿宋" w:hAnsi="仿宋" w:eastAsia="仿宋" w:cs="仿宋"/>
          <w:b/>
          <w:bCs/>
          <w:sz w:val="24"/>
          <w:szCs w:val="24"/>
          <w:u w:val="single"/>
          <w:lang w:eastAsia="zh-CN"/>
        </w:rPr>
      </w:pPr>
      <w:r>
        <w:rPr>
          <w:rFonts w:ascii="仿宋" w:hAnsi="仿宋" w:eastAsia="仿宋" w:cs="仿宋"/>
          <w:b/>
          <w:bCs/>
          <w:sz w:val="24"/>
          <w:szCs w:val="24"/>
          <w:u w:val="single"/>
          <w:lang w:eastAsia="zh-CN"/>
        </w:rPr>
        <w:t xml:space="preserve">                                                                    </w:t>
      </w:r>
      <w:r>
        <w:rPr>
          <w:rFonts w:hint="eastAsia" w:ascii="仿宋" w:hAnsi="仿宋" w:eastAsia="仿宋" w:cs="仿宋"/>
          <w:b/>
          <w:bCs/>
          <w:sz w:val="24"/>
          <w:szCs w:val="24"/>
          <w:u w:val="single"/>
          <w:lang w:eastAsia="zh-CN"/>
        </w:rPr>
        <w:t xml:space="preserve">  </w:t>
      </w:r>
      <w:r>
        <w:rPr>
          <w:rFonts w:ascii="仿宋" w:hAnsi="仿宋" w:eastAsia="仿宋" w:cs="仿宋"/>
          <w:b/>
          <w:bCs/>
          <w:sz w:val="24"/>
          <w:szCs w:val="24"/>
          <w:u w:val="single"/>
          <w:lang w:eastAsia="zh-CN"/>
        </w:rPr>
        <w:t xml:space="preserve">               </w:t>
      </w:r>
    </w:p>
    <w:p w14:paraId="539A33B0">
      <w:pPr>
        <w:pStyle w:val="4"/>
        <w:tabs>
          <w:tab w:val="left" w:pos="420"/>
        </w:tabs>
        <w:spacing w:before="0" w:after="0" w:line="400" w:lineRule="exact"/>
        <w:rPr>
          <w:rFonts w:ascii="仿宋" w:hAnsi="仿宋" w:eastAsia="仿宋"/>
          <w:sz w:val="24"/>
          <w:szCs w:val="24"/>
          <w:lang w:eastAsia="zh-CN"/>
        </w:rPr>
      </w:pPr>
      <w:bookmarkStart w:id="165" w:name="_Toc469383989"/>
      <w:bookmarkStart w:id="166" w:name="_Toc25152"/>
      <w:bookmarkStart w:id="167" w:name="_Toc194073118"/>
      <w:bookmarkStart w:id="168" w:name="_Toc30782"/>
      <w:bookmarkStart w:id="169" w:name="_Toc23766"/>
      <w:r>
        <w:rPr>
          <w:rFonts w:ascii="仿宋" w:hAnsi="仿宋" w:eastAsia="仿宋" w:cs="仿宋"/>
          <w:sz w:val="24"/>
          <w:szCs w:val="24"/>
          <w:lang w:eastAsia="zh-CN"/>
        </w:rPr>
        <w:t>1</w:t>
      </w:r>
      <w:r>
        <w:rPr>
          <w:rFonts w:hint="eastAsia" w:ascii="仿宋" w:hAnsi="仿宋" w:eastAsia="仿宋" w:cs="仿宋"/>
          <w:sz w:val="24"/>
          <w:szCs w:val="24"/>
          <w:lang w:eastAsia="zh-CN"/>
        </w:rPr>
        <w:t>3</w:t>
      </w:r>
      <w:r>
        <w:rPr>
          <w:rFonts w:ascii="仿宋" w:hAnsi="仿宋" w:eastAsia="仿宋" w:cs="仿宋"/>
          <w:sz w:val="24"/>
          <w:szCs w:val="24"/>
          <w:lang w:eastAsia="zh-CN"/>
        </w:rPr>
        <w:t xml:space="preserve"> </w:t>
      </w:r>
      <w:r>
        <w:rPr>
          <w:rFonts w:hint="eastAsia" w:ascii="仿宋" w:hAnsi="仿宋" w:eastAsia="仿宋" w:cs="仿宋"/>
          <w:sz w:val="24"/>
          <w:szCs w:val="24"/>
          <w:lang w:eastAsia="zh-CN"/>
        </w:rPr>
        <w:t>投标文件的完备性</w:t>
      </w:r>
      <w:bookmarkEnd w:id="165"/>
      <w:bookmarkEnd w:id="166"/>
      <w:bookmarkEnd w:id="167"/>
      <w:bookmarkEnd w:id="168"/>
      <w:bookmarkEnd w:id="169"/>
    </w:p>
    <w:p w14:paraId="482E476D">
      <w:pPr>
        <w:spacing w:line="400" w:lineRule="exact"/>
        <w:rPr>
          <w:rFonts w:ascii="仿宋" w:hAnsi="仿宋" w:eastAsia="仿宋" w:cs="仿宋"/>
          <w:b/>
          <w:bCs/>
          <w:lang w:eastAsia="zh-CN"/>
        </w:rPr>
      </w:pPr>
      <w:bookmarkStart w:id="170" w:name="_Toc1958"/>
      <w:r>
        <mc:AlternateContent>
          <mc:Choice Requires="wps">
            <w:drawing>
              <wp:anchor distT="0" distB="0" distL="114300" distR="114300" simplePos="0" relativeHeight="251680768" behindDoc="0" locked="0" layoutInCell="1" allowOverlap="1">
                <wp:simplePos x="0" y="0"/>
                <wp:positionH relativeFrom="column">
                  <wp:posOffset>-114300</wp:posOffset>
                </wp:positionH>
                <wp:positionV relativeFrom="paragraph">
                  <wp:posOffset>166370</wp:posOffset>
                </wp:positionV>
                <wp:extent cx="814705" cy="711200"/>
                <wp:effectExtent l="0" t="0" r="0" b="0"/>
                <wp:wrapNone/>
                <wp:docPr id="40" name="文本框 716"/>
                <wp:cNvGraphicFramePr/>
                <a:graphic xmlns:a="http://schemas.openxmlformats.org/drawingml/2006/main">
                  <a:graphicData uri="http://schemas.microsoft.com/office/word/2010/wordprocessingShape">
                    <wps:wsp>
                      <wps:cNvSpPr txBox="1"/>
                      <wps:spPr>
                        <a:xfrm>
                          <a:off x="0" y="0"/>
                          <a:ext cx="814705" cy="711200"/>
                        </a:xfrm>
                        <a:prstGeom prst="rect">
                          <a:avLst/>
                        </a:prstGeom>
                        <a:noFill/>
                        <a:ln w="12700">
                          <a:noFill/>
                        </a:ln>
                      </wps:spPr>
                      <wps:txbx>
                        <w:txbxContent>
                          <w:p w14:paraId="35A68E5C">
                            <w:pPr>
                              <w:pStyle w:val="22"/>
                              <w:tabs>
                                <w:tab w:val="left" w:pos="2160"/>
                              </w:tabs>
                              <w:spacing w:before="192" w:beforeLines="8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投标文件完备性和义务</w:t>
                            </w:r>
                          </w:p>
                        </w:txbxContent>
                      </wps:txbx>
                      <wps:bodyPr rot="0" vert="horz" wrap="square" lIns="91440" tIns="45720" rIns="91440" bIns="45720" anchor="t" anchorCtr="0"/>
                    </wps:wsp>
                  </a:graphicData>
                </a:graphic>
              </wp:anchor>
            </w:drawing>
          </mc:Choice>
          <mc:Fallback>
            <w:pict>
              <v:shape id="文本框 716" o:spid="_x0000_s1026" o:spt="202" type="#_x0000_t202" style="position:absolute;left:0pt;margin-left:-9pt;margin-top:13.1pt;height:56pt;width:64.15pt;z-index:251680768;mso-width-relative:page;mso-height-relative:page;" filled="f" stroked="f" coordsize="21600,21600" o:gfxdata="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lIBF/Y&#10;AAAACgEAAA8AAAAAAAAAAQAgAAAAIgAAAGRycy9kb3ducmV2LnhtbFBLAQIUABQAAAAIAIdO4kBv&#10;IM9Q5wEAAL0DAAAOAAAAAAAAAAEAIAAAACcBAABkcnMvZTJvRG9jLnhtbFBLBQYAAAAABgAGAFkB&#10;AACABQAAAAA=&#10;">
                <v:fill on="f" focussize="0,0"/>
                <v:stroke on="f" weight="1pt"/>
                <v:imagedata o:title=""/>
                <o:lock v:ext="edit" aspectratio="f"/>
                <v:textbox>
                  <w:txbxContent>
                    <w:p w14:paraId="35A68E5C">
                      <w:pPr>
                        <w:pStyle w:val="22"/>
                        <w:tabs>
                          <w:tab w:val="left" w:pos="2160"/>
                        </w:tabs>
                        <w:spacing w:before="192" w:beforeLines="8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投标文件完备性和义务</w:t>
                      </w:r>
                    </w:p>
                  </w:txbxContent>
                </v:textbox>
              </v:shape>
            </w:pict>
          </mc:Fallback>
        </mc:AlternateContent>
      </w:r>
      <w:r>
        <w:rPr>
          <w:rFonts w:ascii="仿宋" w:hAnsi="仿宋" w:eastAsia="仿宋" w:cs="仿宋"/>
          <w:b/>
          <w:bCs/>
          <w:lang w:eastAsia="zh-CN"/>
        </w:rPr>
        <w:t>1</w:t>
      </w:r>
      <w:r>
        <w:rPr>
          <w:rFonts w:hint="eastAsia" w:ascii="仿宋" w:hAnsi="仿宋" w:eastAsia="仿宋" w:cs="仿宋"/>
          <w:b/>
          <w:bCs/>
          <w:lang w:eastAsia="zh-CN"/>
        </w:rPr>
        <w:t>3</w:t>
      </w:r>
      <w:r>
        <w:rPr>
          <w:rFonts w:ascii="仿宋" w:hAnsi="仿宋" w:eastAsia="仿宋" w:cs="仿宋"/>
          <w:b/>
          <w:bCs/>
          <w:lang w:eastAsia="zh-CN"/>
        </w:rPr>
        <w:t>.1</w:t>
      </w:r>
      <w:bookmarkEnd w:id="170"/>
    </w:p>
    <w:p w14:paraId="12F99EF2">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承包人投标文件中的工程量清单及所填单价和合价，被认为是正确的和完备的，</w:t>
      </w:r>
      <w:r>
        <w:rPr>
          <w:rFonts w:hint="eastAsia" w:ascii="仿宋" w:hAnsi="仿宋" w:eastAsia="仿宋"/>
          <w:sz w:val="24"/>
          <w:szCs w:val="24"/>
          <w:lang w:eastAsia="zh-CN"/>
        </w:rPr>
        <w:t>并已包括了承包人履行本合同的全部义务</w:t>
      </w:r>
      <w:r>
        <w:rPr>
          <w:rFonts w:hint="eastAsia" w:ascii="仿宋" w:hAnsi="仿宋" w:eastAsia="仿宋" w:cs="仿宋"/>
          <w:sz w:val="24"/>
          <w:szCs w:val="24"/>
          <w:lang w:eastAsia="zh-CN"/>
        </w:rPr>
        <w:t>，包括但不限于以下内容：</w:t>
      </w:r>
    </w:p>
    <w:p w14:paraId="61F03EEB">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1</w:t>
      </w:r>
      <w:r>
        <w:rPr>
          <w:rFonts w:hint="eastAsia" w:ascii="仿宋" w:hAnsi="仿宋" w:eastAsia="仿宋" w:cs="仿宋"/>
          <w:sz w:val="24"/>
          <w:szCs w:val="24"/>
          <w:lang w:eastAsia="zh-CN"/>
        </w:rPr>
        <w:t>）完成总承包范围内容及处理意外事项的义务；</w:t>
      </w:r>
    </w:p>
    <w:p w14:paraId="763F2E58">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（2）修复工作缺陷及完成工程质量保修义务。</w:t>
      </w:r>
    </w:p>
    <w:p w14:paraId="33C11F16">
      <w:pPr>
        <w:pStyle w:val="22"/>
        <w:adjustRightInd w:val="0"/>
        <w:snapToGrid w:val="0"/>
        <w:spacing w:line="400" w:lineRule="exact"/>
        <w:rPr>
          <w:rFonts w:ascii="仿宋" w:hAnsi="仿宋" w:eastAsia="仿宋" w:cs="仿宋"/>
          <w:b/>
          <w:bCs/>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3</w:t>
      </w:r>
      <w:r>
        <w:rPr>
          <w:rFonts w:ascii="仿宋" w:hAnsi="仿宋" w:eastAsia="仿宋" w:cs="仿宋"/>
          <w:b/>
          <w:bCs/>
          <w:sz w:val="24"/>
          <w:szCs w:val="24"/>
          <w:lang w:eastAsia="zh-CN"/>
        </w:rPr>
        <w:t xml:space="preserve">.2  </w:t>
      </w:r>
      <w:r>
        <w:rPr>
          <w:rFonts w:ascii="仿宋" w:hAnsi="仿宋" w:eastAsia="仿宋" w:cs="仿宋"/>
          <w:b/>
          <w:bCs/>
          <w:sz w:val="24"/>
          <w:szCs w:val="24"/>
          <w:u w:val="dotted"/>
          <w:lang w:eastAsia="zh-CN"/>
        </w:rPr>
        <w:t xml:space="preserve">                                                                               </w:t>
      </w:r>
    </w:p>
    <w:p w14:paraId="39F5C240">
      <w:pPr>
        <w:pStyle w:val="22"/>
        <w:widowControl w:val="0"/>
        <w:adjustRightInd w:val="0"/>
        <w:snapToGrid w:val="0"/>
        <w:spacing w:line="400" w:lineRule="exact"/>
        <w:ind w:left="1850" w:leftChars="771"/>
        <w:jc w:val="both"/>
        <w:rPr>
          <w:rFonts w:ascii="仿宋" w:hAnsi="仿宋" w:eastAsia="仿宋"/>
          <w:sz w:val="24"/>
          <w:szCs w:val="24"/>
          <w:lang w:eastAsia="zh-CN"/>
        </w:rPr>
      </w:pPr>
      <w:r>
        <mc:AlternateContent>
          <mc:Choice Requires="wps">
            <w:drawing>
              <wp:anchor distT="0" distB="0" distL="114300" distR="114300" simplePos="0" relativeHeight="251681792" behindDoc="0" locked="0" layoutInCell="1" allowOverlap="1">
                <wp:simplePos x="0" y="0"/>
                <wp:positionH relativeFrom="column">
                  <wp:posOffset>-114300</wp:posOffset>
                </wp:positionH>
                <wp:positionV relativeFrom="paragraph">
                  <wp:posOffset>8255</wp:posOffset>
                </wp:positionV>
                <wp:extent cx="832485" cy="561975"/>
                <wp:effectExtent l="0" t="0" r="0" b="0"/>
                <wp:wrapNone/>
                <wp:docPr id="41" name="文本框 717"/>
                <wp:cNvGraphicFramePr/>
                <a:graphic xmlns:a="http://schemas.openxmlformats.org/drawingml/2006/main">
                  <a:graphicData uri="http://schemas.microsoft.com/office/word/2010/wordprocessingShape">
                    <wps:wsp>
                      <wps:cNvSpPr txBox="1"/>
                      <wps:spPr>
                        <a:xfrm>
                          <a:off x="0" y="0"/>
                          <a:ext cx="832485" cy="561975"/>
                        </a:xfrm>
                        <a:prstGeom prst="rect">
                          <a:avLst/>
                        </a:prstGeom>
                        <a:noFill/>
                        <a:ln w="12700">
                          <a:noFill/>
                        </a:ln>
                      </wps:spPr>
                      <wps:txbx>
                        <w:txbxContent>
                          <w:p w14:paraId="498911D0">
                            <w:pPr>
                              <w:rPr>
                                <w:rFonts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txbxContent>
                      </wps:txbx>
                      <wps:bodyPr rot="0" vert="horz" wrap="square" lIns="91440" tIns="45720" rIns="91440" bIns="45720" anchor="t" anchorCtr="0"/>
                    </wps:wsp>
                  </a:graphicData>
                </a:graphic>
              </wp:anchor>
            </w:drawing>
          </mc:Choice>
          <mc:Fallback>
            <w:pict>
              <v:shape id="文本框 717" o:spid="_x0000_s1026" o:spt="202" type="#_x0000_t202" style="position:absolute;left:0pt;margin-left:-9pt;margin-top:0.65pt;height:44.25pt;width:65.55pt;z-index:251681792;mso-width-relative:page;mso-height-relative:page;" filled="f" stroked="f" coordsize="21600,21600" o:gfxdata="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u/fv3&#10;1gAAAAgBAAAPAAAAAAAAAAEAIAAAACIAAABkcnMvZG93bnJldi54bWxQSwECFAAUAAAACACHTuJA&#10;o5rAO+oBAAC9AwAADgAAAAAAAAABACAAAAAlAQAAZHJzL2Uyb0RvYy54bWxQSwUGAAAAAAYABgBZ&#10;AQAAgQUAAAAA&#10;">
                <v:fill on="f" focussize="0,0"/>
                <v:stroke on="f" weight="1pt"/>
                <v:imagedata o:title=""/>
                <o:lock v:ext="edit" aspectratio="f"/>
                <v:textbox>
                  <w:txbxContent>
                    <w:p w14:paraId="498911D0">
                      <w:pPr>
                        <w:rPr>
                          <w:rFonts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txbxContent>
                </v:textbox>
              </v:shape>
            </w:pict>
          </mc:Fallback>
        </mc:AlternateContent>
      </w:r>
      <w:r>
        <w:rPr>
          <w:rFonts w:hint="eastAsia" w:ascii="仿宋" w:hAnsi="仿宋" w:eastAsia="仿宋" w:cs="仿宋"/>
          <w:sz w:val="24"/>
          <w:szCs w:val="24"/>
          <w:lang w:eastAsia="zh-CN"/>
        </w:rPr>
        <w:t>发包人已提供项目基础资料、发包人要求及相关澄清文件，承包人投标文件中的工程量清单中漏项、少报工程量或工作量、漏报单价与合价，应认为该项目价款已包含在工程量清单的其他项目的单价或合价中，发包人将不另行支付。发包人提供的可行性研究报告或初步设计变更、发包人允许的合理化建议等合同允许调整事项除外。</w:t>
      </w:r>
    </w:p>
    <w:p w14:paraId="5ECA60F3">
      <w:pPr>
        <w:pStyle w:val="22"/>
        <w:adjustRightInd w:val="0"/>
        <w:snapToGrid w:val="0"/>
        <w:spacing w:line="400" w:lineRule="exact"/>
        <w:rPr>
          <w:rFonts w:ascii="仿宋" w:hAnsi="仿宋" w:eastAsia="仿宋" w:cs="仿宋"/>
          <w:b/>
          <w:bCs/>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3</w:t>
      </w:r>
      <w:r>
        <w:rPr>
          <w:rFonts w:ascii="仿宋" w:hAnsi="仿宋" w:eastAsia="仿宋" w:cs="仿宋"/>
          <w:b/>
          <w:bCs/>
          <w:sz w:val="24"/>
          <w:szCs w:val="24"/>
          <w:lang w:eastAsia="zh-CN"/>
        </w:rPr>
        <w:t xml:space="preserve">.3  </w:t>
      </w:r>
      <w:r>
        <w:rPr>
          <w:rFonts w:ascii="仿宋" w:hAnsi="仿宋" w:eastAsia="仿宋" w:cs="仿宋"/>
          <w:b/>
          <w:bCs/>
          <w:sz w:val="24"/>
          <w:szCs w:val="24"/>
          <w:u w:val="dotted"/>
          <w:lang w:eastAsia="zh-CN"/>
        </w:rPr>
        <w:t xml:space="preserve">                                                                               </w:t>
      </w:r>
    </w:p>
    <w:p w14:paraId="46411C83">
      <w:pPr>
        <w:pStyle w:val="22"/>
        <w:widowControl w:val="0"/>
        <w:adjustRightInd w:val="0"/>
        <w:snapToGrid w:val="0"/>
        <w:spacing w:line="400" w:lineRule="exact"/>
        <w:ind w:left="1850" w:leftChars="771"/>
        <w:jc w:val="both"/>
        <w:rPr>
          <w:rFonts w:ascii="仿宋" w:hAnsi="仿宋" w:eastAsia="仿宋"/>
          <w:sz w:val="24"/>
          <w:szCs w:val="24"/>
          <w:lang w:eastAsia="zh-CN"/>
        </w:rPr>
      </w:pPr>
      <w:r>
        <mc:AlternateContent>
          <mc:Choice Requires="wps">
            <w:drawing>
              <wp:anchor distT="0" distB="0" distL="114300" distR="114300" simplePos="0" relativeHeight="251682816" behindDoc="0" locked="0" layoutInCell="1" allowOverlap="1">
                <wp:simplePos x="0" y="0"/>
                <wp:positionH relativeFrom="column">
                  <wp:posOffset>-114300</wp:posOffset>
                </wp:positionH>
                <wp:positionV relativeFrom="paragraph">
                  <wp:posOffset>8255</wp:posOffset>
                </wp:positionV>
                <wp:extent cx="814070" cy="562610"/>
                <wp:effectExtent l="0" t="0" r="0" b="0"/>
                <wp:wrapNone/>
                <wp:docPr id="42" name="文本框 718"/>
                <wp:cNvGraphicFramePr/>
                <a:graphic xmlns:a="http://schemas.openxmlformats.org/drawingml/2006/main">
                  <a:graphicData uri="http://schemas.microsoft.com/office/word/2010/wordprocessingShape">
                    <wps:wsp>
                      <wps:cNvSpPr txBox="1"/>
                      <wps:spPr>
                        <a:xfrm>
                          <a:off x="0" y="0"/>
                          <a:ext cx="814070" cy="562610"/>
                        </a:xfrm>
                        <a:prstGeom prst="rect">
                          <a:avLst/>
                        </a:prstGeom>
                        <a:noFill/>
                        <a:ln w="12700">
                          <a:noFill/>
                        </a:ln>
                      </wps:spPr>
                      <wps:txbx>
                        <w:txbxContent>
                          <w:p w14:paraId="66B77EE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txbxContent>
                      </wps:txbx>
                      <wps:bodyPr rot="0" vert="horz" wrap="square" lIns="91440" tIns="45720" rIns="91440" bIns="45720" anchor="t" anchorCtr="0"/>
                    </wps:wsp>
                  </a:graphicData>
                </a:graphic>
              </wp:anchor>
            </w:drawing>
          </mc:Choice>
          <mc:Fallback>
            <w:pict>
              <v:shape id="文本框 718" o:spid="_x0000_s1026" o:spt="202" type="#_x0000_t202" style="position:absolute;left:0pt;margin-left:-9pt;margin-top:0.65pt;height:44.3pt;width:64.1pt;z-index:251682816;mso-width-relative:page;mso-height-relative:page;" filled="f" stroked="f" coordsize="21600,21600" o:gfxdata="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JXU5HW&#10;AAAACAEAAA8AAAAAAAAAAQAgAAAAIgAAAGRycy9kb3ducmV2LnhtbFBLAQIUABQAAAAIAIdO4kAH&#10;OzYI6QEAAL0DAAAOAAAAAAAAAAEAIAAAACUBAABkcnMvZTJvRG9jLnhtbFBLBQYAAAAABgAGAFkB&#10;AACABQAAAAA=&#10;">
                <v:fill on="f" focussize="0,0"/>
                <v:stroke on="f" weight="1pt"/>
                <v:imagedata o:title=""/>
                <o:lock v:ext="edit" aspectratio="f"/>
                <v:textbox>
                  <w:txbxContent>
                    <w:p w14:paraId="66B77EE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txbxContent>
                </v:textbox>
              </v:shape>
            </w:pict>
          </mc:Fallback>
        </mc:AlternateContent>
      </w:r>
      <w:r>
        <w:rPr>
          <w:rFonts w:hint="eastAsia" w:ascii="仿宋" w:hAnsi="仿宋" w:eastAsia="仿宋" w:cs="仿宋"/>
          <w:sz w:val="24"/>
          <w:szCs w:val="24"/>
          <w:lang w:eastAsia="zh-CN"/>
        </w:rPr>
        <w:t>承包人投标文件中出现算术性错误，导致其算术修正后的实际总价与报价总金额不一致时，合同双方当事人可按照国家、省有关规定予以修正，并相应调整合同价格，调整后的合同价格原则上不得超过已批准或备案的投资估算（立项后招标发包工程）或设计概算（适用于初步设计批准或备案后招标发包工程）中相应价格。</w:t>
      </w:r>
    </w:p>
    <w:p w14:paraId="1F47BC11">
      <w:pPr>
        <w:pStyle w:val="22"/>
        <w:adjustRightInd w:val="0"/>
        <w:snapToGrid w:val="0"/>
        <w:spacing w:line="400" w:lineRule="exact"/>
        <w:rPr>
          <w:rFonts w:ascii="仿宋" w:hAnsi="仿宋" w:eastAsia="仿宋"/>
          <w:b/>
          <w:bCs/>
          <w:sz w:val="24"/>
          <w:szCs w:val="24"/>
          <w:lang w:eastAsia="zh-CN"/>
        </w:rPr>
      </w:pPr>
      <w:r>
        <w:rPr>
          <w:rFonts w:ascii="仿宋" w:hAnsi="仿宋" w:eastAsia="仿宋" w:cs="仿宋"/>
          <w:b/>
          <w:bCs/>
          <w:sz w:val="24"/>
          <w:szCs w:val="24"/>
          <w:u w:val="single"/>
          <w:lang w:eastAsia="zh-CN"/>
        </w:rPr>
        <w:t xml:space="preserve">                                                                                     </w:t>
      </w:r>
    </w:p>
    <w:p w14:paraId="09F5C271">
      <w:pPr>
        <w:pStyle w:val="4"/>
        <w:tabs>
          <w:tab w:val="left" w:pos="420"/>
        </w:tabs>
        <w:spacing w:before="0" w:after="0" w:line="400" w:lineRule="exact"/>
        <w:rPr>
          <w:rFonts w:ascii="仿宋" w:hAnsi="仿宋" w:eastAsia="仿宋" w:cs="仿宋"/>
          <w:bCs w:val="0"/>
          <w:sz w:val="24"/>
          <w:szCs w:val="24"/>
          <w:lang w:eastAsia="zh-CN"/>
        </w:rPr>
      </w:pPr>
      <w:bookmarkStart w:id="171" w:name="_Toc15988"/>
      <w:bookmarkStart w:id="172" w:name="_Toc5100"/>
      <w:bookmarkStart w:id="173" w:name="_Toc194073119"/>
      <w:bookmarkStart w:id="174" w:name="_Toc4124"/>
      <w:r>
        <w:rPr>
          <w:rFonts w:ascii="仿宋" w:hAnsi="仿宋" w:eastAsia="仿宋" w:cs="仿宋"/>
          <w:bCs w:val="0"/>
          <w:sz w:val="24"/>
          <w:szCs w:val="24"/>
          <w:lang w:eastAsia="zh-CN"/>
        </w:rPr>
        <w:t>1</w:t>
      </w:r>
      <w:r>
        <w:rPr>
          <w:rFonts w:hint="eastAsia" w:ascii="仿宋" w:hAnsi="仿宋" w:eastAsia="仿宋" w:cs="仿宋"/>
          <w:bCs w:val="0"/>
          <w:sz w:val="24"/>
          <w:szCs w:val="24"/>
          <w:lang w:eastAsia="zh-CN"/>
        </w:rPr>
        <w:t>4</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文物和地下障碍物</w:t>
      </w:r>
      <w:bookmarkEnd w:id="171"/>
      <w:bookmarkEnd w:id="172"/>
      <w:bookmarkEnd w:id="173"/>
      <w:bookmarkEnd w:id="174"/>
    </w:p>
    <w:p w14:paraId="78999895">
      <w:pPr>
        <w:pStyle w:val="22"/>
        <w:adjustRightInd w:val="0"/>
        <w:snapToGrid w:val="0"/>
        <w:spacing w:line="400" w:lineRule="exact"/>
        <w:rPr>
          <w:rFonts w:ascii="仿宋" w:hAnsi="仿宋" w:eastAsia="仿宋" w:cs="仿宋"/>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4</w:t>
      </w:r>
      <w:r>
        <w:rPr>
          <w:rFonts w:ascii="仿宋" w:hAnsi="仿宋" w:eastAsia="仿宋" w:cs="仿宋"/>
          <w:b/>
          <w:bCs/>
          <w:sz w:val="24"/>
          <w:szCs w:val="24"/>
          <w:lang w:eastAsia="zh-CN"/>
        </w:rPr>
        <w:t>.1</w:t>
      </w:r>
    </w:p>
    <w:p w14:paraId="43E2B29E">
      <w:pPr>
        <w:pStyle w:val="22"/>
        <w:widowControl w:val="0"/>
        <w:adjustRightInd w:val="0"/>
        <w:snapToGrid w:val="0"/>
        <w:spacing w:line="400" w:lineRule="exact"/>
        <w:ind w:left="1850" w:leftChars="771"/>
        <w:jc w:val="both"/>
        <w:rPr>
          <w:rFonts w:ascii="仿宋" w:hAnsi="仿宋" w:eastAsia="仿宋"/>
          <w:sz w:val="24"/>
          <w:szCs w:val="24"/>
          <w:lang w:eastAsia="zh-CN"/>
        </w:rPr>
      </w:pPr>
      <w:r>
        <mc:AlternateContent>
          <mc:Choice Requires="wps">
            <w:drawing>
              <wp:anchor distT="0" distB="0" distL="114300" distR="114300" simplePos="0" relativeHeight="251683840" behindDoc="0" locked="0" layoutInCell="1" allowOverlap="1">
                <wp:simplePos x="0" y="0"/>
                <wp:positionH relativeFrom="column">
                  <wp:posOffset>-114300</wp:posOffset>
                </wp:positionH>
                <wp:positionV relativeFrom="paragraph">
                  <wp:posOffset>-7620</wp:posOffset>
                </wp:positionV>
                <wp:extent cx="861060" cy="511175"/>
                <wp:effectExtent l="0" t="0" r="0" b="0"/>
                <wp:wrapNone/>
                <wp:docPr id="43" name="文本框 719"/>
                <wp:cNvGraphicFramePr/>
                <a:graphic xmlns:a="http://schemas.openxmlformats.org/drawingml/2006/main">
                  <a:graphicData uri="http://schemas.microsoft.com/office/word/2010/wordprocessingShape">
                    <wps:wsp>
                      <wps:cNvSpPr txBox="1"/>
                      <wps:spPr>
                        <a:xfrm>
                          <a:off x="0" y="0"/>
                          <a:ext cx="861060" cy="511175"/>
                        </a:xfrm>
                        <a:prstGeom prst="rect">
                          <a:avLst/>
                        </a:prstGeom>
                        <a:noFill/>
                        <a:ln w="12700">
                          <a:noFill/>
                        </a:ln>
                      </wps:spPr>
                      <wps:txbx>
                        <w:txbxContent>
                          <w:p w14:paraId="70A43031">
                            <w:pPr>
                              <w:rPr>
                                <w:rFonts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txbxContent>
                      </wps:txbx>
                      <wps:bodyPr rot="0" vert="horz" wrap="square" lIns="91440" tIns="45720" rIns="91440" bIns="45720" anchor="t" anchorCtr="0"/>
                    </wps:wsp>
                  </a:graphicData>
                </a:graphic>
              </wp:anchor>
            </w:drawing>
          </mc:Choice>
          <mc:Fallback>
            <w:pict>
              <v:shape id="文本框 719" o:spid="_x0000_s1026" o:spt="202" type="#_x0000_t202" style="position:absolute;left:0pt;margin-left:-9pt;margin-top:-0.6pt;height:40.25pt;width:67.8pt;z-index:251683840;mso-width-relative:page;mso-height-relative:page;" filled="f" stroked="f" coordsize="21600,21600" o:gfxdata="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5s8D&#10;zNgAAAAJAQAADwAAAAAAAAABACAAAAAiAAAAZHJzL2Rvd25yZXYueG1sUEsBAhQAFAAAAAgAh07i&#10;QMaQyF7pAQAAvQMAAA4AAAAAAAAAAQAgAAAAJwEAAGRycy9lMm9Eb2MueG1sUEsFBgAAAAAGAAYA&#10;WQEAAIIFAAAAAA==&#10;">
                <v:fill on="f" focussize="0,0"/>
                <v:stroke on="f" weight="1pt"/>
                <v:imagedata o:title=""/>
                <o:lock v:ext="edit" aspectratio="f"/>
                <v:textbox>
                  <w:txbxContent>
                    <w:p w14:paraId="70A43031">
                      <w:pPr>
                        <w:rPr>
                          <w:rFonts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txbxContent>
                </v:textbox>
              </v:shape>
            </w:pict>
          </mc:Fallback>
        </mc:AlternateContent>
      </w:r>
      <w:r>
        <w:rPr>
          <w:rFonts w:hint="eastAsia" w:ascii="仿宋" w:hAnsi="仿宋" w:eastAsia="仿宋" w:cs="仿宋"/>
          <w:sz w:val="24"/>
          <w:szCs w:val="24"/>
          <w:lang w:eastAsia="zh-CN"/>
        </w:rPr>
        <w:t>在施工现场发现的古墓、古建筑遗址等文物、古迹以及其他具有考古、地质研究等价值的遗迹、化石、钱币或物品，属于国家所有。一旦发现上述文物，承包人应立即保护好现场，防止任何人员移动或损坏上述文物，并于</w:t>
      </w:r>
      <w:r>
        <w:rPr>
          <w:rFonts w:ascii="仿宋" w:hAnsi="仿宋" w:eastAsia="仿宋" w:cs="仿宋"/>
          <w:sz w:val="24"/>
          <w:szCs w:val="24"/>
          <w:lang w:eastAsia="zh-CN"/>
        </w:rPr>
        <w:t>4</w:t>
      </w:r>
      <w:r>
        <w:rPr>
          <w:rFonts w:hint="eastAsia" w:ascii="仿宋" w:hAnsi="仿宋" w:eastAsia="仿宋" w:cs="仿宋"/>
          <w:sz w:val="24"/>
          <w:szCs w:val="24"/>
          <w:lang w:eastAsia="zh-CN"/>
        </w:rPr>
        <w:t>小时内以书面形式通知监理人和发包人。监理人应在收到通知后立即指令承包人继续保护好现场，并在收到通知后</w:t>
      </w:r>
      <w:r>
        <w:rPr>
          <w:rFonts w:ascii="仿宋" w:hAnsi="仿宋" w:eastAsia="仿宋" w:cs="仿宋"/>
          <w:sz w:val="24"/>
          <w:szCs w:val="24"/>
          <w:lang w:eastAsia="zh-CN"/>
        </w:rPr>
        <w:t>24</w:t>
      </w:r>
      <w:r>
        <w:rPr>
          <w:rFonts w:hint="eastAsia" w:ascii="仿宋" w:hAnsi="仿宋" w:eastAsia="仿宋" w:cs="仿宋"/>
          <w:sz w:val="24"/>
          <w:szCs w:val="24"/>
          <w:lang w:eastAsia="zh-CN"/>
        </w:rPr>
        <w:t>小时内报告当地文物管理部门，合同双方当事人应按照文物管理部门的要求采取妥善保护措施。发包人承担由此增加的费用和（或）工期延误，并向承包人支付合理利润。</w:t>
      </w:r>
    </w:p>
    <w:p w14:paraId="391207AB">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如发现文物后隐瞒不报或报告不及时，导致上述文物丢失或遭受破坏的，由责任方赔偿损失，并承担相应的法律责任。</w:t>
      </w:r>
    </w:p>
    <w:p w14:paraId="42DF1100">
      <w:pPr>
        <w:pStyle w:val="22"/>
        <w:adjustRightInd w:val="0"/>
        <w:snapToGrid w:val="0"/>
        <w:spacing w:line="400" w:lineRule="exact"/>
        <w:rPr>
          <w:rFonts w:ascii="仿宋" w:hAnsi="仿宋" w:eastAsia="仿宋"/>
          <w:b/>
          <w:bCs/>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4</w:t>
      </w:r>
      <w:r>
        <w:rPr>
          <w:rFonts w:ascii="仿宋" w:hAnsi="仿宋" w:eastAsia="仿宋" w:cs="仿宋"/>
          <w:b/>
          <w:bCs/>
          <w:sz w:val="24"/>
          <w:szCs w:val="24"/>
          <w:lang w:eastAsia="zh-CN"/>
        </w:rPr>
        <w:t xml:space="preserve">.2  </w:t>
      </w:r>
      <w:r>
        <w:rPr>
          <w:rFonts w:ascii="仿宋" w:hAnsi="仿宋" w:eastAsia="仿宋" w:cs="仿宋"/>
          <w:b/>
          <w:bCs/>
          <w:sz w:val="24"/>
          <w:szCs w:val="24"/>
          <w:u w:val="dotted"/>
          <w:lang w:eastAsia="zh-CN"/>
        </w:rPr>
        <w:t xml:space="preserve">                                                               </w:t>
      </w:r>
      <w:r>
        <w:rPr>
          <w:rFonts w:hint="eastAsia" w:ascii="仿宋" w:hAnsi="仿宋" w:eastAsia="仿宋" w:cs="仿宋"/>
          <w:b/>
          <w:bCs/>
          <w:sz w:val="24"/>
          <w:szCs w:val="24"/>
          <w:u w:val="dotted"/>
          <w:lang w:eastAsia="zh-CN"/>
        </w:rPr>
        <w:t xml:space="preserve">       </w:t>
      </w:r>
      <w:r>
        <w:rPr>
          <w:rFonts w:ascii="仿宋" w:hAnsi="仿宋" w:eastAsia="仿宋" w:cs="仿宋"/>
          <w:b/>
          <w:bCs/>
          <w:sz w:val="24"/>
          <w:szCs w:val="24"/>
          <w:u w:val="dotted"/>
          <w:lang w:eastAsia="zh-CN"/>
        </w:rPr>
        <w:t xml:space="preserve">         </w:t>
      </w:r>
    </w:p>
    <w:p w14:paraId="7C681B57">
      <w:pPr>
        <w:pStyle w:val="22"/>
        <w:widowControl w:val="0"/>
        <w:adjustRightInd w:val="0"/>
        <w:snapToGrid w:val="0"/>
        <w:spacing w:line="400" w:lineRule="exact"/>
        <w:ind w:left="1850" w:leftChars="771"/>
        <w:jc w:val="both"/>
        <w:rPr>
          <w:rFonts w:ascii="仿宋" w:hAnsi="仿宋" w:eastAsia="仿宋"/>
          <w:sz w:val="24"/>
          <w:szCs w:val="24"/>
          <w:lang w:eastAsia="zh-CN"/>
        </w:rPr>
      </w:pPr>
      <w:r>
        <mc:AlternateContent>
          <mc:Choice Requires="wps">
            <w:drawing>
              <wp:anchor distT="0" distB="0" distL="114300" distR="114300" simplePos="0" relativeHeight="251684864" behindDoc="0" locked="0" layoutInCell="1" allowOverlap="1">
                <wp:simplePos x="0" y="0"/>
                <wp:positionH relativeFrom="column">
                  <wp:posOffset>-114300</wp:posOffset>
                </wp:positionH>
                <wp:positionV relativeFrom="paragraph">
                  <wp:posOffset>-1270</wp:posOffset>
                </wp:positionV>
                <wp:extent cx="870585" cy="577850"/>
                <wp:effectExtent l="0" t="0" r="0" b="0"/>
                <wp:wrapNone/>
                <wp:docPr id="44" name="文本框 720"/>
                <wp:cNvGraphicFramePr/>
                <a:graphic xmlns:a="http://schemas.openxmlformats.org/drawingml/2006/main">
                  <a:graphicData uri="http://schemas.microsoft.com/office/word/2010/wordprocessingShape">
                    <wps:wsp>
                      <wps:cNvSpPr txBox="1"/>
                      <wps:spPr>
                        <a:xfrm>
                          <a:off x="0" y="0"/>
                          <a:ext cx="870585" cy="577850"/>
                        </a:xfrm>
                        <a:prstGeom prst="rect">
                          <a:avLst/>
                        </a:prstGeom>
                        <a:noFill/>
                        <a:ln w="12700">
                          <a:noFill/>
                        </a:ln>
                      </wps:spPr>
                      <wps:txbx>
                        <w:txbxContent>
                          <w:p w14:paraId="21A17907">
                            <w:pPr>
                              <w:rPr>
                                <w:rFonts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txbxContent>
                      </wps:txbx>
                      <wps:bodyPr rot="0" vert="horz" wrap="square" lIns="91440" tIns="45720" rIns="91440" bIns="45720" anchor="t" anchorCtr="0"/>
                    </wps:wsp>
                  </a:graphicData>
                </a:graphic>
              </wp:anchor>
            </w:drawing>
          </mc:Choice>
          <mc:Fallback>
            <w:pict>
              <v:shape id="文本框 720" o:spid="_x0000_s1026" o:spt="202" type="#_x0000_t202" style="position:absolute;left:0pt;margin-left:-9pt;margin-top:-0.1pt;height:45.5pt;width:68.55pt;z-index:251684864;mso-width-relative:page;mso-height-relative:page;" filled="f" stroked="f" coordsize="21600,21600" o:gfxdata="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P/Lg29YA&#10;AAAIAQAADwAAAAAAAAABACAAAAAiAAAAZHJzL2Rvd25yZXYueG1sUEsBAhQAFAAAAAgAh07iQHBj&#10;uEvoAQAAvQMAAA4AAAAAAAAAAQAgAAAAJQEAAGRycy9lMm9Eb2MueG1sUEsFBgAAAAAGAAYAWQEA&#10;AH8FAAAAAA==&#10;">
                <v:fill on="f" focussize="0,0"/>
                <v:stroke on="f" weight="1pt"/>
                <v:imagedata o:title=""/>
                <o:lock v:ext="edit" aspectratio="f"/>
                <v:textbox>
                  <w:txbxContent>
                    <w:p w14:paraId="21A17907">
                      <w:pPr>
                        <w:rPr>
                          <w:rFonts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txbxContent>
                </v:textbox>
              </v:shape>
            </w:pict>
          </mc:Fallback>
        </mc:AlternateContent>
      </w:r>
      <w:r>
        <w:rPr>
          <w:rFonts w:hint="eastAsia" w:ascii="仿宋" w:hAnsi="仿宋" w:eastAsia="仿宋" w:cs="仿宋"/>
          <w:sz w:val="24"/>
          <w:szCs w:val="24"/>
          <w:lang w:eastAsia="zh-CN"/>
        </w:rPr>
        <w:t>本合同已明确指出的地下障碍物（发包人招标文件提供的工程量清单有列明或提供的地质资料已明确反映的），应视为承包人在投标报价时已预见其对施工的影响，并已在合同价格中考虑。</w:t>
      </w:r>
    </w:p>
    <w:p w14:paraId="3284C658">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本合同未有明确指出的地下障碍物（发包人招标文件提供的工程量清单没有列明或提供的地质资料不能明确反映的），在施工过程遇到时，承包人应于</w:t>
      </w:r>
      <w:r>
        <w:rPr>
          <w:rFonts w:ascii="仿宋" w:hAnsi="仿宋" w:eastAsia="仿宋" w:cs="仿宋"/>
          <w:sz w:val="24"/>
          <w:szCs w:val="24"/>
          <w:lang w:eastAsia="zh-CN"/>
        </w:rPr>
        <w:t>8</w:t>
      </w:r>
      <w:r>
        <w:rPr>
          <w:rFonts w:hint="eastAsia" w:ascii="仿宋" w:hAnsi="仿宋" w:eastAsia="仿宋" w:cs="仿宋"/>
          <w:sz w:val="24"/>
          <w:szCs w:val="24"/>
          <w:lang w:eastAsia="zh-CN"/>
        </w:rPr>
        <w:t>小时内以书面形式通知监理人和发包人，并提出处置方案。监理人在收到处置方案后</w:t>
      </w:r>
      <w:r>
        <w:rPr>
          <w:rFonts w:ascii="仿宋" w:hAnsi="仿宋" w:eastAsia="仿宋" w:cs="仿宋"/>
          <w:sz w:val="24"/>
          <w:szCs w:val="24"/>
          <w:lang w:eastAsia="zh-CN"/>
        </w:rPr>
        <w:t>24</w:t>
      </w:r>
      <w:r>
        <w:rPr>
          <w:rFonts w:hint="eastAsia" w:ascii="仿宋" w:hAnsi="仿宋" w:eastAsia="仿宋" w:cs="仿宋"/>
          <w:sz w:val="24"/>
          <w:szCs w:val="24"/>
          <w:lang w:eastAsia="zh-CN"/>
        </w:rPr>
        <w:t>小时内予以确认或提出修正方案，并发出施工指令。承包人应按照监理人指令进行施工。发包人应承担由此增加的费用和（或）延误的工期，并向承包人支付合理利润。</w:t>
      </w:r>
    </w:p>
    <w:p w14:paraId="7564EBF5">
      <w:pPr>
        <w:pStyle w:val="22"/>
        <w:adjustRightInd w:val="0"/>
        <w:snapToGrid w:val="0"/>
        <w:spacing w:line="400" w:lineRule="exact"/>
        <w:rPr>
          <w:rFonts w:ascii="仿宋" w:hAnsi="仿宋" w:eastAsia="仿宋" w:cs="仿宋"/>
          <w:b/>
          <w:bCs/>
          <w:sz w:val="24"/>
          <w:szCs w:val="24"/>
          <w:u w:val="single"/>
          <w:lang w:eastAsia="zh-CN"/>
        </w:rPr>
      </w:pPr>
      <w:r>
        <w:rPr>
          <w:rFonts w:ascii="仿宋" w:hAnsi="仿宋" w:eastAsia="仿宋" w:cs="仿宋"/>
          <w:b/>
          <w:bCs/>
          <w:sz w:val="24"/>
          <w:szCs w:val="24"/>
          <w:u w:val="single"/>
          <w:lang w:eastAsia="zh-CN"/>
        </w:rPr>
        <w:t xml:space="preserve">                                                                                     </w:t>
      </w:r>
    </w:p>
    <w:p w14:paraId="3E3110A0">
      <w:pPr>
        <w:pStyle w:val="4"/>
        <w:tabs>
          <w:tab w:val="left" w:pos="420"/>
        </w:tabs>
        <w:spacing w:before="0" w:after="0" w:line="400" w:lineRule="exact"/>
        <w:rPr>
          <w:rFonts w:ascii="仿宋" w:hAnsi="仿宋" w:eastAsia="仿宋" w:cs="仿宋"/>
          <w:bCs w:val="0"/>
          <w:sz w:val="24"/>
          <w:szCs w:val="24"/>
          <w:lang w:eastAsia="zh-CN"/>
        </w:rPr>
      </w:pPr>
      <w:bookmarkStart w:id="175" w:name="_Toc194073120"/>
      <w:bookmarkStart w:id="176" w:name="_Toc11323"/>
      <w:bookmarkStart w:id="177" w:name="_Toc22322"/>
      <w:bookmarkStart w:id="178" w:name="_Toc6557"/>
      <w:r>
        <w:rPr>
          <w:rFonts w:ascii="仿宋" w:hAnsi="仿宋" w:eastAsia="仿宋" w:cs="仿宋"/>
          <w:bCs w:val="0"/>
          <w:sz w:val="24"/>
          <w:szCs w:val="24"/>
          <w:lang w:eastAsia="zh-CN"/>
        </w:rPr>
        <w:t>1</w:t>
      </w:r>
      <w:r>
        <w:rPr>
          <w:rFonts w:hint="eastAsia" w:ascii="仿宋" w:hAnsi="仿宋" w:eastAsia="仿宋" w:cs="仿宋"/>
          <w:bCs w:val="0"/>
          <w:sz w:val="24"/>
          <w:szCs w:val="24"/>
          <w:lang w:eastAsia="zh-CN"/>
        </w:rPr>
        <w:t>5</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事故处理</w:t>
      </w:r>
      <w:bookmarkEnd w:id="175"/>
      <w:bookmarkEnd w:id="176"/>
      <w:bookmarkEnd w:id="177"/>
      <w:bookmarkEnd w:id="178"/>
    </w:p>
    <w:p w14:paraId="1185E81D">
      <w:pPr>
        <w:pStyle w:val="22"/>
        <w:adjustRightInd w:val="0"/>
        <w:snapToGrid w:val="0"/>
        <w:spacing w:line="400" w:lineRule="exact"/>
        <w:rPr>
          <w:rFonts w:ascii="仿宋" w:hAnsi="仿宋" w:eastAsia="仿宋" w:cs="仿宋"/>
          <w:b/>
          <w:bCs/>
          <w:sz w:val="24"/>
          <w:szCs w:val="24"/>
          <w:lang w:eastAsia="zh-CN"/>
        </w:rPr>
      </w:pPr>
      <w:r>
        <mc:AlternateContent>
          <mc:Choice Requires="wps">
            <w:drawing>
              <wp:anchor distT="0" distB="0" distL="114300" distR="114300" simplePos="0" relativeHeight="251685888" behindDoc="0" locked="0" layoutInCell="1" allowOverlap="1">
                <wp:simplePos x="0" y="0"/>
                <wp:positionH relativeFrom="column">
                  <wp:posOffset>-104775</wp:posOffset>
                </wp:positionH>
                <wp:positionV relativeFrom="paragraph">
                  <wp:posOffset>175895</wp:posOffset>
                </wp:positionV>
                <wp:extent cx="847725" cy="462280"/>
                <wp:effectExtent l="0" t="0" r="0" b="0"/>
                <wp:wrapNone/>
                <wp:docPr id="45" name="文本框 721"/>
                <wp:cNvGraphicFramePr/>
                <a:graphic xmlns:a="http://schemas.openxmlformats.org/drawingml/2006/main">
                  <a:graphicData uri="http://schemas.microsoft.com/office/word/2010/wordprocessingShape">
                    <wps:wsp>
                      <wps:cNvSpPr txBox="1"/>
                      <wps:spPr>
                        <a:xfrm>
                          <a:off x="0" y="0"/>
                          <a:ext cx="847725" cy="462280"/>
                        </a:xfrm>
                        <a:prstGeom prst="rect">
                          <a:avLst/>
                        </a:prstGeom>
                        <a:noFill/>
                        <a:ln w="12700">
                          <a:noFill/>
                        </a:ln>
                      </wps:spPr>
                      <wps:txbx>
                        <w:txbxContent>
                          <w:p w14:paraId="2CE3801F">
                            <w:pPr>
                              <w:rPr>
                                <w:color w:val="000000"/>
                                <w:sz w:val="18"/>
                                <w:szCs w:val="18"/>
                              </w:rPr>
                            </w:pPr>
                            <w:r>
                              <w:rPr>
                                <w:rFonts w:hint="eastAsia" w:ascii="楷体_GB2312" w:hAnsi="宋体" w:eastAsia="楷体_GB2312" w:cs="楷体_GB2312"/>
                                <w:b/>
                                <w:bCs/>
                                <w:color w:val="000000"/>
                                <w:sz w:val="18"/>
                                <w:szCs w:val="18"/>
                              </w:rPr>
                              <w:t>发生事故的通知</w:t>
                            </w:r>
                          </w:p>
                        </w:txbxContent>
                      </wps:txbx>
                      <wps:bodyPr rot="0" vert="horz" wrap="square" lIns="91440" tIns="45720" rIns="91440" bIns="45720" anchor="t" anchorCtr="0"/>
                    </wps:wsp>
                  </a:graphicData>
                </a:graphic>
              </wp:anchor>
            </w:drawing>
          </mc:Choice>
          <mc:Fallback>
            <w:pict>
              <v:shape id="文本框 721" o:spid="_x0000_s1026" o:spt="202" type="#_x0000_t202" style="position:absolute;left:0pt;margin-left:-8.25pt;margin-top:13.85pt;height:36.4pt;width:66.75pt;z-index:251685888;mso-width-relative:page;mso-height-relative:page;" filled="f" stroked="f" coordsize="21600,21600" o:gfxdata="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Up&#10;W7PYAAAACgEAAA8AAAAAAAAAAQAgAAAAIgAAAGRycy9kb3ducmV2LnhtbFBLAQIUABQAAAAIAIdO&#10;4kD9A10e6gEAAL0DAAAOAAAAAAAAAAEAIAAAACcBAABkcnMvZTJvRG9jLnhtbFBLBQYAAAAABgAG&#10;AFkBAACDBQAAAAA=&#10;">
                <v:fill on="f" focussize="0,0"/>
                <v:stroke on="f" weight="1pt"/>
                <v:imagedata o:title=""/>
                <o:lock v:ext="edit" aspectratio="f"/>
                <v:textbox>
                  <w:txbxContent>
                    <w:p w14:paraId="2CE3801F">
                      <w:pPr>
                        <w:rPr>
                          <w:color w:val="000000"/>
                          <w:sz w:val="18"/>
                          <w:szCs w:val="18"/>
                        </w:rPr>
                      </w:pPr>
                      <w:r>
                        <w:rPr>
                          <w:rFonts w:hint="eastAsia" w:ascii="楷体_GB2312" w:hAnsi="宋体" w:eastAsia="楷体_GB2312" w:cs="楷体_GB2312"/>
                          <w:b/>
                          <w:bCs/>
                          <w:color w:val="000000"/>
                          <w:sz w:val="18"/>
                          <w:szCs w:val="18"/>
                        </w:rPr>
                        <w:t>发生事故的通知</w:t>
                      </w:r>
                    </w:p>
                  </w:txbxContent>
                </v:textbox>
              </v:shape>
            </w:pict>
          </mc:Fallback>
        </mc:AlternateContent>
      </w:r>
      <w:r>
        <w:rPr>
          <w:rFonts w:ascii="仿宋" w:hAnsi="仿宋" w:eastAsia="仿宋" w:cs="仿宋"/>
          <w:b/>
          <w:bCs/>
          <w:sz w:val="24"/>
          <w:szCs w:val="24"/>
          <w:lang w:eastAsia="zh-CN"/>
        </w:rPr>
        <w:t>1</w:t>
      </w:r>
      <w:r>
        <w:rPr>
          <w:rFonts w:hint="eastAsia" w:ascii="仿宋" w:hAnsi="仿宋" w:eastAsia="仿宋" w:cs="仿宋"/>
          <w:b/>
          <w:bCs/>
          <w:sz w:val="24"/>
          <w:szCs w:val="24"/>
          <w:lang w:eastAsia="zh-CN"/>
        </w:rPr>
        <w:t>5</w:t>
      </w:r>
      <w:r>
        <w:rPr>
          <w:rFonts w:ascii="仿宋" w:hAnsi="仿宋" w:eastAsia="仿宋" w:cs="仿宋"/>
          <w:b/>
          <w:bCs/>
          <w:sz w:val="24"/>
          <w:szCs w:val="24"/>
          <w:lang w:eastAsia="zh-CN"/>
        </w:rPr>
        <w:t>.1</w:t>
      </w:r>
    </w:p>
    <w:p w14:paraId="627D5F6E">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合同履行期间，合同工程发生质量与安全事故，承包人立即通知监理人和发包人。</w:t>
      </w:r>
    </w:p>
    <w:p w14:paraId="2A0E3960">
      <w:pPr>
        <w:pStyle w:val="22"/>
        <w:adjustRightInd w:val="0"/>
        <w:snapToGrid w:val="0"/>
        <w:spacing w:line="400" w:lineRule="exact"/>
        <w:rPr>
          <w:rFonts w:ascii="仿宋" w:hAnsi="仿宋" w:eastAsia="仿宋"/>
          <w:sz w:val="24"/>
          <w:szCs w:val="24"/>
          <w:lang w:eastAsia="zh-CN"/>
        </w:rPr>
      </w:pPr>
      <w:r>
        <mc:AlternateContent>
          <mc:Choice Requires="wps">
            <w:drawing>
              <wp:anchor distT="0" distB="0" distL="114300" distR="114300" simplePos="0" relativeHeight="251686912" behindDoc="0" locked="0" layoutInCell="1" allowOverlap="1">
                <wp:simplePos x="0" y="0"/>
                <wp:positionH relativeFrom="column">
                  <wp:posOffset>-85725</wp:posOffset>
                </wp:positionH>
                <wp:positionV relativeFrom="paragraph">
                  <wp:posOffset>348615</wp:posOffset>
                </wp:positionV>
                <wp:extent cx="771525" cy="490855"/>
                <wp:effectExtent l="0" t="0" r="0" b="0"/>
                <wp:wrapNone/>
                <wp:docPr id="46" name="文本框 722"/>
                <wp:cNvGraphicFramePr/>
                <a:graphic xmlns:a="http://schemas.openxmlformats.org/drawingml/2006/main">
                  <a:graphicData uri="http://schemas.microsoft.com/office/word/2010/wordprocessingShape">
                    <wps:wsp>
                      <wps:cNvSpPr txBox="1"/>
                      <wps:spPr>
                        <a:xfrm>
                          <a:off x="0" y="0"/>
                          <a:ext cx="771525" cy="490855"/>
                        </a:xfrm>
                        <a:prstGeom prst="rect">
                          <a:avLst/>
                        </a:prstGeom>
                        <a:noFill/>
                        <a:ln w="12700">
                          <a:noFill/>
                        </a:ln>
                      </wps:spPr>
                      <wps:txbx>
                        <w:txbxContent>
                          <w:p w14:paraId="59A938B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txbxContent>
                      </wps:txbx>
                      <wps:bodyPr rot="0" vert="horz" wrap="square" lIns="91440" tIns="45720" rIns="91440" bIns="45720" anchor="t" anchorCtr="0"/>
                    </wps:wsp>
                  </a:graphicData>
                </a:graphic>
              </wp:anchor>
            </w:drawing>
          </mc:Choice>
          <mc:Fallback>
            <w:pict>
              <v:shape id="文本框 722" o:spid="_x0000_s1026" o:spt="202" type="#_x0000_t202" style="position:absolute;left:0pt;margin-left:-6.75pt;margin-top:27.45pt;height:38.65pt;width:60.75pt;z-index:251686912;mso-width-relative:page;mso-height-relative:page;" filled="f" stroked="f" coordsize="21600,21600" o:gfxdata="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9t&#10;s2TZAAAACgEAAA8AAAAAAAAAAQAgAAAAIgAAAGRycy9kb3ducmV2LnhtbFBLAQIUABQAAAAIAIdO&#10;4kD/3E176QEAAL0DAAAOAAAAAAAAAAEAIAAAACgBAABkcnMvZTJvRG9jLnhtbFBLBQYAAAAABgAG&#10;AFkBAACDBQAAAAA=&#10;">
                <v:fill on="f" focussize="0,0"/>
                <v:stroke on="f" weight="1pt"/>
                <v:imagedata o:title=""/>
                <o:lock v:ext="edit" aspectratio="f"/>
                <v:textbox>
                  <w:txbxContent>
                    <w:p w14:paraId="59A938B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txbxContent>
                </v:textbox>
              </v:shape>
            </w:pict>
          </mc:Fallback>
        </mc:AlternateContent>
      </w:r>
      <w:r>
        <w:rPr>
          <w:rFonts w:ascii="仿宋" w:hAnsi="仿宋" w:eastAsia="仿宋" w:cs="仿宋"/>
          <w:b/>
          <w:bCs/>
          <w:sz w:val="24"/>
          <w:szCs w:val="24"/>
          <w:lang w:eastAsia="zh-CN"/>
        </w:rPr>
        <w:t>1</w:t>
      </w:r>
      <w:r>
        <w:rPr>
          <w:rFonts w:hint="eastAsia" w:ascii="仿宋" w:hAnsi="仿宋" w:eastAsia="仿宋" w:cs="仿宋"/>
          <w:b/>
          <w:bCs/>
          <w:sz w:val="24"/>
          <w:szCs w:val="24"/>
          <w:lang w:eastAsia="zh-CN"/>
        </w:rPr>
        <w:t>5</w:t>
      </w:r>
      <w:r>
        <w:rPr>
          <w:rFonts w:ascii="仿宋" w:hAnsi="仿宋" w:eastAsia="仿宋" w:cs="仿宋"/>
          <w:b/>
          <w:bCs/>
          <w:sz w:val="24"/>
          <w:szCs w:val="24"/>
          <w:lang w:eastAsia="zh-CN"/>
        </w:rPr>
        <w:t xml:space="preserve">.2 </w:t>
      </w:r>
      <w:r>
        <w:rPr>
          <w:rFonts w:ascii="仿宋" w:hAnsi="仿宋" w:eastAsia="仿宋" w:cs="仿宋"/>
          <w:sz w:val="24"/>
          <w:szCs w:val="24"/>
          <w:lang w:eastAsia="zh-CN"/>
        </w:rPr>
        <w:t xml:space="preserve"> </w:t>
      </w:r>
      <w:r>
        <w:rPr>
          <w:rFonts w:ascii="仿宋" w:hAnsi="仿宋" w:eastAsia="仿宋" w:cs="仿宋"/>
          <w:sz w:val="24"/>
          <w:szCs w:val="24"/>
          <w:u w:val="dotted"/>
          <w:lang w:eastAsia="zh-CN"/>
        </w:rPr>
        <w:t xml:space="preserve">                                                                               </w:t>
      </w:r>
    </w:p>
    <w:p w14:paraId="0C2335D8">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接到事故通知后，合同双方当事人应立即组织人员和设备进行紧急抢救和抢修，减少人员伤亡和财产损失，防止事故扩大，并保护事故现场。需移动现场物品时，应做好标记和书面记录，妥善保护有关证据。</w:t>
      </w:r>
    </w:p>
    <w:p w14:paraId="4B609BBD">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合同双方当事人应按照国家规定时限如实上报政府有关部门，配合政府有关部门的调查和处理，由此发生的费用和（或）延误的工期由事故责任方承担。</w:t>
      </w:r>
    </w:p>
    <w:p w14:paraId="07606B8F">
      <w:pPr>
        <w:pStyle w:val="22"/>
        <w:adjustRightInd w:val="0"/>
        <w:snapToGrid w:val="0"/>
        <w:spacing w:line="400" w:lineRule="exact"/>
        <w:rPr>
          <w:rFonts w:ascii="仿宋" w:hAnsi="仿宋" w:eastAsia="仿宋"/>
          <w:b/>
          <w:bCs/>
          <w:sz w:val="24"/>
          <w:szCs w:val="24"/>
          <w:lang w:eastAsia="zh-CN"/>
        </w:rPr>
      </w:pPr>
      <w:r>
        <mc:AlternateContent>
          <mc:Choice Requires="wps">
            <w:drawing>
              <wp:anchor distT="0" distB="0" distL="114300" distR="114300" simplePos="0" relativeHeight="251687936" behindDoc="0" locked="0" layoutInCell="1" allowOverlap="1">
                <wp:simplePos x="0" y="0"/>
                <wp:positionH relativeFrom="column">
                  <wp:posOffset>-76200</wp:posOffset>
                </wp:positionH>
                <wp:positionV relativeFrom="paragraph">
                  <wp:posOffset>278130</wp:posOffset>
                </wp:positionV>
                <wp:extent cx="762000" cy="404495"/>
                <wp:effectExtent l="0" t="0" r="0" b="0"/>
                <wp:wrapNone/>
                <wp:docPr id="47" name="文本框 723"/>
                <wp:cNvGraphicFramePr/>
                <a:graphic xmlns:a="http://schemas.openxmlformats.org/drawingml/2006/main">
                  <a:graphicData uri="http://schemas.microsoft.com/office/word/2010/wordprocessingShape">
                    <wps:wsp>
                      <wps:cNvSpPr txBox="1"/>
                      <wps:spPr>
                        <a:xfrm>
                          <a:off x="0" y="0"/>
                          <a:ext cx="762000" cy="404495"/>
                        </a:xfrm>
                        <a:prstGeom prst="rect">
                          <a:avLst/>
                        </a:prstGeom>
                        <a:noFill/>
                        <a:ln w="12700">
                          <a:noFill/>
                        </a:ln>
                      </wps:spPr>
                      <wps:txbx>
                        <w:txbxContent>
                          <w:p w14:paraId="462FF52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txbxContent>
                      </wps:txbx>
                      <wps:bodyPr rot="0" vert="horz" wrap="square" lIns="91440" tIns="45720" rIns="91440" bIns="45720" anchor="t" anchorCtr="0"/>
                    </wps:wsp>
                  </a:graphicData>
                </a:graphic>
              </wp:anchor>
            </w:drawing>
          </mc:Choice>
          <mc:Fallback>
            <w:pict>
              <v:shape id="文本框 723" o:spid="_x0000_s1026" o:spt="202" type="#_x0000_t202" style="position:absolute;left:0pt;margin-left:-6pt;margin-top:21.9pt;height:31.85pt;width:60pt;z-index:251687936;mso-width-relative:page;mso-height-relative:page;" filled="f" stroked="f" coordsize="21600,21600" o:gfxdata="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eTayZ1wAA&#10;AAoBAAAPAAAAAAAAAAEAIAAAACIAAABkcnMvZG93bnJldi54bWxQSwECFAAUAAAACACHTuJA9Z1h&#10;m+YBAAC9AwAADgAAAAAAAAABACAAAAAmAQAAZHJzL2Uyb0RvYy54bWxQSwUGAAAAAAYABgBZAQAA&#10;fgUAAAAA&#10;">
                <v:fill on="f" focussize="0,0"/>
                <v:stroke on="f" weight="1pt"/>
                <v:imagedata o:title=""/>
                <o:lock v:ext="edit" aspectratio="f"/>
                <v:textbox>
                  <w:txbxContent>
                    <w:p w14:paraId="462FF52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txbxContent>
                </v:textbox>
              </v:shape>
            </w:pict>
          </mc:Fallback>
        </mc:AlternateContent>
      </w:r>
      <w:r>
        <w:rPr>
          <w:rFonts w:ascii="仿宋" w:hAnsi="仿宋" w:eastAsia="仿宋" w:cs="仿宋"/>
          <w:b/>
          <w:bCs/>
          <w:sz w:val="24"/>
          <w:szCs w:val="24"/>
          <w:lang w:eastAsia="zh-CN"/>
        </w:rPr>
        <w:t>1</w:t>
      </w:r>
      <w:r>
        <w:rPr>
          <w:rFonts w:hint="eastAsia" w:ascii="仿宋" w:hAnsi="仿宋" w:eastAsia="仿宋" w:cs="仿宋"/>
          <w:b/>
          <w:bCs/>
          <w:sz w:val="24"/>
          <w:szCs w:val="24"/>
          <w:lang w:eastAsia="zh-CN"/>
        </w:rPr>
        <w:t>5</w:t>
      </w:r>
      <w:r>
        <w:rPr>
          <w:rFonts w:ascii="仿宋" w:hAnsi="仿宋" w:eastAsia="仿宋" w:cs="仿宋"/>
          <w:b/>
          <w:bCs/>
          <w:sz w:val="24"/>
          <w:szCs w:val="24"/>
          <w:lang w:eastAsia="zh-CN"/>
        </w:rPr>
        <w:t xml:space="preserve">.3  </w:t>
      </w:r>
      <w:r>
        <w:rPr>
          <w:rFonts w:ascii="仿宋" w:hAnsi="仿宋" w:eastAsia="仿宋" w:cs="仿宋"/>
          <w:b/>
          <w:bCs/>
          <w:sz w:val="24"/>
          <w:szCs w:val="24"/>
          <w:u w:val="dotted"/>
          <w:lang w:eastAsia="zh-CN"/>
        </w:rPr>
        <w:t xml:space="preserve">                                                                               </w:t>
      </w:r>
    </w:p>
    <w:p w14:paraId="54E5AF55">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合同双方当事人对事故责任有争议时，应按照政府有关部门的认定处理。</w:t>
      </w:r>
    </w:p>
    <w:p w14:paraId="1F9A76ED">
      <w:pPr>
        <w:pStyle w:val="22"/>
        <w:adjustRightInd w:val="0"/>
        <w:snapToGrid w:val="0"/>
        <w:spacing w:line="400" w:lineRule="exact"/>
        <w:rPr>
          <w:rFonts w:ascii="仿宋" w:hAnsi="仿宋" w:eastAsia="仿宋"/>
          <w:sz w:val="24"/>
          <w:szCs w:val="24"/>
          <w:lang w:eastAsia="zh-CN"/>
        </w:rPr>
      </w:pPr>
      <w:r>
        <w:rPr>
          <w:rFonts w:ascii="仿宋" w:hAnsi="仿宋" w:eastAsia="仿宋" w:cs="仿宋"/>
          <w:b/>
          <w:bCs/>
          <w:sz w:val="24"/>
          <w:szCs w:val="24"/>
          <w:u w:val="single"/>
          <w:lang w:eastAsia="zh-CN"/>
        </w:rPr>
        <w:t xml:space="preserve">                                                                             </w:t>
      </w:r>
      <w:r>
        <w:rPr>
          <w:rFonts w:hint="eastAsia" w:ascii="仿宋" w:hAnsi="仿宋" w:eastAsia="仿宋" w:cs="仿宋"/>
          <w:b/>
          <w:bCs/>
          <w:sz w:val="24"/>
          <w:szCs w:val="24"/>
          <w:u w:val="single"/>
          <w:lang w:eastAsia="zh-CN"/>
        </w:rPr>
        <w:t xml:space="preserve">   </w:t>
      </w:r>
      <w:r>
        <w:rPr>
          <w:rFonts w:ascii="仿宋" w:hAnsi="仿宋" w:eastAsia="仿宋" w:cs="仿宋"/>
          <w:b/>
          <w:bCs/>
          <w:sz w:val="24"/>
          <w:szCs w:val="24"/>
          <w:u w:val="single"/>
          <w:lang w:eastAsia="zh-CN"/>
        </w:rPr>
        <w:t xml:space="preserve">     </w:t>
      </w:r>
    </w:p>
    <w:p w14:paraId="5FC57E38">
      <w:pPr>
        <w:pStyle w:val="4"/>
        <w:tabs>
          <w:tab w:val="left" w:pos="420"/>
        </w:tabs>
        <w:spacing w:before="0" w:after="0" w:line="400" w:lineRule="exact"/>
        <w:rPr>
          <w:rFonts w:ascii="仿宋" w:hAnsi="仿宋" w:eastAsia="仿宋" w:cs="仿宋"/>
          <w:bCs w:val="0"/>
          <w:sz w:val="24"/>
          <w:szCs w:val="24"/>
          <w:lang w:eastAsia="zh-CN"/>
        </w:rPr>
      </w:pPr>
      <w:bookmarkStart w:id="179" w:name="_Toc25236"/>
      <w:bookmarkStart w:id="180" w:name="_Toc20403"/>
      <w:bookmarkStart w:id="181" w:name="_Toc194073121"/>
      <w:bookmarkStart w:id="182" w:name="_Toc596"/>
      <w:r>
        <w:rPr>
          <w:rFonts w:ascii="仿宋" w:hAnsi="仿宋" w:eastAsia="仿宋" w:cs="仿宋"/>
          <w:bCs w:val="0"/>
          <w:sz w:val="24"/>
          <w:szCs w:val="24"/>
          <w:lang w:eastAsia="zh-CN"/>
        </w:rPr>
        <w:t>1</w:t>
      </w:r>
      <w:r>
        <w:rPr>
          <w:rFonts w:hint="eastAsia" w:ascii="仿宋" w:hAnsi="仿宋" w:eastAsia="仿宋" w:cs="仿宋"/>
          <w:bCs w:val="0"/>
          <w:sz w:val="24"/>
          <w:szCs w:val="24"/>
          <w:lang w:eastAsia="zh-CN"/>
        </w:rPr>
        <w:t>6</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交通运输</w:t>
      </w:r>
      <w:bookmarkEnd w:id="179"/>
      <w:bookmarkEnd w:id="180"/>
      <w:bookmarkEnd w:id="181"/>
      <w:bookmarkEnd w:id="182"/>
    </w:p>
    <w:p w14:paraId="5099DDE3">
      <w:pPr>
        <w:pStyle w:val="22"/>
        <w:adjustRightInd w:val="0"/>
        <w:snapToGrid w:val="0"/>
        <w:spacing w:line="400" w:lineRule="exact"/>
        <w:rPr>
          <w:rFonts w:ascii="仿宋" w:hAnsi="仿宋" w:eastAsia="仿宋" w:cs="仿宋"/>
          <w:b/>
          <w:bCs/>
          <w:sz w:val="24"/>
          <w:szCs w:val="24"/>
          <w:lang w:eastAsia="zh-CN"/>
        </w:rPr>
      </w:pPr>
      <w:r>
        <mc:AlternateContent>
          <mc:Choice Requires="wps">
            <w:drawing>
              <wp:anchor distT="0" distB="0" distL="114300" distR="114300" simplePos="0" relativeHeight="251688960" behindDoc="0" locked="0" layoutInCell="1" allowOverlap="1">
                <wp:simplePos x="0" y="0"/>
                <wp:positionH relativeFrom="column">
                  <wp:posOffset>-114300</wp:posOffset>
                </wp:positionH>
                <wp:positionV relativeFrom="paragraph">
                  <wp:posOffset>286385</wp:posOffset>
                </wp:positionV>
                <wp:extent cx="809625" cy="557530"/>
                <wp:effectExtent l="0" t="0" r="0" b="0"/>
                <wp:wrapNone/>
                <wp:docPr id="48" name="文本框 724"/>
                <wp:cNvGraphicFramePr/>
                <a:graphic xmlns:a="http://schemas.openxmlformats.org/drawingml/2006/main">
                  <a:graphicData uri="http://schemas.microsoft.com/office/word/2010/wordprocessingShape">
                    <wps:wsp>
                      <wps:cNvSpPr txBox="1"/>
                      <wps:spPr>
                        <a:xfrm>
                          <a:off x="0" y="0"/>
                          <a:ext cx="809625" cy="557530"/>
                        </a:xfrm>
                        <a:prstGeom prst="rect">
                          <a:avLst/>
                        </a:prstGeom>
                        <a:noFill/>
                        <a:ln w="12700">
                          <a:noFill/>
                        </a:ln>
                      </wps:spPr>
                      <wps:txbx>
                        <w:txbxContent>
                          <w:p w14:paraId="3D18BDBD">
                            <w:pPr>
                              <w:rPr>
                                <w:sz w:val="18"/>
                                <w:szCs w:val="18"/>
                              </w:rPr>
                            </w:pPr>
                            <w:r>
                              <w:rPr>
                                <w:rFonts w:hint="eastAsia" w:ascii="楷体_GB2312" w:hAnsi="宋体" w:eastAsia="楷体_GB2312" w:cs="楷体_GB2312"/>
                                <w:b/>
                                <w:bCs/>
                                <w:color w:val="000000"/>
                                <w:sz w:val="18"/>
                                <w:szCs w:val="18"/>
                              </w:rPr>
                              <w:t>道路通行权和场外设施</w:t>
                            </w:r>
                          </w:p>
                        </w:txbxContent>
                      </wps:txbx>
                      <wps:bodyPr rot="0" vert="horz" wrap="square" lIns="91440" tIns="45720" rIns="91440" bIns="45720" anchor="t" anchorCtr="0"/>
                    </wps:wsp>
                  </a:graphicData>
                </a:graphic>
              </wp:anchor>
            </w:drawing>
          </mc:Choice>
          <mc:Fallback>
            <w:pict>
              <v:shape id="文本框 724" o:spid="_x0000_s1026" o:spt="202" type="#_x0000_t202" style="position:absolute;left:0pt;margin-left:-9pt;margin-top:22.55pt;height:43.9pt;width:63.75pt;z-index:251688960;mso-width-relative:page;mso-height-relative:page;" filled="f" stroked="f" coordsize="21600,21600" o:gfxdata="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uCLz3ZAAAACgEAAA8AAAAAAAAAAQAgAAAAIgAAAGRycy9kb3ducmV2LnhtbFBLAQIUABQAAAAI&#10;AIdO4kD6EQdi7AEAAL0DAAAOAAAAAAAAAAEAIAAAACgBAABkcnMvZTJvRG9jLnhtbFBLBQYAAAAA&#10;BgAGAFkBAACGBQAAAAA=&#10;">
                <v:fill on="f" focussize="0,0"/>
                <v:stroke on="f" weight="1pt"/>
                <v:imagedata o:title=""/>
                <o:lock v:ext="edit" aspectratio="f"/>
                <v:textbox>
                  <w:txbxContent>
                    <w:p w14:paraId="3D18BDBD">
                      <w:pPr>
                        <w:rPr>
                          <w:sz w:val="18"/>
                          <w:szCs w:val="18"/>
                        </w:rPr>
                      </w:pPr>
                      <w:r>
                        <w:rPr>
                          <w:rFonts w:hint="eastAsia" w:ascii="楷体_GB2312" w:hAnsi="宋体" w:eastAsia="楷体_GB2312" w:cs="楷体_GB2312"/>
                          <w:b/>
                          <w:bCs/>
                          <w:color w:val="000000"/>
                          <w:sz w:val="18"/>
                          <w:szCs w:val="18"/>
                        </w:rPr>
                        <w:t>道路通行权和场外设施</w:t>
                      </w:r>
                    </w:p>
                  </w:txbxContent>
                </v:textbox>
              </v:shape>
            </w:pict>
          </mc:Fallback>
        </mc:AlternateContent>
      </w:r>
      <w:r>
        <w:rPr>
          <w:rFonts w:ascii="仿宋" w:hAnsi="仿宋" w:eastAsia="仿宋" w:cs="仿宋"/>
          <w:b/>
          <w:bCs/>
          <w:sz w:val="24"/>
          <w:szCs w:val="24"/>
          <w:lang w:eastAsia="zh-CN"/>
        </w:rPr>
        <w:t>1</w:t>
      </w:r>
      <w:r>
        <w:rPr>
          <w:rFonts w:hint="eastAsia" w:ascii="仿宋" w:hAnsi="仿宋" w:eastAsia="仿宋" w:cs="仿宋"/>
          <w:b/>
          <w:bCs/>
          <w:sz w:val="24"/>
          <w:szCs w:val="24"/>
          <w:lang w:eastAsia="zh-CN"/>
        </w:rPr>
        <w:t>6</w:t>
      </w:r>
      <w:r>
        <w:rPr>
          <w:rFonts w:ascii="仿宋" w:hAnsi="仿宋" w:eastAsia="仿宋" w:cs="仿宋"/>
          <w:b/>
          <w:bCs/>
          <w:sz w:val="24"/>
          <w:szCs w:val="24"/>
          <w:lang w:eastAsia="zh-CN"/>
        </w:rPr>
        <w:t>.1</w:t>
      </w:r>
    </w:p>
    <w:p w14:paraId="08F0B6F4">
      <w:pPr>
        <w:pStyle w:val="22"/>
        <w:widowControl w:val="0"/>
        <w:tabs>
          <w:tab w:val="left" w:pos="1202"/>
        </w:tabs>
        <w:adjustRightInd w:val="0"/>
        <w:snapToGri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除专用条款另有约定外，发包人应根据实施合同工程的需要，负责办理取得出入施工场地的专用和临时道路的通行权，以及取得为实施合同工程所需修建场外设施的权利，并承担有关费用。承包人应协助发包人办理上述手续。</w:t>
      </w:r>
    </w:p>
    <w:p w14:paraId="48C3FB8E">
      <w:pPr>
        <w:pStyle w:val="22"/>
        <w:widowControl w:val="0"/>
        <w:tabs>
          <w:tab w:val="left" w:pos="1202"/>
        </w:tabs>
        <w:adjustRightInd w:val="0"/>
        <w:snapToGrid w:val="0"/>
        <w:spacing w:line="400" w:lineRule="exact"/>
        <w:ind w:left="1850" w:leftChars="771"/>
        <w:jc w:val="both"/>
        <w:rPr>
          <w:lang w:eastAsia="zh-CN"/>
        </w:rPr>
      </w:pPr>
      <w:r>
        <w:rPr>
          <w:rFonts w:ascii="仿宋" w:hAnsi="仿宋" w:eastAsia="仿宋" w:cs="仿宋"/>
          <w:sz w:val="24"/>
          <w:szCs w:val="24"/>
          <w:lang w:eastAsia="zh-CN"/>
        </w:rPr>
        <w:t>承包人应在订立合同前查勘施工现场，并根据工程规模及技术参数合理预见工程施工所需的进出施工现场的方式、手段、路径等。因承包人未合理预见所增加的费用和（或）延误的工期由承包人承担。</w:t>
      </w:r>
    </w:p>
    <w:p w14:paraId="1BFD2C08">
      <w:pPr>
        <w:pStyle w:val="22"/>
        <w:tabs>
          <w:tab w:val="left" w:pos="1202"/>
        </w:tabs>
        <w:adjustRightInd w:val="0"/>
        <w:snapToGrid w:val="0"/>
        <w:spacing w:line="400" w:lineRule="exact"/>
        <w:ind w:left="1350" w:leftChars="1" w:hanging="1348" w:hangingChars="674"/>
        <w:rPr>
          <w:rFonts w:ascii="仿宋" w:hAnsi="仿宋" w:eastAsia="仿宋" w:cs="仿宋"/>
          <w:sz w:val="24"/>
          <w:szCs w:val="24"/>
          <w:u w:val="dotted"/>
          <w:lang w:eastAsia="zh-CN"/>
        </w:rPr>
      </w:pPr>
      <w:r>
        <mc:AlternateContent>
          <mc:Choice Requires="wps">
            <w:drawing>
              <wp:anchor distT="0" distB="0" distL="114300" distR="114300" simplePos="0" relativeHeight="251689984" behindDoc="0" locked="0" layoutInCell="1" allowOverlap="1">
                <wp:simplePos x="0" y="0"/>
                <wp:positionH relativeFrom="column">
                  <wp:posOffset>-114300</wp:posOffset>
                </wp:positionH>
                <wp:positionV relativeFrom="paragraph">
                  <wp:posOffset>333375</wp:posOffset>
                </wp:positionV>
                <wp:extent cx="800100" cy="576580"/>
                <wp:effectExtent l="0" t="0" r="0" b="0"/>
                <wp:wrapNone/>
                <wp:docPr id="49" name="文本框 725"/>
                <wp:cNvGraphicFramePr/>
                <a:graphic xmlns:a="http://schemas.openxmlformats.org/drawingml/2006/main">
                  <a:graphicData uri="http://schemas.microsoft.com/office/word/2010/wordprocessingShape">
                    <wps:wsp>
                      <wps:cNvSpPr txBox="1"/>
                      <wps:spPr>
                        <a:xfrm>
                          <a:off x="0" y="0"/>
                          <a:ext cx="800100" cy="576580"/>
                        </a:xfrm>
                        <a:prstGeom prst="rect">
                          <a:avLst/>
                        </a:prstGeom>
                        <a:noFill/>
                        <a:ln w="12700">
                          <a:noFill/>
                        </a:ln>
                      </wps:spPr>
                      <wps:txbx>
                        <w:txbxContent>
                          <w:p w14:paraId="15FC595C">
                            <w:pPr>
                              <w:rPr>
                                <w:sz w:val="18"/>
                                <w:szCs w:val="18"/>
                                <w:lang w:eastAsia="zh-CN"/>
                              </w:rPr>
                            </w:pPr>
                            <w:r>
                              <w:rPr>
                                <w:rFonts w:hint="eastAsia" w:ascii="楷体_GB2312" w:hAnsi="宋体" w:eastAsia="楷体_GB2312" w:cs="楷体_GB2312"/>
                                <w:b/>
                                <w:bCs/>
                                <w:color w:val="000000"/>
                                <w:sz w:val="18"/>
                                <w:szCs w:val="18"/>
                                <w:lang w:eastAsia="zh-CN"/>
                              </w:rPr>
                              <w:t>场内临时道路和交通设施</w:t>
                            </w:r>
                          </w:p>
                        </w:txbxContent>
                      </wps:txbx>
                      <wps:bodyPr rot="0" vert="horz" wrap="square" lIns="91440" tIns="45720" rIns="91440" bIns="45720" anchor="t" anchorCtr="0"/>
                    </wps:wsp>
                  </a:graphicData>
                </a:graphic>
              </wp:anchor>
            </w:drawing>
          </mc:Choice>
          <mc:Fallback>
            <w:pict>
              <v:shape id="文本框 725" o:spid="_x0000_s1026" o:spt="202" type="#_x0000_t202" style="position:absolute;left:0pt;margin-left:-9pt;margin-top:26.25pt;height:45.4pt;width:63pt;z-index:251689984;mso-width-relative:page;mso-height-relative:page;" filled="f" stroked="f" coordsize="21600,21600" o:gfxdata="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ZUXR7X&#10;AAAACgEAAA8AAAAAAAAAAQAgAAAAIgAAAGRycy9kb3ducmV2LnhtbFBLAQIUABQAAAAIAIdO4kCj&#10;kLrT6AEAAL0DAAAOAAAAAAAAAAEAIAAAACYBAABkcnMvZTJvRG9jLnhtbFBLBQYAAAAABgAGAFkB&#10;AACABQAAAAA=&#10;">
                <v:fill on="f" focussize="0,0"/>
                <v:stroke on="f" weight="1pt"/>
                <v:imagedata o:title=""/>
                <o:lock v:ext="edit" aspectratio="f"/>
                <v:textbox>
                  <w:txbxContent>
                    <w:p w14:paraId="15FC595C">
                      <w:pPr>
                        <w:rPr>
                          <w:sz w:val="18"/>
                          <w:szCs w:val="18"/>
                          <w:lang w:eastAsia="zh-CN"/>
                        </w:rPr>
                      </w:pPr>
                      <w:r>
                        <w:rPr>
                          <w:rFonts w:hint="eastAsia" w:ascii="楷体_GB2312" w:hAnsi="宋体" w:eastAsia="楷体_GB2312" w:cs="楷体_GB2312"/>
                          <w:b/>
                          <w:bCs/>
                          <w:color w:val="000000"/>
                          <w:sz w:val="18"/>
                          <w:szCs w:val="18"/>
                          <w:lang w:eastAsia="zh-CN"/>
                        </w:rPr>
                        <w:t>场内临时道路和交通设施</w:t>
                      </w:r>
                    </w:p>
                  </w:txbxContent>
                </v:textbox>
              </v:shape>
            </w:pict>
          </mc:Fallback>
        </mc:AlternateContent>
      </w:r>
      <w:r>
        <w:rPr>
          <w:rFonts w:ascii="仿宋" w:hAnsi="仿宋" w:eastAsia="仿宋" w:cs="仿宋"/>
          <w:b/>
          <w:bCs/>
          <w:sz w:val="24"/>
          <w:szCs w:val="24"/>
          <w:lang w:eastAsia="zh-CN"/>
        </w:rPr>
        <w:t>1</w:t>
      </w:r>
      <w:r>
        <w:rPr>
          <w:rFonts w:hint="eastAsia" w:ascii="仿宋" w:hAnsi="仿宋" w:eastAsia="仿宋" w:cs="仿宋"/>
          <w:b/>
          <w:bCs/>
          <w:sz w:val="24"/>
          <w:szCs w:val="24"/>
          <w:lang w:eastAsia="zh-CN"/>
        </w:rPr>
        <w:t>6</w:t>
      </w:r>
      <w:r>
        <w:rPr>
          <w:rFonts w:ascii="仿宋" w:hAnsi="仿宋" w:eastAsia="仿宋" w:cs="仿宋"/>
          <w:b/>
          <w:bCs/>
          <w:sz w:val="24"/>
          <w:szCs w:val="24"/>
          <w:lang w:eastAsia="zh-CN"/>
        </w:rPr>
        <w:t>.2</w:t>
      </w:r>
      <w:r>
        <w:rPr>
          <w:rFonts w:ascii="仿宋" w:hAnsi="仿宋" w:eastAsia="仿宋" w:cs="仿宋"/>
          <w:sz w:val="24"/>
          <w:szCs w:val="24"/>
          <w:lang w:eastAsia="zh-CN"/>
        </w:rPr>
        <w:t xml:space="preserve">  </w:t>
      </w:r>
      <w:r>
        <w:rPr>
          <w:rFonts w:ascii="仿宋" w:hAnsi="仿宋" w:eastAsia="仿宋" w:cs="仿宋"/>
          <w:sz w:val="24"/>
          <w:szCs w:val="24"/>
          <w:u w:val="dotted"/>
          <w:lang w:eastAsia="zh-CN"/>
        </w:rPr>
        <w:t xml:space="preserve">                                                                               </w:t>
      </w:r>
    </w:p>
    <w:p w14:paraId="1496C000">
      <w:pPr>
        <w:pStyle w:val="22"/>
        <w:widowControl w:val="0"/>
        <w:tabs>
          <w:tab w:val="left" w:pos="1202"/>
        </w:tabs>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除专用条款另有约定外，承包人应负责修建、维修、养护和管理施工场地内所需的临时道路和交通设施，包括维修、养护和管理发包人提供的道路和交通设施，并承担相应费用。</w:t>
      </w:r>
    </w:p>
    <w:p w14:paraId="7B440EAF">
      <w:pPr>
        <w:pStyle w:val="22"/>
        <w:widowControl w:val="0"/>
        <w:tabs>
          <w:tab w:val="left" w:pos="1202"/>
        </w:tabs>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承包人修建的临时道路和交通设施应免费提供发包人使用。</w:t>
      </w:r>
    </w:p>
    <w:p w14:paraId="098BA923">
      <w:pPr>
        <w:pStyle w:val="22"/>
        <w:adjustRightInd w:val="0"/>
        <w:snapToGrid w:val="0"/>
        <w:spacing w:line="400" w:lineRule="exact"/>
        <w:rPr>
          <w:rFonts w:ascii="仿宋" w:hAnsi="仿宋" w:eastAsia="仿宋"/>
          <w:b/>
          <w:bCs/>
          <w:sz w:val="24"/>
          <w:szCs w:val="24"/>
          <w:lang w:eastAsia="zh-CN"/>
        </w:rPr>
      </w:pPr>
      <w:r>
        <mc:AlternateContent>
          <mc:Choice Requires="wps">
            <w:drawing>
              <wp:anchor distT="0" distB="0" distL="114300" distR="114300" simplePos="0" relativeHeight="251691008" behindDoc="0" locked="0" layoutInCell="1" allowOverlap="1">
                <wp:simplePos x="0" y="0"/>
                <wp:positionH relativeFrom="column">
                  <wp:posOffset>-114300</wp:posOffset>
                </wp:positionH>
                <wp:positionV relativeFrom="paragraph">
                  <wp:posOffset>224790</wp:posOffset>
                </wp:positionV>
                <wp:extent cx="771525" cy="471805"/>
                <wp:effectExtent l="0" t="0" r="0" b="0"/>
                <wp:wrapNone/>
                <wp:docPr id="50" name="文本框 726"/>
                <wp:cNvGraphicFramePr/>
                <a:graphic xmlns:a="http://schemas.openxmlformats.org/drawingml/2006/main">
                  <a:graphicData uri="http://schemas.microsoft.com/office/word/2010/wordprocessingShape">
                    <wps:wsp>
                      <wps:cNvSpPr txBox="1"/>
                      <wps:spPr>
                        <a:xfrm>
                          <a:off x="0" y="0"/>
                          <a:ext cx="771525" cy="471805"/>
                        </a:xfrm>
                        <a:prstGeom prst="rect">
                          <a:avLst/>
                        </a:prstGeom>
                        <a:noFill/>
                        <a:ln w="12700">
                          <a:noFill/>
                        </a:ln>
                      </wps:spPr>
                      <wps:txbx>
                        <w:txbxContent>
                          <w:p w14:paraId="00C2C60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txbxContent>
                      </wps:txbx>
                      <wps:bodyPr rot="0" vert="horz" wrap="square" lIns="91440" tIns="45720" rIns="91440" bIns="45720" anchor="t" anchorCtr="0"/>
                    </wps:wsp>
                  </a:graphicData>
                </a:graphic>
              </wp:anchor>
            </w:drawing>
          </mc:Choice>
          <mc:Fallback>
            <w:pict>
              <v:shape id="文本框 726" o:spid="_x0000_s1026" o:spt="202" type="#_x0000_t202" style="position:absolute;left:0pt;margin-left:-9pt;margin-top:17.7pt;height:37.15pt;width:60.75pt;z-index:251691008;mso-width-relative:page;mso-height-relative:page;" filled="f" stroked="f" coordsize="21600,21600" o:gfxdata="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Qo+A&#10;VNgAAAAKAQAADwAAAAAAAAABACAAAAAiAAAAZHJzL2Rvd25yZXYueG1sUEsBAhQAFAAAAAgAh07i&#10;QGt2ljjpAQAAvQMAAA4AAAAAAAAAAQAgAAAAJwEAAGRycy9lMm9Eb2MueG1sUEsFBgAAAAAGAAYA&#10;WQEAAIIFAAAAAA==&#10;">
                <v:fill on="f" focussize="0,0"/>
                <v:stroke on="f" weight="1pt"/>
                <v:imagedata o:title=""/>
                <o:lock v:ext="edit" aspectratio="f"/>
                <v:textbox>
                  <w:txbxContent>
                    <w:p w14:paraId="00C2C60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txbxContent>
                </v:textbox>
              </v:shape>
            </w:pict>
          </mc:Fallback>
        </mc:AlternateContent>
      </w:r>
      <w:r>
        <w:rPr>
          <w:rFonts w:ascii="仿宋" w:hAnsi="仿宋" w:eastAsia="仿宋" w:cs="仿宋"/>
          <w:b/>
          <w:bCs/>
          <w:sz w:val="24"/>
          <w:szCs w:val="24"/>
          <w:lang w:eastAsia="zh-CN"/>
        </w:rPr>
        <w:t>1</w:t>
      </w:r>
      <w:r>
        <w:rPr>
          <w:rFonts w:hint="eastAsia" w:ascii="仿宋" w:hAnsi="仿宋" w:eastAsia="仿宋" w:cs="仿宋"/>
          <w:b/>
          <w:bCs/>
          <w:sz w:val="24"/>
          <w:szCs w:val="24"/>
          <w:lang w:eastAsia="zh-CN"/>
        </w:rPr>
        <w:t>6</w:t>
      </w:r>
      <w:r>
        <w:rPr>
          <w:rFonts w:ascii="仿宋" w:hAnsi="仿宋" w:eastAsia="仿宋" w:cs="仿宋"/>
          <w:b/>
          <w:bCs/>
          <w:sz w:val="24"/>
          <w:szCs w:val="24"/>
          <w:lang w:eastAsia="zh-CN"/>
        </w:rPr>
        <w:t xml:space="preserve">.3  </w:t>
      </w:r>
      <w:r>
        <w:rPr>
          <w:rFonts w:ascii="仿宋" w:hAnsi="仿宋" w:eastAsia="仿宋" w:cs="仿宋"/>
          <w:b/>
          <w:bCs/>
          <w:sz w:val="24"/>
          <w:szCs w:val="24"/>
          <w:u w:val="dotted"/>
          <w:lang w:eastAsia="zh-CN"/>
        </w:rPr>
        <w:t xml:space="preserve">                                                                               </w:t>
      </w:r>
    </w:p>
    <w:p w14:paraId="3B06AE4E">
      <w:pPr>
        <w:pStyle w:val="22"/>
        <w:widowControl w:val="0"/>
        <w:tabs>
          <w:tab w:val="left" w:pos="1202"/>
        </w:tabs>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承包人应遵守有关交通法规，严格按照道路和桥梁的限制荷重安全行驶，并服从交通管理部门的检查和监督。承包人车辆外出行驶所需的场外公共道路的通行费、养路费和税款等，由承包人承担。</w:t>
      </w:r>
    </w:p>
    <w:p w14:paraId="0CD0349E">
      <w:pPr>
        <w:pStyle w:val="22"/>
        <w:adjustRightInd w:val="0"/>
        <w:snapToGrid w:val="0"/>
        <w:spacing w:line="400" w:lineRule="exact"/>
        <w:rPr>
          <w:rFonts w:ascii="仿宋" w:hAnsi="仿宋" w:eastAsia="仿宋"/>
          <w:b/>
          <w:bCs/>
          <w:sz w:val="24"/>
          <w:szCs w:val="24"/>
          <w:lang w:eastAsia="zh-CN"/>
        </w:rPr>
      </w:pPr>
      <w:r>
        <mc:AlternateContent>
          <mc:Choice Requires="wps">
            <w:drawing>
              <wp:anchor distT="0" distB="0" distL="114300" distR="114300" simplePos="0" relativeHeight="251692032" behindDoc="0" locked="0" layoutInCell="1" allowOverlap="1">
                <wp:simplePos x="0" y="0"/>
                <wp:positionH relativeFrom="column">
                  <wp:posOffset>-114300</wp:posOffset>
                </wp:positionH>
                <wp:positionV relativeFrom="paragraph">
                  <wp:posOffset>224790</wp:posOffset>
                </wp:positionV>
                <wp:extent cx="781050" cy="512445"/>
                <wp:effectExtent l="0" t="0" r="0" b="0"/>
                <wp:wrapNone/>
                <wp:docPr id="51" name="文本框 727"/>
                <wp:cNvGraphicFramePr/>
                <a:graphic xmlns:a="http://schemas.openxmlformats.org/drawingml/2006/main">
                  <a:graphicData uri="http://schemas.microsoft.com/office/word/2010/wordprocessingShape">
                    <wps:wsp>
                      <wps:cNvSpPr txBox="1"/>
                      <wps:spPr>
                        <a:xfrm>
                          <a:off x="0" y="0"/>
                          <a:ext cx="781050" cy="512445"/>
                        </a:xfrm>
                        <a:prstGeom prst="rect">
                          <a:avLst/>
                        </a:prstGeom>
                        <a:noFill/>
                        <a:ln w="12700">
                          <a:noFill/>
                        </a:ln>
                      </wps:spPr>
                      <wps:txbx>
                        <w:txbxContent>
                          <w:p w14:paraId="4588BB0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超大件和超重件的运输</w:t>
                            </w:r>
                          </w:p>
                        </w:txbxContent>
                      </wps:txbx>
                      <wps:bodyPr rot="0" vert="horz" wrap="square" lIns="91440" tIns="45720" rIns="91440" bIns="45720" anchor="t" anchorCtr="0"/>
                    </wps:wsp>
                  </a:graphicData>
                </a:graphic>
              </wp:anchor>
            </w:drawing>
          </mc:Choice>
          <mc:Fallback>
            <w:pict>
              <v:shape id="文本框 727" o:spid="_x0000_s1026" o:spt="202" type="#_x0000_t202" style="position:absolute;left:0pt;margin-left:-9pt;margin-top:17.7pt;height:40.35pt;width:61.5pt;z-index:251692032;mso-width-relative:page;mso-height-relative:page;" filled="f" stroked="f" coordsize="21600,21600" o:gfxdata="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erhq8&#10;2AAAAAoBAAAPAAAAAAAAAAEAIAAAACIAAABkcnMvZG93bnJldi54bWxQSwECFAAUAAAACACHTuJA&#10;6ILSOegBAAC9AwAADgAAAAAAAAABACAAAAAnAQAAZHJzL2Uyb0RvYy54bWxQSwUGAAAAAAYABgBZ&#10;AQAAgQUAAAAA&#10;">
                <v:fill on="f" focussize="0,0"/>
                <v:stroke on="f" weight="1pt"/>
                <v:imagedata o:title=""/>
                <o:lock v:ext="edit" aspectratio="f"/>
                <v:textbox>
                  <w:txbxContent>
                    <w:p w14:paraId="4588BB0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超大件和超重件的运输</w:t>
                      </w:r>
                    </w:p>
                  </w:txbxContent>
                </v:textbox>
              </v:shape>
            </w:pict>
          </mc:Fallback>
        </mc:AlternateContent>
      </w:r>
      <w:r>
        <w:rPr>
          <w:rFonts w:ascii="仿宋" w:hAnsi="仿宋" w:eastAsia="仿宋" w:cs="仿宋"/>
          <w:b/>
          <w:bCs/>
          <w:sz w:val="24"/>
          <w:szCs w:val="24"/>
          <w:lang w:eastAsia="zh-CN"/>
        </w:rPr>
        <w:t>1</w:t>
      </w:r>
      <w:r>
        <w:rPr>
          <w:rFonts w:hint="eastAsia" w:ascii="仿宋" w:hAnsi="仿宋" w:eastAsia="仿宋" w:cs="仿宋"/>
          <w:b/>
          <w:bCs/>
          <w:sz w:val="24"/>
          <w:szCs w:val="24"/>
          <w:lang w:eastAsia="zh-CN"/>
        </w:rPr>
        <w:t>6</w:t>
      </w:r>
      <w:r>
        <w:rPr>
          <w:rFonts w:ascii="仿宋" w:hAnsi="仿宋" w:eastAsia="仿宋" w:cs="仿宋"/>
          <w:b/>
          <w:bCs/>
          <w:sz w:val="24"/>
          <w:szCs w:val="24"/>
          <w:lang w:eastAsia="zh-CN"/>
        </w:rPr>
        <w:t xml:space="preserve">.4  </w:t>
      </w:r>
      <w:r>
        <w:rPr>
          <w:rFonts w:ascii="仿宋" w:hAnsi="仿宋" w:eastAsia="仿宋" w:cs="仿宋"/>
          <w:b/>
          <w:bCs/>
          <w:sz w:val="24"/>
          <w:szCs w:val="24"/>
          <w:u w:val="dotted"/>
          <w:lang w:eastAsia="zh-CN"/>
        </w:rPr>
        <w:t xml:space="preserve">                                                                               </w:t>
      </w:r>
    </w:p>
    <w:p w14:paraId="2B5C08BB">
      <w:pPr>
        <w:pStyle w:val="22"/>
        <w:widowControl w:val="0"/>
        <w:tabs>
          <w:tab w:val="left" w:pos="1202"/>
        </w:tabs>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承包人应负责向交通管理部门办理运输超大件或超重件的申请手续，发包人应协助承包人办理上述手续。除专用条款另有约定外，运输超大件或超重件所需的道路和桥梁临时加固改造费用和其他有关费用，由承包人承担。</w:t>
      </w:r>
    </w:p>
    <w:p w14:paraId="6D881944">
      <w:pPr>
        <w:pStyle w:val="22"/>
        <w:adjustRightInd w:val="0"/>
        <w:snapToGrid w:val="0"/>
        <w:spacing w:line="400" w:lineRule="exact"/>
        <w:rPr>
          <w:rFonts w:ascii="仿宋" w:hAnsi="仿宋" w:eastAsia="仿宋"/>
          <w:b/>
          <w:bCs/>
          <w:sz w:val="24"/>
          <w:szCs w:val="24"/>
          <w:lang w:eastAsia="zh-CN"/>
        </w:rPr>
      </w:pPr>
      <w:r>
        <mc:AlternateContent>
          <mc:Choice Requires="wps">
            <w:drawing>
              <wp:anchor distT="0" distB="0" distL="114300" distR="114300" simplePos="0" relativeHeight="251693056" behindDoc="0" locked="0" layoutInCell="1" allowOverlap="1">
                <wp:simplePos x="0" y="0"/>
                <wp:positionH relativeFrom="column">
                  <wp:posOffset>-114300</wp:posOffset>
                </wp:positionH>
                <wp:positionV relativeFrom="paragraph">
                  <wp:posOffset>224790</wp:posOffset>
                </wp:positionV>
                <wp:extent cx="789940" cy="463550"/>
                <wp:effectExtent l="0" t="0" r="0" b="0"/>
                <wp:wrapNone/>
                <wp:docPr id="52" name="文本框 728"/>
                <wp:cNvGraphicFramePr/>
                <a:graphic xmlns:a="http://schemas.openxmlformats.org/drawingml/2006/main">
                  <a:graphicData uri="http://schemas.microsoft.com/office/word/2010/wordprocessingShape">
                    <wps:wsp>
                      <wps:cNvSpPr txBox="1"/>
                      <wps:spPr>
                        <a:xfrm>
                          <a:off x="0" y="0"/>
                          <a:ext cx="789940" cy="463550"/>
                        </a:xfrm>
                        <a:prstGeom prst="rect">
                          <a:avLst/>
                        </a:prstGeom>
                        <a:noFill/>
                        <a:ln w="12700">
                          <a:noFill/>
                        </a:ln>
                      </wps:spPr>
                      <wps:txbx>
                        <w:txbxContent>
                          <w:p w14:paraId="7BC05BB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道路和桥梁的损坏责任</w:t>
                            </w:r>
                          </w:p>
                        </w:txbxContent>
                      </wps:txbx>
                      <wps:bodyPr rot="0" vert="horz" wrap="square" lIns="91440" tIns="45720" rIns="91440" bIns="45720" anchor="t" anchorCtr="0"/>
                    </wps:wsp>
                  </a:graphicData>
                </a:graphic>
              </wp:anchor>
            </w:drawing>
          </mc:Choice>
          <mc:Fallback>
            <w:pict>
              <v:shape id="文本框 728" o:spid="_x0000_s1026" o:spt="202" type="#_x0000_t202" style="position:absolute;left:0pt;margin-left:-9pt;margin-top:17.7pt;height:36.5pt;width:62.2pt;z-index:251693056;mso-width-relative:page;mso-height-relative:page;" filled="f" stroked="f" coordsize="21600,21600" o:gfxdata="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XRt&#10;p9gAAAAKAQAADwAAAAAAAAABACAAAAAiAAAAZHJzL2Rvd25yZXYueG1sUEsBAhQAFAAAAAgAh07i&#10;QEVMiXPpAQAAvQMAAA4AAAAAAAAAAQAgAAAAJwEAAGRycy9lMm9Eb2MueG1sUEsFBgAAAAAGAAYA&#10;WQEAAIIFAAAAAA==&#10;">
                <v:fill on="f" focussize="0,0"/>
                <v:stroke on="f" weight="1pt"/>
                <v:imagedata o:title=""/>
                <o:lock v:ext="edit" aspectratio="f"/>
                <v:textbox>
                  <w:txbxContent>
                    <w:p w14:paraId="7BC05BB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道路和桥梁的损坏责任</w:t>
                      </w:r>
                    </w:p>
                  </w:txbxContent>
                </v:textbox>
              </v:shape>
            </w:pict>
          </mc:Fallback>
        </mc:AlternateContent>
      </w:r>
      <w:r>
        <w:rPr>
          <w:rFonts w:ascii="仿宋" w:hAnsi="仿宋" w:eastAsia="仿宋" w:cs="仿宋"/>
          <w:b/>
          <w:bCs/>
          <w:sz w:val="24"/>
          <w:szCs w:val="24"/>
          <w:lang w:eastAsia="zh-CN"/>
        </w:rPr>
        <w:t>1</w:t>
      </w:r>
      <w:r>
        <w:rPr>
          <w:rFonts w:hint="eastAsia" w:ascii="仿宋" w:hAnsi="仿宋" w:eastAsia="仿宋" w:cs="仿宋"/>
          <w:b/>
          <w:bCs/>
          <w:sz w:val="24"/>
          <w:szCs w:val="24"/>
          <w:lang w:eastAsia="zh-CN"/>
        </w:rPr>
        <w:t>6</w:t>
      </w:r>
      <w:r>
        <w:rPr>
          <w:rFonts w:ascii="仿宋" w:hAnsi="仿宋" w:eastAsia="仿宋" w:cs="仿宋"/>
          <w:b/>
          <w:bCs/>
          <w:sz w:val="24"/>
          <w:szCs w:val="24"/>
          <w:lang w:eastAsia="zh-CN"/>
        </w:rPr>
        <w:t xml:space="preserve">.5  </w:t>
      </w:r>
      <w:r>
        <w:rPr>
          <w:rFonts w:ascii="仿宋" w:hAnsi="仿宋" w:eastAsia="仿宋" w:cs="仿宋"/>
          <w:b/>
          <w:bCs/>
          <w:sz w:val="24"/>
          <w:szCs w:val="24"/>
          <w:u w:val="dotted"/>
          <w:lang w:eastAsia="zh-CN"/>
        </w:rPr>
        <w:t xml:space="preserve">                                                                               </w:t>
      </w:r>
    </w:p>
    <w:p w14:paraId="2E15BA97">
      <w:pPr>
        <w:pStyle w:val="22"/>
        <w:widowControl w:val="0"/>
        <w:tabs>
          <w:tab w:val="left" w:pos="1202"/>
        </w:tabs>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因承包人运输造成施工场地内外公共道路和桥梁损坏的，由承包人承担修复损坏的全部费用和可能引起的赔偿。</w:t>
      </w:r>
    </w:p>
    <w:p w14:paraId="5E94688E">
      <w:pPr>
        <w:pStyle w:val="22"/>
        <w:adjustRightInd w:val="0"/>
        <w:snapToGrid w:val="0"/>
        <w:spacing w:line="400" w:lineRule="exact"/>
        <w:rPr>
          <w:rFonts w:ascii="仿宋" w:hAnsi="仿宋" w:eastAsia="仿宋"/>
          <w:b/>
          <w:bCs/>
          <w:sz w:val="24"/>
          <w:szCs w:val="24"/>
          <w:lang w:eastAsia="zh-CN"/>
        </w:rPr>
      </w:pPr>
      <w:r>
        <mc:AlternateContent>
          <mc:Choice Requires="wps">
            <w:drawing>
              <wp:anchor distT="0" distB="0" distL="114300" distR="114300" simplePos="0" relativeHeight="251694080" behindDoc="0" locked="0" layoutInCell="1" allowOverlap="1">
                <wp:simplePos x="0" y="0"/>
                <wp:positionH relativeFrom="column">
                  <wp:posOffset>-114300</wp:posOffset>
                </wp:positionH>
                <wp:positionV relativeFrom="paragraph">
                  <wp:posOffset>224790</wp:posOffset>
                </wp:positionV>
                <wp:extent cx="781050" cy="477520"/>
                <wp:effectExtent l="0" t="0" r="0" b="0"/>
                <wp:wrapNone/>
                <wp:docPr id="53" name="文本框 729"/>
                <wp:cNvGraphicFramePr/>
                <a:graphic xmlns:a="http://schemas.openxmlformats.org/drawingml/2006/main">
                  <a:graphicData uri="http://schemas.microsoft.com/office/word/2010/wordprocessingShape">
                    <wps:wsp>
                      <wps:cNvSpPr txBox="1"/>
                      <wps:spPr>
                        <a:xfrm>
                          <a:off x="0" y="0"/>
                          <a:ext cx="781050" cy="477520"/>
                        </a:xfrm>
                        <a:prstGeom prst="rect">
                          <a:avLst/>
                        </a:prstGeom>
                        <a:noFill/>
                        <a:ln w="12700">
                          <a:noFill/>
                        </a:ln>
                      </wps:spPr>
                      <wps:txbx>
                        <w:txbxContent>
                          <w:p w14:paraId="1A9CDFB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水路和航空运输</w:t>
                            </w:r>
                          </w:p>
                        </w:txbxContent>
                      </wps:txbx>
                      <wps:bodyPr rot="0" vert="horz" wrap="square" lIns="91440" tIns="45720" rIns="91440" bIns="45720" anchor="t" anchorCtr="0"/>
                    </wps:wsp>
                  </a:graphicData>
                </a:graphic>
              </wp:anchor>
            </w:drawing>
          </mc:Choice>
          <mc:Fallback>
            <w:pict>
              <v:shape id="文本框 729" o:spid="_x0000_s1026" o:spt="202" type="#_x0000_t202" style="position:absolute;left:0pt;margin-left:-9pt;margin-top:17.7pt;height:37.6pt;width:61.5pt;z-index:251694080;mso-width-relative:page;mso-height-relative:page;" filled="f" stroked="f" coordsize="21600,21600" o:gfxdata="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C4&#10;B3LYAAAACgEAAA8AAAAAAAAAAQAgAAAAIgAAAGRycy9kb3ducmV2LnhtbFBLAQIUABQAAAAIAIdO&#10;4kB+qgXd6gEAAL0DAAAOAAAAAAAAAAEAIAAAACcBAABkcnMvZTJvRG9jLnhtbFBLBQYAAAAABgAG&#10;AFkBAACDBQAAAAA=&#10;">
                <v:fill on="f" focussize="0,0"/>
                <v:stroke on="f" weight="1pt"/>
                <v:imagedata o:title=""/>
                <o:lock v:ext="edit" aspectratio="f"/>
                <v:textbox>
                  <w:txbxContent>
                    <w:p w14:paraId="1A9CDFB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水路和航空运输</w:t>
                      </w:r>
                    </w:p>
                  </w:txbxContent>
                </v:textbox>
              </v:shape>
            </w:pict>
          </mc:Fallback>
        </mc:AlternateContent>
      </w:r>
      <w:r>
        <w:rPr>
          <w:rFonts w:ascii="仿宋" w:hAnsi="仿宋" w:eastAsia="仿宋" w:cs="仿宋"/>
          <w:b/>
          <w:bCs/>
          <w:sz w:val="24"/>
          <w:szCs w:val="24"/>
          <w:lang w:eastAsia="zh-CN"/>
        </w:rPr>
        <w:t>1</w:t>
      </w:r>
      <w:r>
        <w:rPr>
          <w:rFonts w:hint="eastAsia" w:ascii="仿宋" w:hAnsi="仿宋" w:eastAsia="仿宋" w:cs="仿宋"/>
          <w:b/>
          <w:bCs/>
          <w:sz w:val="24"/>
          <w:szCs w:val="24"/>
          <w:lang w:eastAsia="zh-CN"/>
        </w:rPr>
        <w:t>6</w:t>
      </w:r>
      <w:r>
        <w:rPr>
          <w:rFonts w:ascii="仿宋" w:hAnsi="仿宋" w:eastAsia="仿宋" w:cs="仿宋"/>
          <w:b/>
          <w:bCs/>
          <w:sz w:val="24"/>
          <w:szCs w:val="24"/>
          <w:lang w:eastAsia="zh-CN"/>
        </w:rPr>
        <w:t xml:space="preserve">.6 </w:t>
      </w:r>
      <w:r>
        <w:rPr>
          <w:rFonts w:ascii="仿宋" w:hAnsi="仿宋" w:eastAsia="仿宋" w:cs="仿宋"/>
          <w:b/>
          <w:bCs/>
          <w:sz w:val="24"/>
          <w:szCs w:val="24"/>
          <w:u w:val="dotted"/>
          <w:lang w:eastAsia="zh-CN"/>
        </w:rPr>
        <w:t xml:space="preserve">                                                                                </w:t>
      </w:r>
    </w:p>
    <w:p w14:paraId="5477B882">
      <w:pPr>
        <w:pStyle w:val="22"/>
        <w:widowControl w:val="0"/>
        <w:tabs>
          <w:tab w:val="left" w:pos="1202"/>
        </w:tabs>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本条内容适用于水路运输和航空运输，其中“道路”包括河道、航线、船闸、机场、码头、堤防以及水路或航空运输中其他相似结构物；“车辆”包括船舶和飞机等。</w:t>
      </w:r>
    </w:p>
    <w:p w14:paraId="2D794860">
      <w:pPr>
        <w:pStyle w:val="22"/>
        <w:tabs>
          <w:tab w:val="left" w:pos="1202"/>
        </w:tabs>
        <w:adjustRightInd w:val="0"/>
        <w:snapToGrid w:val="0"/>
        <w:spacing w:line="400" w:lineRule="exact"/>
        <w:rPr>
          <w:rFonts w:ascii="仿宋" w:hAnsi="仿宋" w:eastAsia="仿宋" w:cs="仿宋"/>
          <w:b/>
          <w:bCs/>
          <w:sz w:val="24"/>
          <w:szCs w:val="24"/>
          <w:lang w:eastAsia="zh-CN"/>
        </w:rPr>
      </w:pPr>
      <w:r>
        <w:rPr>
          <w:rFonts w:ascii="仿宋" w:hAnsi="仿宋" w:eastAsia="仿宋" w:cs="仿宋"/>
          <w:b/>
          <w:bCs/>
          <w:sz w:val="24"/>
          <w:szCs w:val="24"/>
          <w:u w:val="single"/>
          <w:lang w:eastAsia="zh-CN"/>
        </w:rPr>
        <w:t xml:space="preserve">                                                       </w:t>
      </w:r>
      <w:r>
        <w:rPr>
          <w:rFonts w:hint="eastAsia" w:ascii="仿宋" w:hAnsi="仿宋" w:eastAsia="仿宋" w:cs="仿宋"/>
          <w:b/>
          <w:bCs/>
          <w:sz w:val="24"/>
          <w:szCs w:val="24"/>
          <w:u w:val="single"/>
          <w:lang w:eastAsia="zh-CN"/>
        </w:rPr>
        <w:t xml:space="preserve">       </w:t>
      </w:r>
      <w:r>
        <w:rPr>
          <w:rFonts w:ascii="仿宋" w:hAnsi="仿宋" w:eastAsia="仿宋" w:cs="仿宋"/>
          <w:b/>
          <w:bCs/>
          <w:sz w:val="24"/>
          <w:szCs w:val="24"/>
          <w:u w:val="single"/>
          <w:lang w:eastAsia="zh-CN"/>
        </w:rPr>
        <w:t xml:space="preserve">                       </w:t>
      </w:r>
    </w:p>
    <w:p w14:paraId="2120A10B">
      <w:pPr>
        <w:pStyle w:val="4"/>
        <w:tabs>
          <w:tab w:val="left" w:pos="420"/>
        </w:tabs>
        <w:spacing w:before="0" w:after="0" w:line="400" w:lineRule="exact"/>
        <w:rPr>
          <w:rFonts w:ascii="仿宋" w:hAnsi="仿宋" w:eastAsia="仿宋" w:cs="仿宋"/>
          <w:bCs w:val="0"/>
          <w:sz w:val="24"/>
          <w:szCs w:val="24"/>
          <w:lang w:eastAsia="zh-CN"/>
        </w:rPr>
      </w:pPr>
      <w:bookmarkStart w:id="183" w:name="_Toc21707"/>
      <w:bookmarkStart w:id="184" w:name="_Toc26248"/>
      <w:bookmarkStart w:id="185" w:name="_Toc194073122"/>
      <w:bookmarkStart w:id="186" w:name="_Toc10993"/>
      <w:r>
        <w:rPr>
          <w:rFonts w:ascii="仿宋" w:hAnsi="仿宋" w:eastAsia="仿宋" w:cs="仿宋"/>
          <w:bCs w:val="0"/>
          <w:sz w:val="24"/>
          <w:szCs w:val="24"/>
          <w:lang w:eastAsia="zh-CN"/>
        </w:rPr>
        <w:t>1</w:t>
      </w:r>
      <w:r>
        <w:rPr>
          <w:rFonts w:hint="eastAsia" w:ascii="仿宋" w:hAnsi="仿宋" w:eastAsia="仿宋" w:cs="仿宋"/>
          <w:bCs w:val="0"/>
          <w:sz w:val="24"/>
          <w:szCs w:val="24"/>
          <w:lang w:eastAsia="zh-CN"/>
        </w:rPr>
        <w:t>7</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专项批准事项的签认</w:t>
      </w:r>
      <w:bookmarkEnd w:id="183"/>
      <w:bookmarkEnd w:id="184"/>
      <w:bookmarkEnd w:id="185"/>
      <w:bookmarkEnd w:id="186"/>
    </w:p>
    <w:p w14:paraId="0CFD56B1">
      <w:pPr>
        <w:pStyle w:val="22"/>
        <w:tabs>
          <w:tab w:val="left" w:pos="1202"/>
        </w:tabs>
        <w:adjustRightInd w:val="0"/>
        <w:snapToGrid w:val="0"/>
        <w:spacing w:line="400" w:lineRule="exact"/>
        <w:rPr>
          <w:rFonts w:ascii="仿宋" w:hAnsi="仿宋" w:eastAsia="仿宋" w:cs="仿宋"/>
          <w:b/>
          <w:bCs/>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7</w:t>
      </w:r>
      <w:r>
        <w:rPr>
          <w:rFonts w:ascii="仿宋" w:hAnsi="仿宋" w:eastAsia="仿宋" w:cs="仿宋"/>
          <w:b/>
          <w:bCs/>
          <w:sz w:val="24"/>
          <w:szCs w:val="24"/>
          <w:lang w:eastAsia="zh-CN"/>
        </w:rPr>
        <w:t>.1</w:t>
      </w:r>
    </w:p>
    <w:p w14:paraId="6AD7B98E">
      <w:pPr>
        <w:pStyle w:val="22"/>
        <w:widowControl w:val="0"/>
        <w:tabs>
          <w:tab w:val="left" w:pos="1202"/>
        </w:tabs>
        <w:adjustRightInd w:val="0"/>
        <w:snapToGrid w:val="0"/>
        <w:spacing w:line="400" w:lineRule="exact"/>
        <w:ind w:left="1850" w:leftChars="771"/>
        <w:jc w:val="both"/>
        <w:rPr>
          <w:rFonts w:ascii="仿宋" w:hAnsi="仿宋" w:eastAsia="仿宋"/>
          <w:sz w:val="24"/>
          <w:szCs w:val="24"/>
          <w:lang w:eastAsia="zh-CN"/>
        </w:rPr>
      </w:pPr>
      <w:r>
        <mc:AlternateContent>
          <mc:Choice Requires="wps">
            <w:drawing>
              <wp:anchor distT="0" distB="0" distL="114300" distR="114300" simplePos="0" relativeHeight="251695104" behindDoc="0" locked="0" layoutInCell="1" allowOverlap="1">
                <wp:simplePos x="0" y="0"/>
                <wp:positionH relativeFrom="column">
                  <wp:posOffset>-85725</wp:posOffset>
                </wp:positionH>
                <wp:positionV relativeFrom="paragraph">
                  <wp:posOffset>106680</wp:posOffset>
                </wp:positionV>
                <wp:extent cx="804545" cy="713105"/>
                <wp:effectExtent l="0" t="0" r="0" b="0"/>
                <wp:wrapNone/>
                <wp:docPr id="54" name="文本框 730"/>
                <wp:cNvGraphicFramePr/>
                <a:graphic xmlns:a="http://schemas.openxmlformats.org/drawingml/2006/main">
                  <a:graphicData uri="http://schemas.microsoft.com/office/word/2010/wordprocessingShape">
                    <wps:wsp>
                      <wps:cNvSpPr txBox="1"/>
                      <wps:spPr>
                        <a:xfrm>
                          <a:off x="0" y="0"/>
                          <a:ext cx="804545" cy="713105"/>
                        </a:xfrm>
                        <a:prstGeom prst="rect">
                          <a:avLst/>
                        </a:prstGeom>
                        <a:noFill/>
                        <a:ln w="12700">
                          <a:noFill/>
                        </a:ln>
                      </wps:spPr>
                      <wps:txbx>
                        <w:txbxContent>
                          <w:p w14:paraId="392596C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专项批准事项的签认</w:t>
                            </w:r>
                          </w:p>
                        </w:txbxContent>
                      </wps:txbx>
                      <wps:bodyPr rot="0" vert="horz" wrap="square" lIns="91440" tIns="45720" rIns="91440" bIns="45720" anchor="t" anchorCtr="0"/>
                    </wps:wsp>
                  </a:graphicData>
                </a:graphic>
              </wp:anchor>
            </w:drawing>
          </mc:Choice>
          <mc:Fallback>
            <w:pict>
              <v:shape id="文本框 730" o:spid="_x0000_s1026" o:spt="202" type="#_x0000_t202" style="position:absolute;left:0pt;margin-left:-6.75pt;margin-top:8.4pt;height:56.15pt;width:63.35pt;z-index:251695104;mso-width-relative:page;mso-height-relative:page;" filled="f" stroked="f" coordsize="21600,21600" o:gfxdata="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OGV//X&#10;AAAACgEAAA8AAAAAAAAAAQAgAAAAIgAAAGRycy9kb3ducmV2LnhtbFBLAQIUABQAAAAIAIdO4kBY&#10;XOy+6AEAAL0DAAAOAAAAAAAAAAEAIAAAACYBAABkcnMvZTJvRG9jLnhtbFBLBQYAAAAABgAGAFkB&#10;AACABQAAAAA=&#10;">
                <v:fill on="f" focussize="0,0"/>
                <v:stroke on="f" weight="1pt"/>
                <v:imagedata o:title=""/>
                <o:lock v:ext="edit" aspectratio="f"/>
                <v:textbox>
                  <w:txbxContent>
                    <w:p w14:paraId="392596C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专项批准事项的签认</w:t>
                      </w:r>
                    </w:p>
                  </w:txbxContent>
                </v:textbox>
              </v:shape>
            </w:pict>
          </mc:Fallback>
        </mc:AlternateContent>
      </w:r>
      <w:r>
        <w:rPr>
          <w:rFonts w:hint="eastAsia" w:ascii="仿宋" w:hAnsi="仿宋" w:eastAsia="仿宋" w:cs="仿宋"/>
          <w:sz w:val="24"/>
          <w:szCs w:val="24"/>
          <w:lang w:eastAsia="zh-CN"/>
        </w:rPr>
        <w:t>合同履行期间，合同工程发生第</w:t>
      </w:r>
      <w:r>
        <w:rPr>
          <w:rFonts w:ascii="仿宋" w:hAnsi="仿宋" w:eastAsia="仿宋" w:cs="仿宋"/>
          <w:sz w:val="24"/>
          <w:szCs w:val="24"/>
          <w:lang w:eastAsia="zh-CN"/>
        </w:rPr>
        <w:t>2</w:t>
      </w:r>
      <w:r>
        <w:rPr>
          <w:rFonts w:hint="eastAsia" w:ascii="仿宋" w:hAnsi="仿宋" w:eastAsia="仿宋" w:cs="仿宋"/>
          <w:sz w:val="24"/>
          <w:szCs w:val="24"/>
          <w:lang w:eastAsia="zh-CN"/>
        </w:rPr>
        <w:t>6</w:t>
      </w:r>
      <w:r>
        <w:rPr>
          <w:rFonts w:ascii="仿宋" w:hAnsi="仿宋" w:eastAsia="仿宋" w:cs="仿宋"/>
          <w:sz w:val="24"/>
          <w:szCs w:val="24"/>
          <w:lang w:eastAsia="zh-CN"/>
        </w:rPr>
        <w:t>.3</w:t>
      </w:r>
      <w:r>
        <w:rPr>
          <w:rFonts w:hint="eastAsia" w:ascii="仿宋" w:hAnsi="仿宋" w:eastAsia="仿宋" w:cs="仿宋"/>
          <w:sz w:val="24"/>
          <w:szCs w:val="24"/>
          <w:lang w:eastAsia="zh-CN"/>
        </w:rPr>
        <w:t>款、第</w:t>
      </w:r>
      <w:r>
        <w:rPr>
          <w:rFonts w:ascii="仿宋" w:hAnsi="仿宋" w:eastAsia="仿宋" w:cs="仿宋"/>
          <w:sz w:val="24"/>
          <w:szCs w:val="24"/>
          <w:lang w:eastAsia="zh-CN"/>
        </w:rPr>
        <w:t>2</w:t>
      </w:r>
      <w:r>
        <w:rPr>
          <w:rFonts w:hint="eastAsia" w:ascii="仿宋" w:hAnsi="仿宋" w:eastAsia="仿宋" w:cs="仿宋"/>
          <w:sz w:val="24"/>
          <w:szCs w:val="24"/>
          <w:lang w:eastAsia="zh-CN"/>
        </w:rPr>
        <w:t>7</w:t>
      </w:r>
      <w:r>
        <w:rPr>
          <w:rFonts w:ascii="仿宋" w:hAnsi="仿宋" w:eastAsia="仿宋" w:cs="仿宋"/>
          <w:sz w:val="24"/>
          <w:szCs w:val="24"/>
          <w:lang w:eastAsia="zh-CN"/>
        </w:rPr>
        <w:t>.3</w:t>
      </w:r>
      <w:r>
        <w:rPr>
          <w:rFonts w:hint="eastAsia" w:ascii="仿宋" w:hAnsi="仿宋" w:eastAsia="仿宋" w:cs="仿宋"/>
          <w:sz w:val="24"/>
          <w:szCs w:val="24"/>
          <w:lang w:eastAsia="zh-CN"/>
        </w:rPr>
        <w:t>款、第</w:t>
      </w:r>
      <w:r>
        <w:rPr>
          <w:rFonts w:ascii="仿宋" w:hAnsi="仿宋" w:eastAsia="仿宋" w:cs="仿宋"/>
          <w:sz w:val="24"/>
          <w:szCs w:val="24"/>
          <w:lang w:eastAsia="zh-CN"/>
        </w:rPr>
        <w:t>2</w:t>
      </w:r>
      <w:r>
        <w:rPr>
          <w:rFonts w:hint="eastAsia" w:ascii="仿宋" w:hAnsi="仿宋" w:eastAsia="仿宋" w:cs="仿宋"/>
          <w:sz w:val="24"/>
          <w:szCs w:val="24"/>
          <w:lang w:eastAsia="zh-CN"/>
        </w:rPr>
        <w:t>8</w:t>
      </w:r>
      <w:r>
        <w:rPr>
          <w:rFonts w:ascii="仿宋" w:hAnsi="仿宋" w:eastAsia="仿宋" w:cs="仿宋"/>
          <w:sz w:val="24"/>
          <w:szCs w:val="24"/>
          <w:lang w:eastAsia="zh-CN"/>
        </w:rPr>
        <w:t>.3</w:t>
      </w:r>
      <w:r>
        <w:rPr>
          <w:rFonts w:hint="eastAsia" w:ascii="仿宋" w:hAnsi="仿宋" w:eastAsia="仿宋" w:cs="仿宋"/>
          <w:sz w:val="24"/>
          <w:szCs w:val="24"/>
          <w:lang w:eastAsia="zh-CN"/>
        </w:rPr>
        <w:t>款专项批准事项的，发包人批准后应通知设计顾问人、监理人和（或）造价咨询人按照合同约定以书面形式向承包人发出工作指令，提供所需的相关资料。承包人在收到设计顾问人、监理人和（或）造价咨询人发出的工作指令后，应按照合同约定实施发生事项的相关工作。</w:t>
      </w:r>
    </w:p>
    <w:p w14:paraId="0AEEFEE4">
      <w:pPr>
        <w:pStyle w:val="22"/>
        <w:widowControl w:val="0"/>
        <w:tabs>
          <w:tab w:val="left" w:pos="1202"/>
        </w:tabs>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合同双方当事人应按照第</w:t>
      </w:r>
      <w:r>
        <w:rPr>
          <w:rFonts w:ascii="仿宋" w:hAnsi="仿宋" w:eastAsia="仿宋" w:cs="仿宋"/>
          <w:sz w:val="24"/>
          <w:szCs w:val="24"/>
          <w:lang w:eastAsia="zh-CN"/>
        </w:rPr>
        <w:t>1</w:t>
      </w:r>
      <w:r>
        <w:rPr>
          <w:rFonts w:hint="eastAsia" w:ascii="仿宋" w:hAnsi="仿宋" w:eastAsia="仿宋" w:cs="仿宋"/>
          <w:sz w:val="24"/>
          <w:szCs w:val="24"/>
          <w:lang w:eastAsia="zh-CN"/>
        </w:rPr>
        <w:t>7</w:t>
      </w:r>
      <w:r>
        <w:rPr>
          <w:rFonts w:ascii="仿宋" w:hAnsi="仿宋" w:eastAsia="仿宋" w:cs="仿宋"/>
          <w:sz w:val="24"/>
          <w:szCs w:val="24"/>
          <w:lang w:eastAsia="zh-CN"/>
        </w:rPr>
        <w:t>.2</w:t>
      </w:r>
      <w:r>
        <w:rPr>
          <w:rFonts w:hint="eastAsia" w:ascii="仿宋" w:hAnsi="仿宋" w:eastAsia="仿宋" w:cs="仿宋"/>
          <w:sz w:val="24"/>
          <w:szCs w:val="24"/>
          <w:lang w:eastAsia="zh-CN"/>
        </w:rPr>
        <w:t>款约定对发生的专项批准事项予以签认，并及时将发生事项的相关资料整理、归档，同时按第</w:t>
      </w:r>
      <w:r>
        <w:rPr>
          <w:rFonts w:ascii="仿宋" w:hAnsi="仿宋" w:eastAsia="仿宋" w:cs="仿宋"/>
          <w:sz w:val="24"/>
          <w:szCs w:val="24"/>
          <w:lang w:eastAsia="zh-CN"/>
        </w:rPr>
        <w:t>2</w:t>
      </w:r>
      <w:r>
        <w:rPr>
          <w:rFonts w:hint="eastAsia" w:ascii="仿宋" w:hAnsi="仿宋" w:eastAsia="仿宋" w:cs="仿宋"/>
          <w:sz w:val="24"/>
          <w:szCs w:val="24"/>
          <w:lang w:eastAsia="zh-CN"/>
        </w:rPr>
        <w:t>6</w:t>
      </w:r>
      <w:r>
        <w:rPr>
          <w:rFonts w:ascii="仿宋" w:hAnsi="仿宋" w:eastAsia="仿宋" w:cs="仿宋"/>
          <w:sz w:val="24"/>
          <w:szCs w:val="24"/>
          <w:lang w:eastAsia="zh-CN"/>
        </w:rPr>
        <w:t>.2</w:t>
      </w:r>
      <w:r>
        <w:rPr>
          <w:rFonts w:hint="eastAsia" w:ascii="仿宋" w:hAnsi="仿宋" w:eastAsia="仿宋" w:cs="仿宋"/>
          <w:sz w:val="24"/>
          <w:szCs w:val="24"/>
          <w:lang w:eastAsia="zh-CN"/>
        </w:rPr>
        <w:t>款、第</w:t>
      </w:r>
      <w:r>
        <w:rPr>
          <w:rFonts w:ascii="仿宋" w:hAnsi="仿宋" w:eastAsia="仿宋" w:cs="仿宋"/>
          <w:sz w:val="24"/>
          <w:szCs w:val="24"/>
          <w:lang w:eastAsia="zh-CN"/>
        </w:rPr>
        <w:t>2</w:t>
      </w:r>
      <w:r>
        <w:rPr>
          <w:rFonts w:hint="eastAsia" w:ascii="仿宋" w:hAnsi="仿宋" w:eastAsia="仿宋" w:cs="仿宋"/>
          <w:sz w:val="24"/>
          <w:szCs w:val="24"/>
          <w:lang w:eastAsia="zh-CN"/>
        </w:rPr>
        <w:t>7</w:t>
      </w:r>
      <w:r>
        <w:rPr>
          <w:rFonts w:ascii="仿宋" w:hAnsi="仿宋" w:eastAsia="仿宋" w:cs="仿宋"/>
          <w:sz w:val="24"/>
          <w:szCs w:val="24"/>
          <w:lang w:eastAsia="zh-CN"/>
        </w:rPr>
        <w:t>.2</w:t>
      </w:r>
      <w:r>
        <w:rPr>
          <w:rFonts w:hint="eastAsia" w:ascii="仿宋" w:hAnsi="仿宋" w:eastAsia="仿宋" w:cs="仿宋"/>
          <w:sz w:val="24"/>
          <w:szCs w:val="24"/>
          <w:lang w:eastAsia="zh-CN"/>
        </w:rPr>
        <w:t>款、第</w:t>
      </w:r>
      <w:r>
        <w:rPr>
          <w:rFonts w:ascii="仿宋" w:hAnsi="仿宋" w:eastAsia="仿宋" w:cs="仿宋"/>
          <w:sz w:val="24"/>
          <w:szCs w:val="24"/>
          <w:lang w:eastAsia="zh-CN"/>
        </w:rPr>
        <w:t>2</w:t>
      </w:r>
      <w:r>
        <w:rPr>
          <w:rFonts w:hint="eastAsia" w:ascii="仿宋" w:hAnsi="仿宋" w:eastAsia="仿宋" w:cs="仿宋"/>
          <w:sz w:val="24"/>
          <w:szCs w:val="24"/>
          <w:lang w:eastAsia="zh-CN"/>
        </w:rPr>
        <w:t>8</w:t>
      </w:r>
      <w:r>
        <w:rPr>
          <w:rFonts w:ascii="仿宋" w:hAnsi="仿宋" w:eastAsia="仿宋" w:cs="仿宋"/>
          <w:sz w:val="24"/>
          <w:szCs w:val="24"/>
          <w:lang w:eastAsia="zh-CN"/>
        </w:rPr>
        <w:t>.2</w:t>
      </w:r>
      <w:r>
        <w:rPr>
          <w:rFonts w:hint="eastAsia" w:ascii="仿宋" w:hAnsi="仿宋" w:eastAsia="仿宋" w:cs="仿宋"/>
          <w:sz w:val="24"/>
          <w:szCs w:val="24"/>
          <w:lang w:eastAsia="zh-CN"/>
        </w:rPr>
        <w:t>款约定职权将其中一份送设计顾问人、监理人和（或）造价咨询人留存。</w:t>
      </w:r>
    </w:p>
    <w:p w14:paraId="59C2A738">
      <w:pPr>
        <w:pStyle w:val="22"/>
        <w:tabs>
          <w:tab w:val="left" w:pos="2160"/>
        </w:tabs>
        <w:spacing w:line="400" w:lineRule="exact"/>
        <w:rPr>
          <w:rFonts w:ascii="仿宋" w:hAnsi="仿宋" w:eastAsia="仿宋"/>
          <w:b/>
          <w:bCs/>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7</w:t>
      </w:r>
      <w:r>
        <w:rPr>
          <w:rFonts w:ascii="仿宋" w:hAnsi="仿宋" w:eastAsia="仿宋" w:cs="仿宋"/>
          <w:b/>
          <w:bCs/>
          <w:sz w:val="24"/>
          <w:szCs w:val="24"/>
          <w:lang w:eastAsia="zh-CN"/>
        </w:rPr>
        <w:t xml:space="preserve">.2  </w:t>
      </w:r>
      <w:r>
        <w:rPr>
          <w:rFonts w:ascii="仿宋" w:hAnsi="仿宋" w:eastAsia="仿宋" w:cs="仿宋"/>
          <w:b/>
          <w:bCs/>
          <w:sz w:val="24"/>
          <w:szCs w:val="24"/>
          <w:u w:val="dotted"/>
          <w:lang w:eastAsia="zh-CN"/>
        </w:rPr>
        <w:t xml:space="preserve">                                                                                 </w:t>
      </w:r>
    </w:p>
    <w:p w14:paraId="2E8D7514">
      <w:pPr>
        <w:pStyle w:val="22"/>
        <w:widowControl w:val="0"/>
        <w:tabs>
          <w:tab w:val="left" w:pos="1202"/>
        </w:tabs>
        <w:adjustRightInd w:val="0"/>
        <w:snapToGrid w:val="0"/>
        <w:spacing w:line="400" w:lineRule="exact"/>
        <w:ind w:left="1850" w:leftChars="771"/>
        <w:jc w:val="both"/>
        <w:rPr>
          <w:rFonts w:ascii="仿宋" w:hAnsi="仿宋" w:eastAsia="仿宋"/>
          <w:sz w:val="24"/>
          <w:szCs w:val="24"/>
          <w:lang w:eastAsia="zh-CN"/>
        </w:rPr>
      </w:pPr>
      <w:r>
        <mc:AlternateContent>
          <mc:Choice Requires="wps">
            <w:drawing>
              <wp:anchor distT="0" distB="0" distL="114300" distR="114300" simplePos="0" relativeHeight="251696128" behindDoc="0" locked="0" layoutInCell="1" allowOverlap="1">
                <wp:simplePos x="0" y="0"/>
                <wp:positionH relativeFrom="column">
                  <wp:posOffset>-95250</wp:posOffset>
                </wp:positionH>
                <wp:positionV relativeFrom="paragraph">
                  <wp:posOffset>29845</wp:posOffset>
                </wp:positionV>
                <wp:extent cx="757555" cy="618490"/>
                <wp:effectExtent l="0" t="0" r="0" b="0"/>
                <wp:wrapNone/>
                <wp:docPr id="55" name="文本框 731"/>
                <wp:cNvGraphicFramePr/>
                <a:graphic xmlns:a="http://schemas.openxmlformats.org/drawingml/2006/main">
                  <a:graphicData uri="http://schemas.microsoft.com/office/word/2010/wordprocessingShape">
                    <wps:wsp>
                      <wps:cNvSpPr txBox="1"/>
                      <wps:spPr>
                        <a:xfrm>
                          <a:off x="0" y="0"/>
                          <a:ext cx="757555" cy="618490"/>
                        </a:xfrm>
                        <a:prstGeom prst="rect">
                          <a:avLst/>
                        </a:prstGeom>
                        <a:noFill/>
                        <a:ln w="12700">
                          <a:noFill/>
                        </a:ln>
                      </wps:spPr>
                      <wps:txbx>
                        <w:txbxContent>
                          <w:p w14:paraId="64776C4F">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专项批准事项签认人的要求</w:t>
                            </w:r>
                          </w:p>
                        </w:txbxContent>
                      </wps:txbx>
                      <wps:bodyPr rot="0" vert="horz" wrap="square" lIns="91440" tIns="45720" rIns="91440" bIns="45720" anchor="t" anchorCtr="0"/>
                    </wps:wsp>
                  </a:graphicData>
                </a:graphic>
              </wp:anchor>
            </w:drawing>
          </mc:Choice>
          <mc:Fallback>
            <w:pict>
              <v:shape id="文本框 731" o:spid="_x0000_s1026" o:spt="202" type="#_x0000_t202" style="position:absolute;left:0pt;margin-left:-7.5pt;margin-top:2.35pt;height:48.7pt;width:59.65pt;z-index:251696128;mso-width-relative:page;mso-height-relative:page;" filled="f" stroked="f" coordsize="21600,21600" o:gfxdata="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7zmr&#10;D9cAAAAJAQAADwAAAAAAAAABACAAAAAiAAAAZHJzL2Rvd25yZXYueG1sUEsBAhQAFAAAAAgAh07i&#10;QGOTlg/qAQAAvQMAAA4AAAAAAAAAAQAgAAAAJgEAAGRycy9lMm9Eb2MueG1sUEsFBgAAAAAGAAYA&#10;WQEAAIIFAAAAAA==&#10;">
                <v:fill on="f" focussize="0,0"/>
                <v:stroke on="f" weight="1pt"/>
                <v:imagedata o:title=""/>
                <o:lock v:ext="edit" aspectratio="f"/>
                <v:textbox>
                  <w:txbxContent>
                    <w:p w14:paraId="64776C4F">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专项批准事项签认人的要求</w:t>
                      </w:r>
                    </w:p>
                  </w:txbxContent>
                </v:textbox>
              </v:shape>
            </w:pict>
          </mc:Fallback>
        </mc:AlternateContent>
      </w:r>
      <w:r>
        <w:rPr>
          <w:rFonts w:hint="eastAsia" w:ascii="仿宋" w:hAnsi="仿宋" w:eastAsia="仿宋" w:cs="仿宋"/>
          <w:sz w:val="24"/>
          <w:szCs w:val="24"/>
          <w:lang w:eastAsia="zh-CN"/>
        </w:rPr>
        <w:t>合同双方当事人应按照第</w:t>
      </w:r>
      <w:r>
        <w:rPr>
          <w:rFonts w:ascii="仿宋" w:hAnsi="仿宋" w:eastAsia="仿宋" w:cs="仿宋"/>
          <w:sz w:val="24"/>
          <w:szCs w:val="24"/>
          <w:lang w:eastAsia="zh-CN"/>
        </w:rPr>
        <w:t>2</w:t>
      </w:r>
      <w:r>
        <w:rPr>
          <w:rFonts w:hint="eastAsia" w:ascii="仿宋" w:hAnsi="仿宋" w:eastAsia="仿宋" w:cs="仿宋"/>
          <w:sz w:val="24"/>
          <w:szCs w:val="24"/>
          <w:lang w:eastAsia="zh-CN"/>
        </w:rPr>
        <w:t>6</w:t>
      </w:r>
      <w:r>
        <w:rPr>
          <w:rFonts w:ascii="仿宋" w:hAnsi="仿宋" w:eastAsia="仿宋" w:cs="仿宋"/>
          <w:sz w:val="24"/>
          <w:szCs w:val="24"/>
          <w:lang w:eastAsia="zh-CN"/>
        </w:rPr>
        <w:t>.1</w:t>
      </w:r>
      <w:r>
        <w:rPr>
          <w:rFonts w:hint="eastAsia" w:ascii="仿宋" w:hAnsi="仿宋" w:eastAsia="仿宋" w:cs="仿宋"/>
          <w:sz w:val="24"/>
          <w:szCs w:val="24"/>
          <w:lang w:eastAsia="zh-CN"/>
        </w:rPr>
        <w:t>款、第</w:t>
      </w:r>
      <w:r>
        <w:rPr>
          <w:rFonts w:ascii="仿宋" w:hAnsi="仿宋" w:eastAsia="仿宋" w:cs="仿宋"/>
          <w:sz w:val="24"/>
          <w:szCs w:val="24"/>
          <w:lang w:eastAsia="zh-CN"/>
        </w:rPr>
        <w:t>2</w:t>
      </w:r>
      <w:r>
        <w:rPr>
          <w:rFonts w:hint="eastAsia" w:ascii="仿宋" w:hAnsi="仿宋" w:eastAsia="仿宋" w:cs="仿宋"/>
          <w:sz w:val="24"/>
          <w:szCs w:val="24"/>
          <w:lang w:eastAsia="zh-CN"/>
        </w:rPr>
        <w:t>7</w:t>
      </w:r>
      <w:r>
        <w:rPr>
          <w:rFonts w:ascii="仿宋" w:hAnsi="仿宋" w:eastAsia="仿宋" w:cs="仿宋"/>
          <w:sz w:val="24"/>
          <w:szCs w:val="24"/>
          <w:lang w:eastAsia="zh-CN"/>
        </w:rPr>
        <w:t>.1</w:t>
      </w:r>
      <w:r>
        <w:rPr>
          <w:rFonts w:hint="eastAsia" w:ascii="仿宋" w:hAnsi="仿宋" w:eastAsia="仿宋" w:cs="仿宋"/>
          <w:sz w:val="24"/>
          <w:szCs w:val="24"/>
          <w:lang w:eastAsia="zh-CN"/>
        </w:rPr>
        <w:t>款、第</w:t>
      </w:r>
      <w:r>
        <w:rPr>
          <w:rFonts w:ascii="仿宋" w:hAnsi="仿宋" w:eastAsia="仿宋" w:cs="仿宋"/>
          <w:sz w:val="24"/>
          <w:szCs w:val="24"/>
          <w:lang w:eastAsia="zh-CN"/>
        </w:rPr>
        <w:t>2</w:t>
      </w:r>
      <w:r>
        <w:rPr>
          <w:rFonts w:hint="eastAsia" w:ascii="仿宋" w:hAnsi="仿宋" w:eastAsia="仿宋" w:cs="仿宋"/>
          <w:sz w:val="24"/>
          <w:szCs w:val="24"/>
          <w:lang w:eastAsia="zh-CN"/>
        </w:rPr>
        <w:t>8</w:t>
      </w:r>
      <w:r>
        <w:rPr>
          <w:rFonts w:ascii="仿宋" w:hAnsi="仿宋" w:eastAsia="仿宋" w:cs="仿宋"/>
          <w:sz w:val="24"/>
          <w:szCs w:val="24"/>
          <w:lang w:eastAsia="zh-CN"/>
        </w:rPr>
        <w:t>.1</w:t>
      </w:r>
      <w:r>
        <w:rPr>
          <w:rFonts w:hint="eastAsia" w:ascii="仿宋" w:hAnsi="仿宋" w:eastAsia="仿宋" w:cs="仿宋"/>
          <w:sz w:val="24"/>
          <w:szCs w:val="24"/>
          <w:lang w:eastAsia="zh-CN"/>
        </w:rPr>
        <w:t>款和第</w:t>
      </w:r>
      <w:r>
        <w:rPr>
          <w:rFonts w:ascii="仿宋" w:hAnsi="仿宋" w:eastAsia="仿宋" w:cs="仿宋"/>
          <w:sz w:val="24"/>
          <w:szCs w:val="24"/>
          <w:lang w:eastAsia="zh-CN"/>
        </w:rPr>
        <w:t>2</w:t>
      </w:r>
      <w:r>
        <w:rPr>
          <w:rFonts w:hint="eastAsia" w:ascii="仿宋" w:hAnsi="仿宋" w:eastAsia="仿宋" w:cs="仿宋"/>
          <w:sz w:val="24"/>
          <w:szCs w:val="24"/>
          <w:lang w:eastAsia="zh-CN"/>
        </w:rPr>
        <w:t>9</w:t>
      </w:r>
      <w:r>
        <w:rPr>
          <w:rFonts w:ascii="仿宋" w:hAnsi="仿宋" w:eastAsia="仿宋" w:cs="仿宋"/>
          <w:sz w:val="24"/>
          <w:szCs w:val="24"/>
          <w:lang w:eastAsia="zh-CN"/>
        </w:rPr>
        <w:t>.1</w:t>
      </w:r>
      <w:r>
        <w:rPr>
          <w:rFonts w:hint="eastAsia" w:ascii="仿宋" w:hAnsi="仿宋" w:eastAsia="仿宋" w:cs="仿宋"/>
          <w:sz w:val="24"/>
          <w:szCs w:val="24"/>
          <w:lang w:eastAsia="zh-CN"/>
        </w:rPr>
        <w:t>款约定，分别在专用条款中写明负责专项批准事项签认的设计顾问人代表、监理人代表、造价咨询人代表和承包人代表具体人选，授予其负责专项批准事项签认的权力，并提供该人选的印章、签字式样，作为本合同的附件。当专项批准事项发生时，该人选应在其职权范围内，按照本合同约定的程序、时限、生效条件等要求，对发生事项的内容、数量和单价等办理签认手续，并加盖所在单位的法人公章或其授权的施工现场管理机构章。</w:t>
      </w:r>
    </w:p>
    <w:p w14:paraId="7D8EC4E2">
      <w:pPr>
        <w:pStyle w:val="22"/>
        <w:adjustRightInd w:val="0"/>
        <w:snapToGrid w:val="0"/>
        <w:spacing w:line="400" w:lineRule="exact"/>
        <w:rPr>
          <w:rFonts w:ascii="仿宋" w:hAnsi="仿宋" w:eastAsia="仿宋" w:cs="仿宋"/>
          <w:b/>
          <w:bCs/>
          <w:sz w:val="24"/>
          <w:szCs w:val="24"/>
          <w:u w:val="single"/>
          <w:lang w:eastAsia="zh-CN"/>
        </w:rPr>
      </w:pPr>
      <w:r>
        <w:rPr>
          <w:rFonts w:ascii="仿宋" w:hAnsi="仿宋" w:eastAsia="仿宋" w:cs="仿宋"/>
          <w:b/>
          <w:bCs/>
          <w:sz w:val="24"/>
          <w:szCs w:val="24"/>
          <w:u w:val="single"/>
          <w:lang w:eastAsia="zh-CN"/>
        </w:rPr>
        <w:t xml:space="preserve">                                                      </w:t>
      </w:r>
      <w:r>
        <w:rPr>
          <w:rFonts w:hint="eastAsia" w:ascii="仿宋" w:hAnsi="仿宋" w:eastAsia="仿宋" w:cs="仿宋"/>
          <w:b/>
          <w:bCs/>
          <w:sz w:val="24"/>
          <w:szCs w:val="24"/>
          <w:u w:val="single"/>
          <w:lang w:eastAsia="zh-CN"/>
        </w:rPr>
        <w:t xml:space="preserve">   </w:t>
      </w:r>
      <w:r>
        <w:rPr>
          <w:rFonts w:ascii="仿宋" w:hAnsi="仿宋" w:eastAsia="仿宋" w:cs="仿宋"/>
          <w:b/>
          <w:bCs/>
          <w:sz w:val="24"/>
          <w:szCs w:val="24"/>
          <w:u w:val="single"/>
          <w:lang w:eastAsia="zh-CN"/>
        </w:rPr>
        <w:t xml:space="preserve">                          </w:t>
      </w:r>
    </w:p>
    <w:p w14:paraId="31E21318">
      <w:pPr>
        <w:pStyle w:val="4"/>
        <w:tabs>
          <w:tab w:val="left" w:pos="420"/>
        </w:tabs>
        <w:spacing w:before="0" w:after="0" w:line="400" w:lineRule="exact"/>
        <w:rPr>
          <w:rFonts w:ascii="仿宋" w:hAnsi="仿宋" w:eastAsia="仿宋" w:cs="仿宋"/>
          <w:bCs w:val="0"/>
          <w:sz w:val="24"/>
          <w:szCs w:val="24"/>
          <w:lang w:eastAsia="zh-CN"/>
        </w:rPr>
      </w:pPr>
      <w:bookmarkStart w:id="187" w:name="_Toc194073123"/>
      <w:bookmarkStart w:id="188" w:name="_Toc6389"/>
      <w:bookmarkStart w:id="189" w:name="_Toc13201"/>
      <w:bookmarkStart w:id="190" w:name="_Toc29058"/>
      <w:r>
        <w:rPr>
          <w:rFonts w:ascii="仿宋" w:hAnsi="仿宋" w:eastAsia="仿宋" w:cs="仿宋"/>
          <w:bCs w:val="0"/>
          <w:sz w:val="24"/>
          <w:szCs w:val="24"/>
          <w:lang w:eastAsia="zh-CN"/>
        </w:rPr>
        <w:t>1</w:t>
      </w:r>
      <w:r>
        <w:rPr>
          <w:rFonts w:hint="eastAsia" w:ascii="仿宋" w:hAnsi="仿宋" w:eastAsia="仿宋" w:cs="仿宋"/>
          <w:bCs w:val="0"/>
          <w:sz w:val="24"/>
          <w:szCs w:val="24"/>
          <w:lang w:eastAsia="zh-CN"/>
        </w:rPr>
        <w:t>8</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专利技术和知识产权</w:t>
      </w:r>
      <w:bookmarkEnd w:id="187"/>
      <w:bookmarkEnd w:id="188"/>
      <w:bookmarkEnd w:id="189"/>
      <w:bookmarkEnd w:id="190"/>
    </w:p>
    <w:p w14:paraId="06F1BC20">
      <w:pPr>
        <w:pStyle w:val="22"/>
        <w:adjustRightInd w:val="0"/>
        <w:snapToGrid w:val="0"/>
        <w:spacing w:line="400" w:lineRule="exact"/>
        <w:rPr>
          <w:rFonts w:ascii="仿宋" w:hAnsi="仿宋" w:eastAsia="仿宋"/>
          <w:b/>
          <w:bCs/>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8</w:t>
      </w:r>
      <w:r>
        <w:rPr>
          <w:rFonts w:ascii="仿宋" w:hAnsi="仿宋" w:eastAsia="仿宋" w:cs="仿宋"/>
          <w:b/>
          <w:bCs/>
          <w:sz w:val="24"/>
          <w:szCs w:val="24"/>
          <w:lang w:eastAsia="zh-CN"/>
        </w:rPr>
        <w:t>.1</w:t>
      </w:r>
    </w:p>
    <w:p w14:paraId="52C57D5A">
      <w:pPr>
        <w:pStyle w:val="22"/>
        <w:widowControl w:val="0"/>
        <w:tabs>
          <w:tab w:val="left" w:pos="1202"/>
        </w:tabs>
        <w:adjustRightInd w:val="0"/>
        <w:snapToGrid w:val="0"/>
        <w:spacing w:line="400" w:lineRule="exact"/>
        <w:ind w:left="1850" w:leftChars="771"/>
        <w:jc w:val="both"/>
        <w:rPr>
          <w:rFonts w:ascii="仿宋" w:hAnsi="仿宋" w:eastAsia="仿宋"/>
          <w:sz w:val="24"/>
          <w:szCs w:val="24"/>
          <w:lang w:eastAsia="zh-CN"/>
        </w:rPr>
      </w:pPr>
      <w:r>
        <mc:AlternateContent>
          <mc:Choice Requires="wps">
            <w:drawing>
              <wp:anchor distT="0" distB="0" distL="114300" distR="114300" simplePos="0" relativeHeight="251697152" behindDoc="0" locked="0" layoutInCell="1" allowOverlap="1">
                <wp:simplePos x="0" y="0"/>
                <wp:positionH relativeFrom="column">
                  <wp:posOffset>-114300</wp:posOffset>
                </wp:positionH>
                <wp:positionV relativeFrom="paragraph">
                  <wp:posOffset>22860</wp:posOffset>
                </wp:positionV>
                <wp:extent cx="785495" cy="525780"/>
                <wp:effectExtent l="0" t="0" r="0" b="0"/>
                <wp:wrapNone/>
                <wp:docPr id="56" name="文本框 732"/>
                <wp:cNvGraphicFramePr/>
                <a:graphic xmlns:a="http://schemas.openxmlformats.org/drawingml/2006/main">
                  <a:graphicData uri="http://schemas.microsoft.com/office/word/2010/wordprocessingShape">
                    <wps:wsp>
                      <wps:cNvSpPr txBox="1"/>
                      <wps:spPr>
                        <a:xfrm>
                          <a:off x="0" y="0"/>
                          <a:ext cx="785495" cy="525780"/>
                        </a:xfrm>
                        <a:prstGeom prst="rect">
                          <a:avLst/>
                        </a:prstGeom>
                        <a:noFill/>
                        <a:ln w="12700">
                          <a:noFill/>
                        </a:ln>
                      </wps:spPr>
                      <wps:txbx>
                        <w:txbxContent>
                          <w:p w14:paraId="085B587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txbxContent>
                      </wps:txbx>
                      <wps:bodyPr rot="0" vert="horz" wrap="square" lIns="91440" tIns="45720" rIns="91440" bIns="45720" anchor="t" anchorCtr="0"/>
                    </wps:wsp>
                  </a:graphicData>
                </a:graphic>
              </wp:anchor>
            </w:drawing>
          </mc:Choice>
          <mc:Fallback>
            <w:pict>
              <v:shape id="文本框 732" o:spid="_x0000_s1026" o:spt="202" type="#_x0000_t202" style="position:absolute;left:0pt;margin-left:-9pt;margin-top:1.8pt;height:41.4pt;width:61.85pt;z-index:251697152;mso-width-relative:page;mso-height-relative:page;" filled="f" stroked="f" coordsize="21600,21600" o:gfxdata="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LP+&#10;xtcAAAAIAQAADwAAAAAAAAABACAAAAAiAAAAZHJzL2Rvd25yZXYueG1sUEsBAhQAFAAAAAgAh07i&#10;QCXMKBLqAQAAvQMAAA4AAAAAAAAAAQAgAAAAJgEAAGRycy9lMm9Eb2MueG1sUEsFBgAAAAAGAAYA&#10;WQEAAIIFAAAAAA==&#10;">
                <v:fill on="f" focussize="0,0"/>
                <v:stroke on="f" weight="1pt"/>
                <v:imagedata o:title=""/>
                <o:lock v:ext="edit" aspectratio="f"/>
                <v:textbox>
                  <w:txbxContent>
                    <w:p w14:paraId="085B587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txbxContent>
                </v:textbox>
              </v:shape>
            </w:pict>
          </mc:Fallback>
        </mc:AlternateContent>
      </w:r>
      <w:r>
        <w:rPr>
          <w:rFonts w:hint="eastAsia" w:ascii="仿宋" w:hAnsi="仿宋" w:eastAsia="仿宋" w:cs="仿宋"/>
          <w:sz w:val="24"/>
          <w:szCs w:val="24"/>
          <w:lang w:eastAsia="zh-CN"/>
        </w:rPr>
        <w:t>承包人在勘察、设计、施工并保修合同工程过程中，如因采用勘察设计方法、施工工艺或使用施工设备及自身供应的工程材料和工程设备，而发生侵犯他人设计图纸、商标、图案、工艺、工程材料、工程设备专利权或知识产权的行为，并引起索赔或诉讼，则一切与此有关的损失、赔偿、诉讼等责任，均由承包人承担。但由于遵守发包人提供的项目基础资料、标准与规范、技术说明和发包人要求而造成的侵权，则属例外。</w:t>
      </w:r>
    </w:p>
    <w:p w14:paraId="2D537020">
      <w:pPr>
        <w:pStyle w:val="22"/>
        <w:adjustRightInd w:val="0"/>
        <w:snapToGrid w:val="0"/>
        <w:spacing w:line="400" w:lineRule="exact"/>
        <w:rPr>
          <w:rFonts w:ascii="仿宋" w:hAnsi="仿宋" w:eastAsia="仿宋"/>
          <w:b/>
          <w:bCs/>
          <w:sz w:val="24"/>
          <w:szCs w:val="24"/>
          <w:lang w:eastAsia="zh-CN"/>
        </w:rPr>
      </w:pPr>
      <w:bookmarkStart w:id="191" w:name="_Toc8205"/>
      <w:r>
        <w:rPr>
          <w:rFonts w:ascii="仿宋" w:hAnsi="仿宋" w:eastAsia="仿宋" w:cs="仿宋"/>
          <w:b/>
          <w:bCs/>
          <w:sz w:val="24"/>
          <w:szCs w:val="24"/>
          <w:lang w:eastAsia="zh-CN"/>
        </w:rPr>
        <w:t>1</w:t>
      </w:r>
      <w:r>
        <w:rPr>
          <w:rFonts w:hint="eastAsia" w:ascii="仿宋" w:hAnsi="仿宋" w:eastAsia="仿宋" w:cs="仿宋"/>
          <w:b/>
          <w:bCs/>
          <w:sz w:val="24"/>
          <w:szCs w:val="24"/>
          <w:lang w:eastAsia="zh-CN"/>
        </w:rPr>
        <w:t>8</w:t>
      </w:r>
      <w:r>
        <w:rPr>
          <w:rFonts w:ascii="仿宋" w:hAnsi="仿宋" w:eastAsia="仿宋" w:cs="仿宋"/>
          <w:b/>
          <w:bCs/>
          <w:sz w:val="24"/>
          <w:szCs w:val="24"/>
          <w:lang w:eastAsia="zh-CN"/>
        </w:rPr>
        <w:t>.2</w:t>
      </w:r>
      <w:bookmarkEnd w:id="191"/>
      <w:r>
        <w:rPr>
          <w:rFonts w:ascii="仿宋" w:hAnsi="仿宋" w:eastAsia="仿宋" w:cs="仿宋"/>
          <w:b/>
          <w:bCs/>
          <w:sz w:val="24"/>
          <w:szCs w:val="24"/>
          <w:u w:val="dotted"/>
          <w:lang w:eastAsia="zh-CN"/>
        </w:rPr>
        <w:t xml:space="preserve">                                                                        </w:t>
      </w:r>
      <w:r>
        <w:rPr>
          <w:rFonts w:hint="eastAsia" w:ascii="仿宋" w:hAnsi="仿宋" w:eastAsia="仿宋" w:cs="仿宋"/>
          <w:b/>
          <w:bCs/>
          <w:sz w:val="24"/>
          <w:szCs w:val="24"/>
          <w:u w:val="dotted"/>
          <w:lang w:eastAsia="zh-CN"/>
        </w:rPr>
        <w:t xml:space="preserve">    </w:t>
      </w:r>
      <w:r>
        <w:rPr>
          <w:rFonts w:ascii="仿宋" w:hAnsi="仿宋" w:eastAsia="仿宋" w:cs="仿宋"/>
          <w:b/>
          <w:bCs/>
          <w:sz w:val="24"/>
          <w:szCs w:val="24"/>
          <w:u w:val="dotted"/>
          <w:lang w:eastAsia="zh-CN"/>
        </w:rPr>
        <w:t xml:space="preserve">     </w:t>
      </w:r>
    </w:p>
    <w:p w14:paraId="60369B48">
      <w:pPr>
        <w:pStyle w:val="22"/>
        <w:widowControl w:val="0"/>
        <w:tabs>
          <w:tab w:val="left" w:pos="1202"/>
        </w:tabs>
        <w:adjustRightInd w:val="0"/>
        <w:snapToGrid w:val="0"/>
        <w:spacing w:line="400" w:lineRule="exact"/>
        <w:ind w:left="1850" w:leftChars="771"/>
        <w:jc w:val="both"/>
        <w:rPr>
          <w:rFonts w:ascii="仿宋" w:hAnsi="仿宋" w:eastAsia="仿宋"/>
          <w:sz w:val="24"/>
          <w:szCs w:val="24"/>
          <w:lang w:eastAsia="zh-CN"/>
        </w:rPr>
      </w:pPr>
      <w:r>
        <mc:AlternateContent>
          <mc:Choice Requires="wps">
            <w:drawing>
              <wp:anchor distT="0" distB="0" distL="114300" distR="114300" simplePos="0" relativeHeight="251698176" behindDoc="0" locked="0" layoutInCell="1" allowOverlap="1">
                <wp:simplePos x="0" y="0"/>
                <wp:positionH relativeFrom="column">
                  <wp:posOffset>-114300</wp:posOffset>
                </wp:positionH>
                <wp:positionV relativeFrom="paragraph">
                  <wp:posOffset>22860</wp:posOffset>
                </wp:positionV>
                <wp:extent cx="765810" cy="449580"/>
                <wp:effectExtent l="0" t="0" r="0" b="0"/>
                <wp:wrapNone/>
                <wp:docPr id="57" name="文本框 733"/>
                <wp:cNvGraphicFramePr/>
                <a:graphic xmlns:a="http://schemas.openxmlformats.org/drawingml/2006/main">
                  <a:graphicData uri="http://schemas.microsoft.com/office/word/2010/wordprocessingShape">
                    <wps:wsp>
                      <wps:cNvSpPr txBox="1"/>
                      <wps:spPr>
                        <a:xfrm>
                          <a:off x="0" y="0"/>
                          <a:ext cx="765810" cy="449580"/>
                        </a:xfrm>
                        <a:prstGeom prst="rect">
                          <a:avLst/>
                        </a:prstGeom>
                        <a:noFill/>
                        <a:ln w="12700">
                          <a:noFill/>
                        </a:ln>
                      </wps:spPr>
                      <wps:txbx>
                        <w:txbxContent>
                          <w:p w14:paraId="7B69821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txbxContent>
                      </wps:txbx>
                      <wps:bodyPr rot="0" vert="horz" wrap="square" lIns="91440" tIns="45720" rIns="91440" bIns="45720" anchor="t" anchorCtr="0"/>
                    </wps:wsp>
                  </a:graphicData>
                </a:graphic>
              </wp:anchor>
            </w:drawing>
          </mc:Choice>
          <mc:Fallback>
            <w:pict>
              <v:shape id="文本框 733" o:spid="_x0000_s1026" o:spt="202" type="#_x0000_t202" style="position:absolute;left:0pt;margin-left:-9pt;margin-top:1.8pt;height:35.4pt;width:60.3pt;z-index:251698176;mso-width-relative:page;mso-height-relative:page;" filled="f" stroked="f" coordsize="21600,21600" o:gfxdata="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SKKg&#10;KtcAAAAIAQAADwAAAAAAAAABACAAAAAiAAAAZHJzL2Rvd25yZXYueG1sUEsBAhQAFAAAAAgAh07i&#10;QKrQu7PqAQAAvQMAAA4AAAAAAAAAAQAgAAAAJgEAAGRycy9lMm9Eb2MueG1sUEsFBgAAAAAGAAYA&#10;WQEAAIIFAAAAAA==&#10;">
                <v:fill on="f" focussize="0,0"/>
                <v:stroke on="f" weight="1pt"/>
                <v:imagedata o:title=""/>
                <o:lock v:ext="edit" aspectratio="f"/>
                <v:textbox>
                  <w:txbxContent>
                    <w:p w14:paraId="7B69821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txbxContent>
                </v:textbox>
              </v:shape>
            </w:pict>
          </mc:Fallback>
        </mc:AlternateContent>
      </w:r>
      <w:r>
        <w:rPr>
          <w:rFonts w:hint="eastAsia" w:ascii="仿宋" w:hAnsi="仿宋" w:eastAsia="仿宋" w:cs="仿宋"/>
          <w:sz w:val="24"/>
          <w:szCs w:val="24"/>
          <w:lang w:eastAsia="zh-CN"/>
        </w:rPr>
        <w:t>承包人在投标或报价文件中采用专利技术的，其发生的费用已包含在投标报价内。承包人的技术秘密和第99条约定的保密信息、资料等，发包人应严格按照第99条约定不得为合同以外的目的泄露给第三方。</w:t>
      </w:r>
    </w:p>
    <w:p w14:paraId="1DD04BF7">
      <w:pPr>
        <w:pStyle w:val="22"/>
        <w:adjustRightInd w:val="0"/>
        <w:snapToGrid w:val="0"/>
        <w:spacing w:line="400" w:lineRule="exact"/>
        <w:rPr>
          <w:rFonts w:ascii="仿宋" w:hAnsi="仿宋" w:eastAsia="仿宋"/>
          <w:sz w:val="24"/>
          <w:szCs w:val="24"/>
          <w:lang w:eastAsia="zh-CN"/>
        </w:rPr>
      </w:pPr>
      <w:bookmarkStart w:id="192" w:name="_Toc29104"/>
      <w:r>
        <w:rPr>
          <w:b/>
          <w:bCs/>
          <w:sz w:val="24"/>
          <w:szCs w:val="24"/>
        </w:rPr>
        <mc:AlternateContent>
          <mc:Choice Requires="wps">
            <w:drawing>
              <wp:anchor distT="0" distB="0" distL="114300" distR="114300" simplePos="0" relativeHeight="251699200" behindDoc="0" locked="0" layoutInCell="1" allowOverlap="1">
                <wp:simplePos x="0" y="0"/>
                <wp:positionH relativeFrom="column">
                  <wp:posOffset>-114300</wp:posOffset>
                </wp:positionH>
                <wp:positionV relativeFrom="paragraph">
                  <wp:posOffset>241300</wp:posOffset>
                </wp:positionV>
                <wp:extent cx="805815" cy="456565"/>
                <wp:effectExtent l="0" t="0" r="0" b="0"/>
                <wp:wrapNone/>
                <wp:docPr id="58" name="文本框 734"/>
                <wp:cNvGraphicFramePr/>
                <a:graphic xmlns:a="http://schemas.openxmlformats.org/drawingml/2006/main">
                  <a:graphicData uri="http://schemas.microsoft.com/office/word/2010/wordprocessingShape">
                    <wps:wsp>
                      <wps:cNvSpPr txBox="1"/>
                      <wps:spPr>
                        <a:xfrm>
                          <a:off x="0" y="0"/>
                          <a:ext cx="805815" cy="456565"/>
                        </a:xfrm>
                        <a:prstGeom prst="rect">
                          <a:avLst/>
                        </a:prstGeom>
                        <a:noFill/>
                        <a:ln w="12700">
                          <a:noFill/>
                        </a:ln>
                      </wps:spPr>
                      <wps:txbx>
                        <w:txbxContent>
                          <w:p w14:paraId="1D42E29E">
                            <w:pPr>
                              <w:rPr>
                                <w:rFonts w:ascii="楷体_GB2312" w:hAnsi="宋体" w:eastAsia="楷体_GB2312"/>
                                <w:b/>
                                <w:bCs/>
                                <w:color w:val="000000"/>
                                <w:sz w:val="18"/>
                                <w:szCs w:val="18"/>
                              </w:rPr>
                            </w:pPr>
                            <w:bookmarkStart w:id="1185" w:name="OLE_LINK4"/>
                            <w:bookmarkStart w:id="1186" w:name="OLE_LINK3"/>
                            <w:r>
                              <w:rPr>
                                <w:rFonts w:hint="eastAsia" w:ascii="楷体_GB2312" w:hAnsi="宋体" w:eastAsia="楷体_GB2312" w:cs="楷体_GB2312"/>
                                <w:b/>
                                <w:bCs/>
                                <w:color w:val="000000"/>
                                <w:sz w:val="18"/>
                                <w:szCs w:val="18"/>
                              </w:rPr>
                              <w:t>版权和知识产权</w:t>
                            </w:r>
                            <w:bookmarkEnd w:id="1185"/>
                            <w:bookmarkEnd w:id="1186"/>
                          </w:p>
                        </w:txbxContent>
                      </wps:txbx>
                      <wps:bodyPr rot="0" vert="horz" wrap="square" lIns="91440" tIns="45720" rIns="91440" bIns="45720" anchor="t" anchorCtr="0"/>
                    </wps:wsp>
                  </a:graphicData>
                </a:graphic>
              </wp:anchor>
            </w:drawing>
          </mc:Choice>
          <mc:Fallback>
            <w:pict>
              <v:shape id="文本框 734" o:spid="_x0000_s1026" o:spt="202" type="#_x0000_t202" style="position:absolute;left:0pt;margin-left:-9pt;margin-top:19pt;height:35.95pt;width:63.45pt;z-index:251699200;mso-width-relative:page;mso-height-relative:page;" filled="f" stroked="f" coordsize="21600,21600" o:gfxdata="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Bodb&#10;z9cAAAAKAQAADwAAAAAAAAABACAAAAAiAAAAZHJzL2Rvd25yZXYueG1sUEsBAhQAFAAAAAgAh07i&#10;QACpmbvqAQAAvQMAAA4AAAAAAAAAAQAgAAAAJgEAAGRycy9lMm9Eb2MueG1sUEsFBgAAAAAGAAYA&#10;WQEAAIIFAAAAAA==&#10;">
                <v:fill on="f" focussize="0,0"/>
                <v:stroke on="f" weight="1pt"/>
                <v:imagedata o:title=""/>
                <o:lock v:ext="edit" aspectratio="f"/>
                <v:textbox>
                  <w:txbxContent>
                    <w:p w14:paraId="1D42E29E">
                      <w:pPr>
                        <w:rPr>
                          <w:rFonts w:ascii="楷体_GB2312" w:hAnsi="宋体" w:eastAsia="楷体_GB2312"/>
                          <w:b/>
                          <w:bCs/>
                          <w:color w:val="000000"/>
                          <w:sz w:val="18"/>
                          <w:szCs w:val="18"/>
                        </w:rPr>
                      </w:pPr>
                      <w:bookmarkStart w:id="1185" w:name="OLE_LINK4"/>
                      <w:bookmarkStart w:id="1186" w:name="OLE_LINK3"/>
                      <w:r>
                        <w:rPr>
                          <w:rFonts w:hint="eastAsia" w:ascii="楷体_GB2312" w:hAnsi="宋体" w:eastAsia="楷体_GB2312" w:cs="楷体_GB2312"/>
                          <w:b/>
                          <w:bCs/>
                          <w:color w:val="000000"/>
                          <w:sz w:val="18"/>
                          <w:szCs w:val="18"/>
                        </w:rPr>
                        <w:t>版权和知识产权</w:t>
                      </w:r>
                      <w:bookmarkEnd w:id="1185"/>
                      <w:bookmarkEnd w:id="1186"/>
                    </w:p>
                  </w:txbxContent>
                </v:textbox>
              </v:shape>
            </w:pict>
          </mc:Fallback>
        </mc:AlternateContent>
      </w:r>
      <w:r>
        <w:rPr>
          <w:rFonts w:ascii="仿宋" w:hAnsi="仿宋" w:eastAsia="仿宋" w:cs="仿宋"/>
          <w:b/>
          <w:bCs/>
          <w:sz w:val="24"/>
          <w:szCs w:val="24"/>
          <w:lang w:eastAsia="zh-CN"/>
        </w:rPr>
        <w:t>1</w:t>
      </w:r>
      <w:r>
        <w:rPr>
          <w:rFonts w:hint="eastAsia" w:ascii="仿宋" w:hAnsi="仿宋" w:eastAsia="仿宋" w:cs="仿宋"/>
          <w:b/>
          <w:bCs/>
          <w:sz w:val="24"/>
          <w:szCs w:val="24"/>
          <w:lang w:eastAsia="zh-CN"/>
        </w:rPr>
        <w:t>8</w:t>
      </w:r>
      <w:r>
        <w:rPr>
          <w:rFonts w:ascii="仿宋" w:hAnsi="仿宋" w:eastAsia="仿宋" w:cs="仿宋"/>
          <w:b/>
          <w:bCs/>
          <w:sz w:val="24"/>
          <w:szCs w:val="24"/>
          <w:lang w:eastAsia="zh-CN"/>
        </w:rPr>
        <w:t>.3</w:t>
      </w:r>
      <w:bookmarkEnd w:id="192"/>
      <w:r>
        <w:rPr>
          <w:rFonts w:ascii="仿宋" w:hAnsi="仿宋" w:eastAsia="仿宋" w:cs="仿宋"/>
          <w:sz w:val="24"/>
          <w:szCs w:val="24"/>
          <w:lang w:eastAsia="zh-CN"/>
        </w:rPr>
        <w:t xml:space="preserve">  </w:t>
      </w:r>
      <w:r>
        <w:rPr>
          <w:rFonts w:ascii="仿宋" w:hAnsi="仿宋" w:eastAsia="仿宋" w:cs="仿宋"/>
          <w:sz w:val="24"/>
          <w:szCs w:val="24"/>
          <w:u w:val="dotted"/>
          <w:lang w:eastAsia="zh-CN"/>
        </w:rPr>
        <w:t xml:space="preserve">                                                                                </w:t>
      </w:r>
    </w:p>
    <w:p w14:paraId="187D852A">
      <w:pPr>
        <w:pStyle w:val="22"/>
        <w:widowControl w:val="0"/>
        <w:tabs>
          <w:tab w:val="left" w:pos="1202"/>
        </w:tabs>
        <w:adjustRightInd w:val="0"/>
        <w:snapToGri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18.3.1 除合同专用条款另有约定外，由发包人（或以发包人名义）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65ABEB37">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 xml:space="preserve">18.3.2 </w:t>
      </w:r>
      <w:r>
        <w:rPr>
          <w:rFonts w:hint="eastAsia" w:ascii="仿宋" w:hAnsi="仿宋" w:eastAsia="仿宋" w:cs="仿宋"/>
          <w:sz w:val="24"/>
          <w:szCs w:val="24"/>
          <w:lang w:eastAsia="zh-CN"/>
        </w:rPr>
        <w:tab/>
      </w:r>
      <w:r>
        <w:rPr>
          <w:rFonts w:hint="eastAsia" w:ascii="仿宋" w:hAnsi="仿宋" w:eastAsia="仿宋" w:cs="仿宋"/>
          <w:sz w:val="24"/>
          <w:szCs w:val="24"/>
          <w:lang w:eastAsia="zh-CN"/>
        </w:rPr>
        <w:t>除合同专用条款另有约定外，由承包人（或以承包人名义）为实施工程所编制的文件、承包人完成的设计工作成果和建造完成的建筑物，就合同当事人之间而言，其著作权和其他知识产权应归承包人享有。发包人可因实施工程的运行、调试、维修、改造等目的而复制、使用此类文件，但不能用于与合同无关的其他事项。未经承包人书面同意，发包人不得为了合同以外的目的而复制、使用上述文件或将之提供给任何第三方。</w:t>
      </w:r>
    </w:p>
    <w:p w14:paraId="5D0D0AA8">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18.3.3 合同当事人保证在履行合同过程中不侵犯对方及第三方的知识产权。承包人在使用工程材料、工程设备、施工设备或采用施工工艺时，因侵犯他人的专利权或其他知识产权所引起的责任，由承包人承担；因发包人提供的工程材料、工程设备、施工设备或施工工艺导致侵权的，由发包人承担责任。</w:t>
      </w:r>
    </w:p>
    <w:p w14:paraId="044C4553">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18.3.4合同双方当事人均有权在不损害对方利益和保密约定的前提下，在自己宣传用的印刷品或其他出版物上，或申报奖项时等情形下公布有关项目的文字和图片材料。</w:t>
      </w:r>
    </w:p>
    <w:p w14:paraId="0CDF4AD4">
      <w:pPr>
        <w:pStyle w:val="22"/>
        <w:adjustRightInd w:val="0"/>
        <w:snapToGrid w:val="0"/>
        <w:spacing w:line="400" w:lineRule="exact"/>
        <w:rPr>
          <w:rFonts w:ascii="仿宋" w:hAnsi="仿宋" w:eastAsia="仿宋" w:cs="仿宋"/>
          <w:b/>
          <w:bCs/>
          <w:sz w:val="24"/>
          <w:szCs w:val="24"/>
          <w:u w:val="single"/>
          <w:lang w:eastAsia="zh-CN"/>
        </w:rPr>
      </w:pPr>
      <w:r>
        <w:rPr>
          <w:rFonts w:ascii="仿宋" w:hAnsi="仿宋" w:eastAsia="仿宋"/>
          <w:sz w:val="24"/>
          <w:szCs w:val="24"/>
          <w:u w:val="single"/>
          <w:lang w:eastAsia="zh-CN"/>
        </w:rPr>
        <w:t></w:t>
      </w:r>
    </w:p>
    <w:p w14:paraId="64E66329">
      <w:pPr>
        <w:pStyle w:val="4"/>
        <w:tabs>
          <w:tab w:val="left" w:pos="420"/>
        </w:tabs>
        <w:spacing w:before="0" w:after="0" w:line="400" w:lineRule="exact"/>
        <w:rPr>
          <w:rFonts w:ascii="仿宋" w:hAnsi="仿宋" w:eastAsia="仿宋" w:cs="仿宋"/>
          <w:bCs w:val="0"/>
          <w:sz w:val="24"/>
          <w:szCs w:val="24"/>
          <w:lang w:eastAsia="zh-CN"/>
        </w:rPr>
      </w:pPr>
      <w:bookmarkStart w:id="193" w:name="_Toc11349"/>
      <w:bookmarkStart w:id="194" w:name="_Toc194073124"/>
      <w:bookmarkStart w:id="195" w:name="_Toc8247"/>
      <w:bookmarkStart w:id="196" w:name="_Toc25220"/>
      <w:r>
        <w:rPr>
          <w:rFonts w:ascii="仿宋" w:hAnsi="仿宋" w:eastAsia="仿宋" w:cs="仿宋"/>
          <w:bCs w:val="0"/>
          <w:sz w:val="24"/>
          <w:szCs w:val="24"/>
          <w:lang w:eastAsia="zh-CN"/>
        </w:rPr>
        <w:t>1</w:t>
      </w:r>
      <w:r>
        <w:rPr>
          <w:rFonts w:hint="eastAsia" w:ascii="仿宋" w:hAnsi="仿宋" w:eastAsia="仿宋" w:cs="仿宋"/>
          <w:bCs w:val="0"/>
          <w:sz w:val="24"/>
          <w:szCs w:val="24"/>
          <w:lang w:eastAsia="zh-CN"/>
        </w:rPr>
        <w:t>9</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 xml:space="preserve"> 联合体</w:t>
      </w:r>
      <w:bookmarkEnd w:id="193"/>
      <w:bookmarkEnd w:id="194"/>
      <w:bookmarkEnd w:id="195"/>
      <w:bookmarkEnd w:id="196"/>
    </w:p>
    <w:p w14:paraId="3527E797">
      <w:pPr>
        <w:pStyle w:val="22"/>
        <w:adjustRightInd w:val="0"/>
        <w:snapToGrid w:val="0"/>
        <w:spacing w:line="400" w:lineRule="exact"/>
        <w:rPr>
          <w:rFonts w:ascii="仿宋" w:hAnsi="仿宋" w:eastAsia="仿宋" w:cs="仿宋"/>
          <w:b/>
          <w:bCs/>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9</w:t>
      </w:r>
      <w:r>
        <w:rPr>
          <w:rFonts w:ascii="仿宋" w:hAnsi="仿宋" w:eastAsia="仿宋" w:cs="仿宋"/>
          <w:b/>
          <w:bCs/>
          <w:sz w:val="24"/>
          <w:szCs w:val="24"/>
          <w:lang w:eastAsia="zh-CN"/>
        </w:rPr>
        <w:t>.1</w:t>
      </w:r>
      <w:r>
        <w:rPr>
          <w:rFonts w:hint="eastAsia" w:ascii="仿宋" w:hAnsi="仿宋" w:eastAsia="仿宋" w:cs="仿宋"/>
          <w:b/>
          <w:bCs/>
          <w:sz w:val="24"/>
          <w:szCs w:val="24"/>
        </w:rPr>
        <mc:AlternateContent>
          <mc:Choice Requires="wps">
            <w:drawing>
              <wp:anchor distT="0" distB="0" distL="114300" distR="114300" simplePos="0" relativeHeight="251978752" behindDoc="0" locked="0" layoutInCell="1" allowOverlap="1">
                <wp:simplePos x="0" y="0"/>
                <wp:positionH relativeFrom="column">
                  <wp:posOffset>-114300</wp:posOffset>
                </wp:positionH>
                <wp:positionV relativeFrom="paragraph">
                  <wp:posOffset>263525</wp:posOffset>
                </wp:positionV>
                <wp:extent cx="833120" cy="551815"/>
                <wp:effectExtent l="0" t="0" r="0" b="0"/>
                <wp:wrapNone/>
                <wp:docPr id="59" name="文本框 734"/>
                <wp:cNvGraphicFramePr/>
                <a:graphic xmlns:a="http://schemas.openxmlformats.org/drawingml/2006/main">
                  <a:graphicData uri="http://schemas.microsoft.com/office/word/2010/wordprocessingShape">
                    <wps:wsp>
                      <wps:cNvSpPr txBox="1"/>
                      <wps:spPr>
                        <a:xfrm>
                          <a:off x="0" y="0"/>
                          <a:ext cx="833120" cy="551815"/>
                        </a:xfrm>
                        <a:prstGeom prst="rect">
                          <a:avLst/>
                        </a:prstGeom>
                        <a:noFill/>
                        <a:ln w="12700">
                          <a:noFill/>
                        </a:ln>
                      </wps:spPr>
                      <wps:txbx>
                        <w:txbxContent>
                          <w:p w14:paraId="71949F24">
                            <w:pPr>
                              <w:rPr>
                                <w:rFonts w:ascii="楷体_GB2312" w:hAnsi="宋体" w:eastAsia="楷体_GB2312"/>
                                <w:b/>
                                <w:bCs/>
                                <w:color w:val="000000"/>
                                <w:sz w:val="18"/>
                                <w:szCs w:val="18"/>
                              </w:rPr>
                            </w:pPr>
                            <w:r>
                              <w:rPr>
                                <w:rFonts w:hint="eastAsia" w:ascii="楷体_GB2312" w:hAnsi="宋体" w:eastAsia="楷体_GB2312"/>
                                <w:b/>
                                <w:bCs/>
                                <w:color w:val="000000"/>
                                <w:sz w:val="18"/>
                                <w:szCs w:val="18"/>
                              </w:rPr>
                              <w:t>联合体的组成及责任</w:t>
                            </w:r>
                          </w:p>
                        </w:txbxContent>
                      </wps:txbx>
                      <wps:bodyPr rot="0" vert="horz" wrap="square" lIns="91440" tIns="45720" rIns="91440" bIns="45720" anchor="t" anchorCtr="0"/>
                    </wps:wsp>
                  </a:graphicData>
                </a:graphic>
              </wp:anchor>
            </w:drawing>
          </mc:Choice>
          <mc:Fallback>
            <w:pict>
              <v:shape id="文本框 734" o:spid="_x0000_s1026" o:spt="202" type="#_x0000_t202" style="position:absolute;left:0pt;margin-left:-9pt;margin-top:20.75pt;height:43.45pt;width:65.6pt;z-index:251978752;mso-width-relative:page;mso-height-relative:page;" filled="f" stroked="f" coordsize="21600,21600" o:gfxdata="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B&#10;/ZKn2QAAAAoBAAAPAAAAAAAAAAEAIAAAACIAAABkcnMvZG93bnJldi54bWxQSwECFAAUAAAACACH&#10;TuJAMCKRYOoBAAC9AwAADgAAAAAAAAABACAAAAAoAQAAZHJzL2Uyb0RvYy54bWxQSwUGAAAAAAYA&#10;BgBZAQAAhAUAAAAA&#10;">
                <v:fill on="f" focussize="0,0"/>
                <v:stroke on="f" weight="1pt"/>
                <v:imagedata o:title=""/>
                <o:lock v:ext="edit" aspectratio="f"/>
                <v:textbox>
                  <w:txbxContent>
                    <w:p w14:paraId="71949F24">
                      <w:pPr>
                        <w:rPr>
                          <w:rFonts w:ascii="楷体_GB2312" w:hAnsi="宋体" w:eastAsia="楷体_GB2312"/>
                          <w:b/>
                          <w:bCs/>
                          <w:color w:val="000000"/>
                          <w:sz w:val="18"/>
                          <w:szCs w:val="18"/>
                        </w:rPr>
                      </w:pPr>
                      <w:r>
                        <w:rPr>
                          <w:rFonts w:hint="eastAsia" w:ascii="楷体_GB2312" w:hAnsi="宋体" w:eastAsia="楷体_GB2312"/>
                          <w:b/>
                          <w:bCs/>
                          <w:color w:val="000000"/>
                          <w:sz w:val="18"/>
                          <w:szCs w:val="18"/>
                        </w:rPr>
                        <w:t>联合体的组成及责任</w:t>
                      </w:r>
                    </w:p>
                  </w:txbxContent>
                </v:textbox>
              </v:shape>
            </w:pict>
          </mc:Fallback>
        </mc:AlternateContent>
      </w:r>
    </w:p>
    <w:p w14:paraId="7717A3B9">
      <w:pPr>
        <w:pStyle w:val="22"/>
        <w:widowControl w:val="0"/>
        <w:adjustRightInd w:val="0"/>
        <w:snapToGrid w:val="0"/>
        <w:spacing w:line="400" w:lineRule="exact"/>
        <w:ind w:left="1850" w:leftChars="771"/>
        <w:jc w:val="both"/>
        <w:rPr>
          <w:rFonts w:ascii="仿宋" w:hAnsi="仿宋" w:eastAsia="仿宋" w:cs="仿宋"/>
          <w:bCs/>
          <w:sz w:val="24"/>
          <w:szCs w:val="24"/>
          <w:lang w:eastAsia="zh-CN"/>
        </w:rPr>
      </w:pPr>
      <w:r>
        <w:rPr>
          <w:rFonts w:hint="eastAsia" w:ascii="仿宋" w:hAnsi="仿宋" w:eastAsia="仿宋" w:cs="仿宋"/>
          <w:bCs/>
          <w:sz w:val="24"/>
          <w:szCs w:val="24"/>
          <w:lang w:eastAsia="zh-CN"/>
        </w:rPr>
        <w:t xml:space="preserve">19.1.1 </w:t>
      </w:r>
      <w:r>
        <w:rPr>
          <w:rFonts w:hint="eastAsia" w:ascii="仿宋" w:hAnsi="仿宋" w:eastAsia="仿宋" w:cs="仿宋"/>
          <w:sz w:val="24"/>
          <w:szCs w:val="24"/>
          <w:lang w:eastAsia="zh-CN"/>
        </w:rPr>
        <w:t>如果承包人是联合体，联合体成员视为具有符合本合同工程建设规模要求的工程建设类设计、施工等资质、资信和履约能力的法人组成。</w:t>
      </w:r>
    </w:p>
    <w:p w14:paraId="29CBB93B">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19.1.2 联合体牵头人须由联合体成员中具有符合项目规模要求的工程设计资质或施工资质一方担任。专用条款中应明确以设计单位或施工单位为牵头人时各方的管理责任。</w:t>
      </w:r>
    </w:p>
    <w:p w14:paraId="6859F295">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bCs/>
          <w:sz w:val="24"/>
          <w:szCs w:val="24"/>
          <w:lang w:eastAsia="zh-CN"/>
        </w:rPr>
        <w:t xml:space="preserve">19.1.3 </w:t>
      </w:r>
      <w:r>
        <w:rPr>
          <w:rFonts w:hint="eastAsia" w:ascii="仿宋" w:hAnsi="仿宋" w:eastAsia="仿宋" w:cs="仿宋"/>
          <w:sz w:val="24"/>
          <w:szCs w:val="24"/>
          <w:lang w:eastAsia="zh-CN"/>
        </w:rPr>
        <w:t>在合同协议书签订时，视为联合体成员已签订联合体协议书，明确牵头人及各成员在本合同履行期间对发包人负有共同的和各自的责任，作为本合同的附件。招标发包工程，联合体成员应于投标前签订联合体协议，作为投标文件的组成部分。</w:t>
      </w:r>
    </w:p>
    <w:p w14:paraId="02E13A7F">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bCs/>
          <w:sz w:val="24"/>
          <w:szCs w:val="24"/>
          <w:lang w:eastAsia="zh-CN"/>
        </w:rPr>
        <w:t xml:space="preserve">19.1.4 </w:t>
      </w:r>
      <w:r>
        <w:rPr>
          <w:rFonts w:hint="eastAsia" w:ascii="仿宋" w:hAnsi="仿宋" w:eastAsia="仿宋" w:cs="仿宋"/>
          <w:sz w:val="24"/>
          <w:szCs w:val="24"/>
          <w:lang w:eastAsia="zh-CN"/>
        </w:rPr>
        <w:t>联合体成员应共同与发包人签订合同协议书。联合体成员都应认真履行其共同的和各自的责任，在合同约定的时间内完成本合同工程总承包范围内的全部工作。</w:t>
      </w:r>
    </w:p>
    <w:p w14:paraId="0BED1140">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19.1.5 联合体作为本合同的当事人，联合体牵头人及成员应作为一个整体享有本合同赋予的承包人权利、履行承包人责任和义务，共同承担本合同工程的实施风险，牵头人或其任一成员的过错或违约行为均不免除其他成员单位的连带责任。联合体牵头人负责组建项目部，由项目部负责与发包人、设计顾问人、监理人和造价咨询人联系，并接受指示，负责组织联合体各成员全面履行合同。</w:t>
      </w:r>
    </w:p>
    <w:p w14:paraId="4F2F36C2">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19.1.6 联合体牵头人应对本合同工程总承包范围内全部工作的组织、管理、实施和协调承担主要责任，保障本合同工程的进度、质量、安全和成本符合本合同的约定；勘察设计单位应对本合同工程的勘察、设计、BIM技术应用及施工配合、设备及工器具购置配合等承担相应责任；施工单位应对本合同工程的施工组织、施工管理、施工技术、BIM技术应用及勘察设计配合、设备及工器具购置配合等承担相应责任。</w:t>
      </w:r>
    </w:p>
    <w:p w14:paraId="416D0E3F">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19.1.7 联合体牵头人对本合同工程的进度、质量、安全、成本、管理、协调等负总责。在本合同履行期间，联合体牵头人代表联合体接受指令或发出书面文件，其任何作为或不作为，其效力均及于联合体成员；发包人对联合体牵头人的作为或不作为，其效力均及于承包人联合体成员。</w:t>
      </w:r>
    </w:p>
    <w:p w14:paraId="658E02EC">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19.1.8 联合体牵头人应加强对联合体各成员的组织、管理和协调，其产生的管理费用由联合体成员协商确定，作为牵头人项目管理费在本合同协议书中明确。合同履行期间，若牵头人及其授权的承包人代表不作为或存在过错，发包人有权扣除部分或全部牵头人项目管理费，并追究相关责任。牵头人项目管理费的扣除，不免除联合体牵头人及各成员作为承包人应承担的所有责任。</w:t>
      </w:r>
    </w:p>
    <w:p w14:paraId="7B1D6070">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19.1.9 承包人代表及专业负责人的任命与授权，应符合第29.1款的约定，具体人选应在专用条款中约定。</w:t>
      </w:r>
    </w:p>
    <w:p w14:paraId="25A4CC93">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19.1.10 未经发包人事先书面同意，联合体的组成、结构和联合体协议书不得随意变动。</w:t>
      </w:r>
    </w:p>
    <w:p w14:paraId="3E025CA7">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19.1.11 联合体牵头人及成员组成联合体，应团结合作，全面履行本合同赋予的权利和义务，实现共同利益，但不得推诿扯皮或合伙欺骗、损害发包人及社会公众利益。</w:t>
      </w:r>
    </w:p>
    <w:p w14:paraId="02A1F6C9">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19.1.12 联合体牵头人及各成员之间的任何法律和经济纠纷属于承包人一方的内部纠纷，不属于本合同双方当事人之间的纠纷，发包人均不承担任何责任和义务。</w:t>
      </w:r>
    </w:p>
    <w:p w14:paraId="60A232D8">
      <w:pPr>
        <w:pStyle w:val="22"/>
        <w:adjustRightInd w:val="0"/>
        <w:snapToGrid w:val="0"/>
        <w:spacing w:line="400" w:lineRule="exact"/>
        <w:rPr>
          <w:rFonts w:ascii="仿宋" w:hAnsi="仿宋" w:eastAsia="仿宋"/>
          <w:b/>
          <w:bCs/>
          <w:sz w:val="24"/>
          <w:szCs w:val="24"/>
          <w:lang w:eastAsia="zh-CN"/>
        </w:rPr>
      </w:pPr>
      <w:r>
        <w:rPr>
          <w:rFonts w:ascii="仿宋" w:hAnsi="仿宋" w:eastAsia="仿宋" w:cs="仿宋"/>
          <w:b/>
          <w:bCs/>
          <w:sz w:val="24"/>
          <w:szCs w:val="24"/>
          <w:lang w:eastAsia="zh-CN"/>
        </w:rPr>
        <w:t>1</w:t>
      </w:r>
      <w:r>
        <w:rPr>
          <w:rFonts w:hint="eastAsia" w:ascii="仿宋" w:hAnsi="仿宋" w:eastAsia="仿宋" w:cs="仿宋"/>
          <w:b/>
          <w:bCs/>
          <w:sz w:val="24"/>
          <w:szCs w:val="24"/>
          <w:lang w:eastAsia="zh-CN"/>
        </w:rPr>
        <w:t>9</w:t>
      </w:r>
      <w:r>
        <w:rPr>
          <w:rFonts w:ascii="仿宋" w:hAnsi="仿宋" w:eastAsia="仿宋" w:cs="仿宋"/>
          <w:b/>
          <w:bCs/>
          <w:sz w:val="24"/>
          <w:szCs w:val="24"/>
          <w:lang w:eastAsia="zh-CN"/>
        </w:rPr>
        <w:t xml:space="preserve">.2  </w:t>
      </w:r>
      <w:r>
        <w:rPr>
          <w:rFonts w:ascii="仿宋" w:hAnsi="仿宋" w:eastAsia="仿宋" w:cs="仿宋"/>
          <w:b/>
          <w:bCs/>
          <w:sz w:val="24"/>
          <w:szCs w:val="24"/>
          <w:u w:val="dotted"/>
          <w:lang w:eastAsia="zh-CN"/>
        </w:rPr>
        <w:t xml:space="preserve">                          </w:t>
      </w:r>
      <w:r>
        <w:rPr>
          <w:rFonts w:hint="eastAsia" w:ascii="仿宋" w:hAnsi="仿宋" w:eastAsia="仿宋" w:cs="仿宋"/>
          <w:b/>
          <w:bCs/>
          <w:sz w:val="24"/>
          <w:szCs w:val="24"/>
          <w:u w:val="dotted"/>
          <w:lang w:eastAsia="zh-CN"/>
        </w:rPr>
        <w:t xml:space="preserve">     </w:t>
      </w:r>
      <w:r>
        <w:rPr>
          <w:rFonts w:ascii="仿宋" w:hAnsi="仿宋" w:eastAsia="仿宋" w:cs="仿宋"/>
          <w:b/>
          <w:bCs/>
          <w:sz w:val="24"/>
          <w:szCs w:val="24"/>
          <w:u w:val="dotted"/>
          <w:lang w:eastAsia="zh-CN"/>
        </w:rPr>
        <w:t xml:space="preserve">                                               </w:t>
      </w:r>
    </w:p>
    <w:p w14:paraId="5F5CF248">
      <w:pPr>
        <w:pStyle w:val="22"/>
        <w:widowControl w:val="0"/>
        <w:adjustRightInd w:val="0"/>
        <w:snapToGrid w:val="0"/>
        <w:spacing w:line="400" w:lineRule="exact"/>
        <w:ind w:left="1850" w:leftChars="771"/>
        <w:jc w:val="both"/>
        <w:rPr>
          <w:rFonts w:ascii="仿宋" w:hAnsi="仿宋" w:eastAsia="仿宋" w:cs="仿宋"/>
          <w:sz w:val="24"/>
          <w:szCs w:val="24"/>
          <w:lang w:eastAsia="zh-CN"/>
        </w:rPr>
      </w:pPr>
      <w:r>
        <mc:AlternateContent>
          <mc:Choice Requires="wps">
            <w:drawing>
              <wp:anchor distT="0" distB="0" distL="114300" distR="114300" simplePos="0" relativeHeight="252079104" behindDoc="0" locked="0" layoutInCell="1" allowOverlap="1">
                <wp:simplePos x="0" y="0"/>
                <wp:positionH relativeFrom="column">
                  <wp:posOffset>-9525</wp:posOffset>
                </wp:positionH>
                <wp:positionV relativeFrom="paragraph">
                  <wp:posOffset>40640</wp:posOffset>
                </wp:positionV>
                <wp:extent cx="804545" cy="415925"/>
                <wp:effectExtent l="0" t="0" r="0" b="0"/>
                <wp:wrapNone/>
                <wp:docPr id="60" name="文本框 1262"/>
                <wp:cNvGraphicFramePr/>
                <a:graphic xmlns:a="http://schemas.openxmlformats.org/drawingml/2006/main">
                  <a:graphicData uri="http://schemas.microsoft.com/office/word/2010/wordprocessingShape">
                    <wps:wsp>
                      <wps:cNvSpPr txBox="1"/>
                      <wps:spPr>
                        <a:xfrm>
                          <a:off x="0" y="0"/>
                          <a:ext cx="804545" cy="415925"/>
                        </a:xfrm>
                        <a:prstGeom prst="rect">
                          <a:avLst/>
                        </a:prstGeom>
                        <a:noFill/>
                        <a:ln w="12700">
                          <a:noFill/>
                        </a:ln>
                      </wps:spPr>
                      <wps:txbx>
                        <w:txbxContent>
                          <w:p w14:paraId="4B51941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txbxContent>
                      </wps:txbx>
                      <wps:bodyPr rot="0" vert="horz" wrap="square" lIns="91440" tIns="45720" rIns="91440" bIns="45720" anchor="t" anchorCtr="0"/>
                    </wps:wsp>
                  </a:graphicData>
                </a:graphic>
              </wp:anchor>
            </w:drawing>
          </mc:Choice>
          <mc:Fallback>
            <w:pict>
              <v:shape id="文本框 1262" o:spid="_x0000_s1026" o:spt="202" type="#_x0000_t202" style="position:absolute;left:0pt;margin-left:-0.75pt;margin-top:3.2pt;height:32.75pt;width:63.35pt;z-index:252079104;mso-width-relative:page;mso-height-relative:page;" filled="f" stroked="f" coordsize="21600,21600" o:gfxdata="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TJveb1AAA&#10;AAcBAAAPAAAAAAAAAAEAIAAAACIAAABkcnMvZG93bnJldi54bWxQSwECFAAUAAAACACHTuJA+dnS&#10;+ukBAAC+AwAADgAAAAAAAAABACAAAAAjAQAAZHJzL2Uyb0RvYy54bWxQSwUGAAAAAAYABgBZAQAA&#10;fgUAAAAA&#10;">
                <v:fill on="f" focussize="0,0"/>
                <v:stroke on="f" weight="1pt"/>
                <v:imagedata o:title=""/>
                <o:lock v:ext="edit" aspectratio="f"/>
                <v:textbox>
                  <w:txbxContent>
                    <w:p w14:paraId="4B51941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txbxContent>
                </v:textbox>
              </v:shape>
            </w:pict>
          </mc:Fallback>
        </mc:AlternateContent>
      </w:r>
      <w:r>
        <w:rPr>
          <w:rFonts w:hint="eastAsia" w:ascii="仿宋" w:hAnsi="仿宋" w:eastAsia="仿宋" w:cs="仿宋"/>
          <w:sz w:val="24"/>
          <w:szCs w:val="24"/>
          <w:lang w:eastAsia="zh-CN"/>
        </w:rPr>
        <w:t>联合体作为承包人，均由联合体牵头人及其授权的承包人代表负责组织联合体各成员全面履行合同，负责与发包人及监理人、造价咨询人、设计顾问人（如果有）等相关方之间的工作联系和文件往来，履行合同的有关文件由承包人代表签署。未经发包人事先书面同意，承包人代表不得随意变动。</w:t>
      </w:r>
    </w:p>
    <w:p w14:paraId="376CEE13">
      <w:pPr>
        <w:pStyle w:val="22"/>
        <w:adjustRightInd w:val="0"/>
        <w:snapToGrid w:val="0"/>
        <w:spacing w:line="400" w:lineRule="exact"/>
        <w:rPr>
          <w:rFonts w:ascii="仿宋" w:hAnsi="仿宋" w:eastAsia="仿宋"/>
          <w:b/>
          <w:bCs/>
          <w:sz w:val="24"/>
          <w:szCs w:val="24"/>
          <w:lang w:eastAsia="zh-CN"/>
        </w:rPr>
      </w:pPr>
      <w:bookmarkStart w:id="197" w:name="_Toc29075"/>
      <w:r>
        <w:rPr>
          <w:sz w:val="24"/>
          <w:szCs w:val="24"/>
        </w:rPr>
        <mc:AlternateContent>
          <mc:Choice Requires="wps">
            <w:drawing>
              <wp:anchor distT="0" distB="0" distL="114300" distR="114300" simplePos="0" relativeHeight="252080128" behindDoc="0" locked="0" layoutInCell="1" allowOverlap="1">
                <wp:simplePos x="0" y="0"/>
                <wp:positionH relativeFrom="column">
                  <wp:posOffset>-114300</wp:posOffset>
                </wp:positionH>
                <wp:positionV relativeFrom="paragraph">
                  <wp:posOffset>245745</wp:posOffset>
                </wp:positionV>
                <wp:extent cx="756920" cy="445135"/>
                <wp:effectExtent l="0" t="0" r="0" b="0"/>
                <wp:wrapNone/>
                <wp:docPr id="61" name="文本框 1263"/>
                <wp:cNvGraphicFramePr/>
                <a:graphic xmlns:a="http://schemas.openxmlformats.org/drawingml/2006/main">
                  <a:graphicData uri="http://schemas.microsoft.com/office/word/2010/wordprocessingShape">
                    <wps:wsp>
                      <wps:cNvSpPr txBox="1"/>
                      <wps:spPr>
                        <a:xfrm>
                          <a:off x="0" y="0"/>
                          <a:ext cx="756920" cy="445135"/>
                        </a:xfrm>
                        <a:prstGeom prst="rect">
                          <a:avLst/>
                        </a:prstGeom>
                        <a:noFill/>
                        <a:ln w="12700">
                          <a:noFill/>
                        </a:ln>
                      </wps:spPr>
                      <wps:txbx>
                        <w:txbxContent>
                          <w:p w14:paraId="7C00A90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联合体的内部管理</w:t>
                            </w:r>
                          </w:p>
                        </w:txbxContent>
                      </wps:txbx>
                      <wps:bodyPr rot="0" vert="horz" wrap="square" lIns="91440" tIns="45720" rIns="91440" bIns="45720" anchor="t" anchorCtr="0"/>
                    </wps:wsp>
                  </a:graphicData>
                </a:graphic>
              </wp:anchor>
            </w:drawing>
          </mc:Choice>
          <mc:Fallback>
            <w:pict>
              <v:shape id="文本框 1263" o:spid="_x0000_s1026" o:spt="202" type="#_x0000_t202" style="position:absolute;left:0pt;margin-left:-9pt;margin-top:19.35pt;height:35.05pt;width:59.6pt;z-index:252080128;mso-width-relative:page;mso-height-relative:page;" filled="f" stroked="f" coordsize="21600,21600" o:gfxdata="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6m&#10;RovYAAAACgEAAA8AAAAAAAAAAQAgAAAAIgAAAGRycy9kb3ducmV2LnhtbFBLAQIUABQAAAAIAIdO&#10;4kA/fTDX6gEAAL4DAAAOAAAAAAAAAAEAIAAAACcBAABkcnMvZTJvRG9jLnhtbFBLBQYAAAAABgAG&#10;AFkBAACDBQAAAAA=&#10;">
                <v:fill on="f" focussize="0,0"/>
                <v:stroke on="f" weight="1pt"/>
                <v:imagedata o:title=""/>
                <o:lock v:ext="edit" aspectratio="f"/>
                <v:textbox>
                  <w:txbxContent>
                    <w:p w14:paraId="7C00A90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联合体的内部管理</w:t>
                      </w:r>
                    </w:p>
                  </w:txbxContent>
                </v:textbox>
              </v:shape>
            </w:pict>
          </mc:Fallback>
        </mc:AlternateContent>
      </w:r>
      <w:r>
        <w:rPr>
          <w:rFonts w:ascii="仿宋" w:hAnsi="仿宋" w:eastAsia="仿宋" w:cs="仿宋"/>
          <w:b/>
          <w:bCs/>
          <w:sz w:val="24"/>
          <w:szCs w:val="24"/>
          <w:lang w:eastAsia="zh-CN"/>
        </w:rPr>
        <w:t>1</w:t>
      </w:r>
      <w:r>
        <w:rPr>
          <w:rFonts w:hint="eastAsia" w:ascii="仿宋" w:hAnsi="仿宋" w:eastAsia="仿宋" w:cs="仿宋"/>
          <w:b/>
          <w:bCs/>
          <w:sz w:val="24"/>
          <w:szCs w:val="24"/>
          <w:lang w:eastAsia="zh-CN"/>
        </w:rPr>
        <w:t>9</w:t>
      </w:r>
      <w:r>
        <w:rPr>
          <w:rFonts w:ascii="仿宋" w:hAnsi="仿宋" w:eastAsia="仿宋" w:cs="仿宋"/>
          <w:b/>
          <w:bCs/>
          <w:sz w:val="24"/>
          <w:szCs w:val="24"/>
          <w:lang w:eastAsia="zh-CN"/>
        </w:rPr>
        <w:t>.</w:t>
      </w:r>
      <w:r>
        <w:rPr>
          <w:rFonts w:hint="eastAsia" w:ascii="仿宋" w:hAnsi="仿宋" w:eastAsia="仿宋" w:cs="仿宋"/>
          <w:b/>
          <w:bCs/>
          <w:sz w:val="24"/>
          <w:szCs w:val="24"/>
          <w:lang w:eastAsia="zh-CN"/>
        </w:rPr>
        <w:t>3</w:t>
      </w:r>
      <w:bookmarkEnd w:id="197"/>
      <w:r>
        <w:rPr>
          <w:rFonts w:ascii="仿宋" w:hAnsi="仿宋" w:eastAsia="仿宋" w:cs="仿宋"/>
          <w:b/>
          <w:bCs/>
          <w:sz w:val="24"/>
          <w:szCs w:val="24"/>
          <w:lang w:eastAsia="zh-CN"/>
        </w:rPr>
        <w:t xml:space="preserve">  </w:t>
      </w:r>
      <w:r>
        <w:rPr>
          <w:rFonts w:ascii="仿宋" w:hAnsi="仿宋" w:eastAsia="仿宋" w:cs="仿宋"/>
          <w:b/>
          <w:bCs/>
          <w:sz w:val="24"/>
          <w:szCs w:val="24"/>
          <w:u w:val="dotted"/>
          <w:lang w:eastAsia="zh-CN"/>
        </w:rPr>
        <w:t xml:space="preserve">                                               </w:t>
      </w:r>
      <w:r>
        <w:rPr>
          <w:rFonts w:hint="eastAsia" w:ascii="仿宋" w:hAnsi="仿宋" w:eastAsia="仿宋" w:cs="仿宋"/>
          <w:b/>
          <w:bCs/>
          <w:sz w:val="24"/>
          <w:szCs w:val="24"/>
          <w:u w:val="dotted"/>
          <w:lang w:eastAsia="zh-CN"/>
        </w:rPr>
        <w:t xml:space="preserve">     </w:t>
      </w:r>
      <w:r>
        <w:rPr>
          <w:rFonts w:ascii="仿宋" w:hAnsi="仿宋" w:eastAsia="仿宋" w:cs="仿宋"/>
          <w:b/>
          <w:bCs/>
          <w:sz w:val="24"/>
          <w:szCs w:val="24"/>
          <w:u w:val="dotted"/>
          <w:lang w:eastAsia="zh-CN"/>
        </w:rPr>
        <w:t xml:space="preserve">                          </w:t>
      </w:r>
    </w:p>
    <w:p w14:paraId="310E4FDB">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19.3.1 本合同协议书签订后28天内，联合体牵头人应组织成员单位内部协商，根据发包人制定的项目管理制度，结合本合同工程实际，共同编制联合体内部管理制度，明确勘察、设计、BIM技术应用、施工、设备及工器具购置等工作之间的内部分工、工作界面、责任划分、进度安排、安全防范、质量控制、风险预控、风险分担、利益分配、协调机制、会议制度、决策机制、内部流程、保障措施等内容，形成书面文件，共同签署、共同遵守，并报发包人备案。</w:t>
      </w:r>
    </w:p>
    <w:p w14:paraId="1DFD9C6B">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19.3.2 本合同协议书签订后28天内，联合体牵头人应组织成员单位内部协商，根据本合同约定的相关处罚规定，建立联合体内部奖惩管理制度，共同签署共同遵守，并报发包人备案。履行合同期间，违约受到经济处罚、出现索赔事件、发生不可抗力事件、合理化建议被采纳获得发包人经济奖励等，联合体牵头人应秉公处理，及时组织外部索赔或内部奖罚，赏罚分明，以避免推诿扯皮或杜绝合伙欺骗，保证联合体内部团结合作，维护承包人、发包人及公众利益。</w:t>
      </w:r>
    </w:p>
    <w:p w14:paraId="33394A42">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19.3.3 联合体牵头人及授权的承包人代表应及时组织各成员单位认真履行合同，遵守联合体内部管理制度，按时签署、报送各类工作计划、工作成果、进度报表、支付申请等各类资料及合理化建议。</w:t>
      </w:r>
    </w:p>
    <w:p w14:paraId="5197F4AA">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19.3.4牵头人收到发包人及监理人、设计顾问人、造价咨询人等相关方的各类书面文件，应在收到后24小时内抄送联合体所有成员；收到的各类口头指令，应按合同相关约定及时组织进行书面确认。</w:t>
      </w:r>
    </w:p>
    <w:p w14:paraId="71558BA2">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19.3.5 联合体各成员需要报送发包人及监理人、设计顾问人、造价咨询人等相关方的各类书面文件（包括勘察设计类、BIM技术应用类、施工类、设备及工器具购置类等），必须得到联合体牵头人及授权的承包人代表认可签署，并由牵头人报送。</w:t>
      </w:r>
    </w:p>
    <w:p w14:paraId="3CFA2849">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19.3.6 若联合体任一成员提出可能有益于发包人或公众的优化设计方案或合理化建议，无论联合体成员是否达成统一意见，牵头人必须及时报送发包人，不得瞒报迟报，意见提出者也可直接报送发包人。若收到的优化设计方案或合理化建议得到采纳产生预期经济效益或节约投资，发包人将按合同约定给予适当的经济奖励或补偿。因牵头人反对而不上报，发包人有权对牵头人进行一定的经济处罚。奖励或处罚金额或比例，由当事人在专用条款中约定。</w:t>
      </w:r>
    </w:p>
    <w:p w14:paraId="7F6CD94C">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19.3.7 除联合体牵头人或成员报送的优化设计方案或合理化建议外，发包人及各相关方收到牵头人及授权的承包人代表签署报送的各类文件，无论联合体内部意见是否统一，均视为联合体内部成员之间已得到认可。</w:t>
      </w:r>
    </w:p>
    <w:p w14:paraId="73738EB4">
      <w:pPr>
        <w:tabs>
          <w:tab w:val="left" w:pos="1620"/>
        </w:tabs>
        <w:spacing w:line="400" w:lineRule="exact"/>
        <w:rPr>
          <w:rFonts w:ascii="仿宋" w:hAnsi="仿宋" w:eastAsia="仿宋"/>
          <w:b/>
          <w:bCs/>
          <w:u w:val="single"/>
          <w:lang w:eastAsia="zh-CN"/>
        </w:rPr>
      </w:pPr>
      <w:r>
        <w:rPr>
          <w:rFonts w:ascii="仿宋" w:hAnsi="仿宋" w:eastAsia="仿宋" w:cs="仿宋"/>
          <w:b/>
          <w:bCs/>
          <w:u w:val="single"/>
          <w:lang w:eastAsia="zh-CN"/>
        </w:rPr>
        <w:t xml:space="preserve">                                                                                      </w:t>
      </w:r>
    </w:p>
    <w:p w14:paraId="2510B91A">
      <w:pPr>
        <w:pStyle w:val="4"/>
        <w:tabs>
          <w:tab w:val="left" w:pos="420"/>
        </w:tabs>
        <w:spacing w:before="0" w:after="0" w:line="400" w:lineRule="exact"/>
        <w:rPr>
          <w:rFonts w:ascii="仿宋" w:hAnsi="仿宋" w:eastAsia="仿宋" w:cs="仿宋"/>
          <w:bCs w:val="0"/>
          <w:sz w:val="24"/>
          <w:szCs w:val="24"/>
          <w:lang w:eastAsia="zh-CN"/>
        </w:rPr>
      </w:pPr>
      <w:bookmarkStart w:id="198" w:name="_Toc1035"/>
      <w:bookmarkStart w:id="199" w:name="_Toc194073125"/>
      <w:bookmarkStart w:id="200" w:name="_Toc946"/>
      <w:bookmarkStart w:id="201" w:name="_Toc28556"/>
      <w:r>
        <w:rPr>
          <w:rFonts w:hint="eastAsia" w:ascii="仿宋" w:hAnsi="仿宋" w:eastAsia="仿宋" w:cs="仿宋"/>
          <w:bCs w:val="0"/>
          <w:sz w:val="24"/>
          <w:szCs w:val="24"/>
          <w:lang w:eastAsia="zh-CN"/>
        </w:rPr>
        <w:t>20</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保障</w:t>
      </w:r>
      <w:bookmarkEnd w:id="198"/>
      <w:bookmarkEnd w:id="199"/>
      <w:bookmarkEnd w:id="200"/>
      <w:bookmarkEnd w:id="201"/>
    </w:p>
    <w:p w14:paraId="421096F6">
      <w:pPr>
        <w:pStyle w:val="22"/>
        <w:tabs>
          <w:tab w:val="left" w:pos="1202"/>
        </w:tabs>
        <w:adjustRightInd w:val="0"/>
        <w:snapToGrid w:val="0"/>
        <w:spacing w:line="400" w:lineRule="exact"/>
        <w:rPr>
          <w:rFonts w:ascii="仿宋" w:hAnsi="仿宋" w:eastAsia="仿宋" w:cs="仿宋"/>
          <w:b/>
          <w:bCs/>
          <w:sz w:val="24"/>
          <w:szCs w:val="24"/>
          <w:lang w:eastAsia="zh-CN"/>
        </w:rPr>
      </w:pPr>
      <w:r>
        <w:rPr>
          <w:rFonts w:hint="eastAsia" w:ascii="仿宋" w:hAnsi="仿宋" w:eastAsia="仿宋" w:cs="仿宋"/>
          <w:b/>
          <w:bCs/>
          <w:sz w:val="24"/>
          <w:szCs w:val="24"/>
          <w:lang w:eastAsia="zh-CN"/>
        </w:rPr>
        <w:t>20</w:t>
      </w:r>
      <w:r>
        <w:rPr>
          <w:rFonts w:ascii="仿宋" w:hAnsi="仿宋" w:eastAsia="仿宋" w:cs="仿宋"/>
          <w:b/>
          <w:bCs/>
          <w:sz w:val="24"/>
          <w:szCs w:val="24"/>
          <w:lang w:eastAsia="zh-CN"/>
        </w:rPr>
        <w:t>.1</w:t>
      </w:r>
    </w:p>
    <w:p w14:paraId="4401185F">
      <w:pPr>
        <w:pStyle w:val="22"/>
        <w:widowControl w:val="0"/>
        <w:adjustRightInd w:val="0"/>
        <w:snapToGrid w:val="0"/>
        <w:spacing w:line="400" w:lineRule="exact"/>
        <w:ind w:left="1850" w:leftChars="771"/>
        <w:jc w:val="both"/>
        <w:rPr>
          <w:rFonts w:ascii="仿宋" w:hAnsi="仿宋" w:eastAsia="仿宋"/>
          <w:sz w:val="24"/>
          <w:szCs w:val="24"/>
          <w:lang w:eastAsia="zh-CN"/>
        </w:rPr>
      </w:pPr>
      <w:r>
        <mc:AlternateContent>
          <mc:Choice Requires="wps">
            <w:drawing>
              <wp:anchor distT="0" distB="0" distL="114300" distR="114300" simplePos="0" relativeHeight="251700224" behindDoc="0" locked="0" layoutInCell="1" allowOverlap="1">
                <wp:simplePos x="0" y="0"/>
                <wp:positionH relativeFrom="column">
                  <wp:posOffset>-66040</wp:posOffset>
                </wp:positionH>
                <wp:positionV relativeFrom="paragraph">
                  <wp:posOffset>8890</wp:posOffset>
                </wp:positionV>
                <wp:extent cx="822960" cy="440055"/>
                <wp:effectExtent l="0" t="0" r="0" b="0"/>
                <wp:wrapNone/>
                <wp:docPr id="62" name="文本框 737"/>
                <wp:cNvGraphicFramePr/>
                <a:graphic xmlns:a="http://schemas.openxmlformats.org/drawingml/2006/main">
                  <a:graphicData uri="http://schemas.microsoft.com/office/word/2010/wordprocessingShape">
                    <wps:wsp>
                      <wps:cNvSpPr txBox="1"/>
                      <wps:spPr>
                        <a:xfrm>
                          <a:off x="0" y="0"/>
                          <a:ext cx="822960" cy="440055"/>
                        </a:xfrm>
                        <a:prstGeom prst="rect">
                          <a:avLst/>
                        </a:prstGeom>
                        <a:noFill/>
                        <a:ln w="12700">
                          <a:noFill/>
                        </a:ln>
                      </wps:spPr>
                      <wps:txbx>
                        <w:txbxContent>
                          <w:p w14:paraId="7CC18D4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txbxContent>
                      </wps:txbx>
                      <wps:bodyPr rot="0" vert="horz" wrap="square" lIns="91440" tIns="45720" rIns="91440" bIns="45720" anchor="t" anchorCtr="0"/>
                    </wps:wsp>
                  </a:graphicData>
                </a:graphic>
              </wp:anchor>
            </w:drawing>
          </mc:Choice>
          <mc:Fallback>
            <w:pict>
              <v:shape id="文本框 737" o:spid="_x0000_s1026" o:spt="202" type="#_x0000_t202" style="position:absolute;left:0pt;margin-left:-5.2pt;margin-top:0.7pt;height:34.65pt;width:64.8pt;z-index:251700224;mso-width-relative:page;mso-height-relative:page;" filled="f" stroked="f" coordsize="21600,21600" o:gfxdata="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4NI6zW&#10;AAAACAEAAA8AAAAAAAAAAQAgAAAAIgAAAGRycy9kb3ducmV2LnhtbFBLAQIUABQAAAAIAIdO4kBg&#10;ipSY6QEAAL0DAAAOAAAAAAAAAAEAIAAAACUBAABkcnMvZTJvRG9jLnhtbFBLBQYAAAAABgAGAFkB&#10;AACABQAAAAA=&#10;">
                <v:fill on="f" focussize="0,0"/>
                <v:stroke on="f" weight="1pt"/>
                <v:imagedata o:title=""/>
                <o:lock v:ext="edit" aspectratio="f"/>
                <v:textbox>
                  <w:txbxContent>
                    <w:p w14:paraId="7CC18D4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txbxContent>
                </v:textbox>
              </v:shape>
            </w:pict>
          </mc:Fallback>
        </mc:AlternateContent>
      </w:r>
      <w:r>
        <w:rPr>
          <w:rFonts w:hint="eastAsia" w:ascii="仿宋" w:hAnsi="仿宋" w:eastAsia="仿宋" w:cs="仿宋"/>
          <w:sz w:val="24"/>
          <w:szCs w:val="24"/>
          <w:lang w:eastAsia="zh-CN"/>
        </w:rPr>
        <w:t>合同一方当事人应负责和保障不因其自身的行为或疏忽而引起另一方当事人一切损害、损失和赔偿。但受保障的一方当事人应积极采取合理措施减少可能发生的损失或损害。受保障的一方当事人因未采取合理措施而导致损失扩大，则损失扩大部分由其自身承担。</w:t>
      </w:r>
    </w:p>
    <w:p w14:paraId="625ED44B">
      <w:pPr>
        <w:pStyle w:val="22"/>
        <w:tabs>
          <w:tab w:val="left" w:pos="1202"/>
        </w:tabs>
        <w:adjustRightInd w:val="0"/>
        <w:snapToGrid w:val="0"/>
        <w:spacing w:line="400" w:lineRule="exact"/>
        <w:rPr>
          <w:rFonts w:ascii="仿宋" w:hAnsi="仿宋" w:eastAsia="仿宋"/>
          <w:b/>
          <w:bCs/>
          <w:sz w:val="24"/>
          <w:szCs w:val="24"/>
          <w:lang w:eastAsia="zh-CN"/>
        </w:rPr>
      </w:pPr>
      <w:r>
        <w:rPr>
          <w:rFonts w:ascii="仿宋" w:hAnsi="仿宋" w:eastAsia="仿宋" w:cs="仿宋"/>
          <w:b/>
          <w:bCs/>
          <w:sz w:val="24"/>
          <w:szCs w:val="24"/>
        </w:rPr>
        <mc:AlternateContent>
          <mc:Choice Requires="wps">
            <w:drawing>
              <wp:anchor distT="0" distB="0" distL="114300" distR="114300" simplePos="0" relativeHeight="251701248" behindDoc="0" locked="0" layoutInCell="1" allowOverlap="1">
                <wp:simplePos x="0" y="0"/>
                <wp:positionH relativeFrom="column">
                  <wp:posOffset>-114300</wp:posOffset>
                </wp:positionH>
                <wp:positionV relativeFrom="paragraph">
                  <wp:posOffset>240665</wp:posOffset>
                </wp:positionV>
                <wp:extent cx="785495" cy="508000"/>
                <wp:effectExtent l="0" t="0" r="0" b="0"/>
                <wp:wrapNone/>
                <wp:docPr id="63" name="文本框 738"/>
                <wp:cNvGraphicFramePr/>
                <a:graphic xmlns:a="http://schemas.openxmlformats.org/drawingml/2006/main">
                  <a:graphicData uri="http://schemas.microsoft.com/office/word/2010/wordprocessingShape">
                    <wps:wsp>
                      <wps:cNvSpPr txBox="1"/>
                      <wps:spPr>
                        <a:xfrm>
                          <a:off x="0" y="0"/>
                          <a:ext cx="785495" cy="508000"/>
                        </a:xfrm>
                        <a:prstGeom prst="rect">
                          <a:avLst/>
                        </a:prstGeom>
                        <a:noFill/>
                        <a:ln w="12700">
                          <a:noFill/>
                        </a:ln>
                      </wps:spPr>
                      <wps:txbx>
                        <w:txbxContent>
                          <w:p w14:paraId="7608E7F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承包人对发包人的保障</w:t>
                            </w:r>
                          </w:p>
                        </w:txbxContent>
                      </wps:txbx>
                      <wps:bodyPr rot="0" vert="horz" wrap="square" lIns="91440" tIns="45720" rIns="91440" bIns="45720" anchor="t" anchorCtr="0"/>
                    </wps:wsp>
                  </a:graphicData>
                </a:graphic>
              </wp:anchor>
            </w:drawing>
          </mc:Choice>
          <mc:Fallback>
            <w:pict>
              <v:shape id="文本框 738" o:spid="_x0000_s1026" o:spt="202" type="#_x0000_t202" style="position:absolute;left:0pt;margin-left:-9pt;margin-top:18.95pt;height:40pt;width:61.85pt;z-index:251701248;mso-width-relative:page;mso-height-relative:page;" filled="f" stroked="f" coordsize="21600,21600" o:gfxdata="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NVq&#10;sCbYAAAACgEAAA8AAAAAAAAAAQAgAAAAIgAAAGRycy9kb3ducmV2LnhtbFBLAQIUABQAAAAIAIdO&#10;4kCgfK4b6gEAAL0DAAAOAAAAAAAAAAEAIAAAACcBAABkcnMvZTJvRG9jLnhtbFBLBQYAAAAABgAG&#10;AFkBAACDBQAAAAA=&#10;">
                <v:fill on="f" focussize="0,0"/>
                <v:stroke on="f" weight="1pt"/>
                <v:imagedata o:title=""/>
                <o:lock v:ext="edit" aspectratio="f"/>
                <v:textbox>
                  <w:txbxContent>
                    <w:p w14:paraId="7608E7F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承包人对发包人的保障</w:t>
                      </w:r>
                    </w:p>
                  </w:txbxContent>
                </v:textbox>
              </v:shape>
            </w:pict>
          </mc:Fallback>
        </mc:AlternateContent>
      </w:r>
      <w:r>
        <w:rPr>
          <w:rFonts w:hint="eastAsia" w:ascii="仿宋" w:hAnsi="仿宋" w:eastAsia="仿宋" w:cs="仿宋"/>
          <w:b/>
          <w:bCs/>
          <w:sz w:val="24"/>
          <w:szCs w:val="24"/>
          <w:lang w:eastAsia="zh-CN"/>
        </w:rPr>
        <w:t>20</w:t>
      </w:r>
      <w:r>
        <w:rPr>
          <w:rFonts w:ascii="仿宋" w:hAnsi="仿宋" w:eastAsia="仿宋" w:cs="仿宋"/>
          <w:b/>
          <w:bCs/>
          <w:sz w:val="24"/>
          <w:szCs w:val="24"/>
          <w:lang w:eastAsia="zh-CN"/>
        </w:rPr>
        <w:t xml:space="preserve">.2   </w:t>
      </w:r>
      <w:r>
        <w:rPr>
          <w:rFonts w:ascii="仿宋" w:hAnsi="仿宋" w:eastAsia="仿宋" w:cs="仿宋"/>
          <w:b/>
          <w:bCs/>
          <w:sz w:val="24"/>
          <w:szCs w:val="24"/>
          <w:u w:val="dotted"/>
          <w:lang w:eastAsia="zh-CN"/>
        </w:rPr>
        <w:t xml:space="preserve">                                                                              </w:t>
      </w:r>
    </w:p>
    <w:p w14:paraId="48EDFEBA">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承包人应保障发包人不承担因承包人移动或使用施工场地外的施工设备和临时设施所造成的损害而引起的赔偿。</w:t>
      </w:r>
    </w:p>
    <w:p w14:paraId="6B41D6B0">
      <w:pPr>
        <w:pStyle w:val="22"/>
        <w:adjustRightInd w:val="0"/>
        <w:snapToGrid w:val="0"/>
        <w:spacing w:line="400" w:lineRule="exact"/>
        <w:rPr>
          <w:rFonts w:ascii="仿宋" w:hAnsi="仿宋" w:eastAsia="仿宋" w:cs="仿宋"/>
          <w:b/>
          <w:bCs/>
          <w:sz w:val="24"/>
          <w:szCs w:val="24"/>
          <w:u w:val="single"/>
          <w:lang w:eastAsia="zh-CN"/>
        </w:rPr>
      </w:pPr>
      <w:r>
        <w:rPr>
          <w:rFonts w:ascii="仿宋" w:hAnsi="仿宋" w:eastAsia="仿宋" w:cs="仿宋"/>
          <w:b/>
          <w:bCs/>
          <w:sz w:val="24"/>
          <w:szCs w:val="24"/>
          <w:u w:val="single"/>
          <w:lang w:eastAsia="zh-CN"/>
        </w:rPr>
        <w:t xml:space="preserve">                                                                                     </w:t>
      </w:r>
    </w:p>
    <w:p w14:paraId="5D1E2DE4">
      <w:pPr>
        <w:pStyle w:val="4"/>
        <w:tabs>
          <w:tab w:val="left" w:pos="420"/>
        </w:tabs>
        <w:spacing w:before="0" w:after="0" w:line="400" w:lineRule="exact"/>
        <w:rPr>
          <w:rFonts w:ascii="仿宋" w:hAnsi="仿宋" w:eastAsia="仿宋" w:cs="仿宋"/>
          <w:bCs w:val="0"/>
          <w:sz w:val="24"/>
          <w:szCs w:val="24"/>
          <w:lang w:eastAsia="zh-CN"/>
        </w:rPr>
      </w:pPr>
      <w:bookmarkStart w:id="202" w:name="_Toc29459"/>
      <w:bookmarkStart w:id="203" w:name="_Toc30308"/>
      <w:bookmarkStart w:id="204" w:name="_Toc194073126"/>
      <w:bookmarkStart w:id="205" w:name="_Toc23992"/>
      <w:r>
        <w:rPr>
          <w:rFonts w:hint="eastAsia" w:ascii="仿宋" w:hAnsi="仿宋" w:eastAsia="仿宋" w:cs="仿宋"/>
          <w:bCs w:val="0"/>
          <w:sz w:val="24"/>
          <w:szCs w:val="24"/>
          <w:lang w:eastAsia="zh-CN"/>
        </w:rPr>
        <w:t>21</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财产</w:t>
      </w:r>
      <w:bookmarkEnd w:id="202"/>
      <w:bookmarkEnd w:id="203"/>
      <w:bookmarkEnd w:id="204"/>
      <w:bookmarkEnd w:id="205"/>
    </w:p>
    <w:p w14:paraId="7DE03206">
      <w:pPr>
        <w:spacing w:line="400" w:lineRule="exact"/>
        <w:rPr>
          <w:rFonts w:ascii="仿宋" w:hAnsi="仿宋" w:eastAsia="仿宋"/>
          <w:b/>
          <w:bCs/>
          <w:lang w:eastAsia="zh-CN"/>
        </w:rPr>
      </w:pPr>
      <w:r>
        <w:rPr>
          <w:rFonts w:hint="eastAsia" w:ascii="仿宋" w:hAnsi="仿宋" w:eastAsia="仿宋" w:cs="仿宋"/>
          <w:b/>
          <w:bCs/>
          <w:lang w:eastAsia="zh-CN"/>
        </w:rPr>
        <w:t>21</w:t>
      </w:r>
      <w:r>
        <w:rPr>
          <w:rFonts w:ascii="仿宋" w:hAnsi="仿宋" w:eastAsia="仿宋" w:cs="仿宋"/>
          <w:b/>
          <w:bCs/>
          <w:lang w:eastAsia="zh-CN"/>
        </w:rPr>
        <w:t>.1</w:t>
      </w:r>
    </w:p>
    <w:p w14:paraId="4525C230">
      <w:pPr>
        <w:pStyle w:val="22"/>
        <w:widowControl w:val="0"/>
        <w:adjustRightInd w:val="0"/>
        <w:snapToGrid w:val="0"/>
        <w:spacing w:line="400" w:lineRule="exact"/>
        <w:ind w:left="1850" w:leftChars="771"/>
        <w:jc w:val="both"/>
        <w:rPr>
          <w:rFonts w:ascii="仿宋" w:hAnsi="仿宋" w:eastAsia="仿宋"/>
          <w:sz w:val="24"/>
          <w:szCs w:val="24"/>
          <w:lang w:eastAsia="zh-CN"/>
        </w:rPr>
      </w:pPr>
      <w:r>
        <w:rPr>
          <w:sz w:val="24"/>
          <w:szCs w:val="24"/>
        </w:rPr>
        <mc:AlternateContent>
          <mc:Choice Requires="wps">
            <w:drawing>
              <wp:anchor distT="0" distB="0" distL="114300" distR="114300" simplePos="0" relativeHeight="251702272" behindDoc="0" locked="0" layoutInCell="1" allowOverlap="1">
                <wp:simplePos x="0" y="0"/>
                <wp:positionH relativeFrom="column">
                  <wp:posOffset>-114300</wp:posOffset>
                </wp:positionH>
                <wp:positionV relativeFrom="paragraph">
                  <wp:posOffset>0</wp:posOffset>
                </wp:positionV>
                <wp:extent cx="794385" cy="875030"/>
                <wp:effectExtent l="0" t="0" r="0" b="0"/>
                <wp:wrapNone/>
                <wp:docPr id="64" name="文本框 739"/>
                <wp:cNvGraphicFramePr/>
                <a:graphic xmlns:a="http://schemas.openxmlformats.org/drawingml/2006/main">
                  <a:graphicData uri="http://schemas.microsoft.com/office/word/2010/wordprocessingShape">
                    <wps:wsp>
                      <wps:cNvSpPr txBox="1"/>
                      <wps:spPr>
                        <a:xfrm>
                          <a:off x="0" y="0"/>
                          <a:ext cx="794385" cy="875030"/>
                        </a:xfrm>
                        <a:prstGeom prst="rect">
                          <a:avLst/>
                        </a:prstGeom>
                        <a:noFill/>
                        <a:ln w="12700">
                          <a:noFill/>
                        </a:ln>
                      </wps:spPr>
                      <wps:txbx>
                        <w:txbxContent>
                          <w:p w14:paraId="6F8ACBF4">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用于工程材料、工程设备和施工设备的财产</w:t>
                            </w:r>
                          </w:p>
                        </w:txbxContent>
                      </wps:txbx>
                      <wps:bodyPr rot="0" vert="horz" wrap="square" lIns="91440" tIns="45720" rIns="91440" bIns="45720" anchor="t" anchorCtr="0"/>
                    </wps:wsp>
                  </a:graphicData>
                </a:graphic>
              </wp:anchor>
            </w:drawing>
          </mc:Choice>
          <mc:Fallback>
            <w:pict>
              <v:shape id="文本框 739" o:spid="_x0000_s1026" o:spt="202" type="#_x0000_t202" style="position:absolute;left:0pt;margin-left:-9pt;margin-top:0pt;height:68.9pt;width:62.55pt;z-index:251702272;mso-width-relative:page;mso-height-relative:page;" filled="f" stroked="f" coordsize="21600,21600" o:gfxdata="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q2il&#10;XNcAAAAIAQAADwAAAAAAAAABACAAAAAiAAAAZHJzL2Rvd25yZXYueG1sUEsBAhQAFAAAAAgAh07i&#10;QC5hJ2jqAQAAvQMAAA4AAAAAAAAAAQAgAAAAJgEAAGRycy9lMm9Eb2MueG1sUEsFBgAAAAAGAAYA&#10;WQEAAIIFAAAAAA==&#10;">
                <v:fill on="f" focussize="0,0"/>
                <v:stroke on="f" weight="1pt"/>
                <v:imagedata o:title=""/>
                <o:lock v:ext="edit" aspectratio="f"/>
                <v:textbox>
                  <w:txbxContent>
                    <w:p w14:paraId="6F8ACBF4">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用于工程材料、工程设备和施工设备的财产</w:t>
                      </w:r>
                    </w:p>
                  </w:txbxContent>
                </v:textbox>
              </v:shape>
            </w:pict>
          </mc:Fallback>
        </mc:AlternateContent>
      </w:r>
      <w:r>
        <w:rPr>
          <w:rFonts w:hint="eastAsia" w:ascii="仿宋" w:hAnsi="仿宋" w:eastAsia="仿宋" w:cs="仿宋"/>
          <w:sz w:val="24"/>
          <w:szCs w:val="24"/>
          <w:lang w:eastAsia="zh-CN"/>
        </w:rPr>
        <w:t>合同工程所需的工程材料、工程设备（包括备品备件、安装专用工器具与随机资料）和承包人的施工设备一经运至施工现场，即成为实施合同工程的财产。没有经监理人同意并由其报发包人批准，承包人不得使用合同工程的财产，也不得将实施合同工程的财产运出施工现场，但用于运送工程材料和工程设备、施工设备和雇员的运输工具除外。</w:t>
      </w:r>
    </w:p>
    <w:p w14:paraId="2227FD2A">
      <w:pPr>
        <w:spacing w:line="400" w:lineRule="exact"/>
        <w:rPr>
          <w:rFonts w:ascii="仿宋" w:hAnsi="仿宋" w:eastAsia="仿宋"/>
          <w:b/>
          <w:bCs/>
          <w:lang w:eastAsia="zh-CN"/>
        </w:rPr>
      </w:pPr>
      <w:r>
        <w:rPr>
          <w:rFonts w:ascii="仿宋" w:hAnsi="仿宋" w:eastAsia="仿宋" w:cs="仿宋"/>
          <w:b/>
          <w:bCs/>
        </w:rPr>
        <mc:AlternateContent>
          <mc:Choice Requires="wps">
            <w:drawing>
              <wp:anchor distT="0" distB="0" distL="114300" distR="114300" simplePos="0" relativeHeight="251703296" behindDoc="0" locked="0" layoutInCell="1" allowOverlap="1">
                <wp:simplePos x="0" y="0"/>
                <wp:positionH relativeFrom="column">
                  <wp:posOffset>-114300</wp:posOffset>
                </wp:positionH>
                <wp:positionV relativeFrom="paragraph">
                  <wp:posOffset>282575</wp:posOffset>
                </wp:positionV>
                <wp:extent cx="823595" cy="470535"/>
                <wp:effectExtent l="0" t="0" r="0" b="0"/>
                <wp:wrapNone/>
                <wp:docPr id="65" name="文本框 740"/>
                <wp:cNvGraphicFramePr/>
                <a:graphic xmlns:a="http://schemas.openxmlformats.org/drawingml/2006/main">
                  <a:graphicData uri="http://schemas.microsoft.com/office/word/2010/wordprocessingShape">
                    <wps:wsp>
                      <wps:cNvSpPr txBox="1"/>
                      <wps:spPr>
                        <a:xfrm>
                          <a:off x="0" y="0"/>
                          <a:ext cx="823595" cy="470535"/>
                        </a:xfrm>
                        <a:prstGeom prst="rect">
                          <a:avLst/>
                        </a:prstGeom>
                        <a:noFill/>
                        <a:ln w="12700">
                          <a:noFill/>
                        </a:ln>
                      </wps:spPr>
                      <wps:txbx>
                        <w:txbxContent>
                          <w:p w14:paraId="6077EF1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发包人财产及其使用</w:t>
                            </w:r>
                          </w:p>
                        </w:txbxContent>
                      </wps:txbx>
                      <wps:bodyPr rot="0" vert="horz" wrap="square" lIns="91440" tIns="45720" rIns="91440" bIns="45720" anchor="t" anchorCtr="0"/>
                    </wps:wsp>
                  </a:graphicData>
                </a:graphic>
              </wp:anchor>
            </w:drawing>
          </mc:Choice>
          <mc:Fallback>
            <w:pict>
              <v:shape id="文本框 740" o:spid="_x0000_s1026" o:spt="202" type="#_x0000_t202" style="position:absolute;left:0pt;margin-left:-9pt;margin-top:22.25pt;height:37.05pt;width:64.85pt;z-index:251703296;mso-width-relative:page;mso-height-relative:page;" filled="f" stroked="f" coordsize="21600,21600" o:gfxdata="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bwm2/&#10;2AAAAAoBAAAPAAAAAAAAAAEAIAAAACIAAABkcnMvZG93bnJldi54bWxQSwECFAAUAAAACACHTuJA&#10;4OOvBegBAAC9AwAADgAAAAAAAAABACAAAAAnAQAAZHJzL2Uyb0RvYy54bWxQSwUGAAAAAAYABgBZ&#10;AQAAgQUAAAAA&#10;">
                <v:fill on="f" focussize="0,0"/>
                <v:stroke on="f" weight="1pt"/>
                <v:imagedata o:title=""/>
                <o:lock v:ext="edit" aspectratio="f"/>
                <v:textbox>
                  <w:txbxContent>
                    <w:p w14:paraId="6077EF1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发包人财产及其使用</w:t>
                      </w:r>
                    </w:p>
                  </w:txbxContent>
                </v:textbox>
              </v:shape>
            </w:pict>
          </mc:Fallback>
        </mc:AlternateContent>
      </w:r>
      <w:r>
        <w:rPr>
          <w:rFonts w:hint="eastAsia" w:ascii="仿宋" w:hAnsi="仿宋" w:eastAsia="仿宋" w:cs="仿宋"/>
          <w:b/>
          <w:bCs/>
          <w:lang w:eastAsia="zh-CN"/>
        </w:rPr>
        <w:t>21</w:t>
      </w:r>
      <w:r>
        <w:rPr>
          <w:rFonts w:ascii="仿宋" w:hAnsi="仿宋" w:eastAsia="仿宋" w:cs="仿宋"/>
          <w:b/>
          <w:bCs/>
          <w:lang w:eastAsia="zh-CN"/>
        </w:rPr>
        <w:t xml:space="preserve">.2  </w:t>
      </w:r>
      <w:r>
        <w:rPr>
          <w:rFonts w:ascii="仿宋" w:hAnsi="仿宋" w:eastAsia="仿宋" w:cs="仿宋"/>
          <w:b/>
          <w:bCs/>
          <w:u w:val="dotted"/>
          <w:lang w:eastAsia="zh-CN"/>
        </w:rPr>
        <w:t xml:space="preserve">                                                                               </w:t>
      </w:r>
    </w:p>
    <w:p w14:paraId="7C73D778">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如果发包人依据第92</w:t>
      </w:r>
      <w:r>
        <w:rPr>
          <w:rFonts w:ascii="仿宋" w:hAnsi="仿宋" w:eastAsia="仿宋" w:cs="仿宋"/>
          <w:sz w:val="24"/>
          <w:szCs w:val="24"/>
          <w:lang w:eastAsia="zh-CN"/>
        </w:rPr>
        <w:t>.3</w:t>
      </w:r>
      <w:r>
        <w:rPr>
          <w:rFonts w:hint="eastAsia" w:ascii="仿宋" w:hAnsi="仿宋" w:eastAsia="仿宋" w:cs="仿宋"/>
          <w:sz w:val="24"/>
          <w:szCs w:val="24"/>
          <w:lang w:eastAsia="zh-CN"/>
        </w:rPr>
        <w:t>款约定的情形解除合同，则合同工程和临时工程，应认为是发包人的财产。</w:t>
      </w:r>
    </w:p>
    <w:p w14:paraId="076BFDE4">
      <w:pPr>
        <w:spacing w:line="400" w:lineRule="exact"/>
        <w:rPr>
          <w:rFonts w:ascii="仿宋" w:hAnsi="仿宋" w:eastAsia="仿宋"/>
          <w:b/>
          <w:bCs/>
          <w:lang w:eastAsia="zh-CN"/>
        </w:rPr>
      </w:pPr>
      <w:bookmarkStart w:id="206" w:name="_Toc6120"/>
      <w:r>
        <w:rPr>
          <w:rFonts w:ascii="仿宋" w:hAnsi="仿宋" w:eastAsia="仿宋" w:cs="仿宋"/>
          <w:b/>
          <w:bCs/>
        </w:rPr>
        <mc:AlternateContent>
          <mc:Choice Requires="wps">
            <w:drawing>
              <wp:anchor distT="0" distB="0" distL="114300" distR="114300" simplePos="0" relativeHeight="251704320" behindDoc="0" locked="0" layoutInCell="1" allowOverlap="1">
                <wp:simplePos x="0" y="0"/>
                <wp:positionH relativeFrom="column">
                  <wp:posOffset>-114300</wp:posOffset>
                </wp:positionH>
                <wp:positionV relativeFrom="paragraph">
                  <wp:posOffset>282575</wp:posOffset>
                </wp:positionV>
                <wp:extent cx="842645" cy="636905"/>
                <wp:effectExtent l="0" t="0" r="0" b="0"/>
                <wp:wrapNone/>
                <wp:docPr id="66" name="文本框 741"/>
                <wp:cNvGraphicFramePr/>
                <a:graphic xmlns:a="http://schemas.openxmlformats.org/drawingml/2006/main">
                  <a:graphicData uri="http://schemas.microsoft.com/office/word/2010/wordprocessingShape">
                    <wps:wsp>
                      <wps:cNvSpPr txBox="1"/>
                      <wps:spPr>
                        <a:xfrm>
                          <a:off x="0" y="0"/>
                          <a:ext cx="842645" cy="636905"/>
                        </a:xfrm>
                        <a:prstGeom prst="rect">
                          <a:avLst/>
                        </a:prstGeom>
                        <a:noFill/>
                        <a:ln w="12700">
                          <a:noFill/>
                        </a:ln>
                      </wps:spPr>
                      <wps:txbx>
                        <w:txbxContent>
                          <w:p w14:paraId="0086551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txbxContent>
                      </wps:txbx>
                      <wps:bodyPr rot="0" vert="horz" wrap="square" lIns="91440" tIns="45720" rIns="91440" bIns="45720" anchor="t" anchorCtr="0"/>
                    </wps:wsp>
                  </a:graphicData>
                </a:graphic>
              </wp:anchor>
            </w:drawing>
          </mc:Choice>
          <mc:Fallback>
            <w:pict>
              <v:shape id="文本框 741" o:spid="_x0000_s1026" o:spt="202" type="#_x0000_t202" style="position:absolute;left:0pt;margin-left:-9pt;margin-top:22.25pt;height:50.15pt;width:66.35pt;z-index:251704320;mso-width-relative:page;mso-height-relative:page;" filled="f" stroked="f" coordsize="21600,21600" o:gfxdata="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bV&#10;bEHZAAAACgEAAA8AAAAAAAAAAQAgAAAAIgAAAGRycy9kb3ducmV2LnhtbFBLAQIUABQAAAAIAIdO&#10;4kC6YCFl6QEAAL0DAAAOAAAAAAAAAAEAIAAAACgBAABkcnMvZTJvRG9jLnhtbFBLBQYAAAAABgAG&#10;AFkBAACDBQAAAAA=&#10;">
                <v:fill on="f" focussize="0,0"/>
                <v:stroke on="f" weight="1pt"/>
                <v:imagedata o:title=""/>
                <o:lock v:ext="edit" aspectratio="f"/>
                <v:textbox>
                  <w:txbxContent>
                    <w:p w14:paraId="0086551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txbxContent>
                </v:textbox>
              </v:shape>
            </w:pict>
          </mc:Fallback>
        </mc:AlternateContent>
      </w:r>
      <w:r>
        <w:rPr>
          <w:rFonts w:hint="eastAsia" w:ascii="仿宋" w:hAnsi="仿宋" w:eastAsia="仿宋" w:cs="仿宋"/>
          <w:b/>
          <w:bCs/>
          <w:lang w:eastAsia="zh-CN"/>
        </w:rPr>
        <w:t>21</w:t>
      </w:r>
      <w:r>
        <w:rPr>
          <w:rFonts w:ascii="仿宋" w:hAnsi="仿宋" w:eastAsia="仿宋" w:cs="仿宋"/>
          <w:b/>
          <w:bCs/>
          <w:lang w:eastAsia="zh-CN"/>
        </w:rPr>
        <w:t>.3</w:t>
      </w:r>
      <w:bookmarkEnd w:id="206"/>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6E374A5B">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如果承包人依据第92</w:t>
      </w:r>
      <w:r>
        <w:rPr>
          <w:rFonts w:ascii="仿宋" w:hAnsi="仿宋" w:eastAsia="仿宋" w:cs="仿宋"/>
          <w:sz w:val="24"/>
          <w:szCs w:val="24"/>
          <w:lang w:eastAsia="zh-CN"/>
        </w:rPr>
        <w:t>.4</w:t>
      </w:r>
      <w:r>
        <w:rPr>
          <w:rFonts w:hint="eastAsia" w:ascii="仿宋" w:hAnsi="仿宋" w:eastAsia="仿宋" w:cs="仿宋"/>
          <w:sz w:val="24"/>
          <w:szCs w:val="24"/>
          <w:lang w:eastAsia="zh-CN"/>
        </w:rPr>
        <w:t>款约定的情形解除合同，则承包人有权要求发包人支付已完工程款，并赔偿因此造成的损失。发包人应为承包人撤出现场提供便利和协助。如发包人未付完相关款项，承包人有权留置施工现场，直到发包人付完款项为止。</w:t>
      </w:r>
    </w:p>
    <w:p w14:paraId="76DD475C">
      <w:pPr>
        <w:pStyle w:val="22"/>
        <w:adjustRightInd w:val="0"/>
        <w:snapToGrid w:val="0"/>
        <w:spacing w:line="400" w:lineRule="exact"/>
        <w:rPr>
          <w:rFonts w:ascii="仿宋" w:hAnsi="仿宋" w:eastAsia="仿宋"/>
          <w:b/>
          <w:bCs/>
          <w:kern w:val="2"/>
          <w:sz w:val="24"/>
          <w:szCs w:val="24"/>
          <w:lang w:eastAsia="zh-CN"/>
        </w:rPr>
      </w:pPr>
      <w:r>
        <w:rPr>
          <w:rFonts w:ascii="仿宋" w:hAnsi="仿宋" w:eastAsia="仿宋" w:cs="仿宋"/>
          <w:b/>
          <w:bCs/>
          <w:sz w:val="24"/>
          <w:szCs w:val="24"/>
          <w:u w:val="single"/>
          <w:lang w:eastAsia="zh-CN"/>
        </w:rPr>
        <w:t xml:space="preserve">                                                                                      </w:t>
      </w:r>
    </w:p>
    <w:p w14:paraId="524AAC6B">
      <w:pPr>
        <w:spacing w:line="400" w:lineRule="exact"/>
        <w:jc w:val="center"/>
        <w:outlineLvl w:val="1"/>
        <w:rPr>
          <w:rFonts w:ascii="仿宋" w:hAnsi="仿宋" w:eastAsia="仿宋"/>
          <w:b/>
          <w:bCs/>
          <w:lang w:eastAsia="zh-CN"/>
        </w:rPr>
      </w:pPr>
      <w:bookmarkStart w:id="207" w:name="_Toc194073127"/>
      <w:bookmarkStart w:id="208" w:name="_Toc9715"/>
      <w:bookmarkStart w:id="209" w:name="_Toc108"/>
      <w:bookmarkStart w:id="210" w:name="_Toc29465"/>
      <w:r>
        <w:rPr>
          <w:rFonts w:hint="eastAsia" w:ascii="仿宋" w:hAnsi="仿宋" w:eastAsia="仿宋" w:cs="仿宋"/>
          <w:b/>
          <w:bCs/>
          <w:lang w:eastAsia="zh-CN"/>
        </w:rPr>
        <w:t>二、合同主体</w:t>
      </w:r>
      <w:bookmarkEnd w:id="207"/>
      <w:bookmarkEnd w:id="208"/>
      <w:bookmarkEnd w:id="209"/>
      <w:bookmarkEnd w:id="210"/>
    </w:p>
    <w:p w14:paraId="16AC7F4D">
      <w:pPr>
        <w:pStyle w:val="4"/>
        <w:tabs>
          <w:tab w:val="left" w:pos="420"/>
        </w:tabs>
        <w:spacing w:before="0" w:after="0" w:line="400" w:lineRule="exact"/>
        <w:rPr>
          <w:rFonts w:ascii="仿宋" w:hAnsi="仿宋" w:eastAsia="仿宋"/>
          <w:sz w:val="24"/>
          <w:szCs w:val="24"/>
          <w:lang w:eastAsia="zh-CN"/>
        </w:rPr>
      </w:pPr>
      <w:bookmarkStart w:id="211" w:name="_Toc194073128"/>
      <w:bookmarkStart w:id="212" w:name="_Toc8476"/>
      <w:bookmarkStart w:id="213" w:name="_Toc21056"/>
      <w:bookmarkStart w:id="214" w:name="_Toc29754"/>
      <w:r>
        <w:rPr>
          <w:rFonts w:hint="eastAsia" w:ascii="仿宋" w:hAnsi="仿宋" w:eastAsia="仿宋" w:cs="仿宋"/>
          <w:sz w:val="24"/>
          <w:szCs w:val="24"/>
          <w:lang w:eastAsia="zh-CN"/>
        </w:rPr>
        <w:t>22</w:t>
      </w:r>
      <w:r>
        <w:rPr>
          <w:rFonts w:ascii="仿宋" w:hAnsi="仿宋" w:eastAsia="仿宋" w:cs="仿宋"/>
          <w:sz w:val="24"/>
          <w:szCs w:val="24"/>
          <w:lang w:eastAsia="zh-CN"/>
        </w:rPr>
        <w:t xml:space="preserve">  </w:t>
      </w:r>
      <w:r>
        <w:rPr>
          <w:rFonts w:hint="eastAsia" w:ascii="仿宋" w:hAnsi="仿宋" w:eastAsia="仿宋" w:cs="仿宋"/>
          <w:sz w:val="24"/>
          <w:szCs w:val="24"/>
          <w:lang w:eastAsia="zh-CN"/>
        </w:rPr>
        <w:t>发包人</w:t>
      </w:r>
      <w:bookmarkEnd w:id="211"/>
      <w:bookmarkEnd w:id="212"/>
      <w:bookmarkEnd w:id="213"/>
      <w:bookmarkEnd w:id="214"/>
    </w:p>
    <w:p w14:paraId="439DFE18">
      <w:pPr>
        <w:tabs>
          <w:tab w:val="left" w:pos="1620"/>
        </w:tabs>
        <w:spacing w:line="400" w:lineRule="exact"/>
        <w:ind w:left="-2" w:leftChars="-1" w:firstLine="1"/>
        <w:rPr>
          <w:rFonts w:ascii="仿宋" w:hAnsi="仿宋" w:eastAsia="仿宋"/>
          <w:b/>
          <w:bCs/>
          <w:lang w:eastAsia="zh-CN"/>
        </w:rPr>
      </w:pPr>
      <w:r>
        <w:rPr>
          <w:rFonts w:hint="eastAsia" w:ascii="仿宋" w:hAnsi="仿宋" w:eastAsia="仿宋" w:cs="仿宋"/>
          <w:b/>
          <w:bCs/>
          <w:lang w:eastAsia="zh-CN"/>
        </w:rPr>
        <w:t>22</w:t>
      </w:r>
      <w:r>
        <w:rPr>
          <w:rFonts w:ascii="仿宋" w:hAnsi="仿宋" w:eastAsia="仿宋" w:cs="仿宋"/>
          <w:b/>
          <w:bCs/>
          <w:lang w:eastAsia="zh-CN"/>
        </w:rPr>
        <w:t>.1</w:t>
      </w:r>
    </w:p>
    <w:p w14:paraId="5FD79096">
      <w:pPr>
        <w:widowControl w:val="0"/>
        <w:tabs>
          <w:tab w:val="left" w:pos="1620"/>
        </w:tabs>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705344" behindDoc="0" locked="0" layoutInCell="1" allowOverlap="1">
                <wp:simplePos x="0" y="0"/>
                <wp:positionH relativeFrom="column">
                  <wp:posOffset>-114300</wp:posOffset>
                </wp:positionH>
                <wp:positionV relativeFrom="paragraph">
                  <wp:posOffset>4445</wp:posOffset>
                </wp:positionV>
                <wp:extent cx="871855" cy="451485"/>
                <wp:effectExtent l="0" t="0" r="0" b="0"/>
                <wp:wrapNone/>
                <wp:docPr id="67" name="文本框 742"/>
                <wp:cNvGraphicFramePr/>
                <a:graphic xmlns:a="http://schemas.openxmlformats.org/drawingml/2006/main">
                  <a:graphicData uri="http://schemas.microsoft.com/office/word/2010/wordprocessingShape">
                    <wps:wsp>
                      <wps:cNvSpPr txBox="1"/>
                      <wps:spPr>
                        <a:xfrm>
                          <a:off x="0" y="0"/>
                          <a:ext cx="871855" cy="451485"/>
                        </a:xfrm>
                        <a:prstGeom prst="rect">
                          <a:avLst/>
                        </a:prstGeom>
                        <a:noFill/>
                        <a:ln w="12700">
                          <a:noFill/>
                        </a:ln>
                      </wps:spPr>
                      <wps:txbx>
                        <w:txbxContent>
                          <w:p w14:paraId="6B69E0F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wps:txbx>
                      <wps:bodyPr rot="0" vert="horz" wrap="square" lIns="91440" tIns="45720" rIns="91440" bIns="45720" anchor="t" anchorCtr="0"/>
                    </wps:wsp>
                  </a:graphicData>
                </a:graphic>
              </wp:anchor>
            </w:drawing>
          </mc:Choice>
          <mc:Fallback>
            <w:pict>
              <v:shape id="文本框 742" o:spid="_x0000_s1026" o:spt="202" type="#_x0000_t202" style="position:absolute;left:0pt;margin-left:-9pt;margin-top:0.35pt;height:35.55pt;width:68.65pt;z-index:251705344;mso-width-relative:page;mso-height-relative:page;" filled="f" stroked="f" coordsize="21600,21600" o:gfxdata="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I07NnzV&#10;AAAABwEAAA8AAAAAAAAAAQAgAAAAIgAAAGRycy9kb3ducmV2LnhtbFBLAQIUABQAAAAIAIdO4kD/&#10;lmIL6gEAAL0DAAAOAAAAAAAAAAEAIAAAACQBAABkcnMvZTJvRG9jLnhtbFBLBQYAAAAABgAGAFkB&#10;AACABQAAAAA=&#10;">
                <v:fill on="f" focussize="0,0"/>
                <v:stroke on="f" weight="1pt"/>
                <v:imagedata o:title=""/>
                <o:lock v:ext="edit" aspectratio="f"/>
                <v:textbox>
                  <w:txbxContent>
                    <w:p w14:paraId="6B69E0F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仿宋" w:hAnsi="仿宋" w:eastAsia="仿宋" w:cs="仿宋"/>
          <w:lang w:eastAsia="zh-CN"/>
        </w:rPr>
        <w:t>发包人在履行合同期间应遵守法律，并保证承包人免于承担因发包人违反法律而引起的任何责任；遵守国家、省、市有关社会信用体系建设工作的法律、行政法规、规章、规范性文件，严格执行信用承诺制度，违背信用承诺约定时，承担违约责任，并依法承担相应法律责任。</w:t>
      </w:r>
    </w:p>
    <w:p w14:paraId="0E1E1F3C">
      <w:pPr>
        <w:spacing w:line="400" w:lineRule="exact"/>
        <w:rPr>
          <w:rFonts w:ascii="仿宋" w:hAnsi="仿宋" w:eastAsia="仿宋" w:cs="仿宋"/>
          <w:b/>
          <w:bCs/>
          <w:lang w:eastAsia="zh-CN"/>
        </w:rPr>
      </w:pPr>
      <w:r>
        <w:rPr>
          <w:rFonts w:hint="eastAsia" w:ascii="仿宋" w:hAnsi="仿宋" w:eastAsia="仿宋" w:cs="仿宋"/>
          <w:b/>
          <w:bCs/>
          <w:lang w:eastAsia="zh-CN"/>
        </w:rPr>
        <w:t>22</w:t>
      </w:r>
      <w:r>
        <w:rPr>
          <w:rFonts w:ascii="仿宋" w:hAnsi="仿宋" w:eastAsia="仿宋" w:cs="仿宋"/>
          <w:b/>
          <w:bCs/>
          <w:lang w:eastAsia="zh-CN"/>
        </w:rPr>
        <w:t xml:space="preserve">.2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775D1CDD">
      <w:pPr>
        <w:widowControl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706368" behindDoc="0" locked="0" layoutInCell="1" allowOverlap="1">
                <wp:simplePos x="0" y="0"/>
                <wp:positionH relativeFrom="column">
                  <wp:posOffset>-114300</wp:posOffset>
                </wp:positionH>
                <wp:positionV relativeFrom="paragraph">
                  <wp:posOffset>4445</wp:posOffset>
                </wp:positionV>
                <wp:extent cx="880110" cy="470535"/>
                <wp:effectExtent l="0" t="0" r="0" b="0"/>
                <wp:wrapNone/>
                <wp:docPr id="68" name="文本框 743"/>
                <wp:cNvGraphicFramePr/>
                <a:graphic xmlns:a="http://schemas.openxmlformats.org/drawingml/2006/main">
                  <a:graphicData uri="http://schemas.microsoft.com/office/word/2010/wordprocessingShape">
                    <wps:wsp>
                      <wps:cNvSpPr txBox="1"/>
                      <wps:spPr>
                        <a:xfrm>
                          <a:off x="0" y="0"/>
                          <a:ext cx="880110" cy="470535"/>
                        </a:xfrm>
                        <a:prstGeom prst="rect">
                          <a:avLst/>
                        </a:prstGeom>
                        <a:noFill/>
                        <a:ln w="12700">
                          <a:noFill/>
                        </a:ln>
                      </wps:spPr>
                      <wps:txbx>
                        <w:txbxContent>
                          <w:p w14:paraId="18ADA0A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发包人工作</w:t>
                            </w:r>
                          </w:p>
                        </w:txbxContent>
                      </wps:txbx>
                      <wps:bodyPr rot="0" vert="horz" wrap="square" lIns="91440" tIns="45720" rIns="91440" bIns="45720" anchor="t" anchorCtr="0"/>
                    </wps:wsp>
                  </a:graphicData>
                </a:graphic>
              </wp:anchor>
            </w:drawing>
          </mc:Choice>
          <mc:Fallback>
            <w:pict>
              <v:shape id="文本框 743" o:spid="_x0000_s1026" o:spt="202" type="#_x0000_t202" style="position:absolute;left:0pt;margin-left:-9pt;margin-top:0.35pt;height:37.05pt;width:69.3pt;z-index:251706368;mso-width-relative:page;mso-height-relative:page;" filled="f" stroked="f" coordsize="21600,21600" o:gfxdata="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lY/HV&#10;AAAABwEAAA8AAAAAAAAAAQAgAAAAIgAAAGRycy9kb3ducmV2LnhtbFBLAQIUABQAAAAIAIdO4kDC&#10;JUSq6gEAAL0DAAAOAAAAAAAAAAEAIAAAACQBAABkcnMvZTJvRG9jLnhtbFBLBQYAAAAABgAGAFkB&#10;AACABQAAAAA=&#10;">
                <v:fill on="f" focussize="0,0"/>
                <v:stroke on="f" weight="1pt"/>
                <v:imagedata o:title=""/>
                <o:lock v:ext="edit" aspectratio="f"/>
                <v:textbox>
                  <w:txbxContent>
                    <w:p w14:paraId="18ADA0A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发包人工作</w:t>
                      </w:r>
                    </w:p>
                  </w:txbxContent>
                </v:textbox>
              </v:shape>
            </w:pict>
          </mc:Fallback>
        </mc:AlternateContent>
      </w:r>
      <w:r>
        <w:rPr>
          <w:rFonts w:hint="eastAsia" w:ascii="仿宋" w:hAnsi="仿宋" w:eastAsia="仿宋" w:cs="仿宋"/>
          <w:lang w:eastAsia="zh-CN"/>
        </w:rPr>
        <w:t>发包人应按照合同约定完成下列工作：</w:t>
      </w:r>
    </w:p>
    <w:p w14:paraId="2F4A8E74">
      <w:pPr>
        <w:widowControl w:val="0"/>
        <w:numPr>
          <w:ilvl w:val="0"/>
          <w:numId w:val="12"/>
        </w:numPr>
        <w:tabs>
          <w:tab w:val="clear" w:pos="1110"/>
        </w:tabs>
        <w:spacing w:line="400" w:lineRule="exact"/>
        <w:ind w:left="1850" w:leftChars="771" w:firstLine="0"/>
        <w:jc w:val="both"/>
        <w:rPr>
          <w:rFonts w:ascii="仿宋" w:hAnsi="仿宋" w:eastAsia="仿宋"/>
          <w:lang w:eastAsia="zh-CN"/>
        </w:rPr>
      </w:pPr>
      <w:r>
        <w:rPr>
          <w:rFonts w:hint="eastAsia" w:ascii="仿宋" w:hAnsi="仿宋" w:eastAsia="仿宋" w:cs="仿宋"/>
          <w:lang w:eastAsia="zh-CN"/>
        </w:rPr>
        <w:t>发包人应按第6条约定向承包人提供《发包人要求》和项目基础资料，并为承包人收集其他有关资料提供必要的协助；</w:t>
      </w:r>
    </w:p>
    <w:p w14:paraId="5272A92C">
      <w:pPr>
        <w:widowControl w:val="0"/>
        <w:numPr>
          <w:ilvl w:val="0"/>
          <w:numId w:val="12"/>
        </w:numPr>
        <w:tabs>
          <w:tab w:val="clear" w:pos="1110"/>
        </w:tabs>
        <w:spacing w:line="400" w:lineRule="exact"/>
        <w:ind w:left="1850" w:leftChars="771" w:firstLine="0"/>
        <w:jc w:val="both"/>
        <w:rPr>
          <w:rFonts w:ascii="仿宋" w:hAnsi="仿宋" w:eastAsia="仿宋"/>
          <w:lang w:eastAsia="zh-CN"/>
        </w:rPr>
      </w:pPr>
      <w:r>
        <w:rPr>
          <w:rFonts w:hint="eastAsia" w:ascii="仿宋" w:hAnsi="仿宋" w:eastAsia="仿宋" w:cs="仿宋"/>
          <w:lang w:eastAsia="zh-CN"/>
        </w:rPr>
        <w:t>及时接收承包人提交的勘察报告、设计文件、建筑信息模型（BIM）等成果资料和合理化建议；及时组织对承包人提交的勘察报告、设计文件、建筑信息模型（BIM）、合理化建议等进行审查，并反馈审查意见；需要政府、行业主管部门或施工图审查机构审查的设计文件，及时送审；</w:t>
      </w:r>
    </w:p>
    <w:p w14:paraId="7AFED2FA">
      <w:pPr>
        <w:widowControl w:val="0"/>
        <w:numPr>
          <w:ilvl w:val="0"/>
          <w:numId w:val="12"/>
        </w:numPr>
        <w:tabs>
          <w:tab w:val="clear" w:pos="1110"/>
        </w:tabs>
        <w:spacing w:line="400" w:lineRule="exact"/>
        <w:ind w:left="1850" w:leftChars="771" w:firstLine="0"/>
        <w:jc w:val="both"/>
        <w:rPr>
          <w:rFonts w:ascii="仿宋" w:hAnsi="仿宋" w:eastAsia="仿宋"/>
          <w:lang w:eastAsia="zh-CN"/>
        </w:rPr>
      </w:pPr>
      <w:r>
        <w:rPr>
          <w:rFonts w:hint="eastAsia" w:ascii="仿宋" w:hAnsi="仿宋" w:eastAsia="仿宋" w:cs="仿宋"/>
          <w:lang w:eastAsia="zh-CN"/>
        </w:rPr>
        <w:t>按照专用条款约定的时间向承包人提供一式两份约定的标准与规范（国家、省及地方颁布的标准规范除外）；</w:t>
      </w:r>
    </w:p>
    <w:p w14:paraId="2C6C2C1A">
      <w:pPr>
        <w:widowControl w:val="0"/>
        <w:numPr>
          <w:ilvl w:val="0"/>
          <w:numId w:val="12"/>
        </w:numPr>
        <w:tabs>
          <w:tab w:val="clear" w:pos="1110"/>
        </w:tabs>
        <w:spacing w:line="400" w:lineRule="exact"/>
        <w:ind w:left="1850" w:leftChars="771" w:firstLine="0"/>
        <w:jc w:val="both"/>
        <w:rPr>
          <w:rFonts w:ascii="仿宋" w:hAnsi="仿宋" w:eastAsia="仿宋"/>
          <w:lang w:eastAsia="zh-CN"/>
        </w:rPr>
      </w:pPr>
      <w:r>
        <w:rPr>
          <w:rFonts w:hint="eastAsia" w:ascii="仿宋" w:hAnsi="仿宋" w:eastAsia="仿宋" w:cs="仿宋"/>
          <w:lang w:eastAsia="zh-CN"/>
        </w:rPr>
        <w:t>办理土地征用、拆迁等工作，使施工场地（含勘察施工场地）具备施工条件，并在开工后继续负责解决上述工作遗留的问题；</w:t>
      </w:r>
    </w:p>
    <w:p w14:paraId="051BED59">
      <w:pPr>
        <w:widowControl w:val="0"/>
        <w:numPr>
          <w:ilvl w:val="0"/>
          <w:numId w:val="12"/>
        </w:numPr>
        <w:tabs>
          <w:tab w:val="clear" w:pos="1110"/>
        </w:tabs>
        <w:spacing w:line="400" w:lineRule="exact"/>
        <w:ind w:left="1850" w:leftChars="771" w:firstLine="0"/>
        <w:jc w:val="both"/>
        <w:rPr>
          <w:rFonts w:ascii="仿宋" w:hAnsi="仿宋" w:eastAsia="仿宋"/>
          <w:lang w:eastAsia="zh-CN"/>
        </w:rPr>
      </w:pPr>
      <w:r>
        <w:rPr>
          <w:rFonts w:hint="eastAsia" w:ascii="仿宋" w:hAnsi="仿宋" w:eastAsia="仿宋" w:cs="仿宋"/>
          <w:lang w:eastAsia="zh-CN"/>
        </w:rPr>
        <w:t>将施工所需水、电、通讯线路从施工场地（含勘察施工场地）外部接驳至专用条款约定的地点，保证施工期间的需要；</w:t>
      </w:r>
    </w:p>
    <w:p w14:paraId="556C4F7F">
      <w:pPr>
        <w:widowControl w:val="0"/>
        <w:numPr>
          <w:ilvl w:val="0"/>
          <w:numId w:val="12"/>
        </w:numPr>
        <w:tabs>
          <w:tab w:val="clear" w:pos="1110"/>
        </w:tabs>
        <w:spacing w:line="400" w:lineRule="exact"/>
        <w:ind w:left="1850" w:leftChars="771" w:firstLine="0"/>
        <w:jc w:val="both"/>
        <w:rPr>
          <w:rFonts w:ascii="仿宋" w:hAnsi="仿宋" w:eastAsia="仿宋"/>
          <w:lang w:eastAsia="zh-CN"/>
        </w:rPr>
      </w:pPr>
      <w:r>
        <w:rPr>
          <w:rFonts w:hint="eastAsia" w:ascii="仿宋" w:hAnsi="仿宋" w:eastAsia="仿宋" w:cs="仿宋"/>
          <w:lang w:eastAsia="zh-CN"/>
        </w:rPr>
        <w:t>开通施工场地与城乡公共道路间的通道，满足第</w:t>
      </w:r>
      <w:r>
        <w:rPr>
          <w:rFonts w:ascii="仿宋" w:hAnsi="仿宋" w:eastAsia="仿宋" w:cs="仿宋"/>
          <w:lang w:eastAsia="zh-CN"/>
        </w:rPr>
        <w:t>1</w:t>
      </w:r>
      <w:r>
        <w:rPr>
          <w:rFonts w:hint="eastAsia" w:ascii="仿宋" w:hAnsi="仿宋" w:eastAsia="仿宋" w:cs="仿宋"/>
          <w:lang w:eastAsia="zh-CN"/>
        </w:rPr>
        <w:t>6条交通运输的需要；</w:t>
      </w:r>
    </w:p>
    <w:p w14:paraId="65BD42B8">
      <w:pPr>
        <w:widowControl w:val="0"/>
        <w:numPr>
          <w:ilvl w:val="0"/>
          <w:numId w:val="12"/>
        </w:numPr>
        <w:tabs>
          <w:tab w:val="clear" w:pos="1110"/>
        </w:tabs>
        <w:spacing w:line="400" w:lineRule="exact"/>
        <w:ind w:left="1850" w:leftChars="771" w:firstLine="0"/>
        <w:jc w:val="both"/>
        <w:rPr>
          <w:rFonts w:ascii="仿宋" w:hAnsi="仿宋" w:eastAsia="仿宋"/>
          <w:lang w:eastAsia="zh-CN"/>
        </w:rPr>
      </w:pPr>
      <w:r>
        <w:rPr>
          <w:rFonts w:hint="eastAsia" w:ascii="仿宋" w:hAnsi="仿宋" w:eastAsia="仿宋" w:cs="仿宋"/>
          <w:lang w:eastAsia="zh-CN"/>
        </w:rPr>
        <w:t>办理施工许可及其他所需证件、批准文件和办理临时用地、停水、停电、中断道路交通、爆破作业等的申请批准手续（承包人自身施工资质的证件除外）；</w:t>
      </w:r>
    </w:p>
    <w:p w14:paraId="1F07C263">
      <w:pPr>
        <w:widowControl w:val="0"/>
        <w:numPr>
          <w:ilvl w:val="0"/>
          <w:numId w:val="12"/>
        </w:numPr>
        <w:tabs>
          <w:tab w:val="clear" w:pos="1110"/>
        </w:tabs>
        <w:spacing w:line="400" w:lineRule="exact"/>
        <w:ind w:left="1850" w:leftChars="771" w:firstLine="0"/>
        <w:jc w:val="both"/>
        <w:rPr>
          <w:rFonts w:ascii="仿宋" w:hAnsi="仿宋" w:eastAsia="仿宋"/>
          <w:lang w:eastAsia="zh-CN"/>
        </w:rPr>
      </w:pPr>
      <w:r>
        <w:rPr>
          <w:rFonts w:hint="eastAsia" w:ascii="仿宋" w:hAnsi="仿宋" w:eastAsia="仿宋" w:cs="仿宋"/>
          <w:lang w:eastAsia="zh-CN"/>
        </w:rPr>
        <w:t>确定水准点与坐标控制点，组织现场交验并以书面形式移交给承包人；</w:t>
      </w:r>
    </w:p>
    <w:p w14:paraId="36AC4EF9">
      <w:pPr>
        <w:widowControl w:val="0"/>
        <w:numPr>
          <w:ilvl w:val="0"/>
          <w:numId w:val="12"/>
        </w:numPr>
        <w:tabs>
          <w:tab w:val="left" w:pos="1470"/>
          <w:tab w:val="left" w:pos="1980"/>
        </w:tabs>
        <w:spacing w:line="400" w:lineRule="exact"/>
        <w:ind w:left="1850" w:leftChars="771" w:firstLine="0"/>
        <w:jc w:val="both"/>
        <w:rPr>
          <w:rFonts w:ascii="仿宋" w:hAnsi="仿宋" w:eastAsia="仿宋" w:cs="仿宋"/>
          <w:lang w:eastAsia="zh-CN"/>
        </w:rPr>
      </w:pPr>
      <w:r>
        <w:rPr>
          <w:rFonts w:hint="eastAsia" w:ascii="仿宋" w:hAnsi="仿宋" w:eastAsia="仿宋" w:cs="仿宋"/>
          <w:lang w:eastAsia="zh-CN"/>
        </w:rPr>
        <w:t>协调处理施工场地周围地形关系问题和做好邻近建筑物、构筑物（包括文物保护建筑）、古树名木等的保护工作；</w:t>
      </w:r>
    </w:p>
    <w:p w14:paraId="123EB8CA">
      <w:pPr>
        <w:widowControl w:val="0"/>
        <w:numPr>
          <w:ilvl w:val="0"/>
          <w:numId w:val="12"/>
        </w:numPr>
        <w:tabs>
          <w:tab w:val="left" w:pos="1470"/>
          <w:tab w:val="left" w:pos="1980"/>
        </w:tabs>
        <w:spacing w:line="400" w:lineRule="exact"/>
        <w:ind w:left="1850" w:leftChars="771" w:firstLine="0"/>
        <w:jc w:val="both"/>
        <w:rPr>
          <w:rFonts w:ascii="仿宋" w:hAnsi="仿宋" w:eastAsia="仿宋"/>
          <w:lang w:eastAsia="zh-CN"/>
        </w:rPr>
      </w:pPr>
      <w:r>
        <w:rPr>
          <w:rFonts w:hint="eastAsia" w:ascii="仿宋" w:hAnsi="仿宋" w:eastAsia="仿宋" w:cs="仿宋"/>
          <w:lang w:eastAsia="zh-CN"/>
        </w:rPr>
        <w:t>及时接收已完工程，并按照合同约定及时支付工程款及其他各种款项。</w:t>
      </w:r>
    </w:p>
    <w:p w14:paraId="1C897F12">
      <w:pPr>
        <w:widowControl w:val="0"/>
        <w:numPr>
          <w:ilvl w:val="0"/>
          <w:numId w:val="12"/>
        </w:numPr>
        <w:tabs>
          <w:tab w:val="left" w:pos="1470"/>
          <w:tab w:val="left" w:pos="1980"/>
        </w:tabs>
        <w:spacing w:line="400" w:lineRule="exact"/>
        <w:ind w:left="1850" w:leftChars="771" w:firstLine="0"/>
        <w:jc w:val="both"/>
        <w:rPr>
          <w:rFonts w:ascii="仿宋" w:hAnsi="仿宋" w:eastAsia="仿宋"/>
          <w:lang w:eastAsia="zh-CN"/>
        </w:rPr>
      </w:pPr>
      <w:r>
        <w:rPr>
          <w:rFonts w:hint="eastAsia" w:ascii="仿宋" w:hAnsi="仿宋" w:eastAsia="仿宋" w:cs="仿宋"/>
          <w:lang w:eastAsia="zh-CN"/>
        </w:rPr>
        <w:t>其它。</w:t>
      </w:r>
    </w:p>
    <w:p w14:paraId="5710C3AF">
      <w:pPr>
        <w:pStyle w:val="25"/>
        <w:widowControl w:val="0"/>
        <w:tabs>
          <w:tab w:val="left" w:pos="1980"/>
        </w:tabs>
        <w:spacing w:line="400" w:lineRule="exact"/>
        <w:ind w:left="1850" w:leftChars="771" w:firstLine="0" w:firstLineChars="0"/>
        <w:jc w:val="both"/>
        <w:rPr>
          <w:rFonts w:ascii="仿宋" w:hAnsi="仿宋" w:eastAsia="仿宋" w:cs="仿宋"/>
          <w:lang w:eastAsia="zh-CN"/>
        </w:rPr>
      </w:pPr>
      <w:r>
        <w:rPr>
          <w:rFonts w:hint="eastAsia" w:ascii="仿宋" w:hAnsi="仿宋" w:eastAsia="仿宋" w:cs="仿宋"/>
          <w:lang w:eastAsia="zh-CN"/>
        </w:rPr>
        <w:t>发包人可将其中部分工作委托给承包人办理，具体由合同双方当事人在专用条款中约定。除合同价格已包括外，由发包人承担所需费用，并向承包人支付合理利润。</w:t>
      </w:r>
    </w:p>
    <w:p w14:paraId="2F5253B1">
      <w:pPr>
        <w:spacing w:line="400" w:lineRule="exact"/>
        <w:rPr>
          <w:rFonts w:ascii="仿宋" w:hAnsi="仿宋" w:eastAsia="仿宋"/>
          <w:lang w:eastAsia="zh-CN"/>
        </w:rPr>
      </w:pPr>
      <w:bookmarkStart w:id="215" w:name="_Toc2811"/>
      <w:r>
        <w:rPr>
          <w:rFonts w:hint="eastAsia" w:ascii="仿宋" w:hAnsi="仿宋" w:eastAsia="仿宋" w:cs="仿宋"/>
          <w:b/>
          <w:bCs/>
          <w:lang w:eastAsia="zh-CN"/>
        </w:rPr>
        <w:t>22</w:t>
      </w:r>
      <w:r>
        <w:rPr>
          <w:rFonts w:ascii="仿宋" w:hAnsi="仿宋" w:eastAsia="仿宋" w:cs="仿宋"/>
          <w:b/>
          <w:bCs/>
          <w:lang w:eastAsia="zh-CN"/>
        </w:rPr>
        <w:t>.3</w:t>
      </w:r>
      <w:bookmarkEnd w:id="215"/>
      <w:r>
        <w:rPr>
          <w:rFonts w:ascii="仿宋" w:hAnsi="仿宋" w:eastAsia="仿宋" w:cs="仿宋"/>
          <w:b/>
          <w:bCs/>
          <w:lang w:eastAsia="zh-CN"/>
        </w:rPr>
        <w:t xml:space="preserve"> </w:t>
      </w:r>
      <w:r>
        <w:rPr>
          <w:rFonts w:ascii="仿宋" w:hAnsi="仿宋" w:eastAsia="仿宋" w:cs="仿宋"/>
          <w:lang w:eastAsia="zh-CN"/>
        </w:rPr>
        <w:t xml:space="preserve"> </w:t>
      </w:r>
      <w:r>
        <w:rPr>
          <w:rFonts w:ascii="仿宋" w:hAnsi="仿宋" w:eastAsia="仿宋" w:cs="仿宋"/>
          <w:u w:val="dotted"/>
          <w:lang w:eastAsia="zh-CN"/>
        </w:rPr>
        <w:t xml:space="preserve">                                                                               </w:t>
      </w:r>
    </w:p>
    <w:p w14:paraId="7F79AB01">
      <w:pPr>
        <w:widowControl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707392" behindDoc="0" locked="0" layoutInCell="1" allowOverlap="1">
                <wp:simplePos x="0" y="0"/>
                <wp:positionH relativeFrom="column">
                  <wp:posOffset>-114300</wp:posOffset>
                </wp:positionH>
                <wp:positionV relativeFrom="paragraph">
                  <wp:posOffset>0</wp:posOffset>
                </wp:positionV>
                <wp:extent cx="784860" cy="473710"/>
                <wp:effectExtent l="0" t="0" r="0" b="0"/>
                <wp:wrapNone/>
                <wp:docPr id="69" name="文本框 744"/>
                <wp:cNvGraphicFramePr/>
                <a:graphic xmlns:a="http://schemas.openxmlformats.org/drawingml/2006/main">
                  <a:graphicData uri="http://schemas.microsoft.com/office/word/2010/wordprocessingShape">
                    <wps:wsp>
                      <wps:cNvSpPr txBox="1"/>
                      <wps:spPr>
                        <a:xfrm>
                          <a:off x="0" y="0"/>
                          <a:ext cx="784860" cy="473710"/>
                        </a:xfrm>
                        <a:prstGeom prst="rect">
                          <a:avLst/>
                        </a:prstGeom>
                        <a:noFill/>
                        <a:ln w="12700">
                          <a:noFill/>
                        </a:ln>
                      </wps:spPr>
                      <wps:txbx>
                        <w:txbxContent>
                          <w:p w14:paraId="2338907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发包人提供施工场地</w:t>
                            </w:r>
                          </w:p>
                        </w:txbxContent>
                      </wps:txbx>
                      <wps:bodyPr rot="0" vert="horz" wrap="square" lIns="91440" tIns="45720" rIns="91440" bIns="45720" anchor="t" anchorCtr="0"/>
                    </wps:wsp>
                  </a:graphicData>
                </a:graphic>
              </wp:anchor>
            </w:drawing>
          </mc:Choice>
          <mc:Fallback>
            <w:pict>
              <v:shape id="文本框 744" o:spid="_x0000_s1026" o:spt="202" type="#_x0000_t202" style="position:absolute;left:0pt;margin-left:-9pt;margin-top:0pt;height:37.3pt;width:61.8pt;z-index:251707392;mso-width-relative:page;mso-height-relative:page;" filled="f" stroked="f" coordsize="21600,21600" o:gfxdata="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Ra8P4&#10;1wAAAAcBAAAPAAAAAAAAAAEAIAAAACIAAABkcnMvZG93bnJldi54bWxQSwECFAAUAAAACACHTuJA&#10;cQPwnOkBAAC9AwAADgAAAAAAAAABACAAAAAmAQAAZHJzL2Uyb0RvYy54bWxQSwUGAAAAAAYABgBZ&#10;AQAAgQUAAAAA&#10;">
                <v:fill on="f" focussize="0,0"/>
                <v:stroke on="f" weight="1pt"/>
                <v:imagedata o:title=""/>
                <o:lock v:ext="edit" aspectratio="f"/>
                <v:textbox>
                  <w:txbxContent>
                    <w:p w14:paraId="2338907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发包人提供施工场地</w:t>
                      </w:r>
                    </w:p>
                  </w:txbxContent>
                </v:textbox>
              </v:shape>
            </w:pict>
          </mc:Fallback>
        </mc:AlternateContent>
      </w:r>
      <w:r>
        <w:rPr>
          <w:rFonts w:hint="eastAsia" w:ascii="仿宋" w:hAnsi="仿宋" w:eastAsia="仿宋" w:cs="仿宋"/>
          <w:lang w:eastAsia="zh-CN"/>
        </w:rPr>
        <w:t>发包人应按照专用条款约定的时间提供施工场地（含勘察施工场地），并在确保承包人按照计划进度顺利开工的时间内给予承包人进入和使用施工场地的权利。</w:t>
      </w:r>
    </w:p>
    <w:p w14:paraId="6587141A">
      <w:pPr>
        <w:widowControl w:val="0"/>
        <w:spacing w:line="400" w:lineRule="exact"/>
        <w:ind w:left="1850" w:leftChars="771"/>
        <w:jc w:val="both"/>
        <w:rPr>
          <w:rFonts w:ascii="仿宋" w:hAnsi="仿宋" w:eastAsia="仿宋"/>
          <w:lang w:eastAsia="zh-CN"/>
        </w:rPr>
      </w:pPr>
      <w:r>
        <w:rPr>
          <w:rFonts w:hint="eastAsia" w:ascii="仿宋" w:hAnsi="仿宋" w:eastAsia="仿宋" w:cs="仿宋"/>
          <w:lang w:eastAsia="zh-CN"/>
        </w:rPr>
        <w:t>发包人保留其工作人员和相关政府执法人员进入和使用施工场地的权利。</w:t>
      </w:r>
    </w:p>
    <w:p w14:paraId="050382E6">
      <w:pPr>
        <w:spacing w:line="400" w:lineRule="exact"/>
        <w:rPr>
          <w:rFonts w:ascii="仿宋" w:hAnsi="仿宋" w:eastAsia="仿宋"/>
          <w:b/>
          <w:bCs/>
          <w:lang w:eastAsia="zh-CN"/>
        </w:rPr>
      </w:pPr>
      <w:bookmarkStart w:id="216" w:name="_Toc23044"/>
      <w:r>
        <mc:AlternateContent>
          <mc:Choice Requires="wps">
            <w:drawing>
              <wp:anchor distT="0" distB="0" distL="114300" distR="114300" simplePos="0" relativeHeight="251708416" behindDoc="0" locked="0" layoutInCell="1" allowOverlap="1">
                <wp:simplePos x="0" y="0"/>
                <wp:positionH relativeFrom="column">
                  <wp:posOffset>-114300</wp:posOffset>
                </wp:positionH>
                <wp:positionV relativeFrom="paragraph">
                  <wp:posOffset>220980</wp:posOffset>
                </wp:positionV>
                <wp:extent cx="794385" cy="252730"/>
                <wp:effectExtent l="0" t="0" r="0" b="0"/>
                <wp:wrapNone/>
                <wp:docPr id="70" name="文本框 745"/>
                <wp:cNvGraphicFramePr/>
                <a:graphic xmlns:a="http://schemas.openxmlformats.org/drawingml/2006/main">
                  <a:graphicData uri="http://schemas.microsoft.com/office/word/2010/wordprocessingShape">
                    <wps:wsp>
                      <wps:cNvSpPr txBox="1"/>
                      <wps:spPr>
                        <a:xfrm>
                          <a:off x="0" y="0"/>
                          <a:ext cx="794385" cy="252730"/>
                        </a:xfrm>
                        <a:prstGeom prst="rect">
                          <a:avLst/>
                        </a:prstGeom>
                        <a:noFill/>
                        <a:ln w="12700">
                          <a:noFill/>
                        </a:ln>
                      </wps:spPr>
                      <wps:txbx>
                        <w:txbxContent>
                          <w:p w14:paraId="5C658F4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发包人支付款项</w:t>
                            </w:r>
                          </w:p>
                        </w:txbxContent>
                      </wps:txbx>
                      <wps:bodyPr rot="0" vert="horz" wrap="square" lIns="91440" tIns="45720" rIns="91440" bIns="45720" anchor="t" anchorCtr="0"/>
                    </wps:wsp>
                  </a:graphicData>
                </a:graphic>
              </wp:anchor>
            </w:drawing>
          </mc:Choice>
          <mc:Fallback>
            <w:pict>
              <v:shape id="文本框 745" o:spid="_x0000_s1026" o:spt="202" type="#_x0000_t202" style="position:absolute;left:0pt;margin-left:-9pt;margin-top:17.4pt;height:19.9pt;width:62.55pt;z-index:251708416;mso-width-relative:page;mso-height-relative:page;" filled="f" stroked="f" coordsize="21600,21600" o:gfxdata="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ON&#10;mgPYAAAACQEAAA8AAAAAAAAAAQAgAAAAIgAAAGRycy9kb3ducmV2LnhtbFBLAQIUABQAAAAIAIdO&#10;4kCpHMpH6gEAAL0DAAAOAAAAAAAAAAEAIAAAACcBAABkcnMvZTJvRG9jLnhtbFBLBQYAAAAABgAG&#10;AFkBAACDBQAAAAA=&#10;">
                <v:fill on="f" focussize="0,0"/>
                <v:stroke on="f" weight="1pt"/>
                <v:imagedata o:title=""/>
                <o:lock v:ext="edit" aspectratio="f"/>
                <v:textbox>
                  <w:txbxContent>
                    <w:p w14:paraId="5C658F4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发包人支付款项</w:t>
                      </w:r>
                    </w:p>
                  </w:txbxContent>
                </v:textbox>
              </v:shape>
            </w:pict>
          </mc:Fallback>
        </mc:AlternateContent>
      </w:r>
      <w:r>
        <w:rPr>
          <w:rFonts w:hint="eastAsia" w:ascii="仿宋" w:hAnsi="仿宋" w:eastAsia="仿宋" w:cs="仿宋"/>
          <w:b/>
          <w:bCs/>
          <w:lang w:eastAsia="zh-CN"/>
        </w:rPr>
        <w:t>22</w:t>
      </w:r>
      <w:r>
        <w:rPr>
          <w:rFonts w:ascii="仿宋" w:hAnsi="仿宋" w:eastAsia="仿宋" w:cs="仿宋"/>
          <w:b/>
          <w:bCs/>
          <w:lang w:eastAsia="zh-CN"/>
        </w:rPr>
        <w:t>.4</w:t>
      </w:r>
      <w:bookmarkEnd w:id="216"/>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0B63BA65">
      <w:pPr>
        <w:widowControl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发包人应按照合同约定的期限和方式向承包人支付工程款及其他应支付的款项。</w:t>
      </w:r>
    </w:p>
    <w:p w14:paraId="2C07F914">
      <w:pPr>
        <w:spacing w:line="400" w:lineRule="exact"/>
        <w:rPr>
          <w:rFonts w:ascii="仿宋" w:hAnsi="仿宋" w:eastAsia="仿宋"/>
          <w:b/>
          <w:bCs/>
          <w:lang w:eastAsia="zh-CN"/>
        </w:rPr>
      </w:pPr>
      <w:bookmarkStart w:id="217" w:name="_Toc13889"/>
      <w:r>
        <w:rPr>
          <w:rFonts w:hint="eastAsia" w:ascii="仿宋" w:hAnsi="仿宋" w:eastAsia="仿宋" w:cs="仿宋"/>
          <w:b/>
          <w:bCs/>
          <w:lang w:eastAsia="zh-CN"/>
        </w:rPr>
        <w:t>22</w:t>
      </w:r>
      <w:r>
        <w:rPr>
          <w:rFonts w:ascii="仿宋" w:hAnsi="仿宋" w:eastAsia="仿宋" w:cs="仿宋"/>
          <w:b/>
          <w:bCs/>
          <w:lang w:eastAsia="zh-CN"/>
        </w:rPr>
        <w:t>.5</w:t>
      </w:r>
      <w:bookmarkEnd w:id="217"/>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27F840F8">
      <w:pPr>
        <w:widowControl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709440" behindDoc="0" locked="0" layoutInCell="1" allowOverlap="1">
                <wp:simplePos x="0" y="0"/>
                <wp:positionH relativeFrom="column">
                  <wp:posOffset>-114300</wp:posOffset>
                </wp:positionH>
                <wp:positionV relativeFrom="paragraph">
                  <wp:posOffset>15240</wp:posOffset>
                </wp:positionV>
                <wp:extent cx="794385" cy="507365"/>
                <wp:effectExtent l="0" t="0" r="0" b="0"/>
                <wp:wrapNone/>
                <wp:docPr id="71" name="文本框 746"/>
                <wp:cNvGraphicFramePr/>
                <a:graphic xmlns:a="http://schemas.openxmlformats.org/drawingml/2006/main">
                  <a:graphicData uri="http://schemas.microsoft.com/office/word/2010/wordprocessingShape">
                    <wps:wsp>
                      <wps:cNvSpPr txBox="1"/>
                      <wps:spPr>
                        <a:xfrm>
                          <a:off x="0" y="0"/>
                          <a:ext cx="794385" cy="507365"/>
                        </a:xfrm>
                        <a:prstGeom prst="rect">
                          <a:avLst/>
                        </a:prstGeom>
                        <a:noFill/>
                        <a:ln w="12700">
                          <a:noFill/>
                        </a:ln>
                      </wps:spPr>
                      <wps:txbx>
                        <w:txbxContent>
                          <w:p w14:paraId="3DA2AEF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发包人组织竣工验收</w:t>
                            </w:r>
                          </w:p>
                        </w:txbxContent>
                      </wps:txbx>
                      <wps:bodyPr rot="0" vert="horz" wrap="square" lIns="91440" tIns="45720" rIns="91440" bIns="45720" anchor="t" anchorCtr="0"/>
                    </wps:wsp>
                  </a:graphicData>
                </a:graphic>
              </wp:anchor>
            </w:drawing>
          </mc:Choice>
          <mc:Fallback>
            <w:pict>
              <v:shape id="文本框 746" o:spid="_x0000_s1026" o:spt="202" type="#_x0000_t202" style="position:absolute;left:0pt;margin-left:-9pt;margin-top:1.2pt;height:39.95pt;width:62.55pt;z-index:251709440;mso-width-relative:page;mso-height-relative:page;" filled="f" stroked="f" coordsize="21600,21600" o:gfxdata="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Y8x/&#10;DNcAAAAIAQAADwAAAAAAAAABACAAAAAiAAAAZHJzL2Rvd25yZXYueG1sUEsBAhQAFAAAAAgAh07i&#10;QNM40bHqAQAAvQMAAA4AAAAAAAAAAQAgAAAAJgEAAGRycy9lMm9Eb2MueG1sUEsFBgAAAAAGAAYA&#10;WQEAAIIFAAAAAA==&#10;">
                <v:fill on="f" focussize="0,0"/>
                <v:stroke on="f" weight="1pt"/>
                <v:imagedata o:title=""/>
                <o:lock v:ext="edit" aspectratio="f"/>
                <v:textbox>
                  <w:txbxContent>
                    <w:p w14:paraId="3DA2AEF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发包人组织竣工验收</w:t>
                      </w:r>
                    </w:p>
                  </w:txbxContent>
                </v:textbox>
              </v:shape>
            </w:pict>
          </mc:Fallback>
        </mc:AlternateContent>
      </w:r>
      <w:r>
        <w:rPr>
          <w:rFonts w:hint="eastAsia" w:ascii="仿宋" w:hAnsi="仿宋" w:eastAsia="仿宋" w:cs="仿宋"/>
          <w:lang w:eastAsia="zh-CN"/>
        </w:rPr>
        <w:t>发包人应按照第65条约定组织承包人、设计顾问人、监理人和造价咨询人等进行竣工验收。</w:t>
      </w:r>
    </w:p>
    <w:p w14:paraId="5189524E">
      <w:pPr>
        <w:spacing w:line="400" w:lineRule="exact"/>
        <w:rPr>
          <w:rFonts w:ascii="仿宋" w:hAnsi="仿宋" w:eastAsia="仿宋"/>
          <w:b/>
          <w:bCs/>
          <w:lang w:eastAsia="zh-CN"/>
        </w:rPr>
      </w:pPr>
      <w:bookmarkStart w:id="218" w:name="_Toc22320"/>
      <w:r>
        <mc:AlternateContent>
          <mc:Choice Requires="wps">
            <w:drawing>
              <wp:anchor distT="0" distB="0" distL="114300" distR="114300" simplePos="0" relativeHeight="251710464" behindDoc="0" locked="0" layoutInCell="1" allowOverlap="1">
                <wp:simplePos x="0" y="0"/>
                <wp:positionH relativeFrom="column">
                  <wp:posOffset>-114300</wp:posOffset>
                </wp:positionH>
                <wp:positionV relativeFrom="paragraph">
                  <wp:posOffset>273050</wp:posOffset>
                </wp:positionV>
                <wp:extent cx="803275" cy="681990"/>
                <wp:effectExtent l="0" t="0" r="0" b="0"/>
                <wp:wrapNone/>
                <wp:docPr id="72" name="文本框 747"/>
                <wp:cNvGraphicFramePr/>
                <a:graphic xmlns:a="http://schemas.openxmlformats.org/drawingml/2006/main">
                  <a:graphicData uri="http://schemas.microsoft.com/office/word/2010/wordprocessingShape">
                    <wps:wsp>
                      <wps:cNvSpPr txBox="1"/>
                      <wps:spPr>
                        <a:xfrm>
                          <a:off x="0" y="0"/>
                          <a:ext cx="803275" cy="681990"/>
                        </a:xfrm>
                        <a:prstGeom prst="rect">
                          <a:avLst/>
                        </a:prstGeom>
                        <a:noFill/>
                        <a:ln w="12700">
                          <a:noFill/>
                        </a:ln>
                      </wps:spPr>
                      <wps:txbx>
                        <w:txbxContent>
                          <w:p w14:paraId="1047CED6">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发包人供应工程材料和工程设备要求</w:t>
                            </w:r>
                          </w:p>
                        </w:txbxContent>
                      </wps:txbx>
                      <wps:bodyPr rot="0" vert="horz" wrap="square" lIns="91440" tIns="45720" rIns="91440" bIns="45720" anchor="t" anchorCtr="0"/>
                    </wps:wsp>
                  </a:graphicData>
                </a:graphic>
              </wp:anchor>
            </w:drawing>
          </mc:Choice>
          <mc:Fallback>
            <w:pict>
              <v:shape id="文本框 747" o:spid="_x0000_s1026" o:spt="202" type="#_x0000_t202" style="position:absolute;left:0pt;margin-left:-9pt;margin-top:21.5pt;height:53.7pt;width:63.25pt;z-index:251710464;mso-width-relative:page;mso-height-relative:page;" filled="f" stroked="f" coordsize="21600,21600" o:gfxdata="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uv&#10;0E7YAAAACgEAAA8AAAAAAAAAAQAgAAAAIgAAAGRycy9kb3ducmV2LnhtbFBLAQIUABQAAAAIAIdO&#10;4kBg3+nV6gEAAL0DAAAOAAAAAAAAAAEAIAAAACcBAABkcnMvZTJvRG9jLnhtbFBLBQYAAAAABgAG&#10;AFkBAACDBQAAAAA=&#10;">
                <v:fill on="f" focussize="0,0"/>
                <v:stroke on="f" weight="1pt"/>
                <v:imagedata o:title=""/>
                <o:lock v:ext="edit" aspectratio="f"/>
                <v:textbox>
                  <w:txbxContent>
                    <w:p w14:paraId="1047CED6">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发包人供应工程材料和工程设备要求</w:t>
                      </w:r>
                    </w:p>
                  </w:txbxContent>
                </v:textbox>
              </v:shape>
            </w:pict>
          </mc:Fallback>
        </mc:AlternateContent>
      </w:r>
      <w:r>
        <w:rPr>
          <w:rFonts w:hint="eastAsia" w:ascii="仿宋" w:hAnsi="仿宋" w:eastAsia="仿宋" w:cs="仿宋"/>
          <w:b/>
          <w:bCs/>
          <w:lang w:eastAsia="zh-CN"/>
        </w:rPr>
        <w:t>22</w:t>
      </w:r>
      <w:r>
        <w:rPr>
          <w:rFonts w:ascii="仿宋" w:hAnsi="仿宋" w:eastAsia="仿宋" w:cs="仿宋"/>
          <w:b/>
          <w:bCs/>
          <w:lang w:eastAsia="zh-CN"/>
        </w:rPr>
        <w:t>.6</w:t>
      </w:r>
      <w:bookmarkEnd w:id="218"/>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22A8E0BA">
      <w:pPr>
        <w:widowControl w:val="0"/>
        <w:spacing w:line="400" w:lineRule="exact"/>
        <w:ind w:left="1850" w:leftChars="771"/>
        <w:jc w:val="both"/>
        <w:rPr>
          <w:rFonts w:ascii="仿宋" w:hAnsi="仿宋" w:eastAsia="仿宋"/>
          <w:lang w:eastAsia="zh-CN"/>
        </w:rPr>
      </w:pPr>
      <w:r>
        <w:rPr>
          <w:rFonts w:hint="eastAsia" w:ascii="仿宋" w:hAnsi="仿宋" w:eastAsia="仿宋" w:cs="仿宋"/>
          <w:lang w:eastAsia="zh-CN"/>
        </w:rPr>
        <w:t>发包人供应工程材料和工程设备的，发包人应按照第55条约定向承包人提供工程材料和工程设备。</w:t>
      </w:r>
    </w:p>
    <w:p w14:paraId="1D580B25">
      <w:pPr>
        <w:spacing w:line="400" w:lineRule="exact"/>
        <w:rPr>
          <w:rFonts w:ascii="仿宋" w:hAnsi="仿宋" w:eastAsia="仿宋" w:cs="仿宋"/>
          <w:b/>
          <w:bCs/>
          <w:lang w:eastAsia="zh-CN"/>
        </w:rPr>
      </w:pPr>
    </w:p>
    <w:p w14:paraId="284DF8AF">
      <w:pPr>
        <w:spacing w:line="400" w:lineRule="exact"/>
        <w:rPr>
          <w:rFonts w:ascii="仿宋" w:hAnsi="仿宋" w:eastAsia="仿宋"/>
          <w:b/>
          <w:bCs/>
          <w:lang w:eastAsia="zh-CN"/>
        </w:rPr>
      </w:pPr>
      <w:r>
        <w:rPr>
          <w:rFonts w:hint="eastAsia" w:ascii="仿宋" w:hAnsi="仿宋" w:eastAsia="仿宋" w:cs="仿宋"/>
          <w:b/>
          <w:bCs/>
          <w:lang w:eastAsia="zh-CN"/>
        </w:rPr>
        <w:t>22</w:t>
      </w:r>
      <w:r>
        <w:rPr>
          <w:rFonts w:ascii="仿宋" w:hAnsi="仿宋" w:eastAsia="仿宋" w:cs="仿宋"/>
          <w:b/>
          <w:bCs/>
          <w:lang w:eastAsia="zh-CN"/>
        </w:rPr>
        <w:t xml:space="preserve">.7  </w:t>
      </w:r>
      <w:r>
        <w:rPr>
          <w:rFonts w:ascii="仿宋" w:hAnsi="仿宋" w:eastAsia="仿宋" w:cs="仿宋"/>
          <w:b/>
          <w:bCs/>
          <w:u w:val="dotted"/>
          <w:lang w:eastAsia="zh-CN"/>
        </w:rPr>
        <w:t xml:space="preserve">                                                                               </w:t>
      </w:r>
    </w:p>
    <w:p w14:paraId="2557B18D">
      <w:pPr>
        <w:widowControl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711488" behindDoc="0" locked="0" layoutInCell="1" allowOverlap="1">
                <wp:simplePos x="0" y="0"/>
                <wp:positionH relativeFrom="column">
                  <wp:posOffset>-114300</wp:posOffset>
                </wp:positionH>
                <wp:positionV relativeFrom="paragraph">
                  <wp:posOffset>0</wp:posOffset>
                </wp:positionV>
                <wp:extent cx="842645" cy="425450"/>
                <wp:effectExtent l="0" t="0" r="0" b="0"/>
                <wp:wrapNone/>
                <wp:docPr id="73" name="文本框 748"/>
                <wp:cNvGraphicFramePr/>
                <a:graphic xmlns:a="http://schemas.openxmlformats.org/drawingml/2006/main">
                  <a:graphicData uri="http://schemas.microsoft.com/office/word/2010/wordprocessingShape">
                    <wps:wsp>
                      <wps:cNvSpPr txBox="1"/>
                      <wps:spPr>
                        <a:xfrm>
                          <a:off x="0" y="0"/>
                          <a:ext cx="842645" cy="425450"/>
                        </a:xfrm>
                        <a:prstGeom prst="rect">
                          <a:avLst/>
                        </a:prstGeom>
                        <a:noFill/>
                        <a:ln w="12700">
                          <a:noFill/>
                        </a:ln>
                      </wps:spPr>
                      <wps:txbx>
                        <w:txbxContent>
                          <w:p w14:paraId="7B1256DD">
                            <w:pPr>
                              <w:rPr>
                                <w:rFonts w:ascii="楷体_GB2312" w:hAnsi="宋体" w:eastAsia="楷体_GB2312"/>
                                <w:sz w:val="18"/>
                                <w:szCs w:val="18"/>
                              </w:rPr>
                            </w:pPr>
                            <w:r>
                              <w:rPr>
                                <w:rFonts w:hint="eastAsia" w:ascii="楷体_GB2312" w:hAnsi="宋体" w:eastAsia="楷体_GB2312" w:cs="楷体_GB2312"/>
                                <w:b/>
                                <w:bCs/>
                                <w:color w:val="000000"/>
                                <w:sz w:val="18"/>
                                <w:szCs w:val="18"/>
                              </w:rPr>
                              <w:t>发包人未尽义务的责任</w:t>
                            </w:r>
                          </w:p>
                        </w:txbxContent>
                      </wps:txbx>
                      <wps:bodyPr rot="0" vert="horz" wrap="square" lIns="91440" tIns="45720" rIns="91440" bIns="45720" anchor="t" anchorCtr="0"/>
                    </wps:wsp>
                  </a:graphicData>
                </a:graphic>
              </wp:anchor>
            </w:drawing>
          </mc:Choice>
          <mc:Fallback>
            <w:pict>
              <v:shape id="文本框 748" o:spid="_x0000_s1026" o:spt="202" type="#_x0000_t202" style="position:absolute;left:0pt;margin-left:-9pt;margin-top:0pt;height:33.5pt;width:66.35pt;z-index:251711488;mso-width-relative:page;mso-height-relative:page;" filled="f" stroked="f" coordsize="21600,21600" o:gfxdata="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7pFS&#10;WdcAAAAHAQAADwAAAAAAAAABACAAAAAiAAAAZHJzL2Rvd25yZXYueG1sUEsBAhQAFAAAAAgAh07i&#10;QFV1W6PqAQAAvQMAAA4AAAAAAAAAAQAgAAAAJgEAAGRycy9lMm9Eb2MueG1sUEsFBgAAAAAGAAYA&#10;WQEAAIIFAAAAAA==&#10;">
                <v:fill on="f" focussize="0,0"/>
                <v:stroke on="f" weight="1pt"/>
                <v:imagedata o:title=""/>
                <o:lock v:ext="edit" aspectratio="f"/>
                <v:textbox>
                  <w:txbxContent>
                    <w:p w14:paraId="7B1256DD">
                      <w:pPr>
                        <w:rPr>
                          <w:rFonts w:ascii="楷体_GB2312" w:hAnsi="宋体" w:eastAsia="楷体_GB2312"/>
                          <w:sz w:val="18"/>
                          <w:szCs w:val="18"/>
                        </w:rPr>
                      </w:pPr>
                      <w:r>
                        <w:rPr>
                          <w:rFonts w:hint="eastAsia" w:ascii="楷体_GB2312" w:hAnsi="宋体" w:eastAsia="楷体_GB2312" w:cs="楷体_GB2312"/>
                          <w:b/>
                          <w:bCs/>
                          <w:color w:val="000000"/>
                          <w:sz w:val="18"/>
                          <w:szCs w:val="18"/>
                        </w:rPr>
                        <w:t>发包人未尽义务的责任</w:t>
                      </w:r>
                    </w:p>
                  </w:txbxContent>
                </v:textbox>
              </v:shape>
            </w:pict>
          </mc:Fallback>
        </mc:AlternateContent>
      </w:r>
      <w:r>
        <w:rPr>
          <w:rFonts w:hint="eastAsia" w:ascii="仿宋" w:hAnsi="仿宋" w:eastAsia="仿宋" w:cs="仿宋"/>
          <w:lang w:eastAsia="zh-CN"/>
        </w:rPr>
        <w:t>发包人未能正确完成本合同约定的全部义务，导致费用的增加和（或）延误的工期，由发包人承担；给承包人造成损失的，发包人应予赔偿。</w:t>
      </w:r>
    </w:p>
    <w:p w14:paraId="3D98D042">
      <w:pPr>
        <w:spacing w:line="400" w:lineRule="exact"/>
        <w:rPr>
          <w:rFonts w:ascii="仿宋" w:hAnsi="仿宋" w:eastAsia="仿宋" w:cs="仿宋"/>
          <w:b/>
          <w:bCs/>
          <w:u w:val="single"/>
          <w:lang w:eastAsia="zh-CN"/>
        </w:rPr>
      </w:pPr>
      <w:r>
        <w:rPr>
          <w:rFonts w:ascii="仿宋" w:hAnsi="仿宋" w:eastAsia="仿宋" w:cs="仿宋"/>
          <w:b/>
          <w:bCs/>
          <w:u w:val="single"/>
          <w:lang w:eastAsia="zh-CN"/>
        </w:rPr>
        <w:t xml:space="preserve">                                                                                     </w:t>
      </w:r>
    </w:p>
    <w:p w14:paraId="469BA8A4">
      <w:pPr>
        <w:pStyle w:val="4"/>
        <w:tabs>
          <w:tab w:val="left" w:pos="420"/>
        </w:tabs>
        <w:spacing w:before="0" w:after="0" w:line="400" w:lineRule="exact"/>
        <w:rPr>
          <w:rFonts w:ascii="仿宋" w:hAnsi="仿宋" w:eastAsia="仿宋"/>
          <w:sz w:val="24"/>
          <w:szCs w:val="24"/>
          <w:lang w:eastAsia="zh-CN"/>
        </w:rPr>
      </w:pPr>
      <w:bookmarkStart w:id="219" w:name="_Toc32526"/>
      <w:bookmarkStart w:id="220" w:name="_Toc194073129"/>
      <w:bookmarkStart w:id="221" w:name="_Toc5017"/>
      <w:bookmarkStart w:id="222" w:name="_Toc18999"/>
      <w:r>
        <w:rPr>
          <w:rFonts w:ascii="仿宋" w:hAnsi="仿宋" w:eastAsia="仿宋" w:cs="仿宋"/>
          <w:sz w:val="24"/>
          <w:szCs w:val="24"/>
          <w:lang w:eastAsia="zh-CN"/>
        </w:rPr>
        <w:t>2</w:t>
      </w:r>
      <w:r>
        <w:rPr>
          <w:rFonts w:hint="eastAsia" w:ascii="仿宋" w:hAnsi="仿宋" w:eastAsia="仿宋" w:cs="仿宋"/>
          <w:sz w:val="24"/>
          <w:szCs w:val="24"/>
          <w:lang w:eastAsia="zh-CN"/>
        </w:rPr>
        <w:t>3</w:t>
      </w:r>
      <w:r>
        <w:rPr>
          <w:rFonts w:ascii="仿宋" w:hAnsi="仿宋" w:eastAsia="仿宋" w:cs="仿宋"/>
          <w:sz w:val="24"/>
          <w:szCs w:val="24"/>
          <w:lang w:eastAsia="zh-CN"/>
        </w:rPr>
        <w:t xml:space="preserve">  </w:t>
      </w:r>
      <w:r>
        <w:rPr>
          <w:rFonts w:hint="eastAsia" w:ascii="仿宋" w:hAnsi="仿宋" w:eastAsia="仿宋" w:cs="仿宋"/>
          <w:sz w:val="24"/>
          <w:szCs w:val="24"/>
          <w:lang w:eastAsia="zh-CN"/>
        </w:rPr>
        <w:t>承包人</w:t>
      </w:r>
      <w:bookmarkEnd w:id="219"/>
      <w:bookmarkEnd w:id="220"/>
      <w:bookmarkEnd w:id="221"/>
      <w:bookmarkEnd w:id="222"/>
    </w:p>
    <w:p w14:paraId="310215C7">
      <w:pPr>
        <w:tabs>
          <w:tab w:val="left" w:pos="1620"/>
        </w:tabs>
        <w:spacing w:line="400" w:lineRule="exact"/>
        <w:rPr>
          <w:rFonts w:ascii="仿宋" w:hAnsi="仿宋" w:eastAsia="仿宋"/>
          <w:b/>
          <w:bCs/>
          <w:lang w:eastAsia="zh-CN"/>
        </w:rPr>
      </w:pPr>
      <w:bookmarkStart w:id="223" w:name="_Toc1505"/>
      <w:r>
        <w:rPr>
          <w:rFonts w:ascii="仿宋" w:hAnsi="仿宋" w:eastAsia="仿宋" w:cs="仿宋"/>
          <w:b/>
          <w:bCs/>
          <w:lang w:eastAsia="zh-CN"/>
        </w:rPr>
        <w:t>2</w:t>
      </w:r>
      <w:r>
        <w:rPr>
          <w:rFonts w:hint="eastAsia" w:ascii="仿宋" w:hAnsi="仿宋" w:eastAsia="仿宋" w:cs="仿宋"/>
          <w:b/>
          <w:bCs/>
          <w:lang w:eastAsia="zh-CN"/>
        </w:rPr>
        <w:t>3</w:t>
      </w:r>
      <w:r>
        <w:rPr>
          <w:rFonts w:ascii="仿宋" w:hAnsi="仿宋" w:eastAsia="仿宋" w:cs="仿宋"/>
          <w:b/>
          <w:bCs/>
          <w:lang w:eastAsia="zh-CN"/>
        </w:rPr>
        <w:t>.1</w:t>
      </w:r>
      <w:bookmarkEnd w:id="223"/>
    </w:p>
    <w:p w14:paraId="763C15B0">
      <w:pPr>
        <w:widowControl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712512" behindDoc="0" locked="0" layoutInCell="1" allowOverlap="1">
                <wp:simplePos x="0" y="0"/>
                <wp:positionH relativeFrom="column">
                  <wp:posOffset>-114300</wp:posOffset>
                </wp:positionH>
                <wp:positionV relativeFrom="paragraph">
                  <wp:posOffset>4445</wp:posOffset>
                </wp:positionV>
                <wp:extent cx="718820" cy="356235"/>
                <wp:effectExtent l="0" t="0" r="0" b="0"/>
                <wp:wrapNone/>
                <wp:docPr id="74" name="文本框 749"/>
                <wp:cNvGraphicFramePr/>
                <a:graphic xmlns:a="http://schemas.openxmlformats.org/drawingml/2006/main">
                  <a:graphicData uri="http://schemas.microsoft.com/office/word/2010/wordprocessingShape">
                    <wps:wsp>
                      <wps:cNvSpPr txBox="1"/>
                      <wps:spPr>
                        <a:xfrm>
                          <a:off x="0" y="0"/>
                          <a:ext cx="718820" cy="356235"/>
                        </a:xfrm>
                        <a:prstGeom prst="rect">
                          <a:avLst/>
                        </a:prstGeom>
                        <a:noFill/>
                        <a:ln w="12700">
                          <a:noFill/>
                        </a:ln>
                      </wps:spPr>
                      <wps:txbx>
                        <w:txbxContent>
                          <w:p w14:paraId="0D9E682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wps:txbx>
                      <wps:bodyPr rot="0" vert="horz" wrap="square" lIns="91440" tIns="45720" rIns="91440" bIns="45720" anchor="t" anchorCtr="0"/>
                    </wps:wsp>
                  </a:graphicData>
                </a:graphic>
              </wp:anchor>
            </w:drawing>
          </mc:Choice>
          <mc:Fallback>
            <w:pict>
              <v:shape id="文本框 749" o:spid="_x0000_s1026" o:spt="202" type="#_x0000_t202" style="position:absolute;left:0pt;margin-left:-9pt;margin-top:0.35pt;height:28.05pt;width:56.6pt;z-index:251712512;mso-width-relative:page;mso-height-relative:page;" filled="f" stroked="f" coordsize="21600,21600" o:gfxdata="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YYhFw&#10;1gAAAAYBAAAPAAAAAAAAAAEAIAAAACIAAABkcnMvZG93bnJldi54bWxQSwECFAAUAAAACACHTuJA&#10;ayiBOOoBAAC9AwAADgAAAAAAAAABACAAAAAlAQAAZHJzL2Uyb0RvYy54bWxQSwUGAAAAAAYABgBZ&#10;AQAAgQUAAAAA&#10;">
                <v:fill on="f" focussize="0,0"/>
                <v:stroke on="f" weight="1pt"/>
                <v:imagedata o:title=""/>
                <o:lock v:ext="edit" aspectratio="f"/>
                <v:textbox>
                  <w:txbxContent>
                    <w:p w14:paraId="0D9E682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仿宋" w:hAnsi="仿宋" w:eastAsia="仿宋" w:cs="仿宋"/>
          <w:lang w:eastAsia="zh-CN"/>
        </w:rPr>
        <w:t>承包人在履行合同期间应遵守法律，并保证发包人免于承担因承包人违反法律而引起的任何责任。遵守国家、省、市有关社会信用体系建设工作的法律、行政法规、部门规章，严格执行信用承诺制度，违背信用承诺约定时，承担违约责任，并依法承担相应法律责任。</w:t>
      </w:r>
    </w:p>
    <w:p w14:paraId="10B83101">
      <w:pPr>
        <w:widowControl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承包人在本项目中存在下列行为的，将被拒绝参与发包人后续工程投标。拒绝投标时限由发包人（发包人）视严重程度确定，并在专用条款中约定。</w:t>
      </w:r>
    </w:p>
    <w:p w14:paraId="20593155">
      <w:pPr>
        <w:widowControl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（1）将中标工程转包或者违法分包的；</w:t>
      </w:r>
    </w:p>
    <w:p w14:paraId="6B920231">
      <w:pPr>
        <w:widowControl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（2）在中标工程中不执行质量、安全生产相关规定的，造成质量或安全事故的；</w:t>
      </w:r>
    </w:p>
    <w:p w14:paraId="2C3049B5">
      <w:pPr>
        <w:widowControl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（3）存在围标或串标情形的；</w:t>
      </w:r>
    </w:p>
    <w:p w14:paraId="7A1DA7FA">
      <w:pPr>
        <w:widowControl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（4）存在弄虚作假骗取中标情形的；</w:t>
      </w:r>
    </w:p>
    <w:p w14:paraId="51DF6C36">
      <w:pPr>
        <w:widowControl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（5）存在因过错行为被生效法律文书认定承担违约或侵权责任的。</w:t>
      </w:r>
    </w:p>
    <w:p w14:paraId="64E0B480">
      <w:pPr>
        <w:spacing w:line="400" w:lineRule="exact"/>
        <w:rPr>
          <w:rFonts w:ascii="仿宋" w:hAnsi="仿宋" w:eastAsia="仿宋"/>
          <w:lang w:eastAsia="zh-CN"/>
        </w:rPr>
      </w:pPr>
      <w:bookmarkStart w:id="224" w:name="_Toc20118"/>
      <w:r>
        <w:rPr>
          <w:rFonts w:ascii="仿宋" w:hAnsi="仿宋" w:eastAsia="仿宋" w:cs="仿宋"/>
          <w:b/>
          <w:bCs/>
          <w:lang w:eastAsia="zh-CN"/>
        </w:rPr>
        <w:t>2</w:t>
      </w:r>
      <w:r>
        <w:rPr>
          <w:rFonts w:hint="eastAsia" w:ascii="仿宋" w:hAnsi="仿宋" w:eastAsia="仿宋" w:cs="仿宋"/>
          <w:b/>
          <w:bCs/>
          <w:lang w:eastAsia="zh-CN"/>
        </w:rPr>
        <w:t>3</w:t>
      </w:r>
      <w:r>
        <w:rPr>
          <w:rFonts w:ascii="仿宋" w:hAnsi="仿宋" w:eastAsia="仿宋" w:cs="仿宋"/>
          <w:b/>
          <w:bCs/>
          <w:lang w:eastAsia="zh-CN"/>
        </w:rPr>
        <w:t>.2</w:t>
      </w:r>
      <w:bookmarkEnd w:id="224"/>
      <w:r>
        <w:rPr>
          <w:rFonts w:ascii="仿宋" w:hAnsi="仿宋" w:eastAsia="仿宋" w:cs="仿宋"/>
          <w:lang w:eastAsia="zh-CN"/>
        </w:rPr>
        <w:t xml:space="preserve"> </w:t>
      </w:r>
      <w:r>
        <w:rPr>
          <w:rFonts w:ascii="仿宋" w:hAnsi="仿宋" w:eastAsia="仿宋" w:cs="仿宋"/>
          <w:u w:val="dotted"/>
          <w:lang w:eastAsia="zh-CN"/>
        </w:rPr>
        <w:t xml:space="preserve">                                                              </w:t>
      </w:r>
      <w:r>
        <w:rPr>
          <w:rFonts w:hint="eastAsia" w:ascii="仿宋" w:hAnsi="仿宋" w:eastAsia="仿宋" w:cs="仿宋"/>
          <w:u w:val="dotted"/>
          <w:lang w:eastAsia="zh-CN"/>
        </w:rPr>
        <w:t xml:space="preserve">    </w:t>
      </w:r>
      <w:r>
        <w:rPr>
          <w:rFonts w:ascii="仿宋" w:hAnsi="仿宋" w:eastAsia="仿宋" w:cs="仿宋"/>
          <w:u w:val="dotted"/>
          <w:lang w:eastAsia="zh-CN"/>
        </w:rPr>
        <w:t xml:space="preserve">               </w:t>
      </w:r>
    </w:p>
    <w:p w14:paraId="52FE4B4B">
      <w:pPr>
        <w:widowControl w:val="0"/>
        <w:spacing w:line="400" w:lineRule="exact"/>
        <w:ind w:left="1850" w:leftChars="771"/>
        <w:jc w:val="both"/>
        <w:rPr>
          <w:rFonts w:ascii="仿宋" w:hAnsi="仿宋" w:eastAsia="仿宋" w:cs="仿宋"/>
          <w:lang w:eastAsia="zh-CN"/>
        </w:rPr>
      </w:pPr>
      <w:r>
        <mc:AlternateContent>
          <mc:Choice Requires="wps">
            <w:drawing>
              <wp:anchor distT="0" distB="0" distL="114300" distR="114300" simplePos="0" relativeHeight="251713536" behindDoc="0" locked="0" layoutInCell="1" allowOverlap="1">
                <wp:simplePos x="0" y="0"/>
                <wp:positionH relativeFrom="column">
                  <wp:posOffset>-114300</wp:posOffset>
                </wp:positionH>
                <wp:positionV relativeFrom="paragraph">
                  <wp:posOffset>0</wp:posOffset>
                </wp:positionV>
                <wp:extent cx="795020" cy="424815"/>
                <wp:effectExtent l="0" t="0" r="0" b="0"/>
                <wp:wrapNone/>
                <wp:docPr id="75" name="文本框 750"/>
                <wp:cNvGraphicFramePr/>
                <a:graphic xmlns:a="http://schemas.openxmlformats.org/drawingml/2006/main">
                  <a:graphicData uri="http://schemas.microsoft.com/office/word/2010/wordprocessingShape">
                    <wps:wsp>
                      <wps:cNvSpPr txBox="1"/>
                      <wps:spPr>
                        <a:xfrm>
                          <a:off x="0" y="0"/>
                          <a:ext cx="795020" cy="424815"/>
                        </a:xfrm>
                        <a:prstGeom prst="rect">
                          <a:avLst/>
                        </a:prstGeom>
                        <a:noFill/>
                        <a:ln w="12700">
                          <a:noFill/>
                        </a:ln>
                      </wps:spPr>
                      <wps:txbx>
                        <w:txbxContent>
                          <w:p w14:paraId="04B222B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txbxContent>
                      </wps:txbx>
                      <wps:bodyPr rot="0" vert="horz" wrap="square" lIns="91440" tIns="45720" rIns="91440" bIns="45720" anchor="t" anchorCtr="0"/>
                    </wps:wsp>
                  </a:graphicData>
                </a:graphic>
              </wp:anchor>
            </w:drawing>
          </mc:Choice>
          <mc:Fallback>
            <w:pict>
              <v:shape id="文本框 750" o:spid="_x0000_s1026" o:spt="202" type="#_x0000_t202" style="position:absolute;left:0pt;margin-left:-9pt;margin-top:0pt;height:33.45pt;width:62.6pt;z-index:251713536;mso-width-relative:page;mso-height-relative:page;" filled="f" stroked="f" coordsize="21600,21600" o:gfxdata="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ymWKM1gAA&#10;AAcBAAAPAAAAAAAAAAEAIAAAACIAAABkcnMvZG93bnJldi54bWxQSwECFAAUAAAACACHTuJA8Lyj&#10;rucBAAC9AwAADgAAAAAAAAABACAAAAAlAQAAZHJzL2Uyb0RvYy54bWxQSwUGAAAAAAYABgBZAQAA&#10;fgUAAAAA&#10;">
                <v:fill on="f" focussize="0,0"/>
                <v:stroke on="f" weight="1pt"/>
                <v:imagedata o:title=""/>
                <o:lock v:ext="edit" aspectratio="f"/>
                <v:textbox>
                  <w:txbxContent>
                    <w:p w14:paraId="04B222B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txbxContent>
                </v:textbox>
              </v:shape>
            </w:pict>
          </mc:Fallback>
        </mc:AlternateContent>
      </w:r>
      <w:r>
        <w:rPr>
          <w:rFonts w:hint="eastAsia" w:ascii="仿宋" w:hAnsi="仿宋" w:eastAsia="仿宋" w:cs="仿宋"/>
          <w:lang w:eastAsia="zh-CN"/>
        </w:rPr>
        <w:t>承包人应按照合同约定完成下列工作，包括但不限于：</w:t>
      </w:r>
    </w:p>
    <w:p w14:paraId="6FCF05D9">
      <w:pPr>
        <w:widowControl w:val="0"/>
        <w:numPr>
          <w:ilvl w:val="0"/>
          <w:numId w:val="13"/>
        </w:numPr>
        <w:tabs>
          <w:tab w:val="left" w:pos="1980"/>
        </w:tabs>
        <w:spacing w:line="400" w:lineRule="exact"/>
        <w:ind w:left="1850" w:leftChars="771" w:firstLine="0"/>
        <w:jc w:val="both"/>
        <w:rPr>
          <w:rFonts w:ascii="仿宋" w:hAnsi="仿宋" w:eastAsia="仿宋"/>
          <w:lang w:eastAsia="zh-CN"/>
        </w:rPr>
      </w:pPr>
      <w:r>
        <w:rPr>
          <w:rFonts w:hint="eastAsia" w:ascii="仿宋" w:hAnsi="仿宋" w:eastAsia="仿宋"/>
          <w:lang w:eastAsia="zh-CN"/>
        </w:rPr>
        <w:t>办理法律规定由承包人办理的许可和批准，将办理结果书面报送发包人留存，并承担因承包人违反法律或合同约定给发包人造成的任何费用和损失；</w:t>
      </w:r>
    </w:p>
    <w:p w14:paraId="44AF429A">
      <w:pPr>
        <w:widowControl w:val="0"/>
        <w:numPr>
          <w:ilvl w:val="0"/>
          <w:numId w:val="13"/>
        </w:numPr>
        <w:tabs>
          <w:tab w:val="left" w:pos="1980"/>
        </w:tabs>
        <w:spacing w:line="400" w:lineRule="exact"/>
        <w:ind w:left="1850" w:leftChars="771" w:firstLine="0"/>
        <w:jc w:val="both"/>
        <w:rPr>
          <w:rFonts w:ascii="仿宋" w:hAnsi="仿宋" w:eastAsia="仿宋"/>
          <w:lang w:eastAsia="zh-CN"/>
        </w:rPr>
      </w:pPr>
      <w:r>
        <w:rPr>
          <w:rFonts w:hint="eastAsia" w:ascii="仿宋" w:hAnsi="仿宋" w:eastAsia="仿宋"/>
          <w:lang w:eastAsia="zh-CN"/>
        </w:rPr>
        <w:t>对</w:t>
      </w:r>
      <w:r>
        <w:rPr>
          <w:rFonts w:ascii="仿宋" w:hAnsi="仿宋" w:eastAsia="仿宋"/>
          <w:lang w:eastAsia="zh-CN"/>
        </w:rPr>
        <w:t>发包人提供的</w:t>
      </w:r>
      <w:r>
        <w:rPr>
          <w:rFonts w:hint="eastAsia" w:ascii="仿宋" w:hAnsi="仿宋" w:eastAsia="仿宋"/>
          <w:lang w:eastAsia="zh-CN"/>
        </w:rPr>
        <w:t>《发包人要求》和项目基础</w:t>
      </w:r>
      <w:r>
        <w:rPr>
          <w:rFonts w:ascii="仿宋" w:hAnsi="仿宋" w:eastAsia="仿宋"/>
          <w:lang w:eastAsia="zh-CN"/>
        </w:rPr>
        <w:t>资料进行核实确认，并按照相关法律法规开展后续工作</w:t>
      </w:r>
      <w:r>
        <w:rPr>
          <w:rFonts w:hint="eastAsia" w:ascii="仿宋" w:hAnsi="仿宋" w:eastAsia="仿宋"/>
          <w:lang w:eastAsia="zh-CN"/>
        </w:rPr>
        <w:t>；</w:t>
      </w:r>
    </w:p>
    <w:p w14:paraId="4D1AD373">
      <w:pPr>
        <w:widowControl w:val="0"/>
        <w:numPr>
          <w:ilvl w:val="0"/>
          <w:numId w:val="13"/>
        </w:numPr>
        <w:tabs>
          <w:tab w:val="left" w:pos="1980"/>
        </w:tabs>
        <w:spacing w:line="400" w:lineRule="exact"/>
        <w:ind w:left="1850" w:leftChars="771" w:firstLine="0"/>
        <w:jc w:val="both"/>
        <w:rPr>
          <w:rFonts w:ascii="仿宋" w:hAnsi="仿宋" w:eastAsia="仿宋"/>
          <w:lang w:eastAsia="zh-CN"/>
        </w:rPr>
      </w:pPr>
      <w:r>
        <w:rPr>
          <w:rFonts w:hint="eastAsia" w:ascii="仿宋" w:hAnsi="仿宋" w:eastAsia="仿宋"/>
          <w:lang w:eastAsia="zh-CN"/>
        </w:rPr>
        <w:t>按合同约定的时间完成勘察、设计等阶段的工作，及时提交发包人审查，完善设计成果；</w:t>
      </w:r>
    </w:p>
    <w:p w14:paraId="5C6C60F9">
      <w:pPr>
        <w:widowControl w:val="0"/>
        <w:numPr>
          <w:ilvl w:val="0"/>
          <w:numId w:val="13"/>
        </w:numPr>
        <w:tabs>
          <w:tab w:val="left" w:pos="1980"/>
        </w:tabs>
        <w:spacing w:line="400" w:lineRule="exact"/>
        <w:ind w:left="1850" w:leftChars="771" w:firstLine="0"/>
        <w:jc w:val="both"/>
        <w:rPr>
          <w:rFonts w:ascii="仿宋" w:hAnsi="仿宋" w:eastAsia="仿宋"/>
          <w:lang w:eastAsia="zh-CN"/>
        </w:rPr>
      </w:pPr>
      <w:r>
        <w:rPr>
          <w:rFonts w:hint="eastAsia" w:ascii="仿宋" w:hAnsi="仿宋" w:eastAsia="仿宋"/>
          <w:lang w:eastAsia="zh-CN"/>
        </w:rPr>
        <w:t>提供建筑信息模型（BIM）及相关技术应用，并协助发包人及相关方正确使用；</w:t>
      </w:r>
    </w:p>
    <w:p w14:paraId="25E3F020">
      <w:pPr>
        <w:widowControl w:val="0"/>
        <w:numPr>
          <w:ilvl w:val="0"/>
          <w:numId w:val="13"/>
        </w:numPr>
        <w:tabs>
          <w:tab w:val="left" w:pos="1980"/>
        </w:tabs>
        <w:spacing w:line="400" w:lineRule="exact"/>
        <w:ind w:left="1850" w:leftChars="771" w:firstLine="0"/>
        <w:jc w:val="both"/>
        <w:rPr>
          <w:rFonts w:ascii="仿宋" w:hAnsi="仿宋" w:eastAsia="仿宋"/>
          <w:lang w:eastAsia="zh-CN"/>
        </w:rPr>
      </w:pPr>
      <w:r>
        <w:rPr>
          <w:rFonts w:hint="eastAsia" w:ascii="仿宋" w:hAnsi="仿宋" w:eastAsia="仿宋" w:cs="仿宋"/>
          <w:lang w:eastAsia="zh-CN"/>
        </w:rPr>
        <w:t>按照审查批准的设计文件、合同约定和监理人的指令实施、完成并保修合同工程；</w:t>
      </w:r>
    </w:p>
    <w:p w14:paraId="4DFA2DDE">
      <w:pPr>
        <w:widowControl w:val="0"/>
        <w:numPr>
          <w:ilvl w:val="0"/>
          <w:numId w:val="13"/>
        </w:numPr>
        <w:tabs>
          <w:tab w:val="left" w:pos="1980"/>
        </w:tabs>
        <w:spacing w:line="400" w:lineRule="exact"/>
        <w:ind w:left="1850" w:leftChars="771" w:firstLine="0"/>
        <w:jc w:val="both"/>
        <w:rPr>
          <w:rFonts w:ascii="仿宋" w:hAnsi="仿宋" w:eastAsia="仿宋"/>
          <w:lang w:eastAsia="zh-CN"/>
        </w:rPr>
      </w:pPr>
      <w:r>
        <w:rPr>
          <w:rFonts w:hint="eastAsia" w:ascii="仿宋" w:hAnsi="仿宋" w:eastAsia="仿宋" w:cs="仿宋"/>
          <w:lang w:eastAsia="zh-CN"/>
        </w:rPr>
        <w:t>按照合同约定和设计顾问人、监理人的要求提交勘察、设计、施工等进度报告和进度计划；</w:t>
      </w:r>
    </w:p>
    <w:p w14:paraId="1FE1FBB2">
      <w:pPr>
        <w:widowControl w:val="0"/>
        <w:numPr>
          <w:ilvl w:val="0"/>
          <w:numId w:val="13"/>
        </w:numPr>
        <w:tabs>
          <w:tab w:val="left" w:pos="1980"/>
        </w:tabs>
        <w:spacing w:line="400" w:lineRule="exact"/>
        <w:ind w:left="1850" w:leftChars="771" w:firstLine="0"/>
        <w:jc w:val="both"/>
        <w:rPr>
          <w:rFonts w:ascii="仿宋" w:hAnsi="仿宋" w:eastAsia="仿宋"/>
          <w:lang w:eastAsia="zh-CN"/>
        </w:rPr>
      </w:pPr>
      <w:r>
        <w:rPr>
          <w:rFonts w:hint="eastAsia" w:ascii="仿宋" w:hAnsi="仿宋" w:eastAsia="仿宋" w:cs="仿宋"/>
          <w:lang w:eastAsia="zh-CN"/>
        </w:rPr>
        <w:t>按照合同约定和造价</w:t>
      </w:r>
      <w:r>
        <w:rPr>
          <w:rFonts w:hint="eastAsia" w:ascii="仿宋" w:hAnsi="仿宋" w:eastAsia="仿宋"/>
          <w:lang w:eastAsia="zh-CN"/>
        </w:rPr>
        <w:t>咨询</w:t>
      </w:r>
      <w:r>
        <w:rPr>
          <w:rFonts w:hint="eastAsia" w:ascii="仿宋" w:hAnsi="仿宋" w:eastAsia="仿宋" w:cs="仿宋"/>
          <w:lang w:eastAsia="zh-CN"/>
        </w:rPr>
        <w:t>人的要求提交支付申请和服务费、工程款报告，包括绿色施工安全防护费、进度款、结算款和调整合同价格等；</w:t>
      </w:r>
    </w:p>
    <w:p w14:paraId="26C918DA">
      <w:pPr>
        <w:widowControl w:val="0"/>
        <w:numPr>
          <w:ilvl w:val="0"/>
          <w:numId w:val="13"/>
        </w:numPr>
        <w:tabs>
          <w:tab w:val="left" w:pos="1980"/>
        </w:tabs>
        <w:spacing w:line="400" w:lineRule="exact"/>
        <w:ind w:left="1850" w:leftChars="771" w:firstLine="0"/>
        <w:jc w:val="both"/>
        <w:rPr>
          <w:rFonts w:ascii="仿宋" w:hAnsi="仿宋" w:eastAsia="仿宋"/>
          <w:lang w:eastAsia="zh-CN"/>
        </w:rPr>
      </w:pPr>
      <w:r>
        <w:rPr>
          <w:rFonts w:hint="eastAsia" w:ascii="仿宋" w:hAnsi="仿宋" w:eastAsia="仿宋" w:cs="仿宋"/>
          <w:lang w:eastAsia="zh-CN"/>
        </w:rPr>
        <w:t>负责施工场地安全</w:t>
      </w:r>
      <w:r>
        <w:rPr>
          <w:rFonts w:hint="eastAsia" w:ascii="仿宋" w:hAnsi="仿宋" w:eastAsia="仿宋"/>
          <w:lang w:eastAsia="zh-CN"/>
        </w:rPr>
        <w:t>保卫</w:t>
      </w:r>
      <w:r>
        <w:rPr>
          <w:rFonts w:hint="eastAsia" w:ascii="仿宋" w:hAnsi="仿宋" w:eastAsia="仿宋" w:cs="仿宋"/>
          <w:lang w:eastAsia="zh-CN"/>
        </w:rPr>
        <w:t>工作，防止因工程施工造成的人身伤害和财产损失，提供和维修施工使用的照明、围栏设施等安全标志；</w:t>
      </w:r>
    </w:p>
    <w:p w14:paraId="1476CB90">
      <w:pPr>
        <w:widowControl w:val="0"/>
        <w:numPr>
          <w:ilvl w:val="0"/>
          <w:numId w:val="13"/>
        </w:numPr>
        <w:tabs>
          <w:tab w:val="left" w:pos="1980"/>
        </w:tabs>
        <w:spacing w:line="400" w:lineRule="exact"/>
        <w:ind w:left="1850" w:leftChars="771" w:firstLine="0"/>
        <w:jc w:val="both"/>
        <w:rPr>
          <w:rFonts w:ascii="仿宋" w:hAnsi="仿宋" w:eastAsia="仿宋"/>
          <w:lang w:eastAsia="zh-CN"/>
        </w:rPr>
      </w:pPr>
      <w:r>
        <w:rPr>
          <w:rFonts w:hint="eastAsia" w:ascii="仿宋" w:hAnsi="仿宋" w:eastAsia="仿宋" w:cs="仿宋"/>
          <w:lang w:eastAsia="zh-CN"/>
        </w:rPr>
        <w:t>按照专用条款约定的数量和要求，向发包人提供施工场地办公和生活的房屋及设施，并在施工现场保留本合同、约定的标准与规范、变更资料等各一份，供监理人、造价咨询人需要时使用；</w:t>
      </w:r>
    </w:p>
    <w:p w14:paraId="079FB874">
      <w:pPr>
        <w:widowControl w:val="0"/>
        <w:numPr>
          <w:ilvl w:val="0"/>
          <w:numId w:val="13"/>
        </w:numPr>
        <w:tabs>
          <w:tab w:val="left" w:pos="1980"/>
        </w:tabs>
        <w:spacing w:line="400" w:lineRule="exact"/>
        <w:ind w:left="1850" w:leftChars="771" w:firstLine="0"/>
        <w:jc w:val="both"/>
        <w:rPr>
          <w:rFonts w:ascii="仿宋" w:hAnsi="仿宋" w:eastAsia="仿宋" w:cs="仿宋"/>
          <w:lang w:eastAsia="zh-CN"/>
        </w:rPr>
      </w:pPr>
      <w:r>
        <w:rPr>
          <w:rFonts w:hint="eastAsia" w:ascii="仿宋" w:hAnsi="仿宋" w:eastAsia="仿宋" w:cs="仿宋"/>
          <w:lang w:eastAsia="zh-CN"/>
        </w:rPr>
        <w:t>遵守政府部门有关</w:t>
      </w:r>
      <w:r>
        <w:rPr>
          <w:rFonts w:hint="eastAsia" w:ascii="仿宋" w:hAnsi="仿宋" w:eastAsia="仿宋"/>
          <w:lang w:eastAsia="zh-CN"/>
        </w:rPr>
        <w:t>施工</w:t>
      </w:r>
      <w:r>
        <w:rPr>
          <w:rFonts w:hint="eastAsia" w:ascii="仿宋" w:hAnsi="仿宋" w:eastAsia="仿宋" w:cs="仿宋"/>
          <w:lang w:eastAsia="zh-CN"/>
        </w:rPr>
        <w:t>场地交通、环境保护、施工噪声、绿色施工安全防护等的管理规定，办理有关手续，并以书面形式通知发包人，费用按政府有关部门相关文件规定由发（承）包人各自承担；</w:t>
      </w:r>
    </w:p>
    <w:p w14:paraId="33B0AD6B">
      <w:pPr>
        <w:widowControl w:val="0"/>
        <w:numPr>
          <w:ilvl w:val="0"/>
          <w:numId w:val="13"/>
        </w:numPr>
        <w:tabs>
          <w:tab w:val="left" w:pos="1980"/>
        </w:tabs>
        <w:spacing w:line="400" w:lineRule="exact"/>
        <w:ind w:left="1850" w:leftChars="771" w:firstLine="0"/>
        <w:jc w:val="both"/>
        <w:rPr>
          <w:rFonts w:ascii="仿宋" w:hAnsi="仿宋" w:eastAsia="仿宋"/>
          <w:lang w:eastAsia="zh-CN"/>
        </w:rPr>
      </w:pPr>
      <w:r>
        <w:rPr>
          <w:rFonts w:hint="eastAsia" w:ascii="仿宋" w:hAnsi="仿宋" w:eastAsia="仿宋" w:cs="仿宋"/>
          <w:lang w:eastAsia="zh-CN"/>
        </w:rPr>
        <w:t>在合同工程或其某</w:t>
      </w:r>
      <w:r>
        <w:rPr>
          <w:rFonts w:hint="eastAsia" w:ascii="仿宋" w:hAnsi="仿宋" w:eastAsia="仿宋"/>
          <w:lang w:eastAsia="zh-CN"/>
        </w:rPr>
        <w:t>单项工程</w:t>
      </w:r>
      <w:r>
        <w:rPr>
          <w:rFonts w:hint="eastAsia" w:ascii="仿宋" w:hAnsi="仿宋" w:eastAsia="仿宋" w:cs="仿宋"/>
          <w:lang w:eastAsia="zh-CN"/>
        </w:rPr>
        <w:t>已竣工未移交给发包人之前，负责已完工程的照管工作。工程接收证书颁发时尚有部分未竣工工程的，还应负责该未竣工工程的照管工作，直至竣工后移交给发包人为止。照管期间发生损坏的，应予以修复并承担费用；发包人要求采取特殊保护措施的，由发包人承担相应费用；做好施工场地地下管线和邻近建筑物、构筑物（包括文物保护建筑）、古树名木的保护工作；</w:t>
      </w:r>
    </w:p>
    <w:p w14:paraId="4D128EFE">
      <w:pPr>
        <w:widowControl w:val="0"/>
        <w:numPr>
          <w:ilvl w:val="0"/>
          <w:numId w:val="13"/>
        </w:numPr>
        <w:tabs>
          <w:tab w:val="left" w:pos="1980"/>
        </w:tabs>
        <w:spacing w:line="400" w:lineRule="exact"/>
        <w:ind w:left="1850" w:leftChars="771" w:firstLine="0"/>
        <w:jc w:val="both"/>
        <w:rPr>
          <w:rFonts w:ascii="仿宋" w:hAnsi="仿宋" w:eastAsia="仿宋"/>
          <w:lang w:eastAsia="zh-CN"/>
        </w:rPr>
      </w:pPr>
      <w:r>
        <w:rPr>
          <w:rFonts w:hint="eastAsia" w:ascii="仿宋" w:hAnsi="仿宋" w:eastAsia="仿宋" w:cs="仿宋"/>
          <w:lang w:eastAsia="zh-CN"/>
        </w:rPr>
        <w:t>遵守政府部门有关</w:t>
      </w:r>
      <w:r>
        <w:rPr>
          <w:rFonts w:hint="eastAsia" w:ascii="仿宋" w:hAnsi="仿宋" w:eastAsia="仿宋"/>
          <w:lang w:eastAsia="zh-CN"/>
        </w:rPr>
        <w:t>环境卫生</w:t>
      </w:r>
      <w:r>
        <w:rPr>
          <w:rFonts w:hint="eastAsia" w:ascii="仿宋" w:hAnsi="仿宋" w:eastAsia="仿宋" w:cs="仿宋"/>
          <w:lang w:eastAsia="zh-CN"/>
        </w:rPr>
        <w:t>的管理规定，保证施工场地的清洁和做好工程移交前施工现场的清理工作，并承担因自身责任造成的损失和罚款；</w:t>
      </w:r>
    </w:p>
    <w:p w14:paraId="47759BB3">
      <w:pPr>
        <w:widowControl w:val="0"/>
        <w:numPr>
          <w:ilvl w:val="0"/>
          <w:numId w:val="13"/>
        </w:numPr>
        <w:tabs>
          <w:tab w:val="left" w:pos="1980"/>
        </w:tabs>
        <w:spacing w:line="400" w:lineRule="exact"/>
        <w:ind w:left="1850" w:leftChars="771"/>
        <w:jc w:val="both"/>
        <w:rPr>
          <w:lang w:eastAsia="zh-CN"/>
        </w:rPr>
      </w:pPr>
      <w:r>
        <w:rPr>
          <w:rFonts w:hint="eastAsia" w:ascii="仿宋" w:hAnsi="仿宋" w:eastAsia="仿宋" w:cs="仿宋"/>
          <w:lang w:eastAsia="zh-CN"/>
        </w:rPr>
        <w:t>工程完工后，应按照合同约定提交竣工验收申请报告和竣工结算文件；</w:t>
      </w:r>
    </w:p>
    <w:p w14:paraId="0F3DB706">
      <w:pPr>
        <w:widowControl w:val="0"/>
        <w:numPr>
          <w:ilvl w:val="0"/>
          <w:numId w:val="13"/>
        </w:numPr>
        <w:tabs>
          <w:tab w:val="left" w:pos="1980"/>
        </w:tabs>
        <w:spacing w:line="400" w:lineRule="exact"/>
        <w:ind w:left="1850" w:leftChars="771"/>
        <w:jc w:val="both"/>
        <w:rPr>
          <w:rFonts w:ascii="仿宋" w:hAnsi="仿宋" w:eastAsia="仿宋" w:cs="仿宋"/>
          <w:lang w:eastAsia="zh-CN"/>
        </w:rPr>
      </w:pPr>
      <w:r>
        <w:rPr>
          <w:rFonts w:hint="eastAsia" w:ascii="仿宋" w:hAnsi="仿宋" w:eastAsia="仿宋" w:cs="仿宋"/>
          <w:lang w:eastAsia="zh-CN" w:bidi="ar"/>
        </w:rPr>
        <w:t>将发包人按合同支付的各项价款专用于合同工程且应及时支付其雇佣人员（包括建筑工人）工资，并及时向分包人支付合同价款。</w:t>
      </w:r>
    </w:p>
    <w:p w14:paraId="3A27EA7E">
      <w:pPr>
        <w:widowControl w:val="0"/>
        <w:tabs>
          <w:tab w:val="left" w:pos="1440"/>
          <w:tab w:val="left" w:pos="1980"/>
        </w:tabs>
        <w:spacing w:line="400" w:lineRule="exact"/>
        <w:ind w:left="1850" w:leftChars="771"/>
        <w:jc w:val="both"/>
        <w:rPr>
          <w:rFonts w:ascii="仿宋" w:hAnsi="仿宋" w:eastAsia="仿宋"/>
          <w:lang w:eastAsia="zh-CN"/>
        </w:rPr>
      </w:pPr>
    </w:p>
    <w:p w14:paraId="72410531">
      <w:pPr>
        <w:spacing w:line="400" w:lineRule="exact"/>
        <w:rPr>
          <w:rFonts w:ascii="仿宋" w:hAnsi="仿宋" w:eastAsia="仿宋"/>
          <w:b/>
          <w:bCs/>
          <w:lang w:eastAsia="zh-CN"/>
        </w:rPr>
      </w:pPr>
      <w:bookmarkStart w:id="225" w:name="_Toc21912"/>
      <w:r>
        <w:rPr>
          <w:rFonts w:ascii="仿宋" w:hAnsi="仿宋" w:eastAsia="仿宋" w:cs="仿宋"/>
          <w:b/>
          <w:bCs/>
          <w:lang w:eastAsia="zh-CN"/>
        </w:rPr>
        <w:t>2</w:t>
      </w:r>
      <w:r>
        <w:rPr>
          <w:rFonts w:hint="eastAsia" w:ascii="仿宋" w:hAnsi="仿宋" w:eastAsia="仿宋" w:cs="仿宋"/>
          <w:b/>
          <w:bCs/>
          <w:lang w:eastAsia="zh-CN"/>
        </w:rPr>
        <w:t>3</w:t>
      </w:r>
      <w:r>
        <w:rPr>
          <w:rFonts w:ascii="仿宋" w:hAnsi="仿宋" w:eastAsia="仿宋" w:cs="仿宋"/>
          <w:b/>
          <w:bCs/>
          <w:lang w:eastAsia="zh-CN"/>
        </w:rPr>
        <w:t>.3</w:t>
      </w:r>
      <w:bookmarkEnd w:id="225"/>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497638F4">
      <w:pPr>
        <w:widowControl w:val="0"/>
        <w:tabs>
          <w:tab w:val="left" w:pos="4970"/>
        </w:tabs>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714560" behindDoc="0" locked="0" layoutInCell="1" allowOverlap="1">
                <wp:simplePos x="0" y="0"/>
                <wp:positionH relativeFrom="column">
                  <wp:posOffset>-114300</wp:posOffset>
                </wp:positionH>
                <wp:positionV relativeFrom="paragraph">
                  <wp:posOffset>0</wp:posOffset>
                </wp:positionV>
                <wp:extent cx="756920" cy="563880"/>
                <wp:effectExtent l="0" t="0" r="0" b="0"/>
                <wp:wrapNone/>
                <wp:docPr id="76" name="文本框 751"/>
                <wp:cNvGraphicFramePr/>
                <a:graphic xmlns:a="http://schemas.openxmlformats.org/drawingml/2006/main">
                  <a:graphicData uri="http://schemas.microsoft.com/office/word/2010/wordprocessingShape">
                    <wps:wsp>
                      <wps:cNvSpPr txBox="1"/>
                      <wps:spPr>
                        <a:xfrm>
                          <a:off x="0" y="0"/>
                          <a:ext cx="756920" cy="563880"/>
                        </a:xfrm>
                        <a:prstGeom prst="rect">
                          <a:avLst/>
                        </a:prstGeom>
                        <a:noFill/>
                        <a:ln w="12700">
                          <a:noFill/>
                        </a:ln>
                      </wps:spPr>
                      <wps:txbx>
                        <w:txbxContent>
                          <w:p w14:paraId="6ED4C05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承包人实施工程</w:t>
                            </w:r>
                          </w:p>
                        </w:txbxContent>
                      </wps:txbx>
                      <wps:bodyPr rot="0" vert="horz" wrap="square" lIns="91440" tIns="45720" rIns="91440" bIns="45720" anchor="t" anchorCtr="0"/>
                    </wps:wsp>
                  </a:graphicData>
                </a:graphic>
              </wp:anchor>
            </w:drawing>
          </mc:Choice>
          <mc:Fallback>
            <w:pict>
              <v:shape id="文本框 751" o:spid="_x0000_s1026" o:spt="202" type="#_x0000_t202" style="position:absolute;left:0pt;margin-left:-9pt;margin-top:0pt;height:44.4pt;width:59.6pt;z-index:251714560;mso-width-relative:page;mso-height-relative:page;" filled="f" stroked="f" coordsize="21600,21600" o:gfxdata="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s1AL&#10;lNYAAAAHAQAADwAAAAAAAAABACAAAAAiAAAAZHJzL2Rvd25yZXYueG1sUEsBAhQAFAAAAAgAh07i&#10;QFeNZ+LrAQAAvQMAAA4AAAAAAAAAAQAgAAAAJQEAAGRycy9lMm9Eb2MueG1sUEsFBgAAAAAGAAYA&#10;WQEAAIIFAAAAAA==&#10;">
                <v:fill on="f" focussize="0,0"/>
                <v:stroke on="f" weight="1pt"/>
                <v:imagedata o:title=""/>
                <o:lock v:ext="edit" aspectratio="f"/>
                <v:textbox>
                  <w:txbxContent>
                    <w:p w14:paraId="6ED4C05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承包人实施工程</w:t>
                      </w:r>
                    </w:p>
                  </w:txbxContent>
                </v:textbox>
              </v:shape>
            </w:pict>
          </mc:Fallback>
        </mc:AlternateContent>
      </w:r>
      <w:r>
        <w:rPr>
          <w:rFonts w:hint="eastAsia" w:ascii="仿宋" w:hAnsi="仿宋" w:eastAsia="仿宋" w:cs="仿宋"/>
          <w:lang w:eastAsia="zh-CN"/>
        </w:rPr>
        <w:t>承包人应按照合同约定和监理人指令实施、完成并保修合同工程。除专用条款另有约定外，承包人应提供为完成合同工程所需的勘察资料、设计文件、建筑信息模型（BIM）、劳务、工程材料、工程设备、施工设备和其他物品。如果承包人不按照合同约定或监理人依据合同发出的指令组织施工，且在监理人书面要求改正后的</w:t>
      </w:r>
      <w:r>
        <w:rPr>
          <w:rFonts w:ascii="仿宋" w:hAnsi="仿宋" w:eastAsia="仿宋" w:cs="仿宋"/>
          <w:lang w:eastAsia="zh-CN"/>
        </w:rPr>
        <w:t>7</w:t>
      </w:r>
      <w:r>
        <w:rPr>
          <w:rFonts w:hint="eastAsia" w:ascii="仿宋" w:hAnsi="仿宋" w:eastAsia="仿宋" w:cs="仿宋"/>
          <w:lang w:eastAsia="zh-CN"/>
        </w:rPr>
        <w:t>天内仍未采取补救措施的，则发包人可自行或委托第三方进行补救，由此发生的费用和造成的损失由承包人承担。该笔款项经造价咨询人核实后，由发包人从应支付或将支付给承包人的工程进度款或结算款中扣除。</w:t>
      </w:r>
    </w:p>
    <w:p w14:paraId="7D5F5312">
      <w:pPr>
        <w:spacing w:line="400" w:lineRule="exact"/>
        <w:rPr>
          <w:rFonts w:ascii="仿宋" w:hAnsi="仿宋" w:eastAsia="仿宋"/>
          <w:b/>
          <w:bCs/>
          <w:lang w:eastAsia="zh-CN"/>
        </w:rPr>
      </w:pPr>
      <w:bookmarkStart w:id="226" w:name="_Toc31582"/>
      <w:r>
        <w:rPr>
          <w:rFonts w:ascii="仿宋" w:hAnsi="仿宋" w:eastAsia="仿宋" w:cs="仿宋"/>
          <w:b/>
          <w:bCs/>
          <w:lang w:eastAsia="zh-CN"/>
        </w:rPr>
        <w:t>2</w:t>
      </w:r>
      <w:r>
        <w:rPr>
          <w:rFonts w:hint="eastAsia" w:ascii="仿宋" w:hAnsi="仿宋" w:eastAsia="仿宋" w:cs="仿宋"/>
          <w:b/>
          <w:bCs/>
          <w:lang w:eastAsia="zh-CN"/>
        </w:rPr>
        <w:t>3</w:t>
      </w:r>
      <w:r>
        <w:rPr>
          <w:rFonts w:ascii="仿宋" w:hAnsi="仿宋" w:eastAsia="仿宋" w:cs="仿宋"/>
          <w:b/>
          <w:bCs/>
          <w:lang w:eastAsia="zh-CN"/>
        </w:rPr>
        <w:t>.4</w:t>
      </w:r>
      <w:bookmarkEnd w:id="226"/>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2999B8C8">
      <w:pPr>
        <w:widowControl w:val="0"/>
        <w:tabs>
          <w:tab w:val="left" w:pos="4970"/>
        </w:tabs>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715584" behindDoc="0" locked="0" layoutInCell="1" allowOverlap="1">
                <wp:simplePos x="0" y="0"/>
                <wp:positionH relativeFrom="column">
                  <wp:posOffset>-114300</wp:posOffset>
                </wp:positionH>
                <wp:positionV relativeFrom="paragraph">
                  <wp:posOffset>22860</wp:posOffset>
                </wp:positionV>
                <wp:extent cx="823595" cy="708660"/>
                <wp:effectExtent l="0" t="0" r="0" b="0"/>
                <wp:wrapNone/>
                <wp:docPr id="77" name="文本框 752"/>
                <wp:cNvGraphicFramePr/>
                <a:graphic xmlns:a="http://schemas.openxmlformats.org/drawingml/2006/main">
                  <a:graphicData uri="http://schemas.microsoft.com/office/word/2010/wordprocessingShape">
                    <wps:wsp>
                      <wps:cNvSpPr txBox="1"/>
                      <wps:spPr>
                        <a:xfrm>
                          <a:off x="0" y="0"/>
                          <a:ext cx="823595" cy="708660"/>
                        </a:xfrm>
                        <a:prstGeom prst="rect">
                          <a:avLst/>
                        </a:prstGeom>
                        <a:noFill/>
                        <a:ln w="12700">
                          <a:noFill/>
                        </a:ln>
                      </wps:spPr>
                      <wps:txbx>
                        <w:txbxContent>
                          <w:p w14:paraId="30D695D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承包人实施勘察、设计、施工等工作安排</w:t>
                            </w:r>
                          </w:p>
                        </w:txbxContent>
                      </wps:txbx>
                      <wps:bodyPr rot="0" vert="horz" wrap="square" lIns="91440" tIns="45720" rIns="91440" bIns="45720" anchor="t" anchorCtr="0"/>
                    </wps:wsp>
                  </a:graphicData>
                </a:graphic>
              </wp:anchor>
            </w:drawing>
          </mc:Choice>
          <mc:Fallback>
            <w:pict>
              <v:shape id="文本框 752" o:spid="_x0000_s1026" o:spt="202" type="#_x0000_t202" style="position:absolute;left:0pt;margin-left:-9pt;margin-top:1.8pt;height:55.8pt;width:64.85pt;z-index:251715584;mso-width-relative:page;mso-height-relative:page;" filled="f" stroked="f" coordsize="21600,21600" o:gfxdata="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kO&#10;rhbXAAAACQEAAA8AAAAAAAAAAQAgAAAAIgAAAGRycy9kb3ducmV2LnhtbFBLAQIUABQAAAAIAIdO&#10;4kBRlPGN6wEAAL0DAAAOAAAAAAAAAAEAIAAAACYBAABkcnMvZTJvRG9jLnhtbFBLBQYAAAAABgAG&#10;AFkBAACDBQAAAAA=&#10;">
                <v:fill on="f" focussize="0,0"/>
                <v:stroke on="f" weight="1pt"/>
                <v:imagedata o:title=""/>
                <o:lock v:ext="edit" aspectratio="f"/>
                <v:textbox>
                  <w:txbxContent>
                    <w:p w14:paraId="30D695D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承包人实施勘察、设计、施工等工作安排</w:t>
                      </w:r>
                    </w:p>
                  </w:txbxContent>
                </v:textbox>
              </v:shape>
            </w:pict>
          </mc:Fallback>
        </mc:AlternateContent>
      </w:r>
      <w:r>
        <w:rPr>
          <w:rFonts w:hint="eastAsia" w:ascii="仿宋" w:hAnsi="仿宋" w:eastAsia="仿宋" w:cs="仿宋"/>
          <w:lang w:eastAsia="zh-CN"/>
        </w:rPr>
        <w:t>承包人对所有勘察报告、设计文件、建筑信息模型（BIM）、现场作业和施工方法的完备性、稳定性和安全性负责，并应按照合同约定的工作内容和进度要求，向发包人代表或监理人代表提交合同工程拟采用的勘察工作方案、设计工作方案、BIM技术应用方案、施工组织设计、设备及工器具购置方案（如果有）等的详细说明。如承包人对勘察工作方案、设计工作方案、BIM技术应用方案、施工组织设计、设备及工器具购置方案（如果有）等作出重大修改，应事先征得发包人代表、设计顾问人或监理人代表同意。</w:t>
      </w:r>
    </w:p>
    <w:p w14:paraId="4285F83B">
      <w:pPr>
        <w:spacing w:line="400" w:lineRule="exact"/>
        <w:rPr>
          <w:rFonts w:ascii="仿宋" w:hAnsi="仿宋" w:eastAsia="仿宋"/>
          <w:lang w:eastAsia="zh-CN"/>
        </w:rPr>
      </w:pPr>
      <w:bookmarkStart w:id="227" w:name="_Toc32541"/>
      <w:r>
        <w:rPr>
          <w:rFonts w:ascii="仿宋" w:hAnsi="仿宋" w:eastAsia="仿宋" w:cs="仿宋"/>
          <w:b/>
          <w:bCs/>
          <w:lang w:eastAsia="zh-CN"/>
        </w:rPr>
        <w:t>2</w:t>
      </w:r>
      <w:r>
        <w:rPr>
          <w:rFonts w:hint="eastAsia" w:ascii="仿宋" w:hAnsi="仿宋" w:eastAsia="仿宋" w:cs="仿宋"/>
          <w:b/>
          <w:bCs/>
          <w:lang w:eastAsia="zh-CN"/>
        </w:rPr>
        <w:t>3</w:t>
      </w:r>
      <w:r>
        <w:rPr>
          <w:rFonts w:ascii="仿宋" w:hAnsi="仿宋" w:eastAsia="仿宋" w:cs="仿宋"/>
          <w:b/>
          <w:bCs/>
          <w:lang w:eastAsia="zh-CN"/>
        </w:rPr>
        <w:t>.5</w:t>
      </w:r>
      <w:bookmarkEnd w:id="227"/>
      <w:r>
        <w:rPr>
          <w:rFonts w:ascii="仿宋" w:hAnsi="仿宋" w:eastAsia="仿宋" w:cs="仿宋"/>
          <w:b/>
          <w:bCs/>
          <w:lang w:eastAsia="zh-CN"/>
        </w:rPr>
        <w:t xml:space="preserve"> </w:t>
      </w:r>
      <w:r>
        <w:rPr>
          <w:rFonts w:ascii="仿宋" w:hAnsi="仿宋" w:eastAsia="仿宋" w:cs="仿宋"/>
          <w:lang w:eastAsia="zh-CN"/>
        </w:rPr>
        <w:t xml:space="preserve"> </w:t>
      </w:r>
      <w:r>
        <w:rPr>
          <w:rFonts w:ascii="仿宋" w:hAnsi="仿宋" w:eastAsia="仿宋" w:cs="仿宋"/>
          <w:u w:val="dotted"/>
          <w:lang w:eastAsia="zh-CN"/>
        </w:rPr>
        <w:t xml:space="preserve">                                                           </w:t>
      </w:r>
      <w:r>
        <w:rPr>
          <w:rFonts w:hint="eastAsia" w:ascii="仿宋" w:hAnsi="仿宋" w:eastAsia="仿宋" w:cs="仿宋"/>
          <w:u w:val="dotted"/>
          <w:lang w:eastAsia="zh-CN"/>
        </w:rPr>
        <w:t xml:space="preserve">      </w:t>
      </w:r>
      <w:r>
        <w:rPr>
          <w:rFonts w:ascii="仿宋" w:hAnsi="仿宋" w:eastAsia="仿宋" w:cs="仿宋"/>
          <w:u w:val="dotted"/>
          <w:lang w:eastAsia="zh-CN"/>
        </w:rPr>
        <w:t xml:space="preserve">              </w:t>
      </w:r>
    </w:p>
    <w:p w14:paraId="6A66C6DA">
      <w:pPr>
        <w:widowControl w:val="0"/>
        <w:tabs>
          <w:tab w:val="left" w:pos="4970"/>
        </w:tabs>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716608" behindDoc="0" locked="0" layoutInCell="1" allowOverlap="1">
                <wp:simplePos x="0" y="0"/>
                <wp:positionH relativeFrom="column">
                  <wp:posOffset>-114300</wp:posOffset>
                </wp:positionH>
                <wp:positionV relativeFrom="paragraph">
                  <wp:posOffset>15240</wp:posOffset>
                </wp:positionV>
                <wp:extent cx="833120" cy="650875"/>
                <wp:effectExtent l="0" t="0" r="0" b="0"/>
                <wp:wrapNone/>
                <wp:docPr id="78" name="文本框 753"/>
                <wp:cNvGraphicFramePr/>
                <a:graphic xmlns:a="http://schemas.openxmlformats.org/drawingml/2006/main">
                  <a:graphicData uri="http://schemas.microsoft.com/office/word/2010/wordprocessingShape">
                    <wps:wsp>
                      <wps:cNvSpPr txBox="1"/>
                      <wps:spPr>
                        <a:xfrm>
                          <a:off x="0" y="0"/>
                          <a:ext cx="833120" cy="650875"/>
                        </a:xfrm>
                        <a:prstGeom prst="rect">
                          <a:avLst/>
                        </a:prstGeom>
                        <a:noFill/>
                        <a:ln w="12700">
                          <a:noFill/>
                        </a:ln>
                      </wps:spPr>
                      <wps:txbx>
                        <w:txbxContent>
                          <w:p w14:paraId="61053298">
                            <w:pPr>
                              <w:spacing w:line="240" w:lineRule="exact"/>
                              <w:rPr>
                                <w:rFonts w:ascii="楷体_GB2312" w:hAnsi="宋体" w:eastAsia="楷体_GB2312"/>
                                <w:sz w:val="18"/>
                                <w:szCs w:val="18"/>
                                <w:lang w:eastAsia="zh-CN"/>
                              </w:rPr>
                            </w:pPr>
                            <w:r>
                              <w:rPr>
                                <w:rFonts w:hint="eastAsia" w:ascii="楷体_GB2312" w:eastAsia="楷体_GB2312" w:cs="楷体_GB2312"/>
                                <w:b/>
                                <w:bCs/>
                                <w:color w:val="000000"/>
                                <w:sz w:val="18"/>
                                <w:szCs w:val="18"/>
                                <w:lang w:eastAsia="zh-CN"/>
                              </w:rPr>
                              <w:t>承包人为发包人的人员提供配合</w:t>
                            </w:r>
                          </w:p>
                        </w:txbxContent>
                      </wps:txbx>
                      <wps:bodyPr rot="0" vert="horz" wrap="square" lIns="91440" tIns="45720" rIns="91440" bIns="45720" anchor="t" anchorCtr="0"/>
                    </wps:wsp>
                  </a:graphicData>
                </a:graphic>
              </wp:anchor>
            </w:drawing>
          </mc:Choice>
          <mc:Fallback>
            <w:pict>
              <v:shape id="文本框 753" o:spid="_x0000_s1026" o:spt="202" type="#_x0000_t202" style="position:absolute;left:0pt;margin-left:-9pt;margin-top:1.2pt;height:51.25pt;width:65.6pt;z-index:251716608;mso-width-relative:page;mso-height-relative:page;" filled="f" stroked="f" coordsize="21600,21600" o:gfxdata="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FD&#10;kNDYAAAACQEAAA8AAAAAAAAAAQAgAAAAIgAAAGRycy9kb3ducmV2LnhtbFBLAQIUABQAAAAIAIdO&#10;4kCV/SjP6gEAAL0DAAAOAAAAAAAAAAEAIAAAACcBAABkcnMvZTJvRG9jLnhtbFBLBQYAAAAABgAG&#10;AFkBAACDBQAAAAA=&#10;">
                <v:fill on="f" focussize="0,0"/>
                <v:stroke on="f" weight="1pt"/>
                <v:imagedata o:title=""/>
                <o:lock v:ext="edit" aspectratio="f"/>
                <v:textbox>
                  <w:txbxContent>
                    <w:p w14:paraId="61053298">
                      <w:pPr>
                        <w:spacing w:line="240" w:lineRule="exact"/>
                        <w:rPr>
                          <w:rFonts w:ascii="楷体_GB2312" w:hAnsi="宋体" w:eastAsia="楷体_GB2312"/>
                          <w:sz w:val="18"/>
                          <w:szCs w:val="18"/>
                          <w:lang w:eastAsia="zh-CN"/>
                        </w:rPr>
                      </w:pPr>
                      <w:r>
                        <w:rPr>
                          <w:rFonts w:hint="eastAsia" w:ascii="楷体_GB2312" w:eastAsia="楷体_GB2312" w:cs="楷体_GB2312"/>
                          <w:b/>
                          <w:bCs/>
                          <w:color w:val="000000"/>
                          <w:sz w:val="18"/>
                          <w:szCs w:val="18"/>
                          <w:lang w:eastAsia="zh-CN"/>
                        </w:rPr>
                        <w:t>承包人为发包人的人员提供配合</w:t>
                      </w:r>
                    </w:p>
                  </w:txbxContent>
                </v:textbox>
              </v:shape>
            </w:pict>
          </mc:Fallback>
        </mc:AlternateContent>
      </w:r>
      <w:r>
        <w:rPr>
          <w:rFonts w:hint="eastAsia" w:ascii="仿宋" w:hAnsi="仿宋" w:eastAsia="仿宋" w:cs="仿宋"/>
          <w:lang w:eastAsia="zh-CN"/>
        </w:rPr>
        <w:t>承包人应按照合同约定、发包人代表或监理人代表的指令，配合和协助下述人员在施工场地及其附近实施与合同工程有关的各项工作：</w:t>
      </w:r>
    </w:p>
    <w:p w14:paraId="644C290A">
      <w:pPr>
        <w:widowControl w:val="0"/>
        <w:tabs>
          <w:tab w:val="left" w:pos="4970"/>
        </w:tabs>
        <w:spacing w:line="400" w:lineRule="exact"/>
        <w:ind w:left="1850" w:leftChars="771"/>
        <w:jc w:val="both"/>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1</w:t>
      </w:r>
      <w:r>
        <w:rPr>
          <w:rFonts w:hint="eastAsia" w:ascii="仿宋" w:hAnsi="仿宋" w:eastAsia="仿宋" w:cs="仿宋"/>
          <w:lang w:eastAsia="zh-CN"/>
        </w:rPr>
        <w:t>）发包人的工作人员；</w:t>
      </w:r>
    </w:p>
    <w:p w14:paraId="47C93296">
      <w:pPr>
        <w:widowControl w:val="0"/>
        <w:tabs>
          <w:tab w:val="left" w:pos="4970"/>
        </w:tabs>
        <w:spacing w:line="400" w:lineRule="exact"/>
        <w:ind w:left="1850" w:leftChars="771"/>
        <w:jc w:val="both"/>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2</w:t>
      </w:r>
      <w:r>
        <w:rPr>
          <w:rFonts w:hint="eastAsia" w:ascii="仿宋" w:hAnsi="仿宋" w:eastAsia="仿宋" w:cs="仿宋"/>
          <w:lang w:eastAsia="zh-CN"/>
        </w:rPr>
        <w:t>）发包人的雇员；</w:t>
      </w:r>
    </w:p>
    <w:p w14:paraId="1B3B49FA">
      <w:pPr>
        <w:widowControl w:val="0"/>
        <w:tabs>
          <w:tab w:val="left" w:pos="4970"/>
        </w:tabs>
        <w:spacing w:line="400" w:lineRule="exact"/>
        <w:ind w:left="1850" w:leftChars="771"/>
        <w:jc w:val="both"/>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3</w:t>
      </w:r>
      <w:r>
        <w:rPr>
          <w:rFonts w:hint="eastAsia" w:ascii="仿宋" w:hAnsi="仿宋" w:eastAsia="仿宋" w:cs="仿宋"/>
          <w:lang w:eastAsia="zh-CN"/>
        </w:rPr>
        <w:t>）任何监督管理机构的执法人员。</w:t>
      </w:r>
    </w:p>
    <w:p w14:paraId="50D1CC27">
      <w:pPr>
        <w:widowControl w:val="0"/>
        <w:tabs>
          <w:tab w:val="left" w:pos="4970"/>
        </w:tabs>
        <w:spacing w:line="400" w:lineRule="exact"/>
        <w:ind w:left="1850" w:leftChars="771"/>
        <w:jc w:val="both"/>
        <w:rPr>
          <w:rFonts w:ascii="仿宋" w:hAnsi="仿宋" w:eastAsia="仿宋"/>
          <w:lang w:eastAsia="zh-CN"/>
        </w:rPr>
      </w:pPr>
      <w:r>
        <w:rPr>
          <w:rFonts w:hint="eastAsia" w:ascii="仿宋" w:hAnsi="仿宋" w:eastAsia="仿宋" w:cs="仿宋"/>
          <w:lang w:eastAsia="zh-CN"/>
        </w:rPr>
        <w:t>此类指令造成承包人的工作或支出，包括使用了承包人的施工设备、临时工程或通行道路等，视为已包含在合同价格内，除非合同专用条款另有约定。</w:t>
      </w:r>
    </w:p>
    <w:p w14:paraId="0A1A95B6">
      <w:pPr>
        <w:spacing w:line="400" w:lineRule="exact"/>
        <w:rPr>
          <w:rFonts w:ascii="仿宋" w:hAnsi="仿宋" w:eastAsia="仿宋"/>
          <w:b/>
          <w:bCs/>
          <w:lang w:eastAsia="zh-CN"/>
        </w:rPr>
      </w:pPr>
      <w:bookmarkStart w:id="228" w:name="_Toc25696"/>
      <w:r>
        <w:rPr>
          <w:rFonts w:ascii="仿宋" w:hAnsi="仿宋" w:eastAsia="仿宋" w:cs="仿宋"/>
          <w:b/>
          <w:bCs/>
          <w:lang w:eastAsia="zh-CN"/>
        </w:rPr>
        <w:t>2</w:t>
      </w:r>
      <w:r>
        <w:rPr>
          <w:rFonts w:hint="eastAsia" w:ascii="仿宋" w:hAnsi="仿宋" w:eastAsia="仿宋" w:cs="仿宋"/>
          <w:b/>
          <w:bCs/>
          <w:lang w:eastAsia="zh-CN"/>
        </w:rPr>
        <w:t>3</w:t>
      </w:r>
      <w:r>
        <w:rPr>
          <w:rFonts w:ascii="仿宋" w:hAnsi="仿宋" w:eastAsia="仿宋" w:cs="仿宋"/>
          <w:b/>
          <w:bCs/>
          <w:lang w:eastAsia="zh-CN"/>
        </w:rPr>
        <w:t>.6</w:t>
      </w:r>
      <w:bookmarkEnd w:id="228"/>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3C42C9BE">
      <w:pPr>
        <w:widowControl w:val="0"/>
        <w:tabs>
          <w:tab w:val="left" w:pos="4970"/>
        </w:tabs>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717632" behindDoc="0" locked="0" layoutInCell="1" allowOverlap="1">
                <wp:simplePos x="0" y="0"/>
                <wp:positionH relativeFrom="column">
                  <wp:posOffset>-114300</wp:posOffset>
                </wp:positionH>
                <wp:positionV relativeFrom="paragraph">
                  <wp:posOffset>0</wp:posOffset>
                </wp:positionV>
                <wp:extent cx="803910" cy="612140"/>
                <wp:effectExtent l="0" t="0" r="0" b="0"/>
                <wp:wrapNone/>
                <wp:docPr id="79" name="文本框 754"/>
                <wp:cNvGraphicFramePr/>
                <a:graphic xmlns:a="http://schemas.openxmlformats.org/drawingml/2006/main">
                  <a:graphicData uri="http://schemas.microsoft.com/office/word/2010/wordprocessingShape">
                    <wps:wsp>
                      <wps:cNvSpPr txBox="1"/>
                      <wps:spPr>
                        <a:xfrm>
                          <a:off x="0" y="0"/>
                          <a:ext cx="803910" cy="612140"/>
                        </a:xfrm>
                        <a:prstGeom prst="rect">
                          <a:avLst/>
                        </a:prstGeom>
                        <a:noFill/>
                        <a:ln w="12700">
                          <a:noFill/>
                        </a:ln>
                      </wps:spPr>
                      <wps:txbx>
                        <w:txbxContent>
                          <w:p w14:paraId="241BEA49">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承包人避免施工损害他人利益</w:t>
                            </w:r>
                          </w:p>
                        </w:txbxContent>
                      </wps:txbx>
                      <wps:bodyPr rot="0" vert="horz" wrap="square" lIns="91440" tIns="45720" rIns="91440" bIns="45720" anchor="t" anchorCtr="0"/>
                    </wps:wsp>
                  </a:graphicData>
                </a:graphic>
              </wp:anchor>
            </w:drawing>
          </mc:Choice>
          <mc:Fallback>
            <w:pict>
              <v:shape id="文本框 754" o:spid="_x0000_s1026" o:spt="202" type="#_x0000_t202" style="position:absolute;left:0pt;margin-left:-9pt;margin-top:0pt;height:48.2pt;width:63.3pt;z-index:251717632;mso-width-relative:page;mso-height-relative:page;" filled="f" stroked="f" coordsize="21600,21600" o:gfxdata="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32u5/W&#10;AAAABwEAAA8AAAAAAAAAAQAgAAAAIgAAAGRycy9kb3ducmV2LnhtbFBLAQIUABQAAAAIAIdO4kCB&#10;R3lM6QEAAL0DAAAOAAAAAAAAAAEAIAAAACUBAABkcnMvZTJvRG9jLnhtbFBLBQYAAAAABgAGAFkB&#10;AACABQAAAAA=&#10;">
                <v:fill on="f" focussize="0,0"/>
                <v:stroke on="f" weight="1pt"/>
                <v:imagedata o:title=""/>
                <o:lock v:ext="edit" aspectratio="f"/>
                <v:textbox>
                  <w:txbxContent>
                    <w:p w14:paraId="241BEA49">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承包人避免施工损害他人利益</w:t>
                      </w:r>
                    </w:p>
                  </w:txbxContent>
                </v:textbox>
              </v:shape>
            </w:pict>
          </mc:Fallback>
        </mc:AlternateContent>
      </w:r>
      <w:r>
        <w:rPr>
          <w:rFonts w:hint="eastAsia" w:ascii="仿宋" w:hAnsi="仿宋" w:eastAsia="仿宋" w:cs="仿宋"/>
          <w:lang w:eastAsia="zh-CN"/>
        </w:rPr>
        <w:t>承包人在施工过程中，不得侵害发包人与他人使用公用道路、水源、市政管网等公共设施的权利，避免对邻近的公共设施产生干扰。承包人占用或使用他人的施工场地，影响他人作业或生活的，应承担相应责任。</w:t>
      </w:r>
    </w:p>
    <w:p w14:paraId="1A7F930F">
      <w:pPr>
        <w:spacing w:line="400" w:lineRule="exact"/>
        <w:rPr>
          <w:rFonts w:ascii="仿宋" w:hAnsi="仿宋" w:eastAsia="仿宋"/>
          <w:b/>
          <w:bCs/>
          <w:lang w:eastAsia="zh-CN"/>
        </w:rPr>
      </w:pPr>
      <w:bookmarkStart w:id="229" w:name="_Toc13320"/>
      <w:r>
        <w:rPr>
          <w:rFonts w:ascii="仿宋" w:hAnsi="仿宋" w:eastAsia="仿宋" w:cs="仿宋"/>
          <w:b/>
          <w:bCs/>
          <w:lang w:eastAsia="zh-CN"/>
        </w:rPr>
        <w:t>2</w:t>
      </w:r>
      <w:r>
        <w:rPr>
          <w:rFonts w:hint="eastAsia" w:ascii="仿宋" w:hAnsi="仿宋" w:eastAsia="仿宋" w:cs="仿宋"/>
          <w:b/>
          <w:bCs/>
          <w:lang w:eastAsia="zh-CN"/>
        </w:rPr>
        <w:t>3</w:t>
      </w:r>
      <w:r>
        <w:rPr>
          <w:rFonts w:ascii="仿宋" w:hAnsi="仿宋" w:eastAsia="仿宋" w:cs="仿宋"/>
          <w:b/>
          <w:bCs/>
          <w:lang w:eastAsia="zh-CN"/>
        </w:rPr>
        <w:t>.7</w:t>
      </w:r>
      <w:bookmarkEnd w:id="229"/>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4B3D4A24">
      <w:pPr>
        <w:widowControl w:val="0"/>
        <w:tabs>
          <w:tab w:val="left" w:pos="4970"/>
        </w:tabs>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718656" behindDoc="0" locked="0" layoutInCell="1" allowOverlap="1">
                <wp:simplePos x="0" y="0"/>
                <wp:positionH relativeFrom="column">
                  <wp:posOffset>-114300</wp:posOffset>
                </wp:positionH>
                <wp:positionV relativeFrom="paragraph">
                  <wp:posOffset>0</wp:posOffset>
                </wp:positionV>
                <wp:extent cx="775970" cy="473075"/>
                <wp:effectExtent l="0" t="0" r="0" b="0"/>
                <wp:wrapNone/>
                <wp:docPr id="80" name="文本框 755"/>
                <wp:cNvGraphicFramePr/>
                <a:graphic xmlns:a="http://schemas.openxmlformats.org/drawingml/2006/main">
                  <a:graphicData uri="http://schemas.microsoft.com/office/word/2010/wordprocessingShape">
                    <wps:wsp>
                      <wps:cNvSpPr txBox="1"/>
                      <wps:spPr>
                        <a:xfrm>
                          <a:off x="0" y="0"/>
                          <a:ext cx="775970" cy="473075"/>
                        </a:xfrm>
                        <a:prstGeom prst="rect">
                          <a:avLst/>
                        </a:prstGeom>
                        <a:noFill/>
                        <a:ln w="12700">
                          <a:noFill/>
                        </a:ln>
                      </wps:spPr>
                      <wps:txbx>
                        <w:txbxContent>
                          <w:p w14:paraId="39E31B9E">
                            <w:pPr>
                              <w:rPr>
                                <w:rFonts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txbxContent>
                      </wps:txbx>
                      <wps:bodyPr rot="0" vert="horz" wrap="square" lIns="91440" tIns="45720" rIns="91440" bIns="45720" anchor="t" anchorCtr="0"/>
                    </wps:wsp>
                  </a:graphicData>
                </a:graphic>
              </wp:anchor>
            </w:drawing>
          </mc:Choice>
          <mc:Fallback>
            <w:pict>
              <v:shape id="文本框 755" o:spid="_x0000_s1026" o:spt="202" type="#_x0000_t202" style="position:absolute;left:0pt;margin-left:-9pt;margin-top:0pt;height:37.25pt;width:61.1pt;z-index:251718656;mso-width-relative:page;mso-height-relative:page;" filled="f" stroked="f" coordsize="21600,21600" o:gfxdata="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B7YTvX&#10;AAAABwEAAA8AAAAAAAAAAQAgAAAAIgAAAGRycy9kb3ducmV2LnhtbFBLAQIUABQAAAAIAIdO4kCO&#10;S6AI6AEAAL0DAAAOAAAAAAAAAAEAIAAAACYBAABkcnMvZTJvRG9jLnhtbFBLBQYAAAAABgAGAFkB&#10;AACABQAAAAA=&#10;">
                <v:fill on="f" focussize="0,0"/>
                <v:stroke on="f" weight="1pt"/>
                <v:imagedata o:title=""/>
                <o:lock v:ext="edit" aspectratio="f"/>
                <v:textbox>
                  <w:txbxContent>
                    <w:p w14:paraId="39E31B9E">
                      <w:pPr>
                        <w:rPr>
                          <w:rFonts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txbxContent>
                </v:textbox>
              </v:shape>
            </w:pict>
          </mc:Fallback>
        </mc:AlternateContent>
      </w:r>
      <w:r>
        <w:rPr>
          <w:rFonts w:hint="eastAsia" w:ascii="仿宋" w:hAnsi="仿宋" w:eastAsia="仿宋" w:cs="仿宋"/>
          <w:lang w:eastAsia="zh-CN"/>
        </w:rPr>
        <w:t>承包人未能正确履行本合同约定的全部义务，导致费用的增加和（或）延误的工期，由承包人承担；给发包人造成损失的，承包人应予赔偿。</w:t>
      </w:r>
    </w:p>
    <w:p w14:paraId="306411C7">
      <w:pPr>
        <w:pStyle w:val="22"/>
        <w:adjustRightInd w:val="0"/>
        <w:snapToGrid w:val="0"/>
        <w:spacing w:line="400" w:lineRule="exact"/>
        <w:rPr>
          <w:rFonts w:ascii="仿宋" w:hAnsi="仿宋" w:eastAsia="仿宋" w:cs="仿宋"/>
          <w:b/>
          <w:bCs/>
          <w:sz w:val="24"/>
          <w:szCs w:val="24"/>
          <w:u w:val="single"/>
          <w:lang w:eastAsia="zh-CN"/>
        </w:rPr>
      </w:pPr>
      <w:r>
        <w:rPr>
          <w:rFonts w:ascii="仿宋" w:hAnsi="仿宋" w:eastAsia="仿宋" w:cs="仿宋"/>
          <w:b/>
          <w:bCs/>
          <w:sz w:val="24"/>
          <w:szCs w:val="24"/>
          <w:u w:val="single"/>
          <w:lang w:eastAsia="zh-CN"/>
        </w:rPr>
        <w:t xml:space="preserve">                                                                                     </w:t>
      </w:r>
    </w:p>
    <w:p w14:paraId="2E745910">
      <w:pPr>
        <w:pStyle w:val="4"/>
        <w:tabs>
          <w:tab w:val="left" w:pos="420"/>
        </w:tabs>
        <w:spacing w:before="0" w:after="0" w:line="400" w:lineRule="exact"/>
        <w:rPr>
          <w:rFonts w:ascii="仿宋" w:hAnsi="仿宋" w:eastAsia="仿宋" w:cs="仿宋"/>
          <w:bCs w:val="0"/>
          <w:sz w:val="24"/>
          <w:szCs w:val="24"/>
          <w:lang w:eastAsia="zh-CN"/>
        </w:rPr>
      </w:pPr>
      <w:bookmarkStart w:id="230" w:name="_Toc28708"/>
      <w:bookmarkStart w:id="231" w:name="_Toc194073130"/>
      <w:bookmarkStart w:id="232" w:name="_Toc32191"/>
      <w:bookmarkStart w:id="233" w:name="_Toc9362"/>
      <w:r>
        <w:rPr>
          <w:rFonts w:ascii="仿宋" w:hAnsi="仿宋" w:eastAsia="仿宋" w:cs="仿宋"/>
          <w:bCs w:val="0"/>
          <w:sz w:val="24"/>
          <w:szCs w:val="24"/>
          <w:lang w:eastAsia="zh-CN"/>
        </w:rPr>
        <w:t>2</w:t>
      </w:r>
      <w:r>
        <w:rPr>
          <w:rFonts w:hint="eastAsia" w:ascii="仿宋" w:hAnsi="仿宋" w:eastAsia="仿宋" w:cs="仿宋"/>
          <w:bCs w:val="0"/>
          <w:sz w:val="24"/>
          <w:szCs w:val="24"/>
          <w:lang w:eastAsia="zh-CN"/>
        </w:rPr>
        <w:t>4</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现场管理人员任命和更换</w:t>
      </w:r>
      <w:bookmarkEnd w:id="230"/>
      <w:bookmarkEnd w:id="231"/>
      <w:bookmarkEnd w:id="232"/>
      <w:bookmarkEnd w:id="233"/>
    </w:p>
    <w:p w14:paraId="21D17FC6">
      <w:pPr>
        <w:pStyle w:val="22"/>
        <w:tabs>
          <w:tab w:val="left" w:pos="1320"/>
        </w:tabs>
        <w:adjustRightInd w:val="0"/>
        <w:snapToGrid w:val="0"/>
        <w:spacing w:line="400" w:lineRule="exact"/>
        <w:ind w:right="-240"/>
        <w:rPr>
          <w:rFonts w:ascii="仿宋" w:hAnsi="仿宋" w:eastAsia="仿宋"/>
          <w:b/>
          <w:bCs/>
          <w:sz w:val="24"/>
          <w:szCs w:val="24"/>
          <w:lang w:eastAsia="zh-CN"/>
        </w:rPr>
      </w:pPr>
      <w:r>
        <w:rPr>
          <w:rFonts w:ascii="仿宋" w:hAnsi="仿宋" w:eastAsia="仿宋" w:cs="仿宋"/>
          <w:b/>
          <w:bCs/>
          <w:sz w:val="24"/>
          <w:szCs w:val="24"/>
          <w:lang w:eastAsia="zh-CN"/>
        </w:rPr>
        <w:t>2</w:t>
      </w:r>
      <w:r>
        <w:rPr>
          <w:rFonts w:hint="eastAsia" w:ascii="仿宋" w:hAnsi="仿宋" w:eastAsia="仿宋" w:cs="仿宋"/>
          <w:b/>
          <w:bCs/>
          <w:sz w:val="24"/>
          <w:szCs w:val="24"/>
          <w:lang w:eastAsia="zh-CN"/>
        </w:rPr>
        <w:t>4</w:t>
      </w:r>
      <w:r>
        <w:rPr>
          <w:rFonts w:ascii="仿宋" w:hAnsi="仿宋" w:eastAsia="仿宋" w:cs="仿宋"/>
          <w:b/>
          <w:bCs/>
          <w:sz w:val="24"/>
          <w:szCs w:val="24"/>
          <w:lang w:eastAsia="zh-CN"/>
        </w:rPr>
        <w:t>.1</w:t>
      </w:r>
    </w:p>
    <w:p w14:paraId="4F3D5494">
      <w:pPr>
        <w:widowControl w:val="0"/>
        <w:tabs>
          <w:tab w:val="left" w:pos="4970"/>
        </w:tabs>
        <w:spacing w:line="400" w:lineRule="exact"/>
        <w:ind w:left="1850" w:leftChars="771"/>
        <w:jc w:val="both"/>
        <w:rPr>
          <w:lang w:eastAsia="zh-CN"/>
        </w:rPr>
      </w:pPr>
      <w:r>
        <mc:AlternateContent>
          <mc:Choice Requires="wps">
            <w:drawing>
              <wp:anchor distT="0" distB="0" distL="114300" distR="114300" simplePos="0" relativeHeight="251719680" behindDoc="0" locked="0" layoutInCell="1" allowOverlap="1">
                <wp:simplePos x="0" y="0"/>
                <wp:positionH relativeFrom="column">
                  <wp:posOffset>-114300</wp:posOffset>
                </wp:positionH>
                <wp:positionV relativeFrom="paragraph">
                  <wp:posOffset>7620</wp:posOffset>
                </wp:positionV>
                <wp:extent cx="851535" cy="530860"/>
                <wp:effectExtent l="0" t="0" r="0" b="0"/>
                <wp:wrapNone/>
                <wp:docPr id="81" name="文本框 756"/>
                <wp:cNvGraphicFramePr/>
                <a:graphic xmlns:a="http://schemas.openxmlformats.org/drawingml/2006/main">
                  <a:graphicData uri="http://schemas.microsoft.com/office/word/2010/wordprocessingShape">
                    <wps:wsp>
                      <wps:cNvSpPr txBox="1"/>
                      <wps:spPr>
                        <a:xfrm>
                          <a:off x="0" y="0"/>
                          <a:ext cx="851535" cy="530860"/>
                        </a:xfrm>
                        <a:prstGeom prst="rect">
                          <a:avLst/>
                        </a:prstGeom>
                        <a:noFill/>
                        <a:ln w="12700">
                          <a:noFill/>
                        </a:ln>
                      </wps:spPr>
                      <wps:txbx>
                        <w:txbxContent>
                          <w:p w14:paraId="574CFB43">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发包人现场管理人员任命和更换</w:t>
                            </w:r>
                          </w:p>
                        </w:txbxContent>
                      </wps:txbx>
                      <wps:bodyPr rot="0" vert="horz" wrap="square" lIns="91440" tIns="45720" rIns="91440" bIns="45720" anchor="t" anchorCtr="0"/>
                    </wps:wsp>
                  </a:graphicData>
                </a:graphic>
              </wp:anchor>
            </w:drawing>
          </mc:Choice>
          <mc:Fallback>
            <w:pict>
              <v:shape id="文本框 756" o:spid="_x0000_s1026" o:spt="202" type="#_x0000_t202" style="position:absolute;left:0pt;margin-left:-9pt;margin-top:0.6pt;height:41.8pt;width:67.05pt;z-index:251719680;mso-width-relative:page;mso-height-relative:page;" filled="f" stroked="f" coordsize="21600,21600" o:gfxdata="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Pya4&#10;09YAAAAIAQAADwAAAAAAAAABACAAAAAiAAAAZHJzL2Rvd25yZXYueG1sUEsBAhQAFAAAAAgAh07i&#10;QC2CzsvrAQAAvQMAAA4AAAAAAAAAAQAgAAAAJQEAAGRycy9lMm9Eb2MueG1sUEsFBgAAAAAGAAYA&#10;WQEAAIIFAAAAAA==&#10;">
                <v:fill on="f" focussize="0,0"/>
                <v:stroke on="f" weight="1pt"/>
                <v:imagedata o:title=""/>
                <o:lock v:ext="edit" aspectratio="f"/>
                <v:textbox>
                  <w:txbxContent>
                    <w:p w14:paraId="574CFB43">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发包人现场管理人员任命和更换</w:t>
                      </w:r>
                    </w:p>
                  </w:txbxContent>
                </v:textbox>
              </v:shape>
            </w:pict>
          </mc:Fallback>
        </mc:AlternateContent>
      </w:r>
      <w:r>
        <w:rPr>
          <w:rFonts w:hint="eastAsia" w:ascii="仿宋" w:hAnsi="仿宋" w:eastAsia="仿宋" w:cs="仿宋"/>
          <w:lang w:eastAsia="zh-CN"/>
        </w:rPr>
        <w:t>发包人应任命代表发包人工作的现场管理人员，并在开工前以书面形式通知承包人。该类管理人员可包括发包人代表、</w:t>
      </w:r>
      <w:r>
        <w:rPr>
          <w:rFonts w:hint="eastAsia"/>
          <w:lang w:eastAsia="zh-CN"/>
        </w:rPr>
        <w:t>设计</w:t>
      </w:r>
      <w:r>
        <w:rPr>
          <w:rFonts w:hint="eastAsia" w:ascii="仿宋" w:hAnsi="仿宋" w:eastAsia="仿宋" w:cs="仿宋"/>
          <w:lang w:eastAsia="zh-CN"/>
        </w:rPr>
        <w:t>顾问人代表、监理人代表、造价咨询人代表等。国家、省规定发包人可不委托监理人、造价咨询人和（或）设计顾问人，发包人因而没有任命监理人代表、造价咨询人代表和（或）设计顾问人代表的，本合同约定的监理人、造价咨询人和（或）设计顾问人及其委派现场或授权人员的工作，由发包人授权发包人代表和（或）其他管理人员担任。</w:t>
      </w:r>
    </w:p>
    <w:p w14:paraId="19EA5705">
      <w:pPr>
        <w:widowControl w:val="0"/>
        <w:tabs>
          <w:tab w:val="left" w:pos="4970"/>
        </w:tabs>
        <w:spacing w:line="400" w:lineRule="exact"/>
        <w:ind w:left="1850" w:leftChars="771"/>
        <w:jc w:val="both"/>
        <w:rPr>
          <w:rFonts w:ascii="仿宋" w:hAnsi="仿宋" w:eastAsia="仿宋"/>
          <w:lang w:eastAsia="zh-CN"/>
        </w:rPr>
      </w:pPr>
      <w:r>
        <w:rPr>
          <w:rFonts w:hint="eastAsia" w:ascii="仿宋" w:hAnsi="仿宋" w:eastAsia="仿宋" w:cs="仿宋"/>
          <w:lang w:eastAsia="zh-CN"/>
        </w:rPr>
        <w:t>发包人如需更换现场管理人员，应至少提前</w:t>
      </w:r>
      <w:r>
        <w:rPr>
          <w:rFonts w:ascii="仿宋" w:hAnsi="仿宋" w:eastAsia="仿宋" w:cs="仿宋"/>
          <w:lang w:eastAsia="zh-CN"/>
        </w:rPr>
        <w:t>7</w:t>
      </w:r>
      <w:r>
        <w:rPr>
          <w:rFonts w:hint="eastAsia" w:ascii="仿宋" w:hAnsi="仿宋" w:eastAsia="仿宋" w:cs="仿宋"/>
          <w:lang w:eastAsia="zh-CN"/>
        </w:rPr>
        <w:t>天以书面形式通知承包人，否则该项更换无效。承包人应在收到通知后</w:t>
      </w:r>
      <w:r>
        <w:rPr>
          <w:rFonts w:ascii="仿宋" w:hAnsi="仿宋" w:eastAsia="仿宋" w:cs="仿宋"/>
          <w:lang w:eastAsia="zh-CN"/>
        </w:rPr>
        <w:t>7</w:t>
      </w:r>
      <w:r>
        <w:rPr>
          <w:rFonts w:hint="eastAsia" w:ascii="仿宋" w:hAnsi="仿宋" w:eastAsia="仿宋" w:cs="仿宋"/>
          <w:lang w:eastAsia="zh-CN"/>
        </w:rPr>
        <w:t>天内予以回复，否则视为已收到通知。后任现场管理人员应继续行使合同约定的前任现场管理人员的职权和履行相应的义务。</w:t>
      </w:r>
    </w:p>
    <w:p w14:paraId="2412769D">
      <w:pPr>
        <w:pStyle w:val="22"/>
        <w:tabs>
          <w:tab w:val="left" w:pos="1320"/>
          <w:tab w:val="left" w:pos="1620"/>
        </w:tabs>
        <w:adjustRightInd w:val="0"/>
        <w:snapToGrid w:val="0"/>
        <w:spacing w:line="400" w:lineRule="exact"/>
        <w:rPr>
          <w:rFonts w:ascii="仿宋" w:hAnsi="仿宋" w:eastAsia="仿宋"/>
          <w:b/>
          <w:bCs/>
          <w:sz w:val="24"/>
          <w:szCs w:val="24"/>
          <w:lang w:eastAsia="zh-CN"/>
        </w:rPr>
      </w:pPr>
      <w:bookmarkStart w:id="234" w:name="_Toc24606"/>
      <w:r>
        <w:rPr>
          <w:rFonts w:ascii="仿宋" w:hAnsi="仿宋" w:eastAsia="仿宋" w:cs="仿宋"/>
          <w:b/>
          <w:bCs/>
          <w:sz w:val="24"/>
          <w:szCs w:val="24"/>
          <w:lang w:eastAsia="zh-CN"/>
        </w:rPr>
        <w:t>2</w:t>
      </w:r>
      <w:r>
        <w:rPr>
          <w:rFonts w:hint="eastAsia" w:ascii="仿宋" w:hAnsi="仿宋" w:eastAsia="仿宋" w:cs="仿宋"/>
          <w:b/>
          <w:bCs/>
          <w:sz w:val="24"/>
          <w:szCs w:val="24"/>
          <w:lang w:eastAsia="zh-CN"/>
        </w:rPr>
        <w:t>4</w:t>
      </w:r>
      <w:r>
        <w:rPr>
          <w:rFonts w:ascii="仿宋" w:hAnsi="仿宋" w:eastAsia="仿宋" w:cs="仿宋"/>
          <w:b/>
          <w:bCs/>
          <w:sz w:val="24"/>
          <w:szCs w:val="24"/>
          <w:lang w:eastAsia="zh-CN"/>
        </w:rPr>
        <w:t>.2</w:t>
      </w:r>
      <w:bookmarkEnd w:id="234"/>
      <w:r>
        <w:rPr>
          <w:rFonts w:ascii="仿宋" w:hAnsi="仿宋" w:eastAsia="仿宋" w:cs="仿宋"/>
          <w:b/>
          <w:bCs/>
          <w:sz w:val="24"/>
          <w:szCs w:val="24"/>
          <w:lang w:eastAsia="zh-CN"/>
        </w:rPr>
        <w:t xml:space="preserve">  </w:t>
      </w:r>
      <w:r>
        <w:rPr>
          <w:rFonts w:ascii="仿宋" w:hAnsi="仿宋" w:eastAsia="仿宋" w:cs="仿宋"/>
          <w:b/>
          <w:bCs/>
          <w:sz w:val="24"/>
          <w:szCs w:val="24"/>
          <w:u w:val="dotted"/>
          <w:lang w:eastAsia="zh-CN"/>
        </w:rPr>
        <w:t xml:space="preserve">                                                                             </w:t>
      </w:r>
    </w:p>
    <w:p w14:paraId="2AF70A19">
      <w:pPr>
        <w:widowControl w:val="0"/>
        <w:tabs>
          <w:tab w:val="left" w:pos="4970"/>
        </w:tabs>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720704" behindDoc="0" locked="0" layoutInCell="1" allowOverlap="1">
                <wp:simplePos x="0" y="0"/>
                <wp:positionH relativeFrom="column">
                  <wp:posOffset>-114300</wp:posOffset>
                </wp:positionH>
                <wp:positionV relativeFrom="paragraph">
                  <wp:posOffset>84455</wp:posOffset>
                </wp:positionV>
                <wp:extent cx="783590" cy="711200"/>
                <wp:effectExtent l="0" t="0" r="0" b="0"/>
                <wp:wrapNone/>
                <wp:docPr id="82" name="文本框 757"/>
                <wp:cNvGraphicFramePr/>
                <a:graphic xmlns:a="http://schemas.openxmlformats.org/drawingml/2006/main">
                  <a:graphicData uri="http://schemas.microsoft.com/office/word/2010/wordprocessingShape">
                    <wps:wsp>
                      <wps:cNvSpPr txBox="1"/>
                      <wps:spPr>
                        <a:xfrm>
                          <a:off x="0" y="0"/>
                          <a:ext cx="783590" cy="711200"/>
                        </a:xfrm>
                        <a:prstGeom prst="rect">
                          <a:avLst/>
                        </a:prstGeom>
                        <a:noFill/>
                        <a:ln w="12700">
                          <a:noFill/>
                        </a:ln>
                      </wps:spPr>
                      <wps:txbx>
                        <w:txbxContent>
                          <w:p w14:paraId="564BCE5E">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承包人代表及专业负责人任命和更换</w:t>
                            </w:r>
                          </w:p>
                        </w:txbxContent>
                      </wps:txbx>
                      <wps:bodyPr rot="0" vert="horz" wrap="square" lIns="91440" tIns="45720" rIns="91440" bIns="45720" anchor="t" anchorCtr="0"/>
                    </wps:wsp>
                  </a:graphicData>
                </a:graphic>
              </wp:anchor>
            </w:drawing>
          </mc:Choice>
          <mc:Fallback>
            <w:pict>
              <v:shape id="文本框 757" o:spid="_x0000_s1026" o:spt="202" type="#_x0000_t202" style="position:absolute;left:0pt;margin-left:-9pt;margin-top:6.65pt;height:56pt;width:61.7pt;z-index:251720704;mso-width-relative:page;mso-height-relative:page;" filled="f" stroked="f" coordsize="21600,21600" o:gfxdata="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HtPijY&#10;AAAACgEAAA8AAAAAAAAAAQAgAAAAIgAAAGRycy9kb3ducmV2LnhtbFBLAQIUABQAAAAIAIdO4kC2&#10;gLDy5wEAAL0DAAAOAAAAAAAAAAEAIAAAACcBAABkcnMvZTJvRG9jLnhtbFBLBQYAAAAABgAGAFkB&#10;AACABQAAAAA=&#10;">
                <v:fill on="f" focussize="0,0"/>
                <v:stroke on="f" weight="1pt"/>
                <v:imagedata o:title=""/>
                <o:lock v:ext="edit" aspectratio="f"/>
                <v:textbox>
                  <w:txbxContent>
                    <w:p w14:paraId="564BCE5E">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承包人代表及专业负责人任命和更换</w:t>
                      </w:r>
                    </w:p>
                  </w:txbxContent>
                </v:textbox>
              </v:shape>
            </w:pict>
          </mc:Fallback>
        </mc:AlternateContent>
      </w:r>
      <w:r>
        <w:rPr>
          <w:rFonts w:hint="eastAsia" w:ascii="仿宋" w:hAnsi="仿宋" w:eastAsia="仿宋" w:cs="仿宋"/>
          <w:lang w:eastAsia="zh-CN"/>
        </w:rPr>
        <w:t>承包人应任命代表承包人工作的承包人代表及负责勘察、设计、BIM技术应用、采购、施工等工作的专业负责人，承包人代表或专业负责人的人选应取得工程建设类相应执业资格并在本单位注册，或未实施执业资格制度的专业负责人应取得相关高级专业技术职称，已由承包人在合同签订前依法向发包人提出，经发包人同意后在专用条款中写明。国家法律或建设行政主管部门有规定的，应遵守其规定；招标发包工程的承包人代表及专业负责人，应为投标文件所载明的人选。</w:t>
      </w:r>
    </w:p>
    <w:p w14:paraId="73E148A2">
      <w:pPr>
        <w:widowControl w:val="0"/>
        <w:tabs>
          <w:tab w:val="left" w:pos="4970"/>
        </w:tabs>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承包人如需更换承包人代表或专业负责人，应遵守国家法律或建设行政主管部门的规定并取得发包人的同意，至少提前</w:t>
      </w:r>
      <w:r>
        <w:rPr>
          <w:rFonts w:ascii="仿宋" w:hAnsi="仿宋" w:eastAsia="仿宋" w:cs="仿宋"/>
          <w:lang w:eastAsia="zh-CN"/>
        </w:rPr>
        <w:t>7</w:t>
      </w:r>
      <w:r>
        <w:rPr>
          <w:rFonts w:hint="eastAsia" w:ascii="仿宋" w:hAnsi="仿宋" w:eastAsia="仿宋" w:cs="仿宋"/>
          <w:lang w:eastAsia="zh-CN"/>
        </w:rPr>
        <w:t>天以书面形式通知发包人，否则该项更换无效。发包人应在收到通知后的</w:t>
      </w:r>
      <w:r>
        <w:rPr>
          <w:rFonts w:ascii="仿宋" w:hAnsi="仿宋" w:eastAsia="仿宋" w:cs="仿宋"/>
          <w:lang w:eastAsia="zh-CN"/>
        </w:rPr>
        <w:t>7</w:t>
      </w:r>
      <w:r>
        <w:rPr>
          <w:rFonts w:hint="eastAsia" w:ascii="仿宋" w:hAnsi="仿宋" w:eastAsia="仿宋" w:cs="仿宋"/>
          <w:lang w:eastAsia="zh-CN"/>
        </w:rPr>
        <w:t>天内予以答复，否则视为同意。后任承包人代表或专业负责人应继续行使合同约定的前任承包人代表或专业负责人的职权和履行相应的义务。</w:t>
      </w:r>
    </w:p>
    <w:p w14:paraId="371CDEA1">
      <w:pPr>
        <w:widowControl w:val="0"/>
        <w:tabs>
          <w:tab w:val="left" w:pos="4970"/>
        </w:tabs>
        <w:spacing w:line="400" w:lineRule="exact"/>
        <w:ind w:left="1850" w:leftChars="771"/>
        <w:jc w:val="both"/>
        <w:rPr>
          <w:lang w:eastAsia="zh-CN"/>
        </w:rPr>
      </w:pPr>
      <w:r>
        <w:rPr>
          <w:rFonts w:hint="eastAsia" w:ascii="仿宋" w:hAnsi="仿宋" w:eastAsia="仿宋" w:cs="仿宋"/>
          <w:lang w:eastAsia="zh-CN"/>
        </w:rPr>
        <w:t>承包人为联合体的，承包人代表必须由牵头单位内部符合要求的相应工程建设类注册执业人员担任，专业负责人必须由成员单位内部符合要求的注册执业人员担任；承包人代表及专业负责人的任命及更换，必须由牵头单位及各成员单位共同签署书面文件。</w:t>
      </w:r>
    </w:p>
    <w:p w14:paraId="18863AA8">
      <w:pPr>
        <w:pStyle w:val="22"/>
        <w:tabs>
          <w:tab w:val="left" w:pos="1320"/>
        </w:tabs>
        <w:adjustRightInd w:val="0"/>
        <w:snapToGrid w:val="0"/>
        <w:spacing w:line="400" w:lineRule="exact"/>
        <w:ind w:right="-238"/>
        <w:rPr>
          <w:rFonts w:ascii="仿宋" w:hAnsi="仿宋" w:eastAsia="仿宋"/>
          <w:b/>
          <w:bCs/>
          <w:sz w:val="24"/>
          <w:szCs w:val="24"/>
          <w:lang w:eastAsia="zh-CN"/>
        </w:rPr>
      </w:pPr>
      <w:bookmarkStart w:id="235" w:name="_Toc28316"/>
      <w:r>
        <w:rPr>
          <w:rFonts w:ascii="仿宋" w:hAnsi="仿宋" w:eastAsia="仿宋" w:cs="仿宋"/>
          <w:b/>
          <w:bCs/>
          <w:sz w:val="24"/>
          <w:szCs w:val="24"/>
          <w:lang w:eastAsia="zh-CN"/>
        </w:rPr>
        <w:t>2</w:t>
      </w:r>
      <w:r>
        <w:rPr>
          <w:rFonts w:hint="eastAsia" w:ascii="仿宋" w:hAnsi="仿宋" w:eastAsia="仿宋" w:cs="仿宋"/>
          <w:b/>
          <w:bCs/>
          <w:sz w:val="24"/>
          <w:szCs w:val="24"/>
          <w:lang w:eastAsia="zh-CN"/>
        </w:rPr>
        <w:t>4</w:t>
      </w:r>
      <w:r>
        <w:rPr>
          <w:rFonts w:ascii="仿宋" w:hAnsi="仿宋" w:eastAsia="仿宋" w:cs="仿宋"/>
          <w:b/>
          <w:bCs/>
          <w:sz w:val="24"/>
          <w:szCs w:val="24"/>
          <w:lang w:eastAsia="zh-CN"/>
        </w:rPr>
        <w:t>.3</w:t>
      </w:r>
      <w:bookmarkEnd w:id="235"/>
      <w:r>
        <w:rPr>
          <w:rFonts w:ascii="仿宋" w:hAnsi="仿宋" w:eastAsia="仿宋" w:cs="仿宋"/>
          <w:b/>
          <w:bCs/>
          <w:sz w:val="24"/>
          <w:szCs w:val="24"/>
          <w:lang w:eastAsia="zh-CN"/>
        </w:rPr>
        <w:t xml:space="preserve">  </w:t>
      </w:r>
      <w:r>
        <w:rPr>
          <w:rFonts w:ascii="仿宋" w:hAnsi="仿宋" w:eastAsia="仿宋" w:cs="仿宋"/>
          <w:b/>
          <w:bCs/>
          <w:sz w:val="24"/>
          <w:szCs w:val="24"/>
          <w:u w:val="dotted"/>
          <w:lang w:eastAsia="zh-CN"/>
        </w:rPr>
        <w:t xml:space="preserve">                                                                              </w:t>
      </w:r>
    </w:p>
    <w:p w14:paraId="0E353606">
      <w:pPr>
        <w:widowControl w:val="0"/>
        <w:tabs>
          <w:tab w:val="left" w:pos="4970"/>
        </w:tabs>
        <w:spacing w:line="400" w:lineRule="exact"/>
        <w:ind w:left="1850" w:leftChars="771"/>
        <w:jc w:val="both"/>
        <w:rPr>
          <w:rFonts w:ascii="仿宋" w:hAnsi="仿宋" w:eastAsia="仿宋"/>
          <w:b/>
          <w:bCs/>
          <w:lang w:eastAsia="zh-CN"/>
        </w:rPr>
      </w:pPr>
      <w:r>
        <mc:AlternateContent>
          <mc:Choice Requires="wps">
            <w:drawing>
              <wp:anchor distT="0" distB="0" distL="114300" distR="114300" simplePos="0" relativeHeight="251721728" behindDoc="0" locked="0" layoutInCell="1" allowOverlap="1">
                <wp:simplePos x="0" y="0"/>
                <wp:positionH relativeFrom="column">
                  <wp:posOffset>-83820</wp:posOffset>
                </wp:positionH>
                <wp:positionV relativeFrom="paragraph">
                  <wp:posOffset>46355</wp:posOffset>
                </wp:positionV>
                <wp:extent cx="824865" cy="922655"/>
                <wp:effectExtent l="0" t="0" r="0" b="0"/>
                <wp:wrapNone/>
                <wp:docPr id="83" name="文本框 758"/>
                <wp:cNvGraphicFramePr/>
                <a:graphic xmlns:a="http://schemas.openxmlformats.org/drawingml/2006/main">
                  <a:graphicData uri="http://schemas.microsoft.com/office/word/2010/wordprocessingShape">
                    <wps:wsp>
                      <wps:cNvSpPr txBox="1"/>
                      <wps:spPr>
                        <a:xfrm>
                          <a:off x="0" y="0"/>
                          <a:ext cx="824865" cy="922655"/>
                        </a:xfrm>
                        <a:prstGeom prst="rect">
                          <a:avLst/>
                        </a:prstGeom>
                        <a:noFill/>
                        <a:ln w="12700">
                          <a:noFill/>
                        </a:ln>
                      </wps:spPr>
                      <wps:txbx>
                        <w:txbxContent>
                          <w:p w14:paraId="1B47C20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监理人代表、造价咨询人代表、设计顾问代表任命和撤回</w:t>
                            </w:r>
                          </w:p>
                        </w:txbxContent>
                      </wps:txbx>
                      <wps:bodyPr rot="0" vert="horz" wrap="square" lIns="91440" tIns="45720" rIns="91440" bIns="45720" anchor="t" anchorCtr="0"/>
                    </wps:wsp>
                  </a:graphicData>
                </a:graphic>
              </wp:anchor>
            </w:drawing>
          </mc:Choice>
          <mc:Fallback>
            <w:pict>
              <v:shape id="文本框 758" o:spid="_x0000_s1026" o:spt="202" type="#_x0000_t202" style="position:absolute;left:0pt;margin-left:-6.6pt;margin-top:3.65pt;height:72.65pt;width:64.95pt;z-index:251721728;mso-width-relative:page;mso-height-relative:page;" filled="f" stroked="f" coordsize="21600,21600" o:gfxdata="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D&#10;S3M82AAAAAkBAAAPAAAAAAAAAAEAIAAAACIAAABkcnMvZG93bnJldi54bWxQSwECFAAUAAAACACH&#10;TuJAuznPoesBAAC9AwAADgAAAAAAAAABACAAAAAnAQAAZHJzL2Uyb0RvYy54bWxQSwUGAAAAAAYA&#10;BgBZAQAAhAUAAAAA&#10;">
                <v:fill on="f" focussize="0,0"/>
                <v:stroke on="f" weight="1pt"/>
                <v:imagedata o:title=""/>
                <o:lock v:ext="edit" aspectratio="f"/>
                <v:textbox>
                  <w:txbxContent>
                    <w:p w14:paraId="1B47C20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监理人代表、造价咨询人代表、设计顾问代表任命和撤回</w:t>
                      </w:r>
                    </w:p>
                  </w:txbxContent>
                </v:textbox>
              </v:shape>
            </w:pict>
          </mc:Fallback>
        </mc:AlternateContent>
      </w:r>
      <w:r>
        <w:rPr>
          <w:rFonts w:hint="eastAsia" w:ascii="仿宋" w:hAnsi="仿宋" w:eastAsia="仿宋" w:cs="仿宋"/>
          <w:lang w:eastAsia="zh-CN"/>
        </w:rPr>
        <w:t>除合同约定或依法应由监理人、造价咨询人、设计顾问人行使的职权外，监理人、造价咨询人、设计顾问人可将其职权以书面形式授予其任命的监理人代表、造价咨询人代表、设计顾问人代表，亦可将其授权撤回。任何此类任命或撤回，至少提前</w:t>
      </w:r>
      <w:r>
        <w:rPr>
          <w:rFonts w:ascii="仿宋" w:hAnsi="仿宋" w:eastAsia="仿宋" w:cs="仿宋"/>
          <w:lang w:eastAsia="zh-CN"/>
        </w:rPr>
        <w:t>7</w:t>
      </w:r>
      <w:r>
        <w:rPr>
          <w:rFonts w:hint="eastAsia" w:ascii="仿宋" w:hAnsi="仿宋" w:eastAsia="仿宋" w:cs="仿宋"/>
          <w:lang w:eastAsia="zh-CN"/>
        </w:rPr>
        <w:t>天以书面形式通知发包人和承包人。未将有关文件送交发包人和承包人之前，任何此类任命或撤回均为无效。</w:t>
      </w:r>
    </w:p>
    <w:p w14:paraId="3F7E4165">
      <w:pPr>
        <w:spacing w:line="400" w:lineRule="exact"/>
        <w:rPr>
          <w:rFonts w:ascii="仿宋" w:hAnsi="仿宋" w:eastAsia="仿宋"/>
          <w:b/>
          <w:bCs/>
          <w:u w:val="single"/>
          <w:lang w:eastAsia="zh-CN"/>
        </w:rPr>
      </w:pPr>
      <w:r>
        <w:rPr>
          <w:rFonts w:ascii="仿宋" w:hAnsi="仿宋" w:eastAsia="仿宋" w:cs="仿宋"/>
          <w:b/>
          <w:bCs/>
          <w:u w:val="single"/>
          <w:lang w:eastAsia="zh-CN"/>
        </w:rPr>
        <w:t xml:space="preserve">                                                                                     </w:t>
      </w:r>
    </w:p>
    <w:p w14:paraId="5C8FE514">
      <w:pPr>
        <w:pStyle w:val="4"/>
        <w:tabs>
          <w:tab w:val="left" w:pos="420"/>
        </w:tabs>
        <w:spacing w:before="0" w:after="0" w:line="400" w:lineRule="exact"/>
        <w:rPr>
          <w:rFonts w:ascii="仿宋" w:hAnsi="仿宋" w:eastAsia="仿宋"/>
          <w:sz w:val="24"/>
          <w:szCs w:val="24"/>
          <w:lang w:eastAsia="zh-CN"/>
        </w:rPr>
      </w:pPr>
      <w:bookmarkStart w:id="236" w:name="_Toc20628"/>
      <w:bookmarkStart w:id="237" w:name="_Toc194073131"/>
      <w:bookmarkStart w:id="238" w:name="_Toc31913"/>
      <w:bookmarkStart w:id="239" w:name="_Toc1853"/>
      <w:r>
        <w:rPr>
          <w:rFonts w:ascii="仿宋" w:hAnsi="仿宋" w:eastAsia="仿宋" w:cs="仿宋"/>
          <w:sz w:val="24"/>
          <w:szCs w:val="24"/>
          <w:lang w:eastAsia="zh-CN"/>
        </w:rPr>
        <w:t>2</w:t>
      </w:r>
      <w:r>
        <w:rPr>
          <w:rFonts w:hint="eastAsia" w:ascii="仿宋" w:hAnsi="仿宋" w:eastAsia="仿宋" w:cs="仿宋"/>
          <w:sz w:val="24"/>
          <w:szCs w:val="24"/>
          <w:lang w:eastAsia="zh-CN"/>
        </w:rPr>
        <w:t>5</w:t>
      </w:r>
      <w:r>
        <w:rPr>
          <w:rFonts w:ascii="仿宋" w:hAnsi="仿宋" w:eastAsia="仿宋" w:cs="仿宋"/>
          <w:sz w:val="24"/>
          <w:szCs w:val="24"/>
          <w:lang w:eastAsia="zh-CN"/>
        </w:rPr>
        <w:t xml:space="preserve">  </w:t>
      </w:r>
      <w:r>
        <w:rPr>
          <w:rFonts w:hint="eastAsia" w:ascii="仿宋" w:hAnsi="仿宋" w:eastAsia="仿宋" w:cs="仿宋"/>
          <w:sz w:val="24"/>
          <w:szCs w:val="24"/>
          <w:lang w:eastAsia="zh-CN"/>
        </w:rPr>
        <w:t>发包人代表</w:t>
      </w:r>
      <w:bookmarkEnd w:id="236"/>
      <w:bookmarkEnd w:id="237"/>
      <w:bookmarkEnd w:id="238"/>
      <w:bookmarkEnd w:id="239"/>
    </w:p>
    <w:p w14:paraId="5DB58CF2">
      <w:pPr>
        <w:spacing w:line="400" w:lineRule="exact"/>
        <w:rPr>
          <w:rFonts w:ascii="仿宋" w:hAnsi="仿宋" w:eastAsia="仿宋"/>
          <w:b/>
          <w:bCs/>
          <w:lang w:eastAsia="zh-CN"/>
        </w:rPr>
      </w:pPr>
      <w:bookmarkStart w:id="240" w:name="_Toc25689"/>
      <w:r>
        <w:rPr>
          <w:rFonts w:ascii="仿宋" w:hAnsi="仿宋" w:eastAsia="仿宋" w:cs="仿宋"/>
          <w:b/>
          <w:bCs/>
          <w:lang w:eastAsia="zh-CN"/>
        </w:rPr>
        <w:t>2</w:t>
      </w:r>
      <w:r>
        <w:rPr>
          <w:rFonts w:hint="eastAsia" w:ascii="仿宋" w:hAnsi="仿宋" w:eastAsia="仿宋" w:cs="仿宋"/>
          <w:b/>
          <w:bCs/>
          <w:lang w:eastAsia="zh-CN"/>
        </w:rPr>
        <w:t>5</w:t>
      </w:r>
      <w:r>
        <w:rPr>
          <w:rFonts w:ascii="仿宋" w:hAnsi="仿宋" w:eastAsia="仿宋" w:cs="仿宋"/>
          <w:b/>
          <w:bCs/>
          <w:lang w:eastAsia="zh-CN"/>
        </w:rPr>
        <w:t>.1</w:t>
      </w:r>
      <w:bookmarkEnd w:id="240"/>
    </w:p>
    <w:p w14:paraId="42EAADBA">
      <w:pPr>
        <w:widowControl w:val="0"/>
        <w:tabs>
          <w:tab w:val="left" w:pos="4970"/>
        </w:tabs>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722752" behindDoc="0" locked="0" layoutInCell="1" allowOverlap="1">
                <wp:simplePos x="0" y="0"/>
                <wp:positionH relativeFrom="column">
                  <wp:posOffset>-114300</wp:posOffset>
                </wp:positionH>
                <wp:positionV relativeFrom="paragraph">
                  <wp:posOffset>53340</wp:posOffset>
                </wp:positionV>
                <wp:extent cx="851535" cy="459105"/>
                <wp:effectExtent l="0" t="0" r="0" b="0"/>
                <wp:wrapNone/>
                <wp:docPr id="84" name="文本框 760"/>
                <wp:cNvGraphicFramePr/>
                <a:graphic xmlns:a="http://schemas.openxmlformats.org/drawingml/2006/main">
                  <a:graphicData uri="http://schemas.microsoft.com/office/word/2010/wordprocessingShape">
                    <wps:wsp>
                      <wps:cNvSpPr txBox="1"/>
                      <wps:spPr>
                        <a:xfrm>
                          <a:off x="0" y="0"/>
                          <a:ext cx="851535" cy="459105"/>
                        </a:xfrm>
                        <a:prstGeom prst="rect">
                          <a:avLst/>
                        </a:prstGeom>
                        <a:noFill/>
                        <a:ln w="12700">
                          <a:noFill/>
                        </a:ln>
                      </wps:spPr>
                      <wps:txbx>
                        <w:txbxContent>
                          <w:p w14:paraId="07E5F2CD">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发包人对其代表授权</w:t>
                            </w:r>
                          </w:p>
                        </w:txbxContent>
                      </wps:txbx>
                      <wps:bodyPr rot="0" vert="horz" wrap="square" lIns="91440" tIns="45720" rIns="91440" bIns="45720" anchor="t" anchorCtr="0"/>
                    </wps:wsp>
                  </a:graphicData>
                </a:graphic>
              </wp:anchor>
            </w:drawing>
          </mc:Choice>
          <mc:Fallback>
            <w:pict>
              <v:shape id="文本框 760" o:spid="_x0000_s1026" o:spt="202" type="#_x0000_t202" style="position:absolute;left:0pt;margin-left:-9pt;margin-top:4.2pt;height:36.15pt;width:67.05pt;z-index:251722752;mso-width-relative:page;mso-height-relative:page;" filled="f" stroked="f" coordsize="21600,21600" o:gfxdata="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NRZcS9YA&#10;AAAIAQAADwAAAAAAAAABACAAAAAiAAAAZHJzL2Rvd25yZXYueG1sUEsBAhQAFAAAAAgAh07iQMst&#10;33PoAQAAvQMAAA4AAAAAAAAAAQAgAAAAJQEAAGRycy9lMm9Eb2MueG1sUEsFBgAAAAAGAAYAWQEA&#10;AH8FAAAAAA==&#10;">
                <v:fill on="f" focussize="0,0"/>
                <v:stroke on="f" weight="1pt"/>
                <v:imagedata o:title=""/>
                <o:lock v:ext="edit" aspectratio="f"/>
                <v:textbox>
                  <w:txbxContent>
                    <w:p w14:paraId="07E5F2CD">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发包人对其代表授权</w:t>
                      </w:r>
                    </w:p>
                  </w:txbxContent>
                </v:textbox>
              </v:shape>
            </w:pict>
          </mc:Fallback>
        </mc:AlternateContent>
      </w:r>
      <w:r>
        <w:rPr>
          <w:rFonts w:hint="eastAsia" w:ascii="仿宋" w:hAnsi="仿宋" w:eastAsia="仿宋" w:cs="仿宋"/>
          <w:lang w:eastAsia="zh-CN"/>
        </w:rPr>
        <w:t>发包人应在专用条款中写明发包人代表具体人选，并在开工前将发包人代表任命书以书面形式通知承包人，授予其代表发包人履行合同约定职责所需的一切权力。除专用条款另有约定外，发包人不应对发包人代表的权力另有限制。</w:t>
      </w:r>
    </w:p>
    <w:p w14:paraId="42DF4253">
      <w:pPr>
        <w:pStyle w:val="22"/>
        <w:tabs>
          <w:tab w:val="left" w:pos="1320"/>
          <w:tab w:val="left" w:pos="1620"/>
        </w:tabs>
        <w:adjustRightInd w:val="0"/>
        <w:snapToGrid w:val="0"/>
        <w:spacing w:line="400" w:lineRule="exact"/>
        <w:rPr>
          <w:rFonts w:ascii="仿宋" w:hAnsi="仿宋" w:eastAsia="仿宋"/>
          <w:b/>
          <w:bCs/>
          <w:sz w:val="24"/>
          <w:szCs w:val="24"/>
          <w:lang w:eastAsia="zh-CN"/>
        </w:rPr>
      </w:pPr>
      <w:bookmarkStart w:id="241" w:name="_Toc22456"/>
      <w:r>
        <w:rPr>
          <w:rFonts w:ascii="仿宋" w:hAnsi="仿宋" w:eastAsia="仿宋" w:cs="仿宋"/>
          <w:b/>
          <w:bCs/>
          <w:sz w:val="24"/>
          <w:szCs w:val="24"/>
          <w:lang w:eastAsia="zh-CN"/>
        </w:rPr>
        <w:t>2</w:t>
      </w:r>
      <w:r>
        <w:rPr>
          <w:rFonts w:hint="eastAsia" w:ascii="仿宋" w:hAnsi="仿宋" w:eastAsia="仿宋" w:cs="仿宋"/>
          <w:b/>
          <w:bCs/>
          <w:sz w:val="24"/>
          <w:szCs w:val="24"/>
          <w:lang w:eastAsia="zh-CN"/>
        </w:rPr>
        <w:t>5</w:t>
      </w:r>
      <w:r>
        <w:rPr>
          <w:rFonts w:ascii="仿宋" w:hAnsi="仿宋" w:eastAsia="仿宋" w:cs="仿宋"/>
          <w:b/>
          <w:bCs/>
          <w:sz w:val="24"/>
          <w:szCs w:val="24"/>
          <w:lang w:eastAsia="zh-CN"/>
        </w:rPr>
        <w:t>.2</w:t>
      </w:r>
      <w:bookmarkEnd w:id="241"/>
      <w:r>
        <w:rPr>
          <w:rFonts w:ascii="仿宋" w:hAnsi="仿宋" w:eastAsia="仿宋" w:cs="仿宋"/>
          <w:b/>
          <w:bCs/>
          <w:sz w:val="24"/>
          <w:szCs w:val="24"/>
          <w:lang w:eastAsia="zh-CN"/>
        </w:rPr>
        <w:t xml:space="preserve">   </w:t>
      </w:r>
      <w:r>
        <w:rPr>
          <w:rFonts w:ascii="仿宋" w:hAnsi="仿宋" w:eastAsia="仿宋" w:cs="仿宋"/>
          <w:b/>
          <w:bCs/>
          <w:sz w:val="24"/>
          <w:szCs w:val="24"/>
          <w:u w:val="dotted"/>
          <w:lang w:eastAsia="zh-CN"/>
        </w:rPr>
        <w:t xml:space="preserve">                                                                              </w:t>
      </w:r>
    </w:p>
    <w:p w14:paraId="2853D387">
      <w:pPr>
        <w:widowControl w:val="0"/>
        <w:tabs>
          <w:tab w:val="left" w:pos="4970"/>
        </w:tabs>
        <w:spacing w:line="400" w:lineRule="exact"/>
        <w:ind w:left="1850" w:leftChars="771"/>
        <w:jc w:val="both"/>
        <w:rPr>
          <w:rFonts w:ascii="仿宋" w:hAnsi="仿宋" w:eastAsia="仿宋" w:cs="仿宋"/>
          <w:lang w:eastAsia="zh-CN"/>
        </w:rPr>
      </w:pPr>
      <w:r>
        <mc:AlternateContent>
          <mc:Choice Requires="wps">
            <w:drawing>
              <wp:anchor distT="0" distB="0" distL="114300" distR="114300" simplePos="0" relativeHeight="251723776" behindDoc="0" locked="0" layoutInCell="1" allowOverlap="1">
                <wp:simplePos x="0" y="0"/>
                <wp:positionH relativeFrom="column">
                  <wp:posOffset>-114300</wp:posOffset>
                </wp:positionH>
                <wp:positionV relativeFrom="paragraph">
                  <wp:posOffset>76200</wp:posOffset>
                </wp:positionV>
                <wp:extent cx="823595" cy="506730"/>
                <wp:effectExtent l="0" t="0" r="0" b="0"/>
                <wp:wrapNone/>
                <wp:docPr id="85" name="文本框 761"/>
                <wp:cNvGraphicFramePr/>
                <a:graphic xmlns:a="http://schemas.openxmlformats.org/drawingml/2006/main">
                  <a:graphicData uri="http://schemas.microsoft.com/office/word/2010/wordprocessingShape">
                    <wps:wsp>
                      <wps:cNvSpPr txBox="1"/>
                      <wps:spPr>
                        <a:xfrm>
                          <a:off x="0" y="0"/>
                          <a:ext cx="823595" cy="506730"/>
                        </a:xfrm>
                        <a:prstGeom prst="rect">
                          <a:avLst/>
                        </a:prstGeom>
                        <a:noFill/>
                        <a:ln w="12700">
                          <a:noFill/>
                        </a:ln>
                      </wps:spPr>
                      <wps:txbx>
                        <w:txbxContent>
                          <w:p w14:paraId="39BE0B15">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发包人代表职权</w:t>
                            </w:r>
                          </w:p>
                        </w:txbxContent>
                      </wps:txbx>
                      <wps:bodyPr rot="0" vert="horz" wrap="square" lIns="91440" tIns="45720" rIns="91440" bIns="45720" anchor="t" anchorCtr="0"/>
                    </wps:wsp>
                  </a:graphicData>
                </a:graphic>
              </wp:anchor>
            </w:drawing>
          </mc:Choice>
          <mc:Fallback>
            <w:pict>
              <v:shape id="文本框 761" o:spid="_x0000_s1026" o:spt="202" type="#_x0000_t202" style="position:absolute;left:0pt;margin-left:-9pt;margin-top:6pt;height:39.9pt;width:64.85pt;z-index:251723776;mso-width-relative:page;mso-height-relative:page;" filled="f" stroked="f" coordsize="21600,21600" o:gfxdata="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z/&#10;QrHXAAAACQEAAA8AAAAAAAAAAQAgAAAAIgAAAGRycy9kb3ducmV2LnhtbFBLAQIUABQAAAAIAIdO&#10;4kCW11Jm6wEAAL0DAAAOAAAAAAAAAAEAIAAAACYBAABkcnMvZTJvRG9jLnhtbFBLBQYAAAAABgAG&#10;AFkBAACDBQAAAAA=&#10;">
                <v:fill on="f" focussize="0,0"/>
                <v:stroke on="f" weight="1pt"/>
                <v:imagedata o:title=""/>
                <o:lock v:ext="edit" aspectratio="f"/>
                <v:textbox>
                  <w:txbxContent>
                    <w:p w14:paraId="39BE0B15">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发包人代表职权</w:t>
                      </w:r>
                    </w:p>
                  </w:txbxContent>
                </v:textbox>
              </v:shape>
            </w:pict>
          </mc:Fallback>
        </mc:AlternateContent>
      </w:r>
      <w:r>
        <w:rPr>
          <w:rFonts w:hint="eastAsia" w:ascii="仿宋" w:hAnsi="仿宋" w:eastAsia="仿宋" w:cs="仿宋"/>
          <w:lang w:eastAsia="zh-CN"/>
        </w:rPr>
        <w:t>发包人代表应代表发包人履行合同约定的职责、行使合同明文约定和必然隐含的权力，对发包人负责。发包人代表在发包人授予职权范围内工作，发包人应予认可。</w:t>
      </w:r>
    </w:p>
    <w:p w14:paraId="50060577">
      <w:pPr>
        <w:widowControl w:val="0"/>
        <w:tabs>
          <w:tab w:val="left" w:pos="4970"/>
        </w:tabs>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发包人代表应在发包人的授权范围内，负责处理合同履行过程中与发包人有关的具体事宜。发包人代表在授权范围内的行为由发包人承担法律责任。</w:t>
      </w:r>
    </w:p>
    <w:p w14:paraId="609F19EE">
      <w:pPr>
        <w:widowControl w:val="0"/>
        <w:tabs>
          <w:tab w:val="left" w:pos="4970"/>
        </w:tabs>
        <w:spacing w:line="400" w:lineRule="exact"/>
        <w:ind w:left="1850" w:leftChars="771"/>
        <w:jc w:val="both"/>
        <w:rPr>
          <w:rFonts w:ascii="仿宋" w:hAnsi="仿宋" w:eastAsia="仿宋" w:cs="仿宋"/>
          <w:lang w:eastAsia="zh-CN"/>
        </w:rPr>
      </w:pPr>
    </w:p>
    <w:p w14:paraId="5BB9E6D9">
      <w:pPr>
        <w:spacing w:line="400" w:lineRule="exact"/>
        <w:rPr>
          <w:rFonts w:ascii="仿宋" w:hAnsi="仿宋" w:eastAsia="仿宋" w:cs="仿宋"/>
          <w:b/>
          <w:bCs/>
          <w:u w:val="single"/>
          <w:lang w:eastAsia="zh-CN"/>
        </w:rPr>
      </w:pPr>
      <w:r>
        <w:rPr>
          <w:rFonts w:ascii="仿宋" w:hAnsi="仿宋" w:eastAsia="仿宋" w:cs="仿宋"/>
          <w:b/>
          <w:bCs/>
          <w:u w:val="single"/>
          <w:lang w:eastAsia="zh-CN"/>
        </w:rPr>
        <w:t xml:space="preserve">                                                                                     </w:t>
      </w:r>
    </w:p>
    <w:p w14:paraId="012CF419">
      <w:pPr>
        <w:pStyle w:val="4"/>
        <w:tabs>
          <w:tab w:val="left" w:pos="420"/>
        </w:tabs>
        <w:spacing w:before="0" w:after="0" w:line="400" w:lineRule="exact"/>
        <w:rPr>
          <w:rFonts w:ascii="仿宋" w:hAnsi="仿宋" w:eastAsia="仿宋"/>
          <w:sz w:val="24"/>
          <w:szCs w:val="24"/>
          <w:lang w:eastAsia="zh-CN"/>
        </w:rPr>
      </w:pPr>
      <w:bookmarkStart w:id="242" w:name="_Toc32414576"/>
      <w:bookmarkStart w:id="243" w:name="_Toc22240"/>
      <w:bookmarkStart w:id="244" w:name="_Toc12295"/>
      <w:bookmarkStart w:id="245" w:name="_Toc194073132"/>
      <w:bookmarkStart w:id="246" w:name="_Toc13820"/>
      <w:r>
        <w:rPr>
          <w:rFonts w:ascii="仿宋" w:hAnsi="仿宋" w:eastAsia="仿宋" w:cs="仿宋"/>
          <w:sz w:val="24"/>
          <w:szCs w:val="24"/>
          <w:lang w:eastAsia="zh-CN"/>
        </w:rPr>
        <w:t>2</w:t>
      </w:r>
      <w:r>
        <w:rPr>
          <w:rFonts w:hint="eastAsia" w:ascii="仿宋" w:hAnsi="仿宋" w:eastAsia="仿宋" w:cs="仿宋"/>
          <w:sz w:val="24"/>
          <w:szCs w:val="24"/>
          <w:lang w:eastAsia="zh-CN"/>
        </w:rPr>
        <w:t>6</w:t>
      </w:r>
      <w:r>
        <w:rPr>
          <w:rFonts w:ascii="仿宋" w:hAnsi="仿宋" w:eastAsia="仿宋" w:cs="仿宋"/>
          <w:sz w:val="24"/>
          <w:szCs w:val="24"/>
          <w:lang w:eastAsia="zh-CN"/>
        </w:rPr>
        <w:t xml:space="preserve">  </w:t>
      </w:r>
      <w:bookmarkEnd w:id="242"/>
      <w:r>
        <w:rPr>
          <w:rFonts w:hint="eastAsia" w:ascii="仿宋" w:hAnsi="仿宋" w:eastAsia="仿宋" w:cs="仿宋"/>
          <w:sz w:val="24"/>
          <w:szCs w:val="24"/>
          <w:lang w:eastAsia="zh-CN"/>
        </w:rPr>
        <w:t>设计顾问人</w:t>
      </w:r>
      <w:bookmarkEnd w:id="243"/>
      <w:bookmarkEnd w:id="244"/>
      <w:bookmarkEnd w:id="245"/>
      <w:bookmarkEnd w:id="246"/>
    </w:p>
    <w:p w14:paraId="18544EE6">
      <w:pPr>
        <w:tabs>
          <w:tab w:val="left" w:pos="1260"/>
        </w:tabs>
        <w:spacing w:line="400" w:lineRule="exact"/>
        <w:rPr>
          <w:rFonts w:ascii="仿宋" w:hAnsi="仿宋" w:eastAsia="仿宋"/>
          <w:b/>
          <w:bCs/>
          <w:lang w:eastAsia="zh-CN"/>
        </w:rPr>
      </w:pPr>
      <w:r>
        <w:rPr>
          <w:rFonts w:ascii="仿宋" w:hAnsi="仿宋" w:eastAsia="仿宋" w:cs="仿宋"/>
          <w:b/>
          <w:bCs/>
          <w:lang w:eastAsia="zh-CN"/>
        </w:rPr>
        <w:t>2</w:t>
      </w:r>
      <w:r>
        <w:rPr>
          <w:rFonts w:hint="eastAsia" w:ascii="仿宋" w:hAnsi="仿宋" w:eastAsia="仿宋" w:cs="仿宋"/>
          <w:b/>
          <w:bCs/>
          <w:lang w:eastAsia="zh-CN"/>
        </w:rPr>
        <w:t>6</w:t>
      </w:r>
      <w:r>
        <w:rPr>
          <w:rFonts w:ascii="仿宋" w:hAnsi="仿宋" w:eastAsia="仿宋" w:cs="仿宋"/>
          <w:b/>
          <w:bCs/>
          <w:lang w:eastAsia="zh-CN"/>
        </w:rPr>
        <w:t>.1</w:t>
      </w:r>
    </w:p>
    <w:p w14:paraId="62C888F6">
      <w:pPr>
        <w:widowControl w:val="0"/>
        <w:tabs>
          <w:tab w:val="left" w:pos="4970"/>
        </w:tabs>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980800" behindDoc="0" locked="0" layoutInCell="1" allowOverlap="1">
                <wp:simplePos x="0" y="0"/>
                <wp:positionH relativeFrom="column">
                  <wp:posOffset>-114300</wp:posOffset>
                </wp:positionH>
                <wp:positionV relativeFrom="paragraph">
                  <wp:posOffset>45720</wp:posOffset>
                </wp:positionV>
                <wp:extent cx="850900" cy="607060"/>
                <wp:effectExtent l="0" t="0" r="0" b="0"/>
                <wp:wrapNone/>
                <wp:docPr id="86" name="文本框 769"/>
                <wp:cNvGraphicFramePr/>
                <a:graphic xmlns:a="http://schemas.openxmlformats.org/drawingml/2006/main">
                  <a:graphicData uri="http://schemas.microsoft.com/office/word/2010/wordprocessingShape">
                    <wps:wsp>
                      <wps:cNvSpPr txBox="1"/>
                      <wps:spPr>
                        <a:xfrm>
                          <a:off x="0" y="0"/>
                          <a:ext cx="850900" cy="607060"/>
                        </a:xfrm>
                        <a:prstGeom prst="rect">
                          <a:avLst/>
                        </a:prstGeom>
                        <a:noFill/>
                        <a:ln w="12700">
                          <a:noFill/>
                        </a:ln>
                      </wps:spPr>
                      <wps:txbx>
                        <w:txbxContent>
                          <w:p w14:paraId="088A08DA">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发包人对设计顾问人授权</w:t>
                            </w:r>
                          </w:p>
                        </w:txbxContent>
                      </wps:txbx>
                      <wps:bodyPr rot="0" vert="horz" wrap="square" lIns="91440" tIns="45720" rIns="91440" bIns="45720" anchor="t" anchorCtr="0"/>
                    </wps:wsp>
                  </a:graphicData>
                </a:graphic>
              </wp:anchor>
            </w:drawing>
          </mc:Choice>
          <mc:Fallback>
            <w:pict>
              <v:shape id="文本框 769" o:spid="_x0000_s1026" o:spt="202" type="#_x0000_t202" style="position:absolute;left:0pt;margin-left:-9pt;margin-top:3.6pt;height:47.8pt;width:67pt;z-index:251980800;mso-width-relative:page;mso-height-relative:page;" filled="f" stroked="f" coordsize="21600,21600" o:gfxdata="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imGp1tYA&#10;AAAJAQAADwAAAAAAAAABACAAAAAiAAAAZHJzL2Rvd25yZXYueG1sUEsBAhQAFAAAAAgAh07iQBnh&#10;hfnoAQAAvQMAAA4AAAAAAAAAAQAgAAAAJQEAAGRycy9lMm9Eb2MueG1sUEsFBgAAAAAGAAYAWQEA&#10;AH8FAAAAAA==&#10;">
                <v:fill on="f" focussize="0,0"/>
                <v:stroke on="f" weight="1pt"/>
                <v:imagedata o:title=""/>
                <o:lock v:ext="edit" aspectratio="f"/>
                <v:textbox>
                  <w:txbxContent>
                    <w:p w14:paraId="088A08DA">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发包人对设计顾问人授权</w:t>
                      </w:r>
                    </w:p>
                  </w:txbxContent>
                </v:textbox>
              </v:shape>
            </w:pict>
          </mc:Fallback>
        </mc:AlternateContent>
      </w:r>
      <w:r>
        <w:rPr>
          <w:rFonts w:hint="eastAsia" w:ascii="仿宋" w:hAnsi="仿宋" w:eastAsia="仿宋" w:cs="仿宋"/>
          <w:lang w:eastAsia="zh-CN"/>
        </w:rPr>
        <w:t>发包人应在专用条款中写明协助其对工程勘察设计活动进行监督管理的设计顾问人名称及设计顾问人代表，并在开始工作前将设计顾问人及设计顾问人代表以书面形式通知承包人，授予其代表发包人履行合同约定职责所需的权力。</w:t>
      </w:r>
    </w:p>
    <w:p w14:paraId="437F4909">
      <w:pPr>
        <w:spacing w:line="400" w:lineRule="exact"/>
        <w:rPr>
          <w:rFonts w:ascii="仿宋" w:hAnsi="仿宋" w:eastAsia="仿宋"/>
          <w:b/>
          <w:bCs/>
          <w:lang w:eastAsia="zh-CN"/>
        </w:rPr>
      </w:pPr>
      <w:bookmarkStart w:id="247" w:name="_Toc16119"/>
      <w:r>
        <w:rPr>
          <w:rFonts w:ascii="仿宋" w:hAnsi="仿宋" w:eastAsia="仿宋" w:cs="仿宋"/>
          <w:b/>
          <w:bCs/>
          <w:lang w:eastAsia="zh-CN"/>
        </w:rPr>
        <w:t>2</w:t>
      </w:r>
      <w:r>
        <w:rPr>
          <w:rFonts w:hint="eastAsia" w:ascii="仿宋" w:hAnsi="仿宋" w:eastAsia="仿宋" w:cs="仿宋"/>
          <w:b/>
          <w:bCs/>
          <w:lang w:eastAsia="zh-CN"/>
        </w:rPr>
        <w:t>6</w:t>
      </w:r>
      <w:r>
        <w:rPr>
          <w:rFonts w:ascii="仿宋" w:hAnsi="仿宋" w:eastAsia="仿宋" w:cs="仿宋"/>
          <w:b/>
          <w:bCs/>
          <w:lang w:eastAsia="zh-CN"/>
        </w:rPr>
        <w:t>.2</w:t>
      </w:r>
      <w:bookmarkEnd w:id="247"/>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3D725C0B">
      <w:pPr>
        <w:widowControl w:val="0"/>
        <w:tabs>
          <w:tab w:val="left" w:pos="4970"/>
        </w:tabs>
        <w:spacing w:line="400" w:lineRule="exact"/>
        <w:ind w:left="1850" w:leftChars="771"/>
        <w:jc w:val="both"/>
        <w:rPr>
          <w:rFonts w:ascii="仿宋" w:hAnsi="仿宋" w:eastAsia="仿宋" w:cs="仿宋"/>
          <w:lang w:eastAsia="zh-CN"/>
        </w:rPr>
      </w:pPr>
      <w:r>
        <mc:AlternateContent>
          <mc:Choice Requires="wps">
            <w:drawing>
              <wp:anchor distT="0" distB="0" distL="114300" distR="114300" simplePos="0" relativeHeight="251981824" behindDoc="0" locked="0" layoutInCell="1" allowOverlap="1">
                <wp:simplePos x="0" y="0"/>
                <wp:positionH relativeFrom="column">
                  <wp:posOffset>-114300</wp:posOffset>
                </wp:positionH>
                <wp:positionV relativeFrom="paragraph">
                  <wp:posOffset>-1270</wp:posOffset>
                </wp:positionV>
                <wp:extent cx="762635" cy="459740"/>
                <wp:effectExtent l="0" t="0" r="0" b="0"/>
                <wp:wrapNone/>
                <wp:docPr id="87" name="文本框 770"/>
                <wp:cNvGraphicFramePr/>
                <a:graphic xmlns:a="http://schemas.openxmlformats.org/drawingml/2006/main">
                  <a:graphicData uri="http://schemas.microsoft.com/office/word/2010/wordprocessingShape">
                    <wps:wsp>
                      <wps:cNvSpPr txBox="1"/>
                      <wps:spPr>
                        <a:xfrm>
                          <a:off x="0" y="0"/>
                          <a:ext cx="762635" cy="459740"/>
                        </a:xfrm>
                        <a:prstGeom prst="rect">
                          <a:avLst/>
                        </a:prstGeom>
                        <a:noFill/>
                        <a:ln w="12700">
                          <a:noFill/>
                        </a:ln>
                      </wps:spPr>
                      <wps:txbx>
                        <w:txbxContent>
                          <w:p w14:paraId="317037F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w:t>
                            </w:r>
                          </w:p>
                        </w:txbxContent>
                      </wps:txbx>
                      <wps:bodyPr rot="0" vert="horz" wrap="square" lIns="91440" tIns="45720" rIns="91440" bIns="45720" anchor="t" anchorCtr="0"/>
                    </wps:wsp>
                  </a:graphicData>
                </a:graphic>
              </wp:anchor>
            </w:drawing>
          </mc:Choice>
          <mc:Fallback>
            <w:pict>
              <v:shape id="文本框 770" o:spid="_x0000_s1026" o:spt="202" type="#_x0000_t202" style="position:absolute;left:0pt;margin-left:-9pt;margin-top:-0.1pt;height:36.2pt;width:60.05pt;z-index:251981824;mso-width-relative:page;mso-height-relative:page;" filled="f" stroked="f" coordsize="21600,21600" o:gfxdata="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ylgtPW&#10;AAAACAEAAA8AAAAAAAAAAQAgAAAAIgAAAGRycy9kb3ducmV2LnhtbFBLAQIUABQAAAAIAIdO4kB7&#10;1ZAj6QEAAL0DAAAOAAAAAAAAAAEAIAAAACUBAABkcnMvZTJvRG9jLnhtbFBLBQYAAAAABgAGAFkB&#10;AACABQAAAAA=&#10;">
                <v:fill on="f" focussize="0,0"/>
                <v:stroke on="f" weight="1pt"/>
                <v:imagedata o:title=""/>
                <o:lock v:ext="edit" aspectratio="f"/>
                <v:textbox>
                  <w:txbxContent>
                    <w:p w14:paraId="317037F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w:t>
                      </w:r>
                    </w:p>
                  </w:txbxContent>
                </v:textbox>
              </v:shape>
            </w:pict>
          </mc:Fallback>
        </mc:AlternateContent>
      </w:r>
      <w:r>
        <w:rPr>
          <w:rFonts w:hint="eastAsia" w:ascii="仿宋" w:hAnsi="仿宋" w:eastAsia="仿宋" w:cs="仿宋"/>
          <w:lang w:eastAsia="zh-CN"/>
        </w:rPr>
        <w:t>设计顾问人行使合同明文约定和必然隐含的职权，协助发包人负责建设方案优化调整、设计要求编写、工程材料比选、工程设备比选、限额设计管理、勘察设计进度检查、初步设计审核、施工图审核、专业工程设计图审核、设计文件深度检查、建筑信息模型（BIM）审核、设计</w:t>
      </w:r>
      <w:r>
        <w:rPr>
          <w:rFonts w:hint="eastAsia" w:ascii="仿宋" w:hAnsi="仿宋" w:eastAsia="仿宋"/>
          <w:lang w:eastAsia="zh-CN"/>
        </w:rPr>
        <w:t>优化建议、设计变更审核、参与设计评审、参与竣工验收，</w:t>
      </w:r>
      <w:r>
        <w:rPr>
          <w:rFonts w:hint="eastAsia" w:ascii="仿宋" w:hAnsi="仿宋" w:eastAsia="仿宋" w:cs="仿宋"/>
          <w:lang w:eastAsia="zh-CN"/>
        </w:rPr>
        <w:t>并及时向承包人提供勘察设计工作方面所需的批准、确认和通知等指令，保障工程勘察设计的进度、安全、质量与经济合理。设计顾问人无权免除或变更合同约定的合同任何一方当事人在合同履行期间的权利和义务。设计顾问人的具体咨询工作内容和工作权限，由合同当事人在专用条款中约定。</w:t>
      </w:r>
    </w:p>
    <w:p w14:paraId="5BCFB028">
      <w:pPr>
        <w:spacing w:line="400" w:lineRule="exact"/>
        <w:rPr>
          <w:rFonts w:ascii="仿宋" w:hAnsi="仿宋" w:eastAsia="仿宋"/>
          <w:b/>
          <w:bCs/>
          <w:lang w:eastAsia="zh-CN"/>
        </w:rPr>
      </w:pPr>
      <w:bookmarkStart w:id="248" w:name="_Toc15021"/>
      <w:r>
        <w:rPr>
          <w:rFonts w:ascii="仿宋" w:hAnsi="仿宋" w:eastAsia="仿宋" w:cs="仿宋"/>
          <w:b/>
          <w:bCs/>
          <w:lang w:eastAsia="zh-CN"/>
        </w:rPr>
        <w:t>2</w:t>
      </w:r>
      <w:r>
        <w:rPr>
          <w:rFonts w:hint="eastAsia" w:ascii="仿宋" w:hAnsi="仿宋" w:eastAsia="仿宋" w:cs="仿宋"/>
          <w:b/>
          <w:bCs/>
          <w:lang w:eastAsia="zh-CN"/>
        </w:rPr>
        <w:t>6</w:t>
      </w:r>
      <w:r>
        <w:rPr>
          <w:rFonts w:ascii="仿宋" w:hAnsi="仿宋" w:eastAsia="仿宋" w:cs="仿宋"/>
          <w:b/>
          <w:bCs/>
          <w:lang w:eastAsia="zh-CN"/>
        </w:rPr>
        <w:t>.3</w:t>
      </w:r>
      <w:bookmarkEnd w:id="248"/>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66B248DF">
      <w:pPr>
        <w:widowControl w:val="0"/>
        <w:tabs>
          <w:tab w:val="left" w:pos="4970"/>
        </w:tabs>
        <w:spacing w:line="400" w:lineRule="exact"/>
        <w:ind w:left="1850" w:leftChars="771"/>
        <w:jc w:val="both"/>
        <w:rPr>
          <w:rFonts w:ascii="仿宋" w:hAnsi="仿宋" w:eastAsia="仿宋" w:cs="仿宋"/>
          <w:lang w:eastAsia="zh-CN"/>
        </w:rPr>
      </w:pPr>
      <w:r>
        <mc:AlternateContent>
          <mc:Choice Requires="wps">
            <w:drawing>
              <wp:anchor distT="0" distB="0" distL="114300" distR="114300" simplePos="0" relativeHeight="251982848" behindDoc="0" locked="0" layoutInCell="1" allowOverlap="1">
                <wp:simplePos x="0" y="0"/>
                <wp:positionH relativeFrom="column">
                  <wp:posOffset>-114300</wp:posOffset>
                </wp:positionH>
                <wp:positionV relativeFrom="paragraph">
                  <wp:posOffset>0</wp:posOffset>
                </wp:positionV>
                <wp:extent cx="798830" cy="615950"/>
                <wp:effectExtent l="0" t="0" r="0" b="0"/>
                <wp:wrapNone/>
                <wp:docPr id="88" name="文本框 771"/>
                <wp:cNvGraphicFramePr/>
                <a:graphic xmlns:a="http://schemas.openxmlformats.org/drawingml/2006/main">
                  <a:graphicData uri="http://schemas.microsoft.com/office/word/2010/wordprocessingShape">
                    <wps:wsp>
                      <wps:cNvSpPr txBox="1"/>
                      <wps:spPr>
                        <a:xfrm>
                          <a:off x="0" y="0"/>
                          <a:ext cx="798830" cy="615950"/>
                        </a:xfrm>
                        <a:prstGeom prst="rect">
                          <a:avLst/>
                        </a:prstGeom>
                        <a:noFill/>
                        <a:ln w="12700">
                          <a:noFill/>
                        </a:ln>
                      </wps:spPr>
                      <wps:txbx>
                        <w:txbxContent>
                          <w:p w14:paraId="78F1AA0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设计顾问人职权限制</w:t>
                            </w:r>
                          </w:p>
                        </w:txbxContent>
                      </wps:txbx>
                      <wps:bodyPr rot="0" vert="horz" wrap="square" lIns="91440" tIns="45720" rIns="91440" bIns="45720" anchor="t" anchorCtr="0"/>
                    </wps:wsp>
                  </a:graphicData>
                </a:graphic>
              </wp:anchor>
            </w:drawing>
          </mc:Choice>
          <mc:Fallback>
            <w:pict>
              <v:shape id="文本框 771" o:spid="_x0000_s1026" o:spt="202" type="#_x0000_t202" style="position:absolute;left:0pt;margin-left:-9pt;margin-top:0pt;height:48.5pt;width:62.9pt;z-index:251982848;mso-width-relative:page;mso-height-relative:page;" filled="f" stroked="f" coordsize="21600,21600" o:gfxdata="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1DJ&#10;ZNYAAAAHAQAADwAAAAAAAAABACAAAAAiAAAAZHJzL2Rvd25yZXYueG1sUEsBAhQAFAAAAAgAh07i&#10;QI6wi8rrAQAAvQMAAA4AAAAAAAAAAQAgAAAAJQEAAGRycy9lMm9Eb2MueG1sUEsFBgAAAAAGAAYA&#10;WQEAAIIFAAAAAA==&#10;">
                <v:fill on="f" focussize="0,0"/>
                <v:stroke on="f" weight="1pt"/>
                <v:imagedata o:title=""/>
                <o:lock v:ext="edit" aspectratio="f"/>
                <v:textbox>
                  <w:txbxContent>
                    <w:p w14:paraId="78F1AA0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设计顾问人职权限制</w:t>
                      </w:r>
                    </w:p>
                  </w:txbxContent>
                </v:textbox>
              </v:shape>
            </w:pict>
          </mc:Fallback>
        </mc:AlternateContent>
      </w:r>
      <w:r>
        <w:rPr>
          <w:rFonts w:hint="eastAsia" w:ascii="仿宋" w:hAnsi="仿宋" w:eastAsia="仿宋" w:cs="仿宋"/>
          <w:lang w:eastAsia="zh-CN"/>
        </w:rPr>
        <w:t>除属于第91条约定的争议外，设计顾问人在职权范围内的工作，发包人应予认可，但下列事项应事先取得发包人的专项批准：</w:t>
      </w:r>
    </w:p>
    <w:p w14:paraId="5CB03DFC">
      <w:pPr>
        <w:widowControl w:val="0"/>
        <w:tabs>
          <w:tab w:val="left" w:pos="1260"/>
        </w:tabs>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（1）批准承包人提供的配合施工的大样图、加工图等施工设计图纸；</w:t>
      </w:r>
    </w:p>
    <w:p w14:paraId="5E16EE2D">
      <w:pPr>
        <w:widowControl w:val="0"/>
        <w:tabs>
          <w:tab w:val="left" w:pos="1260"/>
        </w:tabs>
        <w:spacing w:line="400" w:lineRule="exact"/>
        <w:ind w:left="1850" w:leftChars="771"/>
        <w:jc w:val="both"/>
        <w:rPr>
          <w:rFonts w:ascii="仿宋" w:hAnsi="仿宋" w:eastAsia="仿宋"/>
          <w:lang w:eastAsia="zh-CN"/>
        </w:rPr>
      </w:pPr>
      <w:r>
        <w:rPr>
          <w:rFonts w:hint="eastAsia" w:ascii="仿宋" w:hAnsi="仿宋" w:eastAsia="仿宋" w:cs="仿宋"/>
          <w:lang w:eastAsia="zh-CN"/>
        </w:rPr>
        <w:t>（2）根据第5.1款约定发出的发包人要求（包括限额设计指标）；</w:t>
      </w:r>
    </w:p>
    <w:p w14:paraId="71BF93C1">
      <w:pPr>
        <w:widowControl w:val="0"/>
        <w:tabs>
          <w:tab w:val="left" w:pos="1260"/>
        </w:tabs>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（3）根据第6.1款约定发出的项目基础资料；</w:t>
      </w:r>
    </w:p>
    <w:p w14:paraId="16A04628">
      <w:pPr>
        <w:widowControl w:val="0"/>
        <w:tabs>
          <w:tab w:val="left" w:pos="1260"/>
        </w:tabs>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（4）根据第37条、38条约定批准或发出关于勘察、设计文件的指令；</w:t>
      </w:r>
    </w:p>
    <w:p w14:paraId="678C838F">
      <w:pPr>
        <w:widowControl w:val="0"/>
        <w:tabs>
          <w:tab w:val="left" w:pos="1260"/>
        </w:tabs>
        <w:spacing w:line="400" w:lineRule="exact"/>
        <w:ind w:left="1850" w:leftChars="771"/>
        <w:jc w:val="both"/>
        <w:rPr>
          <w:rFonts w:ascii="仿宋" w:hAnsi="仿宋" w:eastAsia="仿宋"/>
          <w:lang w:eastAsia="zh-CN"/>
        </w:rPr>
      </w:pPr>
      <w:r>
        <w:rPr>
          <w:rFonts w:hint="eastAsia" w:ascii="仿宋" w:hAnsi="仿宋" w:eastAsia="仿宋" w:cs="仿宋"/>
          <w:lang w:eastAsia="zh-CN"/>
        </w:rPr>
        <w:t>（5）根据第41</w:t>
      </w:r>
      <w:r>
        <w:rPr>
          <w:rFonts w:ascii="仿宋" w:hAnsi="仿宋" w:eastAsia="仿宋" w:cs="仿宋"/>
          <w:lang w:eastAsia="zh-CN"/>
        </w:rPr>
        <w:t>.2</w:t>
      </w:r>
      <w:r>
        <w:rPr>
          <w:rFonts w:hint="eastAsia" w:ascii="仿宋" w:hAnsi="仿宋" w:eastAsia="仿宋" w:cs="仿宋"/>
          <w:lang w:eastAsia="zh-CN"/>
        </w:rPr>
        <w:t>款约定批准或发出关于勘察、设计方面开始工作的指令；</w:t>
      </w:r>
    </w:p>
    <w:p w14:paraId="5F9A8094">
      <w:pPr>
        <w:widowControl w:val="0"/>
        <w:tabs>
          <w:tab w:val="left" w:pos="1260"/>
        </w:tabs>
        <w:spacing w:line="400" w:lineRule="exact"/>
        <w:ind w:left="1850" w:leftChars="771"/>
        <w:jc w:val="both"/>
        <w:rPr>
          <w:rFonts w:ascii="仿宋" w:hAnsi="仿宋" w:eastAsia="仿宋"/>
          <w:lang w:eastAsia="zh-CN"/>
        </w:rPr>
      </w:pPr>
      <w:r>
        <w:rPr>
          <w:rFonts w:hint="eastAsia" w:ascii="仿宋" w:hAnsi="仿宋" w:eastAsia="仿宋" w:cs="仿宋"/>
          <w:lang w:eastAsia="zh-CN"/>
        </w:rPr>
        <w:t>（6）根据第44</w:t>
      </w:r>
      <w:r>
        <w:rPr>
          <w:rFonts w:ascii="仿宋" w:hAnsi="仿宋" w:eastAsia="仿宋" w:cs="仿宋"/>
          <w:lang w:eastAsia="zh-CN"/>
        </w:rPr>
        <w:t>.2</w:t>
      </w:r>
      <w:r>
        <w:rPr>
          <w:rFonts w:hint="eastAsia" w:ascii="仿宋" w:hAnsi="仿宋" w:eastAsia="仿宋" w:cs="仿宋"/>
          <w:lang w:eastAsia="zh-CN"/>
        </w:rPr>
        <w:t>款约定批准或发出关于勘察、设计方面工作进度的变更指令；</w:t>
      </w:r>
    </w:p>
    <w:p w14:paraId="137D1BBA">
      <w:pPr>
        <w:widowControl w:val="0"/>
        <w:tabs>
          <w:tab w:val="left" w:pos="1260"/>
        </w:tabs>
        <w:spacing w:line="400" w:lineRule="exact"/>
        <w:ind w:left="1850" w:leftChars="771"/>
        <w:jc w:val="both"/>
        <w:rPr>
          <w:rFonts w:ascii="仿宋" w:hAnsi="仿宋" w:eastAsia="仿宋"/>
          <w:lang w:eastAsia="zh-CN"/>
        </w:rPr>
      </w:pPr>
      <w:r>
        <w:rPr>
          <w:rFonts w:hint="eastAsia" w:ascii="仿宋" w:hAnsi="仿宋" w:eastAsia="仿宋" w:cs="仿宋"/>
          <w:lang w:eastAsia="zh-CN"/>
        </w:rPr>
        <w:t>（7）根据第63条约定批准或发出关于工程变更技术审核方面的指令；</w:t>
      </w:r>
    </w:p>
    <w:p w14:paraId="077632C1">
      <w:pPr>
        <w:widowControl w:val="0"/>
        <w:tabs>
          <w:tab w:val="left" w:pos="1260"/>
        </w:tabs>
        <w:spacing w:line="400" w:lineRule="exact"/>
        <w:ind w:left="1850" w:leftChars="771"/>
        <w:jc w:val="both"/>
        <w:rPr>
          <w:rFonts w:ascii="仿宋" w:hAnsi="仿宋" w:eastAsia="仿宋"/>
          <w:lang w:eastAsia="zh-CN"/>
        </w:rPr>
      </w:pPr>
      <w:r>
        <w:rPr>
          <w:rFonts w:hint="eastAsia" w:ascii="仿宋" w:hAnsi="仿宋" w:eastAsia="仿宋" w:cs="仿宋"/>
          <w:lang w:eastAsia="zh-CN"/>
        </w:rPr>
        <w:t>（8）专用条款约定关于勘察设计方面需要发包人确认或批准的其他事项。</w:t>
      </w:r>
    </w:p>
    <w:p w14:paraId="6687FDC9">
      <w:pPr>
        <w:spacing w:line="400" w:lineRule="exact"/>
        <w:rPr>
          <w:rFonts w:ascii="仿宋" w:hAnsi="仿宋" w:eastAsia="仿宋"/>
          <w:b/>
          <w:bCs/>
          <w:lang w:eastAsia="zh-CN"/>
        </w:rPr>
      </w:pPr>
      <w:bookmarkStart w:id="249" w:name="_Toc15784"/>
      <w:r>
        <w:rPr>
          <w:rFonts w:ascii="仿宋" w:hAnsi="仿宋" w:eastAsia="仿宋" w:cs="仿宋"/>
          <w:b/>
          <w:bCs/>
          <w:lang w:eastAsia="zh-CN"/>
        </w:rPr>
        <w:t>2</w:t>
      </w:r>
      <w:r>
        <w:rPr>
          <w:rFonts w:hint="eastAsia" w:ascii="仿宋" w:hAnsi="仿宋" w:eastAsia="仿宋" w:cs="仿宋"/>
          <w:b/>
          <w:bCs/>
          <w:lang w:eastAsia="zh-CN"/>
        </w:rPr>
        <w:t>6</w:t>
      </w:r>
      <w:r>
        <w:rPr>
          <w:rFonts w:ascii="仿宋" w:hAnsi="仿宋" w:eastAsia="仿宋" w:cs="仿宋"/>
          <w:b/>
          <w:bCs/>
          <w:lang w:eastAsia="zh-CN"/>
        </w:rPr>
        <w:t>.4</w:t>
      </w:r>
      <w:bookmarkEnd w:id="249"/>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6392A4A0">
      <w:pPr>
        <w:widowControl w:val="0"/>
        <w:tabs>
          <w:tab w:val="left" w:pos="4970"/>
        </w:tabs>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983872" behindDoc="0" locked="0" layoutInCell="1" allowOverlap="1">
                <wp:simplePos x="0" y="0"/>
                <wp:positionH relativeFrom="column">
                  <wp:posOffset>-114300</wp:posOffset>
                </wp:positionH>
                <wp:positionV relativeFrom="paragraph">
                  <wp:posOffset>0</wp:posOffset>
                </wp:positionV>
                <wp:extent cx="878205" cy="444500"/>
                <wp:effectExtent l="0" t="0" r="0" b="0"/>
                <wp:wrapNone/>
                <wp:docPr id="89" name="文本框 772"/>
                <wp:cNvGraphicFramePr/>
                <a:graphic xmlns:a="http://schemas.openxmlformats.org/drawingml/2006/main">
                  <a:graphicData uri="http://schemas.microsoft.com/office/word/2010/wordprocessingShape">
                    <wps:wsp>
                      <wps:cNvSpPr txBox="1"/>
                      <wps:spPr>
                        <a:xfrm>
                          <a:off x="0" y="0"/>
                          <a:ext cx="878205" cy="444500"/>
                        </a:xfrm>
                        <a:prstGeom prst="rect">
                          <a:avLst/>
                        </a:prstGeom>
                        <a:noFill/>
                        <a:ln w="12700">
                          <a:noFill/>
                        </a:ln>
                      </wps:spPr>
                      <wps:txbx>
                        <w:txbxContent>
                          <w:p w14:paraId="0247026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设计顾问人指令</w:t>
                            </w:r>
                          </w:p>
                        </w:txbxContent>
                      </wps:txbx>
                      <wps:bodyPr rot="0" vert="horz" wrap="square" lIns="91440" tIns="45720" rIns="91440" bIns="45720" anchor="t" anchorCtr="0"/>
                    </wps:wsp>
                  </a:graphicData>
                </a:graphic>
              </wp:anchor>
            </w:drawing>
          </mc:Choice>
          <mc:Fallback>
            <w:pict>
              <v:shape id="文本框 772" o:spid="_x0000_s1026" o:spt="202" type="#_x0000_t202" style="position:absolute;left:0pt;margin-left:-9pt;margin-top:0pt;height:35pt;width:69.15pt;z-index:251983872;mso-width-relative:page;mso-height-relative:page;" filled="f" stroked="f" coordsize="21600,21600" o:gfxdata="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vkBS5dYA&#10;AAAHAQAADwAAAAAAAAABACAAAAAiAAAAZHJzL2Rvd25yZXYueG1sUEsBAhQAFAAAAAgAh07iQFOU&#10;APvoAQAAvQMAAA4AAAAAAAAAAQAgAAAAJQEAAGRycy9lMm9Eb2MueG1sUEsFBgAAAAAGAAYAWQEA&#10;AH8FAAAAAA==&#10;">
                <v:fill on="f" focussize="0,0"/>
                <v:stroke on="f" weight="1pt"/>
                <v:imagedata o:title=""/>
                <o:lock v:ext="edit" aspectratio="f"/>
                <v:textbox>
                  <w:txbxContent>
                    <w:p w14:paraId="0247026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设计顾问人指令</w:t>
                      </w:r>
                    </w:p>
                  </w:txbxContent>
                </v:textbox>
              </v:shape>
            </w:pict>
          </mc:Fallback>
        </mc:AlternateContent>
      </w:r>
      <w:r>
        <w:rPr>
          <w:rFonts w:hint="eastAsia" w:ascii="仿宋" w:hAnsi="仿宋" w:eastAsia="仿宋" w:cs="仿宋"/>
          <w:lang w:eastAsia="zh-CN"/>
        </w:rPr>
        <w:t>设计顾问人应按照合同约定时间向承包人提供实施合同工程的勘察、设计、BIM技术应用、竣工验收等工作所需的核实、调整和通知等指令。</w:t>
      </w:r>
    </w:p>
    <w:p w14:paraId="601167EC">
      <w:pPr>
        <w:widowControl w:val="0"/>
        <w:tabs>
          <w:tab w:val="left" w:pos="4970"/>
        </w:tabs>
        <w:spacing w:line="400" w:lineRule="exact"/>
        <w:ind w:left="1850" w:leftChars="771"/>
        <w:jc w:val="both"/>
        <w:rPr>
          <w:rFonts w:ascii="仿宋" w:hAnsi="仿宋" w:eastAsia="仿宋"/>
          <w:lang w:eastAsia="zh-CN"/>
        </w:rPr>
      </w:pPr>
      <w:r>
        <w:rPr>
          <w:rFonts w:hint="eastAsia" w:ascii="仿宋" w:hAnsi="仿宋" w:eastAsia="仿宋" w:cs="仿宋"/>
          <w:lang w:eastAsia="zh-CN"/>
        </w:rPr>
        <w:t>设计顾问人提供的指令，首先应通过发包人批准，并采用书面形式。在紧急情况下，设计顾问工程师可发出口头指令，但应在</w:t>
      </w:r>
      <w:r>
        <w:rPr>
          <w:rFonts w:ascii="仿宋" w:hAnsi="仿宋" w:eastAsia="仿宋" w:cs="仿宋"/>
          <w:lang w:eastAsia="zh-CN"/>
        </w:rPr>
        <w:t>48</w:t>
      </w:r>
      <w:r>
        <w:rPr>
          <w:rFonts w:hint="eastAsia" w:ascii="仿宋" w:hAnsi="仿宋" w:eastAsia="仿宋" w:cs="仿宋"/>
          <w:lang w:eastAsia="zh-CN"/>
        </w:rPr>
        <w:t>小时内给予书面确认。对设计顾问工程师的口头指令，承包人应予执行。如果承包人在设计顾问工程师发出的口头指令</w:t>
      </w:r>
      <w:r>
        <w:rPr>
          <w:rFonts w:ascii="仿宋" w:hAnsi="仿宋" w:eastAsia="仿宋" w:cs="仿宋"/>
          <w:lang w:eastAsia="zh-CN"/>
        </w:rPr>
        <w:t>48</w:t>
      </w:r>
      <w:r>
        <w:rPr>
          <w:rFonts w:hint="eastAsia" w:ascii="仿宋" w:hAnsi="仿宋" w:eastAsia="仿宋" w:cs="仿宋"/>
          <w:lang w:eastAsia="zh-CN"/>
        </w:rPr>
        <w:t>小时后未收到书面确认，则应在接到口头指令后的</w:t>
      </w:r>
      <w:r>
        <w:rPr>
          <w:rFonts w:ascii="仿宋" w:hAnsi="仿宋" w:eastAsia="仿宋" w:cs="仿宋"/>
          <w:lang w:eastAsia="zh-CN"/>
        </w:rPr>
        <w:t>7</w:t>
      </w:r>
      <w:r>
        <w:rPr>
          <w:rFonts w:hint="eastAsia" w:ascii="仿宋" w:hAnsi="仿宋" w:eastAsia="仿宋" w:cs="仿宋"/>
          <w:lang w:eastAsia="zh-CN"/>
        </w:rPr>
        <w:t>天内向设计顾问人发出书面确认函。设计顾问咨询人应在承包人发出书面确认函后</w:t>
      </w:r>
      <w:r>
        <w:rPr>
          <w:rFonts w:ascii="仿宋" w:hAnsi="仿宋" w:eastAsia="仿宋" w:cs="仿宋"/>
          <w:lang w:eastAsia="zh-CN"/>
        </w:rPr>
        <w:t>48</w:t>
      </w:r>
      <w:r>
        <w:rPr>
          <w:rFonts w:hint="eastAsia" w:ascii="仿宋" w:hAnsi="仿宋" w:eastAsia="仿宋" w:cs="仿宋"/>
          <w:lang w:eastAsia="zh-CN"/>
        </w:rPr>
        <w:t>小时内给予答复；逾期未予答复的，视为承包人的书面确认函已被认可。</w:t>
      </w:r>
    </w:p>
    <w:p w14:paraId="035444A0">
      <w:pPr>
        <w:spacing w:line="400" w:lineRule="exact"/>
        <w:rPr>
          <w:rFonts w:ascii="仿宋" w:hAnsi="仿宋" w:eastAsia="仿宋"/>
          <w:b/>
          <w:bCs/>
          <w:lang w:eastAsia="zh-CN"/>
        </w:rPr>
      </w:pPr>
      <w:bookmarkStart w:id="250" w:name="_Toc26383"/>
      <w:r>
        <w:rPr>
          <w:rFonts w:ascii="仿宋" w:hAnsi="仿宋" w:eastAsia="仿宋" w:cs="仿宋"/>
          <w:b/>
          <w:bCs/>
          <w:lang w:eastAsia="zh-CN"/>
        </w:rPr>
        <w:t>2</w:t>
      </w:r>
      <w:r>
        <w:rPr>
          <w:rFonts w:hint="eastAsia" w:ascii="仿宋" w:hAnsi="仿宋" w:eastAsia="仿宋" w:cs="仿宋"/>
          <w:b/>
          <w:bCs/>
          <w:lang w:eastAsia="zh-CN"/>
        </w:rPr>
        <w:t>6</w:t>
      </w:r>
      <w:r>
        <w:rPr>
          <w:rFonts w:ascii="仿宋" w:hAnsi="仿宋" w:eastAsia="仿宋" w:cs="仿宋"/>
          <w:b/>
          <w:bCs/>
          <w:lang w:eastAsia="zh-CN"/>
        </w:rPr>
        <w:t>.5</w:t>
      </w:r>
      <w:bookmarkEnd w:id="250"/>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494A0E1E">
      <w:pPr>
        <w:widowControl w:val="0"/>
        <w:tabs>
          <w:tab w:val="left" w:pos="4970"/>
        </w:tabs>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984896" behindDoc="0" locked="0" layoutInCell="1" allowOverlap="1">
                <wp:simplePos x="0" y="0"/>
                <wp:positionH relativeFrom="column">
                  <wp:posOffset>-114300</wp:posOffset>
                </wp:positionH>
                <wp:positionV relativeFrom="paragraph">
                  <wp:posOffset>15240</wp:posOffset>
                </wp:positionV>
                <wp:extent cx="786130" cy="583565"/>
                <wp:effectExtent l="0" t="0" r="0" b="0"/>
                <wp:wrapNone/>
                <wp:docPr id="90" name="文本框 773"/>
                <wp:cNvGraphicFramePr/>
                <a:graphic xmlns:a="http://schemas.openxmlformats.org/drawingml/2006/main">
                  <a:graphicData uri="http://schemas.microsoft.com/office/word/2010/wordprocessingShape">
                    <wps:wsp>
                      <wps:cNvSpPr txBox="1"/>
                      <wps:spPr>
                        <a:xfrm>
                          <a:off x="0" y="0"/>
                          <a:ext cx="786130" cy="583565"/>
                        </a:xfrm>
                        <a:prstGeom prst="rect">
                          <a:avLst/>
                        </a:prstGeom>
                        <a:noFill/>
                        <a:ln w="12700">
                          <a:noFill/>
                        </a:ln>
                      </wps:spPr>
                      <wps:txbx>
                        <w:txbxContent>
                          <w:p w14:paraId="4543AC82">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承包人执行设计顾问人指令</w:t>
                            </w:r>
                          </w:p>
                        </w:txbxContent>
                      </wps:txbx>
                      <wps:bodyPr rot="0" vert="horz" wrap="square" lIns="91440" tIns="45720" rIns="91440" bIns="45720" anchor="t" anchorCtr="0"/>
                    </wps:wsp>
                  </a:graphicData>
                </a:graphic>
              </wp:anchor>
            </w:drawing>
          </mc:Choice>
          <mc:Fallback>
            <w:pict>
              <v:shape id="文本框 773" o:spid="_x0000_s1026" o:spt="202" type="#_x0000_t202" style="position:absolute;left:0pt;margin-left:-9pt;margin-top:1.2pt;height:45.95pt;width:61.9pt;z-index:251984896;mso-width-relative:page;mso-height-relative:page;" filled="f" stroked="f" coordsize="21600,21600" o:gfxdata="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nl47jX&#10;AAAACAEAAA8AAAAAAAAAAQAgAAAAIgAAAGRycy9kb3ducmV2LnhtbFBLAQIUABQAAAAIAIdO4kDG&#10;GSIH6AEAAL0DAAAOAAAAAAAAAAEAIAAAACYBAABkcnMvZTJvRG9jLnhtbFBLBQYAAAAABgAGAFkB&#10;AACABQAAAAA=&#10;">
                <v:fill on="f" focussize="0,0"/>
                <v:stroke on="f" weight="1pt"/>
                <v:imagedata o:title=""/>
                <o:lock v:ext="edit" aspectratio="f"/>
                <v:textbox>
                  <w:txbxContent>
                    <w:p w14:paraId="4543AC82">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承包人执行设计顾问人指令</w:t>
                      </w:r>
                    </w:p>
                  </w:txbxContent>
                </v:textbox>
              </v:shape>
            </w:pict>
          </mc:Fallback>
        </mc:AlternateContent>
      </w:r>
      <w:r>
        <w:rPr>
          <w:rFonts w:hint="eastAsia" w:ascii="仿宋" w:hAnsi="仿宋" w:eastAsia="仿宋" w:cs="仿宋"/>
          <w:lang w:eastAsia="zh-CN"/>
        </w:rPr>
        <w:t>如果承包人认为设计顾问人的指令不合理，应在收到指令后</w:t>
      </w:r>
      <w:r>
        <w:rPr>
          <w:rFonts w:ascii="仿宋" w:hAnsi="仿宋" w:eastAsia="仿宋" w:cs="仿宋"/>
          <w:lang w:eastAsia="zh-CN"/>
        </w:rPr>
        <w:t>24</w:t>
      </w:r>
      <w:r>
        <w:rPr>
          <w:rFonts w:hint="eastAsia" w:ascii="仿宋" w:hAnsi="仿宋" w:eastAsia="仿宋" w:cs="仿宋"/>
          <w:lang w:eastAsia="zh-CN"/>
        </w:rPr>
        <w:t>小时内向设计顾问人提出书面报告，设计顾问人应在收到承包人报告后</w:t>
      </w:r>
      <w:r>
        <w:rPr>
          <w:rFonts w:ascii="仿宋" w:hAnsi="仿宋" w:eastAsia="仿宋" w:cs="仿宋"/>
          <w:lang w:eastAsia="zh-CN"/>
        </w:rPr>
        <w:t>24</w:t>
      </w:r>
      <w:r>
        <w:rPr>
          <w:rFonts w:hint="eastAsia" w:ascii="仿宋" w:hAnsi="仿宋" w:eastAsia="仿宋" w:cs="仿宋"/>
          <w:lang w:eastAsia="zh-CN"/>
        </w:rPr>
        <w:t>小时内做出修改指令或继续执行原指令的决定，报经发包人批准后书面通知承包人。逾期不作出决定的，承包人可不执行设计顾问人的指令。</w:t>
      </w:r>
    </w:p>
    <w:p w14:paraId="3D91E2B5">
      <w:pPr>
        <w:spacing w:line="400" w:lineRule="exact"/>
        <w:rPr>
          <w:rFonts w:ascii="仿宋" w:hAnsi="仿宋" w:eastAsia="仿宋"/>
          <w:b/>
          <w:bCs/>
          <w:lang w:eastAsia="zh-CN"/>
        </w:rPr>
      </w:pPr>
      <w:bookmarkStart w:id="251" w:name="_Toc21955"/>
      <w:r>
        <w:rPr>
          <w:rFonts w:ascii="仿宋" w:hAnsi="仿宋" w:eastAsia="仿宋" w:cs="仿宋"/>
          <w:b/>
          <w:bCs/>
          <w:lang w:eastAsia="zh-CN"/>
        </w:rPr>
        <w:t>2</w:t>
      </w:r>
      <w:r>
        <w:rPr>
          <w:rFonts w:hint="eastAsia" w:ascii="仿宋" w:hAnsi="仿宋" w:eastAsia="仿宋" w:cs="仿宋"/>
          <w:b/>
          <w:bCs/>
          <w:lang w:eastAsia="zh-CN"/>
        </w:rPr>
        <w:t>6</w:t>
      </w:r>
      <w:r>
        <w:rPr>
          <w:rFonts w:ascii="仿宋" w:hAnsi="仿宋" w:eastAsia="仿宋" w:cs="仿宋"/>
          <w:b/>
          <w:bCs/>
          <w:lang w:eastAsia="zh-CN"/>
        </w:rPr>
        <w:t>.6</w:t>
      </w:r>
      <w:bookmarkEnd w:id="251"/>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28C5B029">
      <w:pPr>
        <w:widowControl w:val="0"/>
        <w:tabs>
          <w:tab w:val="left" w:pos="4970"/>
        </w:tabs>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985920" behindDoc="0" locked="0" layoutInCell="1" allowOverlap="1">
                <wp:simplePos x="0" y="0"/>
                <wp:positionH relativeFrom="column">
                  <wp:posOffset>-114300</wp:posOffset>
                </wp:positionH>
                <wp:positionV relativeFrom="paragraph">
                  <wp:posOffset>0</wp:posOffset>
                </wp:positionV>
                <wp:extent cx="794385" cy="507365"/>
                <wp:effectExtent l="0" t="0" r="0" b="0"/>
                <wp:wrapNone/>
                <wp:docPr id="91" name="文本框 774"/>
                <wp:cNvGraphicFramePr/>
                <a:graphic xmlns:a="http://schemas.openxmlformats.org/drawingml/2006/main">
                  <a:graphicData uri="http://schemas.microsoft.com/office/word/2010/wordprocessingShape">
                    <wps:wsp>
                      <wps:cNvSpPr txBox="1"/>
                      <wps:spPr>
                        <a:xfrm>
                          <a:off x="0" y="0"/>
                          <a:ext cx="794385" cy="507365"/>
                        </a:xfrm>
                        <a:prstGeom prst="rect">
                          <a:avLst/>
                        </a:prstGeom>
                        <a:noFill/>
                        <a:ln w="12700">
                          <a:noFill/>
                        </a:ln>
                      </wps:spPr>
                      <wps:txbx>
                        <w:txbxContent>
                          <w:p w14:paraId="327590F0">
                            <w:pPr>
                              <w:spacing w:line="240" w:lineRule="exact"/>
                              <w:rPr>
                                <w:rFonts w:ascii="宋体"/>
                                <w:sz w:val="18"/>
                                <w:szCs w:val="18"/>
                              </w:rPr>
                            </w:pPr>
                            <w:r>
                              <w:rPr>
                                <w:rFonts w:hint="eastAsia" w:ascii="楷体_GB2312" w:hAnsi="宋体" w:eastAsia="楷体_GB2312" w:cs="楷体_GB2312"/>
                                <w:b/>
                                <w:bCs/>
                                <w:color w:val="000000"/>
                                <w:sz w:val="18"/>
                                <w:szCs w:val="18"/>
                              </w:rPr>
                              <w:t>设计顾问人职权委托</w:t>
                            </w:r>
                          </w:p>
                        </w:txbxContent>
                      </wps:txbx>
                      <wps:bodyPr rot="0" vert="horz" wrap="square" lIns="91440" tIns="45720" rIns="91440" bIns="45720" anchor="t" anchorCtr="0"/>
                    </wps:wsp>
                  </a:graphicData>
                </a:graphic>
              </wp:anchor>
            </w:drawing>
          </mc:Choice>
          <mc:Fallback>
            <w:pict>
              <v:shape id="文本框 774" o:spid="_x0000_s1026" o:spt="202" type="#_x0000_t202" style="position:absolute;left:0pt;margin-left:-9pt;margin-top:0pt;height:39.95pt;width:62.55pt;z-index:251985920;mso-width-relative:page;mso-height-relative:page;" filled="f" stroked="f" coordsize="21600,21600" o:gfxdata="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OR7Pc&#10;1gAAAAcBAAAPAAAAAAAAAAEAIAAAACIAAABkcnMvZG93bnJldi54bWxQSwECFAAUAAAACACHTuJA&#10;GenIyeoBAAC9AwAADgAAAAAAAAABACAAAAAlAQAAZHJzL2Uyb0RvYy54bWxQSwUGAAAAAAYABgBZ&#10;AQAAgQUAAAAA&#10;">
                <v:fill on="f" focussize="0,0"/>
                <v:stroke on="f" weight="1pt"/>
                <v:imagedata o:title=""/>
                <o:lock v:ext="edit" aspectratio="f"/>
                <v:textbox>
                  <w:txbxContent>
                    <w:p w14:paraId="327590F0">
                      <w:pPr>
                        <w:spacing w:line="240" w:lineRule="exact"/>
                        <w:rPr>
                          <w:rFonts w:ascii="宋体"/>
                          <w:sz w:val="18"/>
                          <w:szCs w:val="18"/>
                        </w:rPr>
                      </w:pPr>
                      <w:r>
                        <w:rPr>
                          <w:rFonts w:hint="eastAsia" w:ascii="楷体_GB2312" w:hAnsi="宋体" w:eastAsia="楷体_GB2312" w:cs="楷体_GB2312"/>
                          <w:b/>
                          <w:bCs/>
                          <w:color w:val="000000"/>
                          <w:sz w:val="18"/>
                          <w:szCs w:val="18"/>
                        </w:rPr>
                        <w:t>设计顾问人职权委托</w:t>
                      </w:r>
                    </w:p>
                  </w:txbxContent>
                </v:textbox>
              </v:shape>
            </w:pict>
          </mc:Fallback>
        </mc:AlternateContent>
      </w:r>
      <w:r>
        <w:rPr>
          <w:rFonts w:hint="eastAsia" w:ascii="仿宋" w:hAnsi="仿宋" w:eastAsia="仿宋" w:cs="仿宋"/>
          <w:lang w:eastAsia="zh-CN"/>
        </w:rPr>
        <w:t>设计顾问人可按照第</w:t>
      </w:r>
      <w:r>
        <w:rPr>
          <w:rFonts w:ascii="仿宋" w:hAnsi="仿宋" w:eastAsia="仿宋" w:cs="仿宋"/>
          <w:lang w:eastAsia="zh-CN"/>
        </w:rPr>
        <w:t>2</w:t>
      </w:r>
      <w:r>
        <w:rPr>
          <w:rFonts w:hint="eastAsia" w:ascii="仿宋" w:hAnsi="仿宋" w:eastAsia="仿宋" w:cs="仿宋"/>
          <w:lang w:eastAsia="zh-CN"/>
        </w:rPr>
        <w:t>4</w:t>
      </w:r>
      <w:r>
        <w:rPr>
          <w:rFonts w:ascii="仿宋" w:hAnsi="仿宋" w:eastAsia="仿宋" w:cs="仿宋"/>
          <w:lang w:eastAsia="zh-CN"/>
        </w:rPr>
        <w:t>.3</w:t>
      </w:r>
      <w:r>
        <w:rPr>
          <w:rFonts w:hint="eastAsia" w:ascii="仿宋" w:hAnsi="仿宋" w:eastAsia="仿宋" w:cs="仿宋"/>
          <w:lang w:eastAsia="zh-CN"/>
        </w:rPr>
        <w:t>款约定授权给其任命的设计顾问人代表，亦可将其授权撤回，设计顾问人代表行使设计顾问人授予的职权，对设计顾问人负责。设计顾问人代表在设计顾问人授予职权范围内工作，设计顾问人应予认可，但设计顾问人保留因设计顾问人代表未反对合同工程的勘察、设计、建筑信息模型（BIM）、竣工验收等方面的错误而否定该工作，并发出纠正指令的权力。</w:t>
      </w:r>
    </w:p>
    <w:p w14:paraId="220B80EC">
      <w:pPr>
        <w:spacing w:line="400" w:lineRule="exact"/>
        <w:rPr>
          <w:rFonts w:ascii="仿宋" w:hAnsi="仿宋" w:eastAsia="仿宋"/>
          <w:lang w:eastAsia="zh-CN"/>
        </w:rPr>
      </w:pPr>
      <w:bookmarkStart w:id="252" w:name="_Toc798"/>
      <w:r>
        <w:rPr>
          <w:rFonts w:ascii="仿宋" w:hAnsi="仿宋" w:eastAsia="仿宋" w:cs="仿宋"/>
          <w:b/>
          <w:bCs/>
          <w:lang w:eastAsia="zh-CN"/>
        </w:rPr>
        <w:t>2</w:t>
      </w:r>
      <w:r>
        <w:rPr>
          <w:rFonts w:hint="eastAsia" w:ascii="仿宋" w:hAnsi="仿宋" w:eastAsia="仿宋" w:cs="仿宋"/>
          <w:b/>
          <w:bCs/>
          <w:lang w:eastAsia="zh-CN"/>
        </w:rPr>
        <w:t>6</w:t>
      </w:r>
      <w:r>
        <w:rPr>
          <w:rFonts w:ascii="仿宋" w:hAnsi="仿宋" w:eastAsia="仿宋" w:cs="仿宋"/>
          <w:b/>
          <w:bCs/>
          <w:lang w:eastAsia="zh-CN"/>
        </w:rPr>
        <w:t>.7</w:t>
      </w:r>
      <w:bookmarkEnd w:id="252"/>
      <w:r>
        <w:rPr>
          <w:rFonts w:ascii="仿宋" w:hAnsi="仿宋" w:eastAsia="仿宋" w:cs="仿宋"/>
          <w:lang w:eastAsia="zh-CN"/>
        </w:rPr>
        <w:t xml:space="preserve">  </w:t>
      </w:r>
      <w:r>
        <w:rPr>
          <w:rFonts w:ascii="仿宋" w:hAnsi="仿宋" w:eastAsia="仿宋" w:cs="仿宋"/>
          <w:u w:val="dotted"/>
          <w:lang w:eastAsia="zh-CN"/>
        </w:rPr>
        <w:t xml:space="preserve">                             </w:t>
      </w:r>
      <w:r>
        <w:rPr>
          <w:rFonts w:hint="eastAsia" w:ascii="仿宋" w:hAnsi="仿宋" w:eastAsia="仿宋" w:cs="仿宋"/>
          <w:u w:val="dotted"/>
          <w:lang w:eastAsia="zh-CN"/>
        </w:rPr>
        <w:t xml:space="preserve">                </w:t>
      </w:r>
      <w:r>
        <w:rPr>
          <w:rFonts w:ascii="仿宋" w:hAnsi="仿宋" w:eastAsia="仿宋" w:cs="仿宋"/>
          <w:u w:val="dotted"/>
          <w:lang w:eastAsia="zh-CN"/>
        </w:rPr>
        <w:t xml:space="preserve">                                   </w:t>
      </w:r>
    </w:p>
    <w:p w14:paraId="544919A4">
      <w:pPr>
        <w:widowControl w:val="0"/>
        <w:tabs>
          <w:tab w:val="left" w:pos="4970"/>
        </w:tabs>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986944" behindDoc="0" locked="0" layoutInCell="1" allowOverlap="1">
                <wp:simplePos x="0" y="0"/>
                <wp:positionH relativeFrom="column">
                  <wp:posOffset>-114300</wp:posOffset>
                </wp:positionH>
                <wp:positionV relativeFrom="paragraph">
                  <wp:posOffset>0</wp:posOffset>
                </wp:positionV>
                <wp:extent cx="833120" cy="810260"/>
                <wp:effectExtent l="0" t="0" r="0" b="0"/>
                <wp:wrapNone/>
                <wp:docPr id="92" name="文本框 775"/>
                <wp:cNvGraphicFramePr/>
                <a:graphic xmlns:a="http://schemas.openxmlformats.org/drawingml/2006/main">
                  <a:graphicData uri="http://schemas.microsoft.com/office/word/2010/wordprocessingShape">
                    <wps:wsp>
                      <wps:cNvSpPr txBox="1"/>
                      <wps:spPr>
                        <a:xfrm>
                          <a:off x="0" y="0"/>
                          <a:ext cx="833120" cy="810260"/>
                        </a:xfrm>
                        <a:prstGeom prst="rect">
                          <a:avLst/>
                        </a:prstGeom>
                        <a:noFill/>
                        <a:ln w="12700">
                          <a:noFill/>
                        </a:ln>
                      </wps:spPr>
                      <wps:txbx>
                        <w:txbxContent>
                          <w:p w14:paraId="34A4CE6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设计顾问人未尽义务或失误的责任</w:t>
                            </w:r>
                          </w:p>
                        </w:txbxContent>
                      </wps:txbx>
                      <wps:bodyPr rot="0" vert="horz" wrap="square" lIns="91440" tIns="45720" rIns="91440" bIns="45720" anchor="t" anchorCtr="0"/>
                    </wps:wsp>
                  </a:graphicData>
                </a:graphic>
              </wp:anchor>
            </w:drawing>
          </mc:Choice>
          <mc:Fallback>
            <w:pict>
              <v:shape id="文本框 775" o:spid="_x0000_s1026" o:spt="202" type="#_x0000_t202" style="position:absolute;left:0pt;margin-left:-9pt;margin-top:0pt;height:63.8pt;width:65.6pt;z-index:251986944;mso-width-relative:page;mso-height-relative:page;" filled="f" stroked="f" coordsize="21600,21600" o:gfxdata="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XXvS&#10;PtcAAAAIAQAADwAAAAAAAAABACAAAAAiAAAAZHJzL2Rvd25yZXYueG1sUEsBAhQAFAAAAAgAh07i&#10;QI4LRgXqAQAAvQMAAA4AAAAAAAAAAQAgAAAAJgEAAGRycy9lMm9Eb2MueG1sUEsFBgAAAAAGAAYA&#10;WQEAAIIFAAAAAA==&#10;">
                <v:fill on="f" focussize="0,0"/>
                <v:stroke on="f" weight="1pt"/>
                <v:imagedata o:title=""/>
                <o:lock v:ext="edit" aspectratio="f"/>
                <v:textbox>
                  <w:txbxContent>
                    <w:p w14:paraId="34A4CE6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设计顾问人未尽义务或失误的责任</w:t>
                      </w:r>
                    </w:p>
                  </w:txbxContent>
                </v:textbox>
              </v:shape>
            </w:pict>
          </mc:Fallback>
        </mc:AlternateContent>
      </w:r>
      <w:r>
        <w:rPr>
          <w:rFonts w:hint="eastAsia" w:ascii="仿宋" w:hAnsi="仿宋" w:eastAsia="仿宋" w:cs="仿宋"/>
          <w:lang w:eastAsia="zh-CN"/>
        </w:rPr>
        <w:t>设计顾问人（含其代表）未能正确完成本合同约定的全部义务，或工作出现失误，导致费用的增加和（或）延误的工期，由发包人承担；给承包人造成损失的，发包人应予赔偿。</w:t>
      </w:r>
    </w:p>
    <w:p w14:paraId="6F575854">
      <w:pPr>
        <w:spacing w:line="400" w:lineRule="exact"/>
        <w:rPr>
          <w:lang w:eastAsia="zh-CN"/>
        </w:rPr>
      </w:pPr>
      <w:r>
        <w:rPr>
          <w:rFonts w:ascii="仿宋" w:hAnsi="仿宋" w:eastAsia="仿宋" w:cs="仿宋"/>
          <w:b/>
          <w:bCs/>
          <w:u w:val="single"/>
          <w:lang w:eastAsia="zh-CN"/>
        </w:rPr>
        <w:t xml:space="preserve">                                                     </w:t>
      </w:r>
      <w:r>
        <w:rPr>
          <w:rFonts w:hint="eastAsia" w:ascii="仿宋" w:hAnsi="仿宋" w:eastAsia="仿宋" w:cs="仿宋"/>
          <w:b/>
          <w:bCs/>
          <w:u w:val="single"/>
          <w:lang w:eastAsia="zh-CN"/>
        </w:rPr>
        <w:t xml:space="preserve">                </w:t>
      </w:r>
      <w:r>
        <w:rPr>
          <w:rFonts w:ascii="仿宋" w:hAnsi="仿宋" w:eastAsia="仿宋" w:cs="仿宋"/>
          <w:b/>
          <w:bCs/>
          <w:u w:val="single"/>
          <w:lang w:eastAsia="zh-CN"/>
        </w:rPr>
        <w:t xml:space="preserve">                </w:t>
      </w:r>
    </w:p>
    <w:p w14:paraId="7FDC8B59">
      <w:pPr>
        <w:pStyle w:val="4"/>
        <w:tabs>
          <w:tab w:val="left" w:pos="420"/>
        </w:tabs>
        <w:spacing w:before="0" w:after="0" w:line="400" w:lineRule="exact"/>
        <w:rPr>
          <w:rFonts w:ascii="仿宋" w:hAnsi="仿宋" w:eastAsia="仿宋"/>
          <w:bCs w:val="0"/>
          <w:sz w:val="24"/>
          <w:szCs w:val="24"/>
          <w:lang w:eastAsia="zh-CN"/>
        </w:rPr>
      </w:pPr>
      <w:bookmarkStart w:id="253" w:name="_Toc194073133"/>
      <w:bookmarkStart w:id="254" w:name="_Toc17684"/>
      <w:bookmarkStart w:id="255" w:name="_Toc3340"/>
      <w:bookmarkStart w:id="256" w:name="_Toc25002"/>
      <w:r>
        <w:rPr>
          <w:rFonts w:ascii="仿宋" w:hAnsi="仿宋" w:eastAsia="仿宋" w:cs="仿宋"/>
          <w:bCs w:val="0"/>
          <w:sz w:val="24"/>
          <w:szCs w:val="24"/>
          <w:lang w:eastAsia="zh-CN"/>
        </w:rPr>
        <w:t>2</w:t>
      </w:r>
      <w:r>
        <w:rPr>
          <w:rFonts w:hint="eastAsia" w:ascii="仿宋" w:hAnsi="仿宋" w:eastAsia="仿宋" w:cs="仿宋"/>
          <w:bCs w:val="0"/>
          <w:sz w:val="24"/>
          <w:szCs w:val="24"/>
          <w:lang w:eastAsia="zh-CN"/>
        </w:rPr>
        <w:t>7</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监理人</w:t>
      </w:r>
      <w:bookmarkEnd w:id="253"/>
      <w:bookmarkEnd w:id="254"/>
      <w:bookmarkEnd w:id="255"/>
      <w:bookmarkEnd w:id="256"/>
    </w:p>
    <w:p w14:paraId="0B43DC10">
      <w:pPr>
        <w:spacing w:line="400" w:lineRule="exact"/>
        <w:rPr>
          <w:rFonts w:ascii="仿宋" w:hAnsi="仿宋" w:eastAsia="仿宋"/>
          <w:b/>
          <w:bCs/>
          <w:lang w:eastAsia="zh-CN"/>
        </w:rPr>
      </w:pPr>
      <w:bookmarkStart w:id="257" w:name="_Toc26025"/>
      <w:r>
        <w:rPr>
          <w:rFonts w:ascii="仿宋" w:hAnsi="仿宋" w:eastAsia="仿宋" w:cs="仿宋"/>
          <w:b/>
          <w:bCs/>
          <w:lang w:eastAsia="zh-CN"/>
        </w:rPr>
        <w:t>2</w:t>
      </w:r>
      <w:r>
        <w:rPr>
          <w:rFonts w:hint="eastAsia" w:ascii="仿宋" w:hAnsi="仿宋" w:eastAsia="仿宋" w:cs="仿宋"/>
          <w:b/>
          <w:bCs/>
          <w:lang w:eastAsia="zh-CN"/>
        </w:rPr>
        <w:t>7</w:t>
      </w:r>
      <w:r>
        <w:rPr>
          <w:rFonts w:ascii="仿宋" w:hAnsi="仿宋" w:eastAsia="仿宋" w:cs="仿宋"/>
          <w:b/>
          <w:bCs/>
          <w:lang w:eastAsia="zh-CN"/>
        </w:rPr>
        <w:t>.1</w:t>
      </w:r>
      <w:bookmarkEnd w:id="257"/>
    </w:p>
    <w:p w14:paraId="6EE1EE04">
      <w:pPr>
        <w:pStyle w:val="33"/>
        <w:widowControl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724800" behindDoc="0" locked="0" layoutInCell="1" allowOverlap="1">
                <wp:simplePos x="0" y="0"/>
                <wp:positionH relativeFrom="column">
                  <wp:posOffset>-114300</wp:posOffset>
                </wp:positionH>
                <wp:positionV relativeFrom="paragraph">
                  <wp:posOffset>53340</wp:posOffset>
                </wp:positionV>
                <wp:extent cx="823595" cy="454660"/>
                <wp:effectExtent l="0" t="0" r="0" b="0"/>
                <wp:wrapNone/>
                <wp:docPr id="93" name="文本框 762"/>
                <wp:cNvGraphicFramePr/>
                <a:graphic xmlns:a="http://schemas.openxmlformats.org/drawingml/2006/main">
                  <a:graphicData uri="http://schemas.microsoft.com/office/word/2010/wordprocessingShape">
                    <wps:wsp>
                      <wps:cNvSpPr txBox="1"/>
                      <wps:spPr>
                        <a:xfrm>
                          <a:off x="0" y="0"/>
                          <a:ext cx="823595" cy="454660"/>
                        </a:xfrm>
                        <a:prstGeom prst="rect">
                          <a:avLst/>
                        </a:prstGeom>
                        <a:noFill/>
                        <a:ln w="12700">
                          <a:noFill/>
                        </a:ln>
                      </wps:spPr>
                      <wps:txbx>
                        <w:txbxContent>
                          <w:p w14:paraId="3DC23016">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发包人对监理人授权</w:t>
                            </w:r>
                          </w:p>
                        </w:txbxContent>
                      </wps:txbx>
                      <wps:bodyPr rot="0" vert="horz" wrap="square" lIns="91440" tIns="45720" rIns="91440" bIns="45720" anchor="t" anchorCtr="0"/>
                    </wps:wsp>
                  </a:graphicData>
                </a:graphic>
              </wp:anchor>
            </w:drawing>
          </mc:Choice>
          <mc:Fallback>
            <w:pict>
              <v:shape id="文本框 762" o:spid="_x0000_s1026" o:spt="202" type="#_x0000_t202" style="position:absolute;left:0pt;margin-left:-9pt;margin-top:4.2pt;height:35.8pt;width:64.85pt;z-index:251724800;mso-width-relative:page;mso-height-relative:page;" filled="f" stroked="f" coordsize="21600,21600" o:gfxdata="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6jMy&#10;udYAAAAIAQAADwAAAAAAAAABACAAAAAiAAAAZHJzL2Rvd25yZXYueG1sUEsBAhQAFAAAAAgAh07i&#10;QKCJh8jrAQAAvQMAAA4AAAAAAAAAAQAgAAAAJQEAAGRycy9lMm9Eb2MueG1sUEsFBgAAAAAGAAYA&#10;WQEAAIIFAAAAAA==&#10;">
                <v:fill on="f" focussize="0,0"/>
                <v:stroke on="f" weight="1pt"/>
                <v:imagedata o:title=""/>
                <o:lock v:ext="edit" aspectratio="f"/>
                <v:textbox>
                  <w:txbxContent>
                    <w:p w14:paraId="3DC23016">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发包人对监理人授权</w:t>
                      </w:r>
                    </w:p>
                  </w:txbxContent>
                </v:textbox>
              </v:shape>
            </w:pict>
          </mc:Fallback>
        </mc:AlternateContent>
      </w:r>
      <w:r>
        <w:rPr>
          <w:rFonts w:hint="eastAsia" w:ascii="仿宋" w:hAnsi="仿宋" w:eastAsia="仿宋" w:cs="仿宋"/>
          <w:lang w:eastAsia="zh-CN"/>
        </w:rPr>
        <w:t>发包人应在专用条款中写明负责合同工程监理的监理人名称和监理人代表，并在开工前将监理人及监理人代表以书面形式通知承包人，授予其代表发包人履行合同约定职责所需的权力。</w:t>
      </w:r>
    </w:p>
    <w:p w14:paraId="6955333C">
      <w:pPr>
        <w:spacing w:line="400" w:lineRule="exact"/>
        <w:rPr>
          <w:rFonts w:ascii="仿宋" w:hAnsi="仿宋" w:eastAsia="仿宋"/>
          <w:b/>
          <w:bCs/>
          <w:lang w:eastAsia="zh-CN"/>
        </w:rPr>
      </w:pPr>
      <w:bookmarkStart w:id="258" w:name="_Toc23653"/>
      <w:r>
        <w:rPr>
          <w:rFonts w:ascii="仿宋" w:hAnsi="仿宋" w:eastAsia="仿宋" w:cs="仿宋"/>
          <w:b/>
          <w:bCs/>
          <w:lang w:eastAsia="zh-CN"/>
        </w:rPr>
        <w:t>2</w:t>
      </w:r>
      <w:r>
        <w:rPr>
          <w:rFonts w:hint="eastAsia" w:ascii="仿宋" w:hAnsi="仿宋" w:eastAsia="仿宋" w:cs="仿宋"/>
          <w:b/>
          <w:bCs/>
          <w:lang w:eastAsia="zh-CN"/>
        </w:rPr>
        <w:t>7</w:t>
      </w:r>
      <w:r>
        <w:rPr>
          <w:rFonts w:ascii="仿宋" w:hAnsi="仿宋" w:eastAsia="仿宋" w:cs="仿宋"/>
          <w:b/>
          <w:bCs/>
          <w:lang w:eastAsia="zh-CN"/>
        </w:rPr>
        <w:t>.2</w:t>
      </w:r>
      <w:bookmarkEnd w:id="258"/>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4BEB6355">
      <w:pPr>
        <w:widowControl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725824" behindDoc="0" locked="0" layoutInCell="1" allowOverlap="1">
                <wp:simplePos x="0" y="0"/>
                <wp:positionH relativeFrom="column">
                  <wp:posOffset>-114300</wp:posOffset>
                </wp:positionH>
                <wp:positionV relativeFrom="paragraph">
                  <wp:posOffset>38100</wp:posOffset>
                </wp:positionV>
                <wp:extent cx="813435" cy="504825"/>
                <wp:effectExtent l="0" t="0" r="0" b="0"/>
                <wp:wrapNone/>
                <wp:docPr id="94" name="文本框 763"/>
                <wp:cNvGraphicFramePr/>
                <a:graphic xmlns:a="http://schemas.openxmlformats.org/drawingml/2006/main">
                  <a:graphicData uri="http://schemas.microsoft.com/office/word/2010/wordprocessingShape">
                    <wps:wsp>
                      <wps:cNvSpPr txBox="1"/>
                      <wps:spPr>
                        <a:xfrm>
                          <a:off x="0" y="0"/>
                          <a:ext cx="813435" cy="504825"/>
                        </a:xfrm>
                        <a:prstGeom prst="rect">
                          <a:avLst/>
                        </a:prstGeom>
                        <a:noFill/>
                        <a:ln w="12700">
                          <a:noFill/>
                        </a:ln>
                      </wps:spPr>
                      <wps:txbx>
                        <w:txbxContent>
                          <w:p w14:paraId="214FDDE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w:t>
                            </w:r>
                          </w:p>
                        </w:txbxContent>
                      </wps:txbx>
                      <wps:bodyPr rot="0" vert="horz" wrap="square" lIns="91440" tIns="45720" rIns="91440" bIns="45720" anchor="t" anchorCtr="0"/>
                    </wps:wsp>
                  </a:graphicData>
                </a:graphic>
              </wp:anchor>
            </w:drawing>
          </mc:Choice>
          <mc:Fallback>
            <w:pict>
              <v:shape id="文本框 763" o:spid="_x0000_s1026" o:spt="202" type="#_x0000_t202" style="position:absolute;left:0pt;margin-left:-9pt;margin-top:3pt;height:39.75pt;width:64.05pt;z-index:251725824;mso-width-relative:page;mso-height-relative:page;" filled="f" stroked="f" coordsize="21600,21600" o:gfxdata="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xF&#10;6kHXAAAACAEAAA8AAAAAAAAAAQAgAAAAIgAAAGRycy9kb3ducmV2LnhtbFBLAQIUABQAAAAIAIdO&#10;4kCpRyyW6wEAAL0DAAAOAAAAAAAAAAEAIAAAACYBAABkcnMvZTJvRG9jLnhtbFBLBQYAAAAABgAG&#10;AFkBAACDBQAAAAA=&#10;">
                <v:fill on="f" focussize="0,0"/>
                <v:stroke on="f" weight="1pt"/>
                <v:imagedata o:title=""/>
                <o:lock v:ext="edit" aspectratio="f"/>
                <v:textbox>
                  <w:txbxContent>
                    <w:p w14:paraId="214FDDE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w:t>
                      </w:r>
                    </w:p>
                  </w:txbxContent>
                </v:textbox>
              </v:shape>
            </w:pict>
          </mc:Fallback>
        </mc:AlternateContent>
      </w:r>
      <w:r>
        <w:rPr>
          <w:rFonts w:hint="eastAsia" w:ascii="仿宋" w:hAnsi="仿宋" w:eastAsia="仿宋" w:cs="仿宋"/>
          <w:lang w:eastAsia="zh-CN"/>
        </w:rPr>
        <w:t>监理人行使合同明文约定和必然隐含的职权，代表发包人负责监督、检查合同工程的施工进度、质量、投资（造价）和安全，试验和检验承包人使用的与合同工程有关的工程材料、工程设备、施工设备和施工工艺，及时向承包人提供工作所需的批准、确认和通知等指令。监理人无权免除或变更合同约定的合同任何一方当事人在合同履行期间的权利和义务。</w:t>
      </w:r>
    </w:p>
    <w:p w14:paraId="1B9E0C68">
      <w:pPr>
        <w:spacing w:line="400" w:lineRule="exact"/>
        <w:rPr>
          <w:rFonts w:ascii="仿宋" w:hAnsi="仿宋" w:eastAsia="仿宋"/>
          <w:b/>
          <w:bCs/>
          <w:lang w:eastAsia="zh-CN"/>
        </w:rPr>
      </w:pPr>
      <w:bookmarkStart w:id="259" w:name="_Toc2855"/>
      <w:r>
        <w:rPr>
          <w:rFonts w:ascii="仿宋" w:hAnsi="仿宋" w:eastAsia="仿宋" w:cs="仿宋"/>
          <w:b/>
          <w:bCs/>
          <w:lang w:eastAsia="zh-CN"/>
        </w:rPr>
        <w:t>2</w:t>
      </w:r>
      <w:r>
        <w:rPr>
          <w:rFonts w:hint="eastAsia" w:ascii="仿宋" w:hAnsi="仿宋" w:eastAsia="仿宋" w:cs="仿宋"/>
          <w:b/>
          <w:bCs/>
          <w:lang w:eastAsia="zh-CN"/>
        </w:rPr>
        <w:t>7</w:t>
      </w:r>
      <w:r>
        <w:rPr>
          <w:rFonts w:ascii="仿宋" w:hAnsi="仿宋" w:eastAsia="仿宋" w:cs="仿宋"/>
          <w:b/>
          <w:bCs/>
          <w:lang w:eastAsia="zh-CN"/>
        </w:rPr>
        <w:t>.3</w:t>
      </w:r>
      <w:bookmarkEnd w:id="259"/>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473645A7">
      <w:pPr>
        <w:widowControl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726848" behindDoc="0" locked="0" layoutInCell="1" allowOverlap="1">
                <wp:simplePos x="0" y="0"/>
                <wp:positionH relativeFrom="column">
                  <wp:posOffset>-114300</wp:posOffset>
                </wp:positionH>
                <wp:positionV relativeFrom="paragraph">
                  <wp:posOffset>68580</wp:posOffset>
                </wp:positionV>
                <wp:extent cx="775970" cy="448310"/>
                <wp:effectExtent l="0" t="0" r="0" b="0"/>
                <wp:wrapNone/>
                <wp:docPr id="95" name="文本框 764"/>
                <wp:cNvGraphicFramePr/>
                <a:graphic xmlns:a="http://schemas.openxmlformats.org/drawingml/2006/main">
                  <a:graphicData uri="http://schemas.microsoft.com/office/word/2010/wordprocessingShape">
                    <wps:wsp>
                      <wps:cNvSpPr txBox="1"/>
                      <wps:spPr>
                        <a:xfrm>
                          <a:off x="0" y="0"/>
                          <a:ext cx="775970" cy="448310"/>
                        </a:xfrm>
                        <a:prstGeom prst="rect">
                          <a:avLst/>
                        </a:prstGeom>
                        <a:noFill/>
                        <a:ln w="12700">
                          <a:noFill/>
                        </a:ln>
                      </wps:spPr>
                      <wps:txbx>
                        <w:txbxContent>
                          <w:p w14:paraId="7F54759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监理人职权限制</w:t>
                            </w:r>
                          </w:p>
                        </w:txbxContent>
                      </wps:txbx>
                      <wps:bodyPr rot="0" vert="horz" wrap="square" lIns="91440" tIns="45720" rIns="91440" bIns="45720" anchor="t" anchorCtr="0"/>
                    </wps:wsp>
                  </a:graphicData>
                </a:graphic>
              </wp:anchor>
            </w:drawing>
          </mc:Choice>
          <mc:Fallback>
            <w:pict>
              <v:shape id="文本框 764" o:spid="_x0000_s1026" o:spt="202" type="#_x0000_t202" style="position:absolute;left:0pt;margin-left:-9pt;margin-top:5.4pt;height:35.3pt;width:61.1pt;z-index:251726848;mso-width-relative:page;mso-height-relative:page;" filled="f" stroked="f" coordsize="21600,21600" o:gfxdata="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1VyA/W&#10;AAAACQEAAA8AAAAAAAAAAQAgAAAAIgAAAGRycy9kb3ducmV2LnhtbFBLAQIUABQAAAAIAIdO4kDE&#10;Nyxv6QEAAL0DAAAOAAAAAAAAAAEAIAAAACUBAABkcnMvZTJvRG9jLnhtbFBLBQYAAAAABgAGAFkB&#10;AACABQAAAAA=&#10;">
                <v:fill on="f" focussize="0,0"/>
                <v:stroke on="f" weight="1pt"/>
                <v:imagedata o:title=""/>
                <o:lock v:ext="edit" aspectratio="f"/>
                <v:textbox>
                  <w:txbxContent>
                    <w:p w14:paraId="7F54759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监理人职权限制</w:t>
                      </w:r>
                    </w:p>
                  </w:txbxContent>
                </v:textbox>
              </v:shape>
            </w:pict>
          </mc:Fallback>
        </mc:AlternateContent>
      </w:r>
      <w:r>
        <w:rPr>
          <w:rFonts w:hint="eastAsia" w:ascii="仿宋" w:hAnsi="仿宋" w:eastAsia="仿宋" w:cs="仿宋"/>
          <w:lang w:eastAsia="zh-CN"/>
        </w:rPr>
        <w:t>除属于第91条约定的争议外，监理人在职权范围内的工作，发包人应予认可，但下列事项应事先取得发包人的专项批准：</w:t>
      </w:r>
    </w:p>
    <w:p w14:paraId="4C87C80F">
      <w:pPr>
        <w:widowControl w:val="0"/>
        <w:numPr>
          <w:ilvl w:val="0"/>
          <w:numId w:val="14"/>
        </w:numPr>
        <w:spacing w:line="400" w:lineRule="exact"/>
        <w:ind w:left="1850" w:leftChars="771" w:firstLine="0"/>
        <w:jc w:val="both"/>
        <w:rPr>
          <w:rFonts w:ascii="仿宋" w:hAnsi="仿宋" w:eastAsia="仿宋"/>
          <w:lang w:eastAsia="zh-CN"/>
        </w:rPr>
      </w:pPr>
      <w:r>
        <w:rPr>
          <w:rFonts w:hint="eastAsia" w:ascii="仿宋" w:hAnsi="仿宋" w:eastAsia="仿宋" w:cs="仿宋"/>
          <w:lang w:eastAsia="zh-CN"/>
        </w:rPr>
        <w:t>根据第10</w:t>
      </w:r>
      <w:r>
        <w:rPr>
          <w:rFonts w:ascii="仿宋" w:hAnsi="仿宋" w:eastAsia="仿宋" w:cs="仿宋"/>
          <w:lang w:eastAsia="zh-CN"/>
        </w:rPr>
        <w:t>.2</w:t>
      </w:r>
      <w:r>
        <w:rPr>
          <w:rFonts w:hint="eastAsia" w:ascii="仿宋" w:hAnsi="仿宋" w:eastAsia="仿宋" w:cs="仿宋"/>
          <w:lang w:eastAsia="zh-CN"/>
        </w:rPr>
        <w:t>款约定同意承包人分包工程；</w:t>
      </w:r>
    </w:p>
    <w:p w14:paraId="61F02F43">
      <w:pPr>
        <w:widowControl w:val="0"/>
        <w:numPr>
          <w:ilvl w:val="0"/>
          <w:numId w:val="14"/>
        </w:numPr>
        <w:spacing w:line="400" w:lineRule="exact"/>
        <w:ind w:left="1850" w:leftChars="771" w:firstLine="0"/>
        <w:jc w:val="both"/>
        <w:rPr>
          <w:rFonts w:ascii="仿宋" w:hAnsi="仿宋" w:eastAsia="仿宋" w:cs="仿宋"/>
          <w:lang w:eastAsia="zh-CN"/>
        </w:rPr>
      </w:pPr>
      <w:r>
        <w:rPr>
          <w:rFonts w:hint="eastAsia" w:ascii="仿宋" w:hAnsi="仿宋" w:eastAsia="仿宋" w:cs="仿宋"/>
          <w:lang w:eastAsia="zh-CN"/>
        </w:rPr>
        <w:t>根据第21</w:t>
      </w:r>
      <w:r>
        <w:rPr>
          <w:rFonts w:ascii="仿宋" w:hAnsi="仿宋" w:eastAsia="仿宋" w:cs="仿宋"/>
          <w:lang w:eastAsia="zh-CN"/>
        </w:rPr>
        <w:t>.1</w:t>
      </w:r>
      <w:r>
        <w:rPr>
          <w:rFonts w:hint="eastAsia" w:ascii="仿宋" w:hAnsi="仿宋" w:eastAsia="仿宋" w:cs="仿宋"/>
          <w:lang w:eastAsia="zh-CN"/>
        </w:rPr>
        <w:t>款约定批准承包人将工程材料和工程设备、施工设备移出施工场地；</w:t>
      </w:r>
    </w:p>
    <w:p w14:paraId="5A6436B5">
      <w:pPr>
        <w:widowControl w:val="0"/>
        <w:numPr>
          <w:ilvl w:val="0"/>
          <w:numId w:val="14"/>
        </w:numPr>
        <w:spacing w:line="400" w:lineRule="exact"/>
        <w:ind w:left="1850" w:leftChars="771" w:firstLine="0"/>
        <w:jc w:val="both"/>
        <w:rPr>
          <w:rFonts w:ascii="仿宋" w:hAnsi="仿宋" w:eastAsia="仿宋" w:cs="仿宋"/>
          <w:lang w:eastAsia="zh-CN"/>
        </w:rPr>
      </w:pPr>
      <w:r>
        <w:rPr>
          <w:rFonts w:hint="eastAsia" w:ascii="仿宋" w:hAnsi="仿宋" w:eastAsia="仿宋" w:cs="仿宋"/>
          <w:lang w:eastAsia="zh-CN"/>
        </w:rPr>
        <w:t>根据第40条约定批准承包人的设备及工器具购置方案、施工组织设计和工程进度计划；</w:t>
      </w:r>
    </w:p>
    <w:p w14:paraId="39DEC447">
      <w:pPr>
        <w:widowControl w:val="0"/>
        <w:numPr>
          <w:ilvl w:val="0"/>
          <w:numId w:val="14"/>
        </w:numPr>
        <w:spacing w:line="400" w:lineRule="exact"/>
        <w:ind w:left="1850" w:leftChars="771" w:firstLine="0"/>
        <w:jc w:val="both"/>
        <w:rPr>
          <w:rFonts w:ascii="仿宋" w:hAnsi="仿宋" w:eastAsia="仿宋" w:cs="仿宋"/>
          <w:lang w:eastAsia="zh-CN"/>
        </w:rPr>
      </w:pPr>
      <w:r>
        <w:rPr>
          <w:rFonts w:hint="eastAsia" w:ascii="仿宋" w:hAnsi="仿宋" w:eastAsia="仿宋" w:cs="仿宋"/>
          <w:lang w:eastAsia="zh-CN"/>
        </w:rPr>
        <w:t>根据第41</w:t>
      </w:r>
      <w:r>
        <w:rPr>
          <w:rFonts w:ascii="仿宋" w:hAnsi="仿宋" w:eastAsia="仿宋" w:cs="仿宋"/>
          <w:lang w:eastAsia="zh-CN"/>
        </w:rPr>
        <w:t>.2</w:t>
      </w:r>
      <w:r>
        <w:rPr>
          <w:rFonts w:hint="eastAsia" w:ascii="仿宋" w:hAnsi="仿宋" w:eastAsia="仿宋" w:cs="仿宋"/>
          <w:lang w:eastAsia="zh-CN"/>
        </w:rPr>
        <w:t>款约定发出的工程开工令；</w:t>
      </w:r>
    </w:p>
    <w:p w14:paraId="0F915162">
      <w:pPr>
        <w:widowControl w:val="0"/>
        <w:numPr>
          <w:ilvl w:val="0"/>
          <w:numId w:val="14"/>
        </w:numPr>
        <w:spacing w:line="400" w:lineRule="exact"/>
        <w:ind w:left="1850" w:leftChars="771" w:firstLine="0"/>
        <w:jc w:val="both"/>
        <w:rPr>
          <w:rFonts w:ascii="仿宋" w:hAnsi="仿宋" w:eastAsia="仿宋" w:cs="仿宋"/>
          <w:lang w:eastAsia="zh-CN"/>
        </w:rPr>
      </w:pPr>
      <w:r>
        <w:rPr>
          <w:rFonts w:hint="eastAsia" w:ascii="仿宋" w:hAnsi="仿宋" w:eastAsia="仿宋" w:cs="仿宋"/>
          <w:lang w:eastAsia="zh-CN"/>
        </w:rPr>
        <w:t>根据第44</w:t>
      </w:r>
      <w:r>
        <w:rPr>
          <w:rFonts w:ascii="仿宋" w:hAnsi="仿宋" w:eastAsia="仿宋" w:cs="仿宋"/>
          <w:lang w:eastAsia="zh-CN"/>
        </w:rPr>
        <w:t>.2</w:t>
      </w:r>
      <w:r>
        <w:rPr>
          <w:rFonts w:hint="eastAsia" w:ascii="仿宋" w:hAnsi="仿宋" w:eastAsia="仿宋" w:cs="仿宋"/>
          <w:lang w:eastAsia="zh-CN"/>
        </w:rPr>
        <w:t>款约定发出加快进度的变更指令；</w:t>
      </w:r>
    </w:p>
    <w:p w14:paraId="728AF1BC">
      <w:pPr>
        <w:widowControl w:val="0"/>
        <w:numPr>
          <w:ilvl w:val="0"/>
          <w:numId w:val="14"/>
        </w:numPr>
        <w:spacing w:line="400" w:lineRule="exact"/>
        <w:ind w:left="1850" w:leftChars="771" w:firstLine="0"/>
        <w:jc w:val="both"/>
        <w:rPr>
          <w:rFonts w:ascii="仿宋" w:hAnsi="仿宋" w:eastAsia="仿宋" w:cs="仿宋"/>
          <w:lang w:eastAsia="zh-CN"/>
        </w:rPr>
      </w:pPr>
      <w:r>
        <w:rPr>
          <w:rFonts w:hint="eastAsia" w:ascii="仿宋" w:hAnsi="仿宋" w:eastAsia="仿宋" w:cs="仿宋"/>
          <w:lang w:eastAsia="zh-CN"/>
        </w:rPr>
        <w:t>根据第56.7款约定使用替换工程材料；</w:t>
      </w:r>
    </w:p>
    <w:p w14:paraId="3308194C">
      <w:pPr>
        <w:widowControl w:val="0"/>
        <w:numPr>
          <w:ilvl w:val="0"/>
          <w:numId w:val="14"/>
        </w:numPr>
        <w:spacing w:line="400" w:lineRule="exact"/>
        <w:ind w:left="1850" w:leftChars="771" w:firstLine="0"/>
        <w:jc w:val="both"/>
        <w:rPr>
          <w:rFonts w:ascii="仿宋" w:hAnsi="仿宋" w:eastAsia="仿宋" w:cs="仿宋"/>
          <w:lang w:eastAsia="zh-CN"/>
        </w:rPr>
      </w:pPr>
      <w:r>
        <w:rPr>
          <w:rFonts w:hint="eastAsia" w:ascii="仿宋" w:hAnsi="仿宋" w:eastAsia="仿宋" w:cs="仿宋"/>
          <w:lang w:eastAsia="zh-CN"/>
        </w:rPr>
        <w:t>根据第73条约定发出使用暂列金额的工作指令；</w:t>
      </w:r>
    </w:p>
    <w:p w14:paraId="3982E899">
      <w:pPr>
        <w:widowControl w:val="0"/>
        <w:numPr>
          <w:ilvl w:val="0"/>
          <w:numId w:val="14"/>
        </w:numPr>
        <w:spacing w:line="400" w:lineRule="exact"/>
        <w:ind w:left="1850" w:leftChars="771" w:firstLine="0"/>
        <w:jc w:val="both"/>
        <w:rPr>
          <w:rFonts w:ascii="仿宋" w:hAnsi="仿宋" w:eastAsia="仿宋" w:cs="仿宋"/>
          <w:lang w:eastAsia="zh-CN"/>
        </w:rPr>
      </w:pPr>
      <w:r>
        <w:rPr>
          <w:rFonts w:hint="eastAsia" w:ascii="仿宋" w:hAnsi="仿宋" w:eastAsia="仿宋" w:cs="仿宋"/>
          <w:lang w:eastAsia="zh-CN"/>
        </w:rPr>
        <w:t>根据第74条约定发出使用计日工的工作指令；</w:t>
      </w:r>
    </w:p>
    <w:p w14:paraId="0011EC1C">
      <w:pPr>
        <w:widowControl w:val="0"/>
        <w:numPr>
          <w:ilvl w:val="0"/>
          <w:numId w:val="14"/>
        </w:numPr>
        <w:spacing w:line="400" w:lineRule="exact"/>
        <w:ind w:left="1850" w:leftChars="771" w:firstLine="0"/>
        <w:jc w:val="both"/>
        <w:rPr>
          <w:rFonts w:ascii="仿宋" w:hAnsi="仿宋" w:eastAsia="仿宋" w:cs="仿宋"/>
          <w:lang w:eastAsia="zh-CN"/>
        </w:rPr>
      </w:pPr>
      <w:r>
        <w:rPr>
          <w:rFonts w:hint="eastAsia" w:ascii="仿宋" w:hAnsi="仿宋" w:eastAsia="仿宋" w:cs="仿宋"/>
          <w:lang w:eastAsia="zh-CN"/>
        </w:rPr>
        <w:t>根据第63条约定指令或批准的工程变更；</w:t>
      </w:r>
    </w:p>
    <w:p w14:paraId="7005207B">
      <w:pPr>
        <w:widowControl w:val="0"/>
        <w:numPr>
          <w:ilvl w:val="0"/>
          <w:numId w:val="14"/>
        </w:numPr>
        <w:spacing w:line="400" w:lineRule="exact"/>
        <w:ind w:left="1850" w:leftChars="771" w:firstLine="0"/>
        <w:jc w:val="both"/>
        <w:rPr>
          <w:rFonts w:ascii="仿宋" w:hAnsi="仿宋" w:eastAsia="仿宋" w:cs="仿宋"/>
          <w:lang w:eastAsia="zh-CN"/>
        </w:rPr>
      </w:pPr>
      <w:r>
        <w:rPr>
          <w:rFonts w:hint="eastAsia" w:ascii="仿宋" w:hAnsi="仿宋" w:eastAsia="仿宋" w:cs="仿宋"/>
          <w:lang w:eastAsia="zh-CN"/>
        </w:rPr>
        <w:t>根据第81条约定指令或确认的现场签证；</w:t>
      </w:r>
    </w:p>
    <w:p w14:paraId="01CCEF93">
      <w:pPr>
        <w:widowControl w:val="0"/>
        <w:numPr>
          <w:ilvl w:val="0"/>
          <w:numId w:val="14"/>
        </w:numPr>
        <w:spacing w:line="400" w:lineRule="exact"/>
        <w:ind w:left="1850" w:leftChars="771" w:firstLine="0"/>
        <w:jc w:val="both"/>
        <w:rPr>
          <w:rFonts w:ascii="仿宋" w:hAnsi="仿宋" w:eastAsia="仿宋"/>
          <w:lang w:eastAsia="zh-CN"/>
        </w:rPr>
      </w:pPr>
      <w:r>
        <w:rPr>
          <w:rFonts w:hint="eastAsia" w:ascii="仿宋" w:hAnsi="仿宋" w:eastAsia="仿宋" w:cs="仿宋"/>
          <w:lang w:eastAsia="zh-CN"/>
        </w:rPr>
        <w:t>专用条款约定需要发包人批准的其他事项。</w:t>
      </w:r>
    </w:p>
    <w:p w14:paraId="27E41414">
      <w:pPr>
        <w:spacing w:line="400" w:lineRule="exact"/>
        <w:rPr>
          <w:rFonts w:ascii="仿宋" w:hAnsi="仿宋" w:eastAsia="仿宋"/>
          <w:b/>
          <w:bCs/>
          <w:lang w:eastAsia="zh-CN"/>
        </w:rPr>
      </w:pPr>
      <w:bookmarkStart w:id="260" w:name="_Toc19055"/>
      <w:r>
        <mc:AlternateContent>
          <mc:Choice Requires="wps">
            <w:drawing>
              <wp:anchor distT="0" distB="0" distL="114300" distR="114300" simplePos="0" relativeHeight="251987968" behindDoc="0" locked="0" layoutInCell="1" allowOverlap="1">
                <wp:simplePos x="0" y="0"/>
                <wp:positionH relativeFrom="column">
                  <wp:posOffset>-114300</wp:posOffset>
                </wp:positionH>
                <wp:positionV relativeFrom="paragraph">
                  <wp:posOffset>278130</wp:posOffset>
                </wp:positionV>
                <wp:extent cx="914400" cy="430530"/>
                <wp:effectExtent l="0" t="0" r="0" b="0"/>
                <wp:wrapNone/>
                <wp:docPr id="96" name="文本框 765"/>
                <wp:cNvGraphicFramePr/>
                <a:graphic xmlns:a="http://schemas.openxmlformats.org/drawingml/2006/main">
                  <a:graphicData uri="http://schemas.microsoft.com/office/word/2010/wordprocessingShape">
                    <wps:wsp>
                      <wps:cNvSpPr txBox="1"/>
                      <wps:spPr>
                        <a:xfrm>
                          <a:off x="0" y="0"/>
                          <a:ext cx="914400" cy="430530"/>
                        </a:xfrm>
                        <a:prstGeom prst="rect">
                          <a:avLst/>
                        </a:prstGeom>
                        <a:noFill/>
                        <a:ln w="12700">
                          <a:noFill/>
                        </a:ln>
                      </wps:spPr>
                      <wps:txbx>
                        <w:txbxContent>
                          <w:p w14:paraId="2F5B22CD">
                            <w:pPr>
                              <w:spacing w:line="240" w:lineRule="exact"/>
                              <w:rPr>
                                <w:rFonts w:ascii="宋体"/>
                                <w:sz w:val="18"/>
                                <w:szCs w:val="18"/>
                              </w:rPr>
                            </w:pPr>
                            <w:r>
                              <w:rPr>
                                <w:rFonts w:hint="eastAsia" w:ascii="楷体_GB2312" w:hAnsi="宋体" w:eastAsia="楷体_GB2312" w:cs="楷体_GB2312"/>
                                <w:b/>
                                <w:bCs/>
                                <w:color w:val="000000"/>
                                <w:sz w:val="18"/>
                                <w:szCs w:val="18"/>
                              </w:rPr>
                              <w:t>监理人指令</w:t>
                            </w:r>
                          </w:p>
                        </w:txbxContent>
                      </wps:txbx>
                      <wps:bodyPr rot="0" vert="horz" wrap="square" lIns="91440" tIns="45720" rIns="91440" bIns="45720" anchor="t" anchorCtr="0"/>
                    </wps:wsp>
                  </a:graphicData>
                </a:graphic>
              </wp:anchor>
            </w:drawing>
          </mc:Choice>
          <mc:Fallback>
            <w:pict>
              <v:shape id="文本框 765" o:spid="_x0000_s1026" o:spt="202" type="#_x0000_t202" style="position:absolute;left:0pt;margin-left:-9pt;margin-top:21.9pt;height:33.9pt;width:72pt;z-index:251987968;mso-width-relative:page;mso-height-relative:page;" filled="f" stroked="f" coordsize="21600,21600" o:gfxdata="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vhQtHX&#10;AAAACgEAAA8AAAAAAAAAAQAgAAAAIgAAAGRycy9kb3ducmV2LnhtbFBLAQIUABQAAAAIAIdO4kC7&#10;QQ606AEAAL0DAAAOAAAAAAAAAAEAIAAAACYBAABkcnMvZTJvRG9jLnhtbFBLBQYAAAAABgAGAFkB&#10;AACABQAAAAA=&#10;">
                <v:fill on="f" focussize="0,0"/>
                <v:stroke on="f" weight="1pt"/>
                <v:imagedata o:title=""/>
                <o:lock v:ext="edit" aspectratio="f"/>
                <v:textbox>
                  <w:txbxContent>
                    <w:p w14:paraId="2F5B22CD">
                      <w:pPr>
                        <w:spacing w:line="240" w:lineRule="exact"/>
                        <w:rPr>
                          <w:rFonts w:ascii="宋体"/>
                          <w:sz w:val="18"/>
                          <w:szCs w:val="18"/>
                        </w:rPr>
                      </w:pPr>
                      <w:r>
                        <w:rPr>
                          <w:rFonts w:hint="eastAsia" w:ascii="楷体_GB2312" w:hAnsi="宋体" w:eastAsia="楷体_GB2312" w:cs="楷体_GB2312"/>
                          <w:b/>
                          <w:bCs/>
                          <w:color w:val="000000"/>
                          <w:sz w:val="18"/>
                          <w:szCs w:val="18"/>
                        </w:rPr>
                        <w:t>监理人指令</w:t>
                      </w:r>
                    </w:p>
                  </w:txbxContent>
                </v:textbox>
              </v:shape>
            </w:pict>
          </mc:Fallback>
        </mc:AlternateContent>
      </w:r>
      <w:r>
        <w:rPr>
          <w:rFonts w:ascii="仿宋" w:hAnsi="仿宋" w:eastAsia="仿宋" w:cs="仿宋"/>
          <w:b/>
          <w:bCs/>
          <w:lang w:eastAsia="zh-CN"/>
        </w:rPr>
        <w:t>2</w:t>
      </w:r>
      <w:r>
        <w:rPr>
          <w:rFonts w:hint="eastAsia" w:ascii="仿宋" w:hAnsi="仿宋" w:eastAsia="仿宋" w:cs="仿宋"/>
          <w:b/>
          <w:bCs/>
          <w:lang w:eastAsia="zh-CN"/>
        </w:rPr>
        <w:t>7</w:t>
      </w:r>
      <w:r>
        <w:rPr>
          <w:rFonts w:ascii="仿宋" w:hAnsi="仿宋" w:eastAsia="仿宋" w:cs="仿宋"/>
          <w:b/>
          <w:bCs/>
          <w:lang w:eastAsia="zh-CN"/>
        </w:rPr>
        <w:t>.4</w:t>
      </w:r>
      <w:bookmarkEnd w:id="260"/>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56BB53FA">
      <w:pPr>
        <w:widowControl w:val="0"/>
        <w:spacing w:line="400" w:lineRule="exact"/>
        <w:ind w:left="1850" w:leftChars="771"/>
        <w:jc w:val="both"/>
        <w:rPr>
          <w:rFonts w:ascii="仿宋" w:hAnsi="仿宋" w:eastAsia="仿宋"/>
          <w:lang w:eastAsia="zh-CN"/>
        </w:rPr>
      </w:pPr>
      <w:r>
        <w:rPr>
          <w:rFonts w:hint="eastAsia" w:ascii="仿宋" w:hAnsi="仿宋" w:eastAsia="仿宋" w:cs="仿宋"/>
          <w:lang w:eastAsia="zh-CN"/>
        </w:rPr>
        <w:t>监理人应按照合同约定时间向承包人提供实施合同工程的进度、质量和安全工作所需的批准、确认和通知等指令。</w:t>
      </w:r>
    </w:p>
    <w:p w14:paraId="5482064B">
      <w:pPr>
        <w:widowControl w:val="0"/>
        <w:tabs>
          <w:tab w:val="left" w:pos="1260"/>
        </w:tabs>
        <w:spacing w:line="400" w:lineRule="exact"/>
        <w:ind w:left="1850" w:leftChars="771"/>
        <w:jc w:val="both"/>
        <w:rPr>
          <w:rFonts w:ascii="仿宋" w:hAnsi="仿宋" w:eastAsia="仿宋"/>
          <w:b/>
          <w:bCs/>
          <w:lang w:eastAsia="zh-CN"/>
        </w:rPr>
      </w:pPr>
      <w:r>
        <w:rPr>
          <w:rFonts w:hint="eastAsia" w:ascii="仿宋" w:hAnsi="仿宋" w:eastAsia="仿宋" w:cs="仿宋"/>
          <w:lang w:eastAsia="zh-CN"/>
        </w:rPr>
        <w:t>监理人提供的指令，均应采用书面形式。在紧急情况下，监理工程师可发出口头指令，但应在</w:t>
      </w:r>
      <w:r>
        <w:rPr>
          <w:rFonts w:ascii="仿宋" w:hAnsi="仿宋" w:eastAsia="仿宋" w:cs="仿宋"/>
          <w:lang w:eastAsia="zh-CN"/>
        </w:rPr>
        <w:t>48</w:t>
      </w:r>
      <w:r>
        <w:rPr>
          <w:rFonts w:hint="eastAsia" w:ascii="仿宋" w:hAnsi="仿宋" w:eastAsia="仿宋" w:cs="仿宋"/>
          <w:lang w:eastAsia="zh-CN"/>
        </w:rPr>
        <w:t>小时内给予书面确认。对监理工程师的口头指令，承包人应予执行。如果承包人在监理工程师发出口头指令</w:t>
      </w:r>
      <w:r>
        <w:rPr>
          <w:rFonts w:ascii="仿宋" w:hAnsi="仿宋" w:eastAsia="仿宋" w:cs="仿宋"/>
          <w:lang w:eastAsia="zh-CN"/>
        </w:rPr>
        <w:t>48</w:t>
      </w:r>
      <w:r>
        <w:rPr>
          <w:rFonts w:hint="eastAsia" w:ascii="仿宋" w:hAnsi="仿宋" w:eastAsia="仿宋" w:cs="仿宋"/>
          <w:lang w:eastAsia="zh-CN"/>
        </w:rPr>
        <w:t>小时后未收到书面确认，则应在接到口头指令后的</w:t>
      </w:r>
      <w:r>
        <w:rPr>
          <w:rFonts w:ascii="仿宋" w:hAnsi="仿宋" w:eastAsia="仿宋" w:cs="仿宋"/>
          <w:lang w:eastAsia="zh-CN"/>
        </w:rPr>
        <w:t>7</w:t>
      </w:r>
      <w:r>
        <w:rPr>
          <w:rFonts w:hint="eastAsia" w:ascii="仿宋" w:hAnsi="仿宋" w:eastAsia="仿宋" w:cs="仿宋"/>
          <w:lang w:eastAsia="zh-CN"/>
        </w:rPr>
        <w:t>天内向监理人发出书面确认函。监理人应在承包人收到书面确认函后</w:t>
      </w:r>
      <w:r>
        <w:rPr>
          <w:rFonts w:ascii="仿宋" w:hAnsi="仿宋" w:eastAsia="仿宋" w:cs="仿宋"/>
          <w:lang w:eastAsia="zh-CN"/>
        </w:rPr>
        <w:t>48</w:t>
      </w:r>
      <w:r>
        <w:rPr>
          <w:rFonts w:hint="eastAsia" w:ascii="仿宋" w:hAnsi="仿宋" w:eastAsia="仿宋" w:cs="仿宋"/>
          <w:lang w:eastAsia="zh-CN"/>
        </w:rPr>
        <w:t>小时内给予答复；逾期未予答复的，视为承包人的书面确认函已被认可。</w:t>
      </w:r>
    </w:p>
    <w:p w14:paraId="79C506AB">
      <w:pPr>
        <w:spacing w:line="400" w:lineRule="exact"/>
        <w:rPr>
          <w:rFonts w:ascii="仿宋" w:hAnsi="仿宋" w:eastAsia="仿宋"/>
          <w:b/>
          <w:bCs/>
          <w:lang w:eastAsia="zh-CN"/>
        </w:rPr>
      </w:pPr>
      <w:bookmarkStart w:id="261" w:name="_Toc23713"/>
      <w:r>
        <w:rPr>
          <w:rFonts w:ascii="仿宋" w:hAnsi="仿宋" w:eastAsia="仿宋" w:cs="仿宋"/>
          <w:b/>
          <w:bCs/>
          <w:lang w:eastAsia="zh-CN"/>
        </w:rPr>
        <w:t>2</w:t>
      </w:r>
      <w:r>
        <w:rPr>
          <w:rFonts w:hint="eastAsia" w:ascii="仿宋" w:hAnsi="仿宋" w:eastAsia="仿宋" w:cs="仿宋"/>
          <w:b/>
          <w:bCs/>
          <w:lang w:eastAsia="zh-CN"/>
        </w:rPr>
        <w:t>7</w:t>
      </w:r>
      <w:r>
        <w:rPr>
          <w:rFonts w:ascii="仿宋" w:hAnsi="仿宋" w:eastAsia="仿宋" w:cs="仿宋"/>
          <w:b/>
          <w:bCs/>
          <w:lang w:eastAsia="zh-CN"/>
        </w:rPr>
        <w:t>.5</w:t>
      </w:r>
      <w:bookmarkEnd w:id="261"/>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67159069">
      <w:pPr>
        <w:widowControl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727872" behindDoc="0" locked="0" layoutInCell="1" allowOverlap="1">
                <wp:simplePos x="0" y="0"/>
                <wp:positionH relativeFrom="column">
                  <wp:posOffset>-114300</wp:posOffset>
                </wp:positionH>
                <wp:positionV relativeFrom="paragraph">
                  <wp:posOffset>49530</wp:posOffset>
                </wp:positionV>
                <wp:extent cx="785495" cy="480060"/>
                <wp:effectExtent l="0" t="0" r="0" b="0"/>
                <wp:wrapNone/>
                <wp:docPr id="97" name="文本框 766"/>
                <wp:cNvGraphicFramePr/>
                <a:graphic xmlns:a="http://schemas.openxmlformats.org/drawingml/2006/main">
                  <a:graphicData uri="http://schemas.microsoft.com/office/word/2010/wordprocessingShape">
                    <wps:wsp>
                      <wps:cNvSpPr txBox="1"/>
                      <wps:spPr>
                        <a:xfrm>
                          <a:off x="0" y="0"/>
                          <a:ext cx="785495" cy="480060"/>
                        </a:xfrm>
                        <a:prstGeom prst="rect">
                          <a:avLst/>
                        </a:prstGeom>
                        <a:noFill/>
                        <a:ln w="12700">
                          <a:noFill/>
                        </a:ln>
                      </wps:spPr>
                      <wps:txbx>
                        <w:txbxContent>
                          <w:p w14:paraId="58D30E3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承包人执行监理人指令</w:t>
                            </w:r>
                          </w:p>
                        </w:txbxContent>
                      </wps:txbx>
                      <wps:bodyPr rot="0" vert="horz" wrap="square" lIns="91440" tIns="45720" rIns="91440" bIns="45720" anchor="t" anchorCtr="0"/>
                    </wps:wsp>
                  </a:graphicData>
                </a:graphic>
              </wp:anchor>
            </w:drawing>
          </mc:Choice>
          <mc:Fallback>
            <w:pict>
              <v:shape id="文本框 766" o:spid="_x0000_s1026" o:spt="202" type="#_x0000_t202" style="position:absolute;left:0pt;margin-left:-9pt;margin-top:3.9pt;height:37.8pt;width:61.85pt;z-index:251727872;mso-width-relative:page;mso-height-relative:page;" filled="f" stroked="f" coordsize="21600,21600" o:gfxdata="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inNH&#10;OtcAAAAIAQAADwAAAAAAAAABACAAAAAiAAAAZHJzL2Rvd25yZXYueG1sUEsBAhQAFAAAAAgAh07i&#10;QHlPD3DqAQAAvQMAAA4AAAAAAAAAAQAgAAAAJgEAAGRycy9lMm9Eb2MueG1sUEsFBgAAAAAGAAYA&#10;WQEAAIIFAAAAAA==&#10;">
                <v:fill on="f" focussize="0,0"/>
                <v:stroke on="f" weight="1pt"/>
                <v:imagedata o:title=""/>
                <o:lock v:ext="edit" aspectratio="f"/>
                <v:textbox>
                  <w:txbxContent>
                    <w:p w14:paraId="58D30E3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承包人执行监理人指令</w:t>
                      </w:r>
                    </w:p>
                  </w:txbxContent>
                </v:textbox>
              </v:shape>
            </w:pict>
          </mc:Fallback>
        </mc:AlternateContent>
      </w:r>
      <w:r>
        <w:rPr>
          <w:rFonts w:hint="eastAsia" w:ascii="仿宋" w:hAnsi="仿宋" w:eastAsia="仿宋" w:cs="仿宋"/>
          <w:lang w:eastAsia="zh-CN"/>
        </w:rPr>
        <w:t>如果承包人认为监理人的指令不合理，应在收到指令后</w:t>
      </w:r>
      <w:r>
        <w:rPr>
          <w:rFonts w:ascii="仿宋" w:hAnsi="仿宋" w:eastAsia="仿宋" w:cs="仿宋"/>
          <w:lang w:eastAsia="zh-CN"/>
        </w:rPr>
        <w:t>24</w:t>
      </w:r>
      <w:r>
        <w:rPr>
          <w:rFonts w:hint="eastAsia" w:ascii="仿宋" w:hAnsi="仿宋" w:eastAsia="仿宋" w:cs="仿宋"/>
          <w:lang w:eastAsia="zh-CN"/>
        </w:rPr>
        <w:t>小时内向监理人提出书面报告，监理人应在收到承包人报告后</w:t>
      </w:r>
      <w:r>
        <w:rPr>
          <w:rFonts w:ascii="仿宋" w:hAnsi="仿宋" w:eastAsia="仿宋" w:cs="仿宋"/>
          <w:lang w:eastAsia="zh-CN"/>
        </w:rPr>
        <w:t>24</w:t>
      </w:r>
      <w:r>
        <w:rPr>
          <w:rFonts w:hint="eastAsia" w:ascii="仿宋" w:hAnsi="仿宋" w:eastAsia="仿宋" w:cs="仿宋"/>
          <w:lang w:eastAsia="zh-CN"/>
        </w:rPr>
        <w:t>小时内做出修改指令或继续执行原指令的决定，并书面通知承包人。逾期不作出决定的，承包人可不执行监理人的指令。</w:t>
      </w:r>
    </w:p>
    <w:p w14:paraId="47A8AE40">
      <w:pPr>
        <w:spacing w:line="400" w:lineRule="exact"/>
        <w:rPr>
          <w:rFonts w:ascii="仿宋" w:hAnsi="仿宋" w:eastAsia="仿宋"/>
          <w:lang w:eastAsia="zh-CN"/>
        </w:rPr>
      </w:pPr>
      <w:bookmarkStart w:id="262" w:name="_Toc24030"/>
      <w:r>
        <w:rPr>
          <w:rFonts w:ascii="仿宋" w:hAnsi="仿宋" w:eastAsia="仿宋" w:cs="仿宋"/>
          <w:b/>
          <w:bCs/>
          <w:lang w:eastAsia="zh-CN"/>
        </w:rPr>
        <w:t>2</w:t>
      </w:r>
      <w:r>
        <w:rPr>
          <w:rFonts w:hint="eastAsia" w:ascii="仿宋" w:hAnsi="仿宋" w:eastAsia="仿宋" w:cs="仿宋"/>
          <w:b/>
          <w:bCs/>
          <w:lang w:eastAsia="zh-CN"/>
        </w:rPr>
        <w:t>7</w:t>
      </w:r>
      <w:r>
        <w:rPr>
          <w:rFonts w:ascii="仿宋" w:hAnsi="仿宋" w:eastAsia="仿宋" w:cs="仿宋"/>
          <w:b/>
          <w:bCs/>
          <w:lang w:eastAsia="zh-CN"/>
        </w:rPr>
        <w:t>.6</w:t>
      </w:r>
      <w:bookmarkEnd w:id="262"/>
      <w:r>
        <w:rPr>
          <w:rFonts w:ascii="仿宋" w:hAnsi="仿宋" w:eastAsia="仿宋" w:cs="仿宋"/>
          <w:lang w:eastAsia="zh-CN"/>
        </w:rPr>
        <w:t xml:space="preserve">  </w:t>
      </w:r>
      <w:r>
        <w:rPr>
          <w:rFonts w:ascii="仿宋" w:hAnsi="仿宋" w:eastAsia="仿宋" w:cs="仿宋"/>
          <w:u w:val="dotted"/>
          <w:lang w:eastAsia="zh-CN"/>
        </w:rPr>
        <w:t xml:space="preserve">                                                                               </w:t>
      </w:r>
    </w:p>
    <w:p w14:paraId="378058CF">
      <w:pPr>
        <w:widowControl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728896" behindDoc="0" locked="0" layoutInCell="1" allowOverlap="1">
                <wp:simplePos x="0" y="0"/>
                <wp:positionH relativeFrom="column">
                  <wp:posOffset>-114300</wp:posOffset>
                </wp:positionH>
                <wp:positionV relativeFrom="paragraph">
                  <wp:posOffset>12065</wp:posOffset>
                </wp:positionV>
                <wp:extent cx="775970" cy="497840"/>
                <wp:effectExtent l="0" t="0" r="0" b="0"/>
                <wp:wrapNone/>
                <wp:docPr id="98" name="文本框 767"/>
                <wp:cNvGraphicFramePr/>
                <a:graphic xmlns:a="http://schemas.openxmlformats.org/drawingml/2006/main">
                  <a:graphicData uri="http://schemas.microsoft.com/office/word/2010/wordprocessingShape">
                    <wps:wsp>
                      <wps:cNvSpPr txBox="1"/>
                      <wps:spPr>
                        <a:xfrm>
                          <a:off x="0" y="0"/>
                          <a:ext cx="775970" cy="497840"/>
                        </a:xfrm>
                        <a:prstGeom prst="rect">
                          <a:avLst/>
                        </a:prstGeom>
                        <a:noFill/>
                        <a:ln w="12700">
                          <a:noFill/>
                        </a:ln>
                      </wps:spPr>
                      <wps:txbx>
                        <w:txbxContent>
                          <w:p w14:paraId="056B564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监理人职权委托</w:t>
                            </w:r>
                          </w:p>
                        </w:txbxContent>
                      </wps:txbx>
                      <wps:bodyPr rot="0" vert="horz" wrap="square" lIns="91440" tIns="45720" rIns="91440" bIns="45720" anchor="t" anchorCtr="0"/>
                    </wps:wsp>
                  </a:graphicData>
                </a:graphic>
              </wp:anchor>
            </w:drawing>
          </mc:Choice>
          <mc:Fallback>
            <w:pict>
              <v:shape id="文本框 767" o:spid="_x0000_s1026" o:spt="202" type="#_x0000_t202" style="position:absolute;left:0pt;margin-left:-9pt;margin-top:0.95pt;height:39.2pt;width:61.1pt;z-index:251728896;mso-width-relative:page;mso-height-relative:page;" filled="f" stroked="f" coordsize="21600,21600" o:gfxdata="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Hkhrw&#10;1gAAAAgBAAAPAAAAAAAAAAEAIAAAACIAAABkcnMvZG93bnJldi54bWxQSwECFAAUAAAACACHTuJA&#10;1Yr2D+oBAAC9AwAADgAAAAAAAAABACAAAAAlAQAAZHJzL2Uyb0RvYy54bWxQSwUGAAAAAAYABgBZ&#10;AQAAgQUAAAAA&#10;">
                <v:fill on="f" focussize="0,0"/>
                <v:stroke on="f" weight="1pt"/>
                <v:imagedata o:title=""/>
                <o:lock v:ext="edit" aspectratio="f"/>
                <v:textbox>
                  <w:txbxContent>
                    <w:p w14:paraId="056B564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监理人职权委托</w:t>
                      </w:r>
                    </w:p>
                  </w:txbxContent>
                </v:textbox>
              </v:shape>
            </w:pict>
          </mc:Fallback>
        </mc:AlternateContent>
      </w:r>
      <w:r>
        <w:rPr>
          <w:rFonts w:hint="eastAsia" w:ascii="仿宋" w:hAnsi="仿宋" w:eastAsia="仿宋" w:cs="仿宋"/>
          <w:lang w:eastAsia="zh-CN"/>
        </w:rPr>
        <w:t>监理人可按照第</w:t>
      </w:r>
      <w:r>
        <w:rPr>
          <w:rFonts w:ascii="仿宋" w:hAnsi="仿宋" w:eastAsia="仿宋" w:cs="仿宋"/>
          <w:lang w:eastAsia="zh-CN"/>
        </w:rPr>
        <w:t>2</w:t>
      </w:r>
      <w:r>
        <w:rPr>
          <w:rFonts w:hint="eastAsia" w:ascii="仿宋" w:hAnsi="仿宋" w:eastAsia="仿宋" w:cs="仿宋"/>
          <w:lang w:eastAsia="zh-CN"/>
        </w:rPr>
        <w:t>4</w:t>
      </w:r>
      <w:r>
        <w:rPr>
          <w:rFonts w:ascii="仿宋" w:hAnsi="仿宋" w:eastAsia="仿宋" w:cs="仿宋"/>
          <w:lang w:eastAsia="zh-CN"/>
        </w:rPr>
        <w:t>.3</w:t>
      </w:r>
      <w:r>
        <w:rPr>
          <w:rFonts w:hint="eastAsia" w:ascii="仿宋" w:hAnsi="仿宋" w:eastAsia="仿宋" w:cs="仿宋"/>
          <w:lang w:eastAsia="zh-CN"/>
        </w:rPr>
        <w:t>款约定授权给其任命的监理人代表，亦可将其授权撤回。监理人代表行使监理人授予的职权，对监理人负责。监理人代表在监理人授予职权范围内工作，监理人应予认可，但监理人保留发出指令以纠正监理人代表工作失误的权利。</w:t>
      </w:r>
    </w:p>
    <w:p w14:paraId="4AE50A2E">
      <w:pPr>
        <w:spacing w:line="400" w:lineRule="exact"/>
        <w:rPr>
          <w:rFonts w:ascii="仿宋" w:hAnsi="仿宋" w:eastAsia="仿宋"/>
          <w:b/>
          <w:bCs/>
          <w:lang w:eastAsia="zh-CN"/>
        </w:rPr>
      </w:pPr>
      <w:bookmarkStart w:id="263" w:name="_Toc31450"/>
      <w:r>
        <w:rPr>
          <w:rFonts w:ascii="仿宋" w:hAnsi="仿宋" w:eastAsia="仿宋" w:cs="仿宋"/>
          <w:b/>
          <w:bCs/>
          <w:lang w:eastAsia="zh-CN"/>
        </w:rPr>
        <w:t>2</w:t>
      </w:r>
      <w:r>
        <w:rPr>
          <w:rFonts w:hint="eastAsia" w:ascii="仿宋" w:hAnsi="仿宋" w:eastAsia="仿宋" w:cs="仿宋"/>
          <w:b/>
          <w:bCs/>
          <w:lang w:eastAsia="zh-CN"/>
        </w:rPr>
        <w:t>7</w:t>
      </w:r>
      <w:r>
        <w:rPr>
          <w:rFonts w:ascii="仿宋" w:hAnsi="仿宋" w:eastAsia="仿宋" w:cs="仿宋"/>
          <w:b/>
          <w:bCs/>
          <w:lang w:eastAsia="zh-CN"/>
        </w:rPr>
        <w:t>.7</w:t>
      </w:r>
      <w:bookmarkEnd w:id="263"/>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67FA28AC">
      <w:pPr>
        <w:widowControl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729920" behindDoc="0" locked="0" layoutInCell="1" allowOverlap="1">
                <wp:simplePos x="0" y="0"/>
                <wp:positionH relativeFrom="column">
                  <wp:posOffset>-114300</wp:posOffset>
                </wp:positionH>
                <wp:positionV relativeFrom="paragraph">
                  <wp:posOffset>29210</wp:posOffset>
                </wp:positionV>
                <wp:extent cx="851535" cy="546100"/>
                <wp:effectExtent l="0" t="0" r="0" b="0"/>
                <wp:wrapNone/>
                <wp:docPr id="99" name="文本框 768"/>
                <wp:cNvGraphicFramePr/>
                <a:graphic xmlns:a="http://schemas.openxmlformats.org/drawingml/2006/main">
                  <a:graphicData uri="http://schemas.microsoft.com/office/word/2010/wordprocessingShape">
                    <wps:wsp>
                      <wps:cNvSpPr txBox="1"/>
                      <wps:spPr>
                        <a:xfrm>
                          <a:off x="0" y="0"/>
                          <a:ext cx="851535" cy="546100"/>
                        </a:xfrm>
                        <a:prstGeom prst="rect">
                          <a:avLst/>
                        </a:prstGeom>
                        <a:noFill/>
                        <a:ln w="12700">
                          <a:noFill/>
                        </a:ln>
                      </wps:spPr>
                      <wps:txbx>
                        <w:txbxContent>
                          <w:p w14:paraId="1B9B33F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监理人未尽义务或失误的责任</w:t>
                            </w:r>
                          </w:p>
                        </w:txbxContent>
                      </wps:txbx>
                      <wps:bodyPr rot="0" vert="horz" wrap="square" lIns="91440" tIns="45720" rIns="91440" bIns="45720" anchor="t" anchorCtr="0"/>
                    </wps:wsp>
                  </a:graphicData>
                </a:graphic>
              </wp:anchor>
            </w:drawing>
          </mc:Choice>
          <mc:Fallback>
            <w:pict>
              <v:shape id="文本框 768" o:spid="_x0000_s1026" o:spt="202" type="#_x0000_t202" style="position:absolute;left:0pt;margin-left:-9pt;margin-top:2.3pt;height:43pt;width:67.05pt;z-index:251729920;mso-width-relative:page;mso-height-relative:page;" filled="f" stroked="f" coordsize="21600,21600" o:gfxdata="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lBAUDX&#10;AAAACAEAAA8AAAAAAAAAAQAgAAAAIgAAAGRycy9kb3ducmV2LnhtbFBLAQIUABQAAAAIAIdO4kBY&#10;ZEi36AEAAL0DAAAOAAAAAAAAAAEAIAAAACYBAABkcnMvZTJvRG9jLnhtbFBLBQYAAAAABgAGAFkB&#10;AACABQAAAAA=&#10;">
                <v:fill on="f" focussize="0,0"/>
                <v:stroke on="f" weight="1pt"/>
                <v:imagedata o:title=""/>
                <o:lock v:ext="edit" aspectratio="f"/>
                <v:textbox>
                  <w:txbxContent>
                    <w:p w14:paraId="1B9B33F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监理人未尽义务或失误的责任</w:t>
                      </w:r>
                    </w:p>
                  </w:txbxContent>
                </v:textbox>
              </v:shape>
            </w:pict>
          </mc:Fallback>
        </mc:AlternateContent>
      </w:r>
      <w:r>
        <w:rPr>
          <w:rFonts w:hint="eastAsia" w:ascii="仿宋" w:hAnsi="仿宋" w:eastAsia="仿宋" w:cs="仿宋"/>
          <w:lang w:eastAsia="zh-CN"/>
        </w:rPr>
        <w:t>监理人未能正确履行本合同约定的全部义务，或工作出现失误，导致费用的增加和（或）延误的工期，由发包人承担；给承包人造成损失的，发包人应予赔偿。</w:t>
      </w:r>
    </w:p>
    <w:p w14:paraId="2A8F275C">
      <w:pPr>
        <w:tabs>
          <w:tab w:val="left" w:pos="1260"/>
        </w:tabs>
        <w:spacing w:line="400" w:lineRule="exact"/>
        <w:rPr>
          <w:rFonts w:ascii="仿宋" w:hAnsi="仿宋" w:eastAsia="仿宋" w:cs="仿宋"/>
          <w:b/>
          <w:bCs/>
          <w:u w:val="single"/>
          <w:lang w:eastAsia="zh-CN"/>
        </w:rPr>
      </w:pPr>
      <w:r>
        <w:rPr>
          <w:rFonts w:ascii="仿宋" w:hAnsi="仿宋" w:eastAsia="仿宋" w:cs="仿宋"/>
          <w:b/>
          <w:bCs/>
          <w:u w:val="single"/>
          <w:lang w:eastAsia="zh-CN"/>
        </w:rPr>
        <w:t xml:space="preserve">                                                                                     </w:t>
      </w:r>
    </w:p>
    <w:p w14:paraId="57374BCF">
      <w:pPr>
        <w:pStyle w:val="4"/>
        <w:tabs>
          <w:tab w:val="left" w:pos="420"/>
        </w:tabs>
        <w:spacing w:before="0" w:after="0" w:line="400" w:lineRule="exact"/>
        <w:rPr>
          <w:rFonts w:ascii="仿宋" w:hAnsi="仿宋" w:eastAsia="仿宋"/>
          <w:sz w:val="24"/>
          <w:szCs w:val="24"/>
          <w:lang w:eastAsia="zh-CN"/>
        </w:rPr>
      </w:pPr>
      <w:bookmarkStart w:id="264" w:name="_Toc14930"/>
      <w:bookmarkStart w:id="265" w:name="_Toc194073134"/>
      <w:bookmarkStart w:id="266" w:name="_Toc20318"/>
      <w:bookmarkStart w:id="267" w:name="_Toc16972"/>
      <w:r>
        <w:rPr>
          <w:rFonts w:ascii="仿宋" w:hAnsi="仿宋" w:eastAsia="仿宋" w:cs="仿宋"/>
          <w:sz w:val="24"/>
          <w:szCs w:val="24"/>
          <w:lang w:eastAsia="zh-CN"/>
        </w:rPr>
        <w:t>2</w:t>
      </w:r>
      <w:r>
        <w:rPr>
          <w:rFonts w:hint="eastAsia" w:ascii="仿宋" w:hAnsi="仿宋" w:eastAsia="仿宋" w:cs="仿宋"/>
          <w:sz w:val="24"/>
          <w:szCs w:val="24"/>
          <w:lang w:eastAsia="zh-CN"/>
        </w:rPr>
        <w:t>8</w:t>
      </w:r>
      <w:r>
        <w:rPr>
          <w:rFonts w:ascii="仿宋" w:hAnsi="仿宋" w:eastAsia="仿宋" w:cs="仿宋"/>
          <w:sz w:val="24"/>
          <w:szCs w:val="24"/>
          <w:lang w:eastAsia="zh-CN"/>
        </w:rPr>
        <w:t xml:space="preserve">  </w:t>
      </w:r>
      <w:r>
        <w:rPr>
          <w:rFonts w:hint="eastAsia" w:ascii="仿宋" w:hAnsi="仿宋" w:eastAsia="仿宋" w:cs="仿宋"/>
          <w:sz w:val="24"/>
          <w:szCs w:val="24"/>
          <w:lang w:eastAsia="zh-CN"/>
        </w:rPr>
        <w:t>造价咨询人</w:t>
      </w:r>
      <w:bookmarkEnd w:id="264"/>
      <w:bookmarkEnd w:id="265"/>
      <w:bookmarkEnd w:id="266"/>
      <w:bookmarkEnd w:id="267"/>
    </w:p>
    <w:p w14:paraId="69D34F8F">
      <w:pPr>
        <w:tabs>
          <w:tab w:val="left" w:pos="1260"/>
        </w:tabs>
        <w:spacing w:line="400" w:lineRule="exact"/>
        <w:rPr>
          <w:rFonts w:ascii="仿宋" w:hAnsi="仿宋" w:eastAsia="仿宋"/>
          <w:b/>
          <w:bCs/>
          <w:lang w:eastAsia="zh-CN"/>
        </w:rPr>
      </w:pPr>
      <w:r>
        <w:rPr>
          <w:rFonts w:ascii="仿宋" w:hAnsi="仿宋" w:eastAsia="仿宋" w:cs="仿宋"/>
          <w:b/>
          <w:bCs/>
          <w:lang w:eastAsia="zh-CN"/>
        </w:rPr>
        <w:t>2</w:t>
      </w:r>
      <w:r>
        <w:rPr>
          <w:rFonts w:hint="eastAsia" w:ascii="仿宋" w:hAnsi="仿宋" w:eastAsia="仿宋" w:cs="仿宋"/>
          <w:b/>
          <w:bCs/>
          <w:lang w:eastAsia="zh-CN"/>
        </w:rPr>
        <w:t>8</w:t>
      </w:r>
      <w:r>
        <w:rPr>
          <w:rFonts w:ascii="仿宋" w:hAnsi="仿宋" w:eastAsia="仿宋" w:cs="仿宋"/>
          <w:b/>
          <w:bCs/>
          <w:lang w:eastAsia="zh-CN"/>
        </w:rPr>
        <w:t>.1</w:t>
      </w:r>
    </w:p>
    <w:p w14:paraId="6E4A3D76">
      <w:pPr>
        <w:widowControl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730944" behindDoc="0" locked="0" layoutInCell="1" allowOverlap="1">
                <wp:simplePos x="0" y="0"/>
                <wp:positionH relativeFrom="column">
                  <wp:posOffset>-114300</wp:posOffset>
                </wp:positionH>
                <wp:positionV relativeFrom="paragraph">
                  <wp:posOffset>45720</wp:posOffset>
                </wp:positionV>
                <wp:extent cx="775335" cy="634365"/>
                <wp:effectExtent l="0" t="0" r="0" b="0"/>
                <wp:wrapNone/>
                <wp:docPr id="100" name="文本框 769"/>
                <wp:cNvGraphicFramePr/>
                <a:graphic xmlns:a="http://schemas.openxmlformats.org/drawingml/2006/main">
                  <a:graphicData uri="http://schemas.microsoft.com/office/word/2010/wordprocessingShape">
                    <wps:wsp>
                      <wps:cNvSpPr txBox="1"/>
                      <wps:spPr>
                        <a:xfrm>
                          <a:off x="0" y="0"/>
                          <a:ext cx="775335" cy="634365"/>
                        </a:xfrm>
                        <a:prstGeom prst="rect">
                          <a:avLst/>
                        </a:prstGeom>
                        <a:noFill/>
                        <a:ln w="12700">
                          <a:noFill/>
                        </a:ln>
                      </wps:spPr>
                      <wps:txbx>
                        <w:txbxContent>
                          <w:p w14:paraId="1B6488A5">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发包人对造价咨询人授权</w:t>
                            </w:r>
                          </w:p>
                        </w:txbxContent>
                      </wps:txbx>
                      <wps:bodyPr rot="0" vert="horz" wrap="square" lIns="91440" tIns="45720" rIns="91440" bIns="45720" anchor="t" anchorCtr="0"/>
                    </wps:wsp>
                  </a:graphicData>
                </a:graphic>
              </wp:anchor>
            </w:drawing>
          </mc:Choice>
          <mc:Fallback>
            <w:pict>
              <v:shape id="文本框 769" o:spid="_x0000_s1026" o:spt="202" type="#_x0000_t202" style="position:absolute;left:0pt;margin-left:-9pt;margin-top:3.6pt;height:49.95pt;width:61.05pt;z-index:251730944;mso-width-relative:page;mso-height-relative:page;" filled="f" stroked="f" coordsize="21600,21600" o:gfxdata="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BWAutjX&#10;AAAACQEAAA8AAAAAAAAAAQAgAAAAIgAAAGRycy9kb3ducmV2LnhtbFBLAQIUABQAAAAIAIdO4kAW&#10;zaf06AEAAL4DAAAOAAAAAAAAAAEAIAAAACYBAABkcnMvZTJvRG9jLnhtbFBLBQYAAAAABgAGAFkB&#10;AACABQAAAAA=&#10;">
                <v:fill on="f" focussize="0,0"/>
                <v:stroke on="f" weight="1pt"/>
                <v:imagedata o:title=""/>
                <o:lock v:ext="edit" aspectratio="f"/>
                <v:textbox>
                  <w:txbxContent>
                    <w:p w14:paraId="1B6488A5">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发包人对造价咨询人授权</w:t>
                      </w:r>
                    </w:p>
                  </w:txbxContent>
                </v:textbox>
              </v:shape>
            </w:pict>
          </mc:Fallback>
        </mc:AlternateContent>
      </w:r>
      <w:r>
        <w:rPr>
          <w:rFonts w:hint="eastAsia" w:ascii="仿宋" w:hAnsi="仿宋" w:eastAsia="仿宋" w:cs="仿宋"/>
          <w:lang w:eastAsia="zh-CN"/>
        </w:rPr>
        <w:t>发包人应在专用条款中写明负责合同工程造价管理的造价咨询人名称和造价咨询人代表，并在开始工作前将造价咨询人及造价咨询人代表以书面形式通知承包人，授予其代表发包人履行合同约定职责所需的权力。</w:t>
      </w:r>
    </w:p>
    <w:p w14:paraId="132C0EC1">
      <w:pPr>
        <w:spacing w:line="400" w:lineRule="exact"/>
        <w:rPr>
          <w:rFonts w:ascii="仿宋" w:hAnsi="仿宋" w:eastAsia="仿宋"/>
          <w:b/>
          <w:bCs/>
          <w:lang w:eastAsia="zh-CN"/>
        </w:rPr>
      </w:pPr>
      <w:bookmarkStart w:id="268" w:name="_Toc6082"/>
      <w:r>
        <w:rPr>
          <w:rFonts w:ascii="仿宋" w:hAnsi="仿宋" w:eastAsia="仿宋" w:cs="仿宋"/>
          <w:b/>
          <w:bCs/>
          <w:lang w:eastAsia="zh-CN"/>
        </w:rPr>
        <w:t>2</w:t>
      </w:r>
      <w:r>
        <w:rPr>
          <w:rFonts w:hint="eastAsia" w:ascii="仿宋" w:hAnsi="仿宋" w:eastAsia="仿宋" w:cs="仿宋"/>
          <w:b/>
          <w:bCs/>
          <w:lang w:eastAsia="zh-CN"/>
        </w:rPr>
        <w:t>8</w:t>
      </w:r>
      <w:r>
        <w:rPr>
          <w:rFonts w:ascii="仿宋" w:hAnsi="仿宋" w:eastAsia="仿宋" w:cs="仿宋"/>
          <w:b/>
          <w:bCs/>
          <w:lang w:eastAsia="zh-CN"/>
        </w:rPr>
        <w:t>.2</w:t>
      </w:r>
      <w:bookmarkEnd w:id="268"/>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5EC0D4FF">
      <w:pPr>
        <w:widowControl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731968" behindDoc="0" locked="0" layoutInCell="1" allowOverlap="1">
                <wp:simplePos x="0" y="0"/>
                <wp:positionH relativeFrom="column">
                  <wp:posOffset>-114300</wp:posOffset>
                </wp:positionH>
                <wp:positionV relativeFrom="paragraph">
                  <wp:posOffset>-1270</wp:posOffset>
                </wp:positionV>
                <wp:extent cx="866775" cy="515620"/>
                <wp:effectExtent l="0" t="0" r="0" b="0"/>
                <wp:wrapNone/>
                <wp:docPr id="101" name="文本框 770"/>
                <wp:cNvGraphicFramePr/>
                <a:graphic xmlns:a="http://schemas.openxmlformats.org/drawingml/2006/main">
                  <a:graphicData uri="http://schemas.microsoft.com/office/word/2010/wordprocessingShape">
                    <wps:wsp>
                      <wps:cNvSpPr txBox="1"/>
                      <wps:spPr>
                        <a:xfrm>
                          <a:off x="0" y="0"/>
                          <a:ext cx="866775" cy="515620"/>
                        </a:xfrm>
                        <a:prstGeom prst="rect">
                          <a:avLst/>
                        </a:prstGeom>
                        <a:noFill/>
                        <a:ln w="12700">
                          <a:noFill/>
                        </a:ln>
                      </wps:spPr>
                      <wps:txbx>
                        <w:txbxContent>
                          <w:p w14:paraId="497804F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造价人职权</w:t>
                            </w:r>
                          </w:p>
                        </w:txbxContent>
                      </wps:txbx>
                      <wps:bodyPr rot="0" vert="horz" wrap="square" lIns="91440" tIns="45720" rIns="91440" bIns="45720" anchor="t" anchorCtr="0"/>
                    </wps:wsp>
                  </a:graphicData>
                </a:graphic>
              </wp:anchor>
            </w:drawing>
          </mc:Choice>
          <mc:Fallback>
            <w:pict>
              <v:shape id="文本框 770" o:spid="_x0000_s1026" o:spt="202" type="#_x0000_t202" style="position:absolute;left:0pt;margin-left:-9pt;margin-top:-0.1pt;height:40.6pt;width:68.25pt;z-index:251731968;mso-width-relative:page;mso-height-relative:page;" filled="f" stroked="f" coordsize="21600,21600" o:gfxdata="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rBCEjW&#10;AAAACAEAAA8AAAAAAAAAAQAgAAAAIgAAAGRycy9kb3ducmV2LnhtbFBLAQIUABQAAAAIAIdO4kA2&#10;pwXB6QEAAL4DAAAOAAAAAAAAAAEAIAAAACUBAABkcnMvZTJvRG9jLnhtbFBLBQYAAAAABgAGAFkB&#10;AACABQAAAAA=&#10;">
                <v:fill on="f" focussize="0,0"/>
                <v:stroke on="f" weight="1pt"/>
                <v:imagedata o:title=""/>
                <o:lock v:ext="edit" aspectratio="f"/>
                <v:textbox>
                  <w:txbxContent>
                    <w:p w14:paraId="497804F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造价人职权</w:t>
                      </w:r>
                    </w:p>
                  </w:txbxContent>
                </v:textbox>
              </v:shape>
            </w:pict>
          </mc:Fallback>
        </mc:AlternateContent>
      </w:r>
      <w:r>
        <w:rPr>
          <w:rFonts w:hint="eastAsia" w:ascii="仿宋" w:hAnsi="仿宋" w:eastAsia="仿宋" w:cs="仿宋"/>
          <w:lang w:eastAsia="zh-CN"/>
        </w:rPr>
        <w:t>造价咨询人行使合同明文约定和必然隐含的职权，代表发包人负责工程计量和计价，合同价格的核实和调整，结算价款的编制或复核，签发支付证书，及时向承包人提供相关确认、调整和通知等指令。造价咨询人无权免除或变更合同约定的合同任何一方当事人在合同履行期间的权利和义务。</w:t>
      </w:r>
    </w:p>
    <w:p w14:paraId="72592727">
      <w:pPr>
        <w:spacing w:line="400" w:lineRule="exact"/>
        <w:rPr>
          <w:rFonts w:ascii="仿宋" w:hAnsi="仿宋" w:eastAsia="仿宋"/>
          <w:b/>
          <w:bCs/>
          <w:lang w:eastAsia="zh-CN"/>
        </w:rPr>
      </w:pPr>
      <w:bookmarkStart w:id="269" w:name="_Toc541"/>
      <w:r>
        <w:rPr>
          <w:rFonts w:ascii="仿宋" w:hAnsi="仿宋" w:eastAsia="仿宋" w:cs="仿宋"/>
          <w:b/>
          <w:bCs/>
          <w:lang w:eastAsia="zh-CN"/>
        </w:rPr>
        <w:t>2</w:t>
      </w:r>
      <w:r>
        <w:rPr>
          <w:rFonts w:hint="eastAsia" w:ascii="仿宋" w:hAnsi="仿宋" w:eastAsia="仿宋" w:cs="仿宋"/>
          <w:b/>
          <w:bCs/>
          <w:lang w:eastAsia="zh-CN"/>
        </w:rPr>
        <w:t>8</w:t>
      </w:r>
      <w:r>
        <w:rPr>
          <w:rFonts w:ascii="仿宋" w:hAnsi="仿宋" w:eastAsia="仿宋" w:cs="仿宋"/>
          <w:b/>
          <w:bCs/>
          <w:lang w:eastAsia="zh-CN"/>
        </w:rPr>
        <w:t>.3</w:t>
      </w:r>
      <w:bookmarkEnd w:id="269"/>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16DB19A2">
      <w:pPr>
        <w:widowControl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732992" behindDoc="0" locked="0" layoutInCell="1" allowOverlap="1">
                <wp:simplePos x="0" y="0"/>
                <wp:positionH relativeFrom="column">
                  <wp:posOffset>-114300</wp:posOffset>
                </wp:positionH>
                <wp:positionV relativeFrom="paragraph">
                  <wp:posOffset>0</wp:posOffset>
                </wp:positionV>
                <wp:extent cx="781050" cy="511175"/>
                <wp:effectExtent l="0" t="0" r="0" b="0"/>
                <wp:wrapNone/>
                <wp:docPr id="102" name="文本框 771"/>
                <wp:cNvGraphicFramePr/>
                <a:graphic xmlns:a="http://schemas.openxmlformats.org/drawingml/2006/main">
                  <a:graphicData uri="http://schemas.microsoft.com/office/word/2010/wordprocessingShape">
                    <wps:wsp>
                      <wps:cNvSpPr txBox="1"/>
                      <wps:spPr>
                        <a:xfrm>
                          <a:off x="0" y="0"/>
                          <a:ext cx="781050" cy="511175"/>
                        </a:xfrm>
                        <a:prstGeom prst="rect">
                          <a:avLst/>
                        </a:prstGeom>
                        <a:noFill/>
                        <a:ln w="12700">
                          <a:noFill/>
                        </a:ln>
                      </wps:spPr>
                      <wps:txbx>
                        <w:txbxContent>
                          <w:p w14:paraId="6612B21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造价咨询人职权限制</w:t>
                            </w:r>
                          </w:p>
                        </w:txbxContent>
                      </wps:txbx>
                      <wps:bodyPr rot="0" vert="horz" wrap="square" lIns="91440" tIns="45720" rIns="91440" bIns="45720" anchor="t" anchorCtr="0"/>
                    </wps:wsp>
                  </a:graphicData>
                </a:graphic>
              </wp:anchor>
            </w:drawing>
          </mc:Choice>
          <mc:Fallback>
            <w:pict>
              <v:shape id="文本框 771" o:spid="_x0000_s1026" o:spt="202" type="#_x0000_t202" style="position:absolute;left:0pt;margin-left:-9pt;margin-top:0pt;height:40.25pt;width:61.5pt;z-index:251732992;mso-width-relative:page;mso-height-relative:page;" filled="f" stroked="f" coordsize="21600,21600" o:gfxdata="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I1DTl1QAA&#10;AAcBAAAPAAAAAAAAAAEAIAAAACIAAABkcnMvZG93bnJldi54bWxQSwECFAAUAAAACACHTuJAeVLb&#10;RegBAAC+AwAADgAAAAAAAAABACAAAAAkAQAAZHJzL2Uyb0RvYy54bWxQSwUGAAAAAAYABgBZAQAA&#10;fgUAAAAA&#10;">
                <v:fill on="f" focussize="0,0"/>
                <v:stroke on="f" weight="1pt"/>
                <v:imagedata o:title=""/>
                <o:lock v:ext="edit" aspectratio="f"/>
                <v:textbox>
                  <w:txbxContent>
                    <w:p w14:paraId="6612B21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造价咨询人职权限制</w:t>
                      </w:r>
                    </w:p>
                  </w:txbxContent>
                </v:textbox>
              </v:shape>
            </w:pict>
          </mc:Fallback>
        </mc:AlternateContent>
      </w:r>
      <w:r>
        <w:rPr>
          <w:rFonts w:hint="eastAsia" w:ascii="仿宋" w:hAnsi="仿宋" w:eastAsia="仿宋" w:cs="仿宋"/>
          <w:lang w:eastAsia="zh-CN"/>
        </w:rPr>
        <w:t>除属于第91条约定的争议外，造价咨询人在职权范围内的工作，发包人应予认可，但下列事项应事先取得发包人的专项批准：</w:t>
      </w:r>
    </w:p>
    <w:p w14:paraId="233BB3A2">
      <w:pPr>
        <w:widowControl w:val="0"/>
        <w:numPr>
          <w:ilvl w:val="0"/>
          <w:numId w:val="15"/>
        </w:numPr>
        <w:tabs>
          <w:tab w:val="clear" w:pos="960"/>
        </w:tabs>
        <w:spacing w:line="400" w:lineRule="exact"/>
        <w:ind w:left="1850" w:leftChars="771"/>
        <w:jc w:val="both"/>
        <w:rPr>
          <w:rFonts w:ascii="仿宋" w:hAnsi="仿宋" w:eastAsia="仿宋"/>
          <w:lang w:eastAsia="zh-CN"/>
        </w:rPr>
      </w:pPr>
      <w:r>
        <w:rPr>
          <w:rFonts w:hint="eastAsia" w:ascii="仿宋" w:hAnsi="仿宋" w:eastAsia="仿宋" w:cs="仿宋"/>
          <w:lang w:eastAsia="zh-CN"/>
        </w:rPr>
        <w:t>根据第73条约定使用暂列金额；</w:t>
      </w:r>
    </w:p>
    <w:p w14:paraId="75ED1171">
      <w:pPr>
        <w:widowControl w:val="0"/>
        <w:numPr>
          <w:ilvl w:val="0"/>
          <w:numId w:val="15"/>
        </w:numPr>
        <w:tabs>
          <w:tab w:val="clear" w:pos="960"/>
        </w:tabs>
        <w:spacing w:line="400" w:lineRule="exact"/>
        <w:ind w:left="1850" w:leftChars="771"/>
        <w:jc w:val="both"/>
        <w:rPr>
          <w:rFonts w:ascii="仿宋" w:hAnsi="仿宋" w:eastAsia="仿宋"/>
          <w:lang w:eastAsia="zh-CN"/>
        </w:rPr>
      </w:pPr>
      <w:r>
        <w:rPr>
          <w:rFonts w:hint="eastAsia" w:ascii="仿宋" w:hAnsi="仿宋" w:eastAsia="仿宋" w:cs="仿宋"/>
          <w:lang w:eastAsia="zh-CN"/>
        </w:rPr>
        <w:t>根据第74条约定使用计日工；</w:t>
      </w:r>
    </w:p>
    <w:p w14:paraId="477B064F">
      <w:pPr>
        <w:widowControl w:val="0"/>
        <w:numPr>
          <w:ilvl w:val="0"/>
          <w:numId w:val="15"/>
        </w:numPr>
        <w:tabs>
          <w:tab w:val="clear" w:pos="960"/>
        </w:tabs>
        <w:spacing w:line="400" w:lineRule="exact"/>
        <w:ind w:left="1850" w:leftChars="771"/>
        <w:jc w:val="both"/>
        <w:rPr>
          <w:rFonts w:ascii="仿宋" w:hAnsi="仿宋" w:eastAsia="仿宋"/>
          <w:lang w:eastAsia="zh-CN"/>
        </w:rPr>
      </w:pPr>
      <w:r>
        <w:rPr>
          <w:rFonts w:hint="eastAsia" w:ascii="仿宋" w:hAnsi="仿宋" w:eastAsia="仿宋" w:cs="仿宋"/>
          <w:lang w:eastAsia="zh-CN"/>
        </w:rPr>
        <w:t>根据第75条约定使用暂估价；</w:t>
      </w:r>
    </w:p>
    <w:p w14:paraId="129C88B7">
      <w:pPr>
        <w:widowControl w:val="0"/>
        <w:numPr>
          <w:ilvl w:val="0"/>
          <w:numId w:val="15"/>
        </w:numPr>
        <w:tabs>
          <w:tab w:val="clear" w:pos="960"/>
        </w:tabs>
        <w:spacing w:line="400" w:lineRule="exact"/>
        <w:ind w:left="1850" w:leftChars="771"/>
        <w:jc w:val="both"/>
        <w:rPr>
          <w:rFonts w:ascii="仿宋" w:hAnsi="仿宋" w:eastAsia="仿宋"/>
          <w:lang w:eastAsia="zh-CN"/>
        </w:rPr>
      </w:pPr>
      <w:r>
        <w:rPr>
          <w:rFonts w:hint="eastAsia" w:ascii="仿宋" w:hAnsi="仿宋" w:eastAsia="仿宋" w:cs="仿宋"/>
          <w:lang w:eastAsia="zh-CN"/>
        </w:rPr>
        <w:t>根据第76条确定的提前竣工奖与误期赔偿费；</w:t>
      </w:r>
    </w:p>
    <w:p w14:paraId="5AABABD3">
      <w:pPr>
        <w:widowControl w:val="0"/>
        <w:numPr>
          <w:ilvl w:val="0"/>
          <w:numId w:val="15"/>
        </w:numPr>
        <w:tabs>
          <w:tab w:val="clear" w:pos="960"/>
        </w:tabs>
        <w:spacing w:line="400" w:lineRule="exact"/>
        <w:ind w:left="1850" w:leftChars="771"/>
        <w:jc w:val="both"/>
        <w:rPr>
          <w:rFonts w:ascii="仿宋" w:hAnsi="仿宋" w:eastAsia="仿宋"/>
          <w:lang w:eastAsia="zh-CN"/>
        </w:rPr>
      </w:pPr>
      <w:r>
        <w:rPr>
          <w:rFonts w:hint="eastAsia" w:ascii="仿宋" w:hAnsi="仿宋" w:eastAsia="仿宋" w:cs="仿宋"/>
          <w:lang w:eastAsia="zh-CN"/>
        </w:rPr>
        <w:t>根据第77条确定的优质优价费用；</w:t>
      </w:r>
    </w:p>
    <w:p w14:paraId="09502329">
      <w:pPr>
        <w:widowControl w:val="0"/>
        <w:numPr>
          <w:ilvl w:val="0"/>
          <w:numId w:val="15"/>
        </w:numPr>
        <w:tabs>
          <w:tab w:val="clear" w:pos="960"/>
        </w:tabs>
        <w:spacing w:line="400" w:lineRule="exact"/>
        <w:ind w:left="1850" w:leftChars="771"/>
        <w:jc w:val="both"/>
        <w:rPr>
          <w:rFonts w:ascii="仿宋" w:hAnsi="仿宋" w:eastAsia="仿宋"/>
          <w:lang w:eastAsia="zh-CN"/>
        </w:rPr>
      </w:pPr>
      <w:r>
        <w:rPr>
          <w:rFonts w:hint="eastAsia" w:ascii="仿宋" w:hAnsi="仿宋" w:eastAsia="仿宋" w:cs="仿宋"/>
          <w:lang w:eastAsia="zh-CN"/>
        </w:rPr>
        <w:t>根据第69.3款约定事项调整的合同价格；</w:t>
      </w:r>
    </w:p>
    <w:p w14:paraId="5A4B95EC">
      <w:pPr>
        <w:widowControl w:val="0"/>
        <w:numPr>
          <w:ilvl w:val="0"/>
          <w:numId w:val="15"/>
        </w:numPr>
        <w:tabs>
          <w:tab w:val="clear" w:pos="960"/>
        </w:tabs>
        <w:spacing w:line="400" w:lineRule="exact"/>
        <w:ind w:left="1850" w:leftChars="771"/>
        <w:jc w:val="both"/>
        <w:rPr>
          <w:rFonts w:ascii="仿宋" w:hAnsi="仿宋" w:eastAsia="仿宋"/>
          <w:lang w:eastAsia="zh-CN"/>
        </w:rPr>
      </w:pPr>
      <w:r>
        <w:rPr>
          <w:rFonts w:hint="eastAsia" w:ascii="仿宋" w:hAnsi="仿宋" w:eastAsia="仿宋" w:cs="仿宋"/>
          <w:lang w:eastAsia="zh-CN"/>
        </w:rPr>
        <w:t>专用条款约定需要发包人批准的其他事项。</w:t>
      </w:r>
    </w:p>
    <w:p w14:paraId="3162D943">
      <w:pPr>
        <w:spacing w:line="400" w:lineRule="exact"/>
        <w:rPr>
          <w:rFonts w:ascii="仿宋" w:hAnsi="仿宋" w:eastAsia="仿宋"/>
          <w:b/>
          <w:bCs/>
          <w:lang w:eastAsia="zh-CN"/>
        </w:rPr>
      </w:pPr>
      <w:bookmarkStart w:id="270" w:name="_Toc30839"/>
      <w:r>
        <w:rPr>
          <w:rFonts w:ascii="仿宋" w:hAnsi="仿宋" w:eastAsia="仿宋" w:cs="仿宋"/>
          <w:b/>
          <w:bCs/>
          <w:lang w:eastAsia="zh-CN"/>
        </w:rPr>
        <w:t>2</w:t>
      </w:r>
      <w:r>
        <w:rPr>
          <w:rFonts w:hint="eastAsia" w:ascii="仿宋" w:hAnsi="仿宋" w:eastAsia="仿宋" w:cs="仿宋"/>
          <w:b/>
          <w:bCs/>
          <w:lang w:eastAsia="zh-CN"/>
        </w:rPr>
        <w:t>8</w:t>
      </w:r>
      <w:r>
        <w:rPr>
          <w:rFonts w:ascii="仿宋" w:hAnsi="仿宋" w:eastAsia="仿宋" w:cs="仿宋"/>
          <w:b/>
          <w:bCs/>
          <w:lang w:eastAsia="zh-CN"/>
        </w:rPr>
        <w:t>.4</w:t>
      </w:r>
      <w:bookmarkEnd w:id="270"/>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5E5272B7">
      <w:pPr>
        <w:widowControl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734016" behindDoc="0" locked="0" layoutInCell="1" allowOverlap="1">
                <wp:simplePos x="0" y="0"/>
                <wp:positionH relativeFrom="column">
                  <wp:posOffset>-114300</wp:posOffset>
                </wp:positionH>
                <wp:positionV relativeFrom="paragraph">
                  <wp:posOffset>0</wp:posOffset>
                </wp:positionV>
                <wp:extent cx="800735" cy="462915"/>
                <wp:effectExtent l="0" t="0" r="0" b="0"/>
                <wp:wrapNone/>
                <wp:docPr id="103" name="文本框 772"/>
                <wp:cNvGraphicFramePr/>
                <a:graphic xmlns:a="http://schemas.openxmlformats.org/drawingml/2006/main">
                  <a:graphicData uri="http://schemas.microsoft.com/office/word/2010/wordprocessingShape">
                    <wps:wsp>
                      <wps:cNvSpPr txBox="1"/>
                      <wps:spPr>
                        <a:xfrm>
                          <a:off x="0" y="0"/>
                          <a:ext cx="800735" cy="462915"/>
                        </a:xfrm>
                        <a:prstGeom prst="rect">
                          <a:avLst/>
                        </a:prstGeom>
                        <a:noFill/>
                        <a:ln w="12700">
                          <a:noFill/>
                        </a:ln>
                      </wps:spPr>
                      <wps:txbx>
                        <w:txbxContent>
                          <w:p w14:paraId="1C4A78E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造价咨询人指令</w:t>
                            </w:r>
                          </w:p>
                        </w:txbxContent>
                      </wps:txbx>
                      <wps:bodyPr rot="0" vert="horz" wrap="square" lIns="91440" tIns="45720" rIns="91440" bIns="45720" anchor="t" anchorCtr="0"/>
                    </wps:wsp>
                  </a:graphicData>
                </a:graphic>
              </wp:anchor>
            </w:drawing>
          </mc:Choice>
          <mc:Fallback>
            <w:pict>
              <v:shape id="文本框 772" o:spid="_x0000_s1026" o:spt="202" type="#_x0000_t202" style="position:absolute;left:0pt;margin-left:-9pt;margin-top:0pt;height:36.45pt;width:63.05pt;z-index:251734016;mso-width-relative:page;mso-height-relative:page;" filled="f" stroked="f" coordsize="21600,21600" o:gfxdata="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cdn&#10;59YAAAAHAQAADwAAAAAAAAABACAAAAAiAAAAZHJzL2Rvd25yZXYueG1sUEsBAhQAFAAAAAgAh07i&#10;QDZ02GrrAQAAvgMAAA4AAAAAAAAAAQAgAAAAJQEAAGRycy9lMm9Eb2MueG1sUEsFBgAAAAAGAAYA&#10;WQEAAIIFAAAAAA==&#10;">
                <v:fill on="f" focussize="0,0"/>
                <v:stroke on="f" weight="1pt"/>
                <v:imagedata o:title=""/>
                <o:lock v:ext="edit" aspectratio="f"/>
                <v:textbox>
                  <w:txbxContent>
                    <w:p w14:paraId="1C4A78E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造价咨询人指令</w:t>
                      </w:r>
                    </w:p>
                  </w:txbxContent>
                </v:textbox>
              </v:shape>
            </w:pict>
          </mc:Fallback>
        </mc:AlternateContent>
      </w:r>
      <w:r>
        <w:rPr>
          <w:rFonts w:hint="eastAsia" w:ascii="仿宋" w:hAnsi="仿宋" w:eastAsia="仿宋" w:cs="仿宋"/>
          <w:lang w:eastAsia="zh-CN"/>
        </w:rPr>
        <w:t>造价咨询人应按照合同约定时间向承包人提供实施合同工程的工程造价工作所需的核实、调整和通知等指令。</w:t>
      </w:r>
    </w:p>
    <w:p w14:paraId="71D7D628">
      <w:pPr>
        <w:widowControl w:val="0"/>
        <w:tabs>
          <w:tab w:val="left" w:pos="1260"/>
        </w:tabs>
        <w:spacing w:line="400" w:lineRule="exact"/>
        <w:ind w:left="1850" w:leftChars="771"/>
        <w:jc w:val="both"/>
        <w:rPr>
          <w:rFonts w:ascii="仿宋" w:hAnsi="仿宋" w:eastAsia="仿宋"/>
          <w:lang w:eastAsia="zh-CN"/>
        </w:rPr>
      </w:pPr>
      <w:r>
        <w:rPr>
          <w:rFonts w:hint="eastAsia" w:ascii="仿宋" w:hAnsi="仿宋" w:eastAsia="仿宋" w:cs="仿宋"/>
          <w:lang w:eastAsia="zh-CN"/>
        </w:rPr>
        <w:t>造价咨询人提供的指令，均应采用书面形式。在紧急情况下，造价工程师可发出口头指令，但应在</w:t>
      </w:r>
      <w:r>
        <w:rPr>
          <w:rFonts w:ascii="仿宋" w:hAnsi="仿宋" w:eastAsia="仿宋" w:cs="仿宋"/>
          <w:lang w:eastAsia="zh-CN"/>
        </w:rPr>
        <w:t>48</w:t>
      </w:r>
      <w:r>
        <w:rPr>
          <w:rFonts w:hint="eastAsia" w:ascii="仿宋" w:hAnsi="仿宋" w:eastAsia="仿宋" w:cs="仿宋"/>
          <w:lang w:eastAsia="zh-CN"/>
        </w:rPr>
        <w:t>小时内给予书面确认。对造价工程师的口头指令，承包人应予执行。如果承包人在造价工程师发出的口头指令</w:t>
      </w:r>
      <w:r>
        <w:rPr>
          <w:rFonts w:ascii="仿宋" w:hAnsi="仿宋" w:eastAsia="仿宋" w:cs="仿宋"/>
          <w:lang w:eastAsia="zh-CN"/>
        </w:rPr>
        <w:t>48</w:t>
      </w:r>
      <w:r>
        <w:rPr>
          <w:rFonts w:hint="eastAsia" w:ascii="仿宋" w:hAnsi="仿宋" w:eastAsia="仿宋" w:cs="仿宋"/>
          <w:lang w:eastAsia="zh-CN"/>
        </w:rPr>
        <w:t>小时后未收到书面确认，则应在接到口头指令后的</w:t>
      </w:r>
      <w:r>
        <w:rPr>
          <w:rFonts w:ascii="仿宋" w:hAnsi="仿宋" w:eastAsia="仿宋" w:cs="仿宋"/>
          <w:lang w:eastAsia="zh-CN"/>
        </w:rPr>
        <w:t>7</w:t>
      </w:r>
      <w:r>
        <w:rPr>
          <w:rFonts w:hint="eastAsia" w:ascii="仿宋" w:hAnsi="仿宋" w:eastAsia="仿宋" w:cs="仿宋"/>
          <w:lang w:eastAsia="zh-CN"/>
        </w:rPr>
        <w:t>天内向造价咨询人发出书面确认函。造价咨询人应在承包人收到书面确认函后</w:t>
      </w:r>
      <w:r>
        <w:rPr>
          <w:rFonts w:ascii="仿宋" w:hAnsi="仿宋" w:eastAsia="仿宋" w:cs="仿宋"/>
          <w:lang w:eastAsia="zh-CN"/>
        </w:rPr>
        <w:t>48</w:t>
      </w:r>
      <w:r>
        <w:rPr>
          <w:rFonts w:hint="eastAsia" w:ascii="仿宋" w:hAnsi="仿宋" w:eastAsia="仿宋" w:cs="仿宋"/>
          <w:lang w:eastAsia="zh-CN"/>
        </w:rPr>
        <w:t>小时内给予答复；逾期未予答复的，视为承包人的书面确认函已被认可。</w:t>
      </w:r>
    </w:p>
    <w:p w14:paraId="2C4D7988">
      <w:pPr>
        <w:spacing w:line="400" w:lineRule="exact"/>
        <w:rPr>
          <w:rFonts w:ascii="仿宋" w:hAnsi="仿宋" w:eastAsia="仿宋"/>
          <w:b/>
          <w:bCs/>
          <w:lang w:eastAsia="zh-CN"/>
        </w:rPr>
      </w:pPr>
      <w:bookmarkStart w:id="271" w:name="_Toc12182"/>
      <w:r>
        <w:rPr>
          <w:rFonts w:ascii="仿宋" w:hAnsi="仿宋" w:eastAsia="仿宋" w:cs="仿宋"/>
          <w:b/>
          <w:bCs/>
          <w:lang w:eastAsia="zh-CN"/>
        </w:rPr>
        <w:t>2</w:t>
      </w:r>
      <w:r>
        <w:rPr>
          <w:rFonts w:hint="eastAsia" w:ascii="仿宋" w:hAnsi="仿宋" w:eastAsia="仿宋" w:cs="仿宋"/>
          <w:b/>
          <w:bCs/>
          <w:lang w:eastAsia="zh-CN"/>
        </w:rPr>
        <w:t>8</w:t>
      </w:r>
      <w:r>
        <w:rPr>
          <w:rFonts w:ascii="仿宋" w:hAnsi="仿宋" w:eastAsia="仿宋" w:cs="仿宋"/>
          <w:b/>
          <w:bCs/>
          <w:lang w:eastAsia="zh-CN"/>
        </w:rPr>
        <w:t>.5</w:t>
      </w:r>
      <w:bookmarkEnd w:id="271"/>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7CCD2028">
      <w:pPr>
        <w:widowControl w:val="0"/>
        <w:tabs>
          <w:tab w:val="left" w:pos="1260"/>
        </w:tabs>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735040" behindDoc="0" locked="0" layoutInCell="1" allowOverlap="1">
                <wp:simplePos x="0" y="0"/>
                <wp:positionH relativeFrom="column">
                  <wp:posOffset>-114300</wp:posOffset>
                </wp:positionH>
                <wp:positionV relativeFrom="paragraph">
                  <wp:posOffset>15240</wp:posOffset>
                </wp:positionV>
                <wp:extent cx="861695" cy="561340"/>
                <wp:effectExtent l="0" t="0" r="0" b="0"/>
                <wp:wrapNone/>
                <wp:docPr id="104" name="文本框 773"/>
                <wp:cNvGraphicFramePr/>
                <a:graphic xmlns:a="http://schemas.openxmlformats.org/drawingml/2006/main">
                  <a:graphicData uri="http://schemas.microsoft.com/office/word/2010/wordprocessingShape">
                    <wps:wsp>
                      <wps:cNvSpPr txBox="1"/>
                      <wps:spPr>
                        <a:xfrm>
                          <a:off x="0" y="0"/>
                          <a:ext cx="861695" cy="561340"/>
                        </a:xfrm>
                        <a:prstGeom prst="rect">
                          <a:avLst/>
                        </a:prstGeom>
                        <a:noFill/>
                        <a:ln w="12700">
                          <a:noFill/>
                        </a:ln>
                      </wps:spPr>
                      <wps:txbx>
                        <w:txbxContent>
                          <w:p w14:paraId="4DC88F3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承包人执行造价咨询人指令</w:t>
                            </w:r>
                          </w:p>
                        </w:txbxContent>
                      </wps:txbx>
                      <wps:bodyPr rot="0" vert="horz" wrap="square" lIns="91440" tIns="45720" rIns="91440" bIns="45720" anchor="t" anchorCtr="0"/>
                    </wps:wsp>
                  </a:graphicData>
                </a:graphic>
              </wp:anchor>
            </w:drawing>
          </mc:Choice>
          <mc:Fallback>
            <w:pict>
              <v:shape id="文本框 773" o:spid="_x0000_s1026" o:spt="202" type="#_x0000_t202" style="position:absolute;left:0pt;margin-left:-9pt;margin-top:1.2pt;height:44.2pt;width:67.85pt;z-index:251735040;mso-width-relative:page;mso-height-relative:page;" filled="f" stroked="f" coordsize="21600,21600" o:gfxdata="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10;JsIs1wAAAAgBAAAPAAAAAAAAAAEAIAAAACIAAABkcnMvZG93bnJldi54bWxQSwECFAAUAAAACACH&#10;TuJAEvxEY+wBAAC+AwAADgAAAAAAAAABACAAAAAmAQAAZHJzL2Uyb0RvYy54bWxQSwUGAAAAAAYA&#10;BgBZAQAAhAUAAAAA&#10;">
                <v:fill on="f" focussize="0,0"/>
                <v:stroke on="f" weight="1pt"/>
                <v:imagedata o:title=""/>
                <o:lock v:ext="edit" aspectratio="f"/>
                <v:textbox>
                  <w:txbxContent>
                    <w:p w14:paraId="4DC88F3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承包人执行造价咨询人指令</w:t>
                      </w:r>
                    </w:p>
                  </w:txbxContent>
                </v:textbox>
              </v:shape>
            </w:pict>
          </mc:Fallback>
        </mc:AlternateContent>
      </w:r>
      <w:r>
        <w:rPr>
          <w:rFonts w:hint="eastAsia" w:ascii="仿宋" w:hAnsi="仿宋" w:eastAsia="仿宋" w:cs="仿宋"/>
          <w:lang w:eastAsia="zh-CN"/>
        </w:rPr>
        <w:t>如果承包人认为造价咨询人的指令不合理，应在收到指令后</w:t>
      </w:r>
      <w:r>
        <w:rPr>
          <w:rFonts w:ascii="仿宋" w:hAnsi="仿宋" w:eastAsia="仿宋" w:cs="仿宋"/>
          <w:lang w:eastAsia="zh-CN"/>
        </w:rPr>
        <w:t>24</w:t>
      </w:r>
      <w:r>
        <w:rPr>
          <w:rFonts w:hint="eastAsia" w:ascii="仿宋" w:hAnsi="仿宋" w:eastAsia="仿宋" w:cs="仿宋"/>
          <w:lang w:eastAsia="zh-CN"/>
        </w:rPr>
        <w:t>小时内向造价咨询人提出书面报告，造价咨询人应在收到承包人报告后</w:t>
      </w:r>
      <w:r>
        <w:rPr>
          <w:rFonts w:ascii="仿宋" w:hAnsi="仿宋" w:eastAsia="仿宋" w:cs="仿宋"/>
          <w:lang w:eastAsia="zh-CN"/>
        </w:rPr>
        <w:t>24</w:t>
      </w:r>
      <w:r>
        <w:rPr>
          <w:rFonts w:hint="eastAsia" w:ascii="仿宋" w:hAnsi="仿宋" w:eastAsia="仿宋" w:cs="仿宋"/>
          <w:lang w:eastAsia="zh-CN"/>
        </w:rPr>
        <w:t>小时内做出修改指令或继续执行原指令的决定，并书面通知承包人。逾期不作出决定的，承包人可不执行造价咨询人的指令。</w:t>
      </w:r>
    </w:p>
    <w:p w14:paraId="6BEA1905">
      <w:pPr>
        <w:spacing w:line="400" w:lineRule="exact"/>
        <w:rPr>
          <w:rFonts w:ascii="仿宋" w:hAnsi="仿宋" w:eastAsia="仿宋"/>
          <w:b/>
          <w:bCs/>
          <w:lang w:eastAsia="zh-CN"/>
        </w:rPr>
      </w:pPr>
      <w:bookmarkStart w:id="272" w:name="_Toc19556"/>
      <w:r>
        <w:rPr>
          <w:rFonts w:ascii="仿宋" w:hAnsi="仿宋" w:eastAsia="仿宋" w:cs="仿宋"/>
          <w:b/>
          <w:bCs/>
          <w:lang w:eastAsia="zh-CN"/>
        </w:rPr>
        <w:t>2</w:t>
      </w:r>
      <w:r>
        <w:rPr>
          <w:rFonts w:hint="eastAsia" w:ascii="仿宋" w:hAnsi="仿宋" w:eastAsia="仿宋" w:cs="仿宋"/>
          <w:b/>
          <w:bCs/>
          <w:lang w:eastAsia="zh-CN"/>
        </w:rPr>
        <w:t>8</w:t>
      </w:r>
      <w:r>
        <w:rPr>
          <w:rFonts w:ascii="仿宋" w:hAnsi="仿宋" w:eastAsia="仿宋" w:cs="仿宋"/>
          <w:b/>
          <w:bCs/>
          <w:lang w:eastAsia="zh-CN"/>
        </w:rPr>
        <w:t>.6</w:t>
      </w:r>
      <w:bookmarkEnd w:id="272"/>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260F25BA">
      <w:pPr>
        <w:widowControl w:val="0"/>
        <w:tabs>
          <w:tab w:val="left" w:pos="1260"/>
        </w:tabs>
        <w:spacing w:line="400" w:lineRule="exact"/>
        <w:ind w:left="1850" w:leftChars="771"/>
        <w:jc w:val="both"/>
        <w:rPr>
          <w:rFonts w:ascii="仿宋" w:hAnsi="仿宋" w:eastAsia="仿宋"/>
          <w:strike/>
          <w:lang w:eastAsia="zh-CN"/>
        </w:rPr>
      </w:pPr>
      <w:r>
        <mc:AlternateContent>
          <mc:Choice Requires="wps">
            <w:drawing>
              <wp:anchor distT="0" distB="0" distL="114300" distR="114300" simplePos="0" relativeHeight="251736064" behindDoc="0" locked="0" layoutInCell="1" allowOverlap="1">
                <wp:simplePos x="0" y="0"/>
                <wp:positionH relativeFrom="column">
                  <wp:posOffset>-114300</wp:posOffset>
                </wp:positionH>
                <wp:positionV relativeFrom="paragraph">
                  <wp:posOffset>0</wp:posOffset>
                </wp:positionV>
                <wp:extent cx="794385" cy="440690"/>
                <wp:effectExtent l="0" t="0" r="0" b="0"/>
                <wp:wrapNone/>
                <wp:docPr id="105" name="文本框 774"/>
                <wp:cNvGraphicFramePr/>
                <a:graphic xmlns:a="http://schemas.openxmlformats.org/drawingml/2006/main">
                  <a:graphicData uri="http://schemas.microsoft.com/office/word/2010/wordprocessingShape">
                    <wps:wsp>
                      <wps:cNvSpPr txBox="1"/>
                      <wps:spPr>
                        <a:xfrm>
                          <a:off x="0" y="0"/>
                          <a:ext cx="794385" cy="440690"/>
                        </a:xfrm>
                        <a:prstGeom prst="rect">
                          <a:avLst/>
                        </a:prstGeom>
                        <a:noFill/>
                        <a:ln w="12700">
                          <a:noFill/>
                        </a:ln>
                      </wps:spPr>
                      <wps:txbx>
                        <w:txbxContent>
                          <w:p w14:paraId="356EF52B">
                            <w:pPr>
                              <w:spacing w:line="240" w:lineRule="exact"/>
                              <w:rPr>
                                <w:rFonts w:ascii="宋体"/>
                                <w:sz w:val="18"/>
                                <w:szCs w:val="18"/>
                              </w:rPr>
                            </w:pPr>
                            <w:r>
                              <w:rPr>
                                <w:rFonts w:hint="eastAsia" w:ascii="楷体_GB2312" w:hAnsi="宋体" w:eastAsia="楷体_GB2312" w:cs="楷体_GB2312"/>
                                <w:b/>
                                <w:bCs/>
                                <w:color w:val="000000"/>
                                <w:sz w:val="18"/>
                                <w:szCs w:val="18"/>
                              </w:rPr>
                              <w:t>造价咨询人职权委托</w:t>
                            </w:r>
                          </w:p>
                        </w:txbxContent>
                      </wps:txbx>
                      <wps:bodyPr rot="0" vert="horz" wrap="square" lIns="91440" tIns="45720" rIns="91440" bIns="45720" anchor="t" anchorCtr="0"/>
                    </wps:wsp>
                  </a:graphicData>
                </a:graphic>
              </wp:anchor>
            </w:drawing>
          </mc:Choice>
          <mc:Fallback>
            <w:pict>
              <v:shape id="文本框 774" o:spid="_x0000_s1026" o:spt="202" type="#_x0000_t202" style="position:absolute;left:0pt;margin-left:-9pt;margin-top:0pt;height:34.7pt;width:62.55pt;z-index:251736064;mso-width-relative:page;mso-height-relative:page;" filled="f" stroked="f" coordsize="21600,21600" o:gfxdata="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v&#10;VEJ01wAAAAcBAAAPAAAAAAAAAAEAIAAAACIAAABkcnMvZG93bnJldi54bWxQSwECFAAUAAAACACH&#10;TuJAAQAV9OwBAAC+AwAADgAAAAAAAAABACAAAAAmAQAAZHJzL2Uyb0RvYy54bWxQSwUGAAAAAAYA&#10;BgBZAQAAhAUAAAAA&#10;">
                <v:fill on="f" focussize="0,0"/>
                <v:stroke on="f" weight="1pt"/>
                <v:imagedata o:title=""/>
                <o:lock v:ext="edit" aspectratio="f"/>
                <v:textbox>
                  <w:txbxContent>
                    <w:p w14:paraId="356EF52B">
                      <w:pPr>
                        <w:spacing w:line="240" w:lineRule="exact"/>
                        <w:rPr>
                          <w:rFonts w:ascii="宋体"/>
                          <w:sz w:val="18"/>
                          <w:szCs w:val="18"/>
                        </w:rPr>
                      </w:pPr>
                      <w:r>
                        <w:rPr>
                          <w:rFonts w:hint="eastAsia" w:ascii="楷体_GB2312" w:hAnsi="宋体" w:eastAsia="楷体_GB2312" w:cs="楷体_GB2312"/>
                          <w:b/>
                          <w:bCs/>
                          <w:color w:val="000000"/>
                          <w:sz w:val="18"/>
                          <w:szCs w:val="18"/>
                        </w:rPr>
                        <w:t>造价咨询人职权委托</w:t>
                      </w:r>
                    </w:p>
                  </w:txbxContent>
                </v:textbox>
              </v:shape>
            </w:pict>
          </mc:Fallback>
        </mc:AlternateContent>
      </w:r>
      <w:r>
        <w:rPr>
          <w:rFonts w:hint="eastAsia" w:ascii="仿宋" w:hAnsi="仿宋" w:eastAsia="仿宋" w:cs="仿宋"/>
          <w:lang w:eastAsia="zh-CN"/>
        </w:rPr>
        <w:t>造价咨询人可按照第</w:t>
      </w:r>
      <w:r>
        <w:rPr>
          <w:rFonts w:ascii="仿宋" w:hAnsi="仿宋" w:eastAsia="仿宋" w:cs="仿宋"/>
          <w:lang w:eastAsia="zh-CN"/>
        </w:rPr>
        <w:t>2</w:t>
      </w:r>
      <w:r>
        <w:rPr>
          <w:rFonts w:hint="eastAsia" w:ascii="仿宋" w:hAnsi="仿宋" w:eastAsia="仿宋" w:cs="仿宋"/>
          <w:lang w:eastAsia="zh-CN"/>
        </w:rPr>
        <w:t>4</w:t>
      </w:r>
      <w:r>
        <w:rPr>
          <w:rFonts w:ascii="仿宋" w:hAnsi="仿宋" w:eastAsia="仿宋" w:cs="仿宋"/>
          <w:lang w:eastAsia="zh-CN"/>
        </w:rPr>
        <w:t>.3</w:t>
      </w:r>
      <w:r>
        <w:rPr>
          <w:rFonts w:hint="eastAsia" w:ascii="仿宋" w:hAnsi="仿宋" w:eastAsia="仿宋" w:cs="仿宋"/>
          <w:lang w:eastAsia="zh-CN"/>
        </w:rPr>
        <w:t>款约定授权给其任命的造价咨询人代表，亦可将其授权撤回，造价咨询人代表行使造价咨询人授予的职权，对造价咨询人负责。造价咨询人代表在造价咨询人授予职权范围内工作，造价咨询人应予认可，但造价咨询人保留发出指令以纠正造价咨询人代表工作失误的权力。</w:t>
      </w:r>
    </w:p>
    <w:p w14:paraId="3257D542">
      <w:pPr>
        <w:spacing w:line="400" w:lineRule="exact"/>
        <w:rPr>
          <w:rFonts w:ascii="仿宋" w:hAnsi="仿宋" w:eastAsia="仿宋"/>
          <w:lang w:eastAsia="zh-CN"/>
        </w:rPr>
      </w:pPr>
      <w:bookmarkStart w:id="273" w:name="_Toc15720"/>
      <w:r>
        <w:rPr>
          <w:rFonts w:ascii="仿宋" w:hAnsi="仿宋" w:eastAsia="仿宋" w:cs="仿宋"/>
          <w:b/>
          <w:bCs/>
          <w:lang w:eastAsia="zh-CN"/>
        </w:rPr>
        <w:t>2</w:t>
      </w:r>
      <w:r>
        <w:rPr>
          <w:rFonts w:hint="eastAsia" w:ascii="仿宋" w:hAnsi="仿宋" w:eastAsia="仿宋" w:cs="仿宋"/>
          <w:b/>
          <w:bCs/>
          <w:lang w:eastAsia="zh-CN"/>
        </w:rPr>
        <w:t>8</w:t>
      </w:r>
      <w:r>
        <w:rPr>
          <w:rFonts w:ascii="仿宋" w:hAnsi="仿宋" w:eastAsia="仿宋" w:cs="仿宋"/>
          <w:b/>
          <w:bCs/>
          <w:lang w:eastAsia="zh-CN"/>
        </w:rPr>
        <w:t>.7</w:t>
      </w:r>
      <w:bookmarkEnd w:id="273"/>
      <w:r>
        <w:rPr>
          <w:rFonts w:ascii="仿宋" w:hAnsi="仿宋" w:eastAsia="仿宋" w:cs="仿宋"/>
          <w:lang w:eastAsia="zh-CN"/>
        </w:rPr>
        <w:t xml:space="preserve">  </w:t>
      </w:r>
      <w:r>
        <w:rPr>
          <w:rFonts w:ascii="仿宋" w:hAnsi="仿宋" w:eastAsia="仿宋" w:cs="仿宋"/>
          <w:u w:val="dotted"/>
          <w:lang w:eastAsia="zh-CN"/>
        </w:rPr>
        <w:t xml:space="preserve">                                                                               </w:t>
      </w:r>
    </w:p>
    <w:p w14:paraId="0199B62E">
      <w:pPr>
        <w:widowControl w:val="0"/>
        <w:tabs>
          <w:tab w:val="left" w:pos="1260"/>
        </w:tabs>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737088" behindDoc="0" locked="0" layoutInCell="1" allowOverlap="1">
                <wp:simplePos x="0" y="0"/>
                <wp:positionH relativeFrom="column">
                  <wp:posOffset>-114300</wp:posOffset>
                </wp:positionH>
                <wp:positionV relativeFrom="paragraph">
                  <wp:posOffset>0</wp:posOffset>
                </wp:positionV>
                <wp:extent cx="804545" cy="592455"/>
                <wp:effectExtent l="0" t="0" r="0" b="0"/>
                <wp:wrapNone/>
                <wp:docPr id="106" name="文本框 775"/>
                <wp:cNvGraphicFramePr/>
                <a:graphic xmlns:a="http://schemas.openxmlformats.org/drawingml/2006/main">
                  <a:graphicData uri="http://schemas.microsoft.com/office/word/2010/wordprocessingShape">
                    <wps:wsp>
                      <wps:cNvSpPr txBox="1"/>
                      <wps:spPr>
                        <a:xfrm>
                          <a:off x="0" y="0"/>
                          <a:ext cx="804545" cy="592455"/>
                        </a:xfrm>
                        <a:prstGeom prst="rect">
                          <a:avLst/>
                        </a:prstGeom>
                        <a:noFill/>
                        <a:ln w="12700">
                          <a:noFill/>
                        </a:ln>
                      </wps:spPr>
                      <wps:txbx>
                        <w:txbxContent>
                          <w:p w14:paraId="187FF32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造价咨询人未尽义务或失误的责任</w:t>
                            </w:r>
                          </w:p>
                        </w:txbxContent>
                      </wps:txbx>
                      <wps:bodyPr rot="0" vert="horz" wrap="square" lIns="91440" tIns="45720" rIns="91440" bIns="45720" anchor="t" anchorCtr="0"/>
                    </wps:wsp>
                  </a:graphicData>
                </a:graphic>
              </wp:anchor>
            </w:drawing>
          </mc:Choice>
          <mc:Fallback>
            <w:pict>
              <v:shape id="文本框 775" o:spid="_x0000_s1026" o:spt="202" type="#_x0000_t202" style="position:absolute;left:0pt;margin-left:-9pt;margin-top:0pt;height:46.65pt;width:63.35pt;z-index:251737088;mso-width-relative:page;mso-height-relative:page;" filled="f" stroked="f" coordsize="21600,21600" o:gfxdata="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Ii2g5DW&#10;AAAABwEAAA8AAAAAAAAAAQAgAAAAIgAAAGRycy9kb3ducmV2LnhtbFBLAQIUABQAAAAIAIdO4kCr&#10;Xqjo6QEAAL4DAAAOAAAAAAAAAAEAIAAAACUBAABkcnMvZTJvRG9jLnhtbFBLBQYAAAAABgAGAFkB&#10;AACABQAAAAA=&#10;">
                <v:fill on="f" focussize="0,0"/>
                <v:stroke on="f" weight="1pt"/>
                <v:imagedata o:title=""/>
                <o:lock v:ext="edit" aspectratio="f"/>
                <v:textbox>
                  <w:txbxContent>
                    <w:p w14:paraId="187FF32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造价咨询人未尽义务或失误的责任</w:t>
                      </w:r>
                    </w:p>
                  </w:txbxContent>
                </v:textbox>
              </v:shape>
            </w:pict>
          </mc:Fallback>
        </mc:AlternateContent>
      </w:r>
      <w:r>
        <w:rPr>
          <w:rFonts w:hint="eastAsia" w:ascii="仿宋" w:hAnsi="仿宋" w:eastAsia="仿宋" w:cs="仿宋"/>
          <w:lang w:eastAsia="zh-CN"/>
        </w:rPr>
        <w:t>造价咨询人（含其代表）未能正确履行本合同约定的全部义务，或工作出现失误，导致费用的增加和（或）延误的工期，由发包人承担；给承包人造成损失的，发包人应予赔偿。</w:t>
      </w:r>
    </w:p>
    <w:p w14:paraId="00FDAD8A">
      <w:pPr>
        <w:tabs>
          <w:tab w:val="left" w:pos="540"/>
          <w:tab w:val="left" w:pos="720"/>
        </w:tabs>
        <w:spacing w:line="400" w:lineRule="exact"/>
        <w:rPr>
          <w:rFonts w:ascii="仿宋" w:hAnsi="仿宋" w:eastAsia="仿宋" w:cs="仿宋"/>
          <w:b/>
          <w:bCs/>
          <w:u w:val="single"/>
          <w:lang w:eastAsia="zh-CN"/>
        </w:rPr>
      </w:pPr>
      <w:r>
        <w:rPr>
          <w:rFonts w:ascii="仿宋" w:hAnsi="仿宋" w:eastAsia="仿宋" w:cs="仿宋"/>
          <w:b/>
          <w:bCs/>
          <w:u w:val="single"/>
          <w:lang w:eastAsia="zh-CN"/>
        </w:rPr>
        <w:t xml:space="preserve">                                                                                     </w:t>
      </w:r>
    </w:p>
    <w:p w14:paraId="05736DCF">
      <w:pPr>
        <w:pStyle w:val="4"/>
        <w:tabs>
          <w:tab w:val="left" w:pos="420"/>
        </w:tabs>
        <w:spacing w:before="0" w:after="0" w:line="400" w:lineRule="exact"/>
        <w:rPr>
          <w:rFonts w:ascii="仿宋" w:hAnsi="仿宋" w:eastAsia="仿宋"/>
          <w:sz w:val="24"/>
          <w:szCs w:val="24"/>
          <w:lang w:eastAsia="zh-CN"/>
        </w:rPr>
      </w:pPr>
      <w:bookmarkStart w:id="274" w:name="_Toc10356"/>
      <w:bookmarkStart w:id="275" w:name="_Toc194073135"/>
      <w:bookmarkStart w:id="276" w:name="_Toc26940"/>
      <w:bookmarkStart w:id="277" w:name="_Toc12202"/>
      <w:r>
        <w:rPr>
          <w:rFonts w:ascii="仿宋" w:hAnsi="仿宋" w:eastAsia="仿宋" w:cs="仿宋"/>
          <w:sz w:val="24"/>
          <w:szCs w:val="24"/>
          <w:lang w:eastAsia="zh-CN"/>
        </w:rPr>
        <w:t>2</w:t>
      </w:r>
      <w:r>
        <w:rPr>
          <w:rFonts w:hint="eastAsia" w:ascii="仿宋" w:hAnsi="仿宋" w:eastAsia="仿宋" w:cs="仿宋"/>
          <w:sz w:val="24"/>
          <w:szCs w:val="24"/>
          <w:lang w:eastAsia="zh-CN"/>
        </w:rPr>
        <w:t>9</w:t>
      </w:r>
      <w:r>
        <w:rPr>
          <w:rFonts w:ascii="仿宋" w:hAnsi="仿宋" w:eastAsia="仿宋" w:cs="仿宋"/>
          <w:sz w:val="24"/>
          <w:szCs w:val="24"/>
          <w:lang w:eastAsia="zh-CN"/>
        </w:rPr>
        <w:t xml:space="preserve">  </w:t>
      </w:r>
      <w:r>
        <w:rPr>
          <w:rFonts w:hint="eastAsia" w:ascii="仿宋" w:hAnsi="仿宋" w:eastAsia="仿宋" w:cs="仿宋"/>
          <w:sz w:val="24"/>
          <w:szCs w:val="24"/>
          <w:lang w:eastAsia="zh-CN"/>
        </w:rPr>
        <w:t>承包人代表及其专业负责人</w:t>
      </w:r>
      <w:bookmarkEnd w:id="274"/>
      <w:bookmarkEnd w:id="275"/>
      <w:bookmarkEnd w:id="276"/>
      <w:bookmarkEnd w:id="277"/>
    </w:p>
    <w:p w14:paraId="49BB0401">
      <w:pPr>
        <w:spacing w:line="400" w:lineRule="exact"/>
        <w:rPr>
          <w:rFonts w:ascii="仿宋" w:hAnsi="仿宋" w:eastAsia="仿宋"/>
          <w:b/>
          <w:bCs/>
          <w:lang w:eastAsia="zh-CN"/>
        </w:rPr>
      </w:pPr>
      <w:bookmarkStart w:id="278" w:name="_Toc8589"/>
      <w:r>
        <w:rPr>
          <w:rFonts w:ascii="仿宋" w:hAnsi="仿宋" w:eastAsia="仿宋" w:cs="仿宋"/>
          <w:b/>
          <w:bCs/>
          <w:lang w:eastAsia="zh-CN"/>
        </w:rPr>
        <w:t>2</w:t>
      </w:r>
      <w:r>
        <w:rPr>
          <w:rFonts w:hint="eastAsia" w:ascii="仿宋" w:hAnsi="仿宋" w:eastAsia="仿宋" w:cs="仿宋"/>
          <w:b/>
          <w:bCs/>
          <w:lang w:eastAsia="zh-CN"/>
        </w:rPr>
        <w:t>9</w:t>
      </w:r>
      <w:r>
        <w:rPr>
          <w:rFonts w:ascii="仿宋" w:hAnsi="仿宋" w:eastAsia="仿宋" w:cs="仿宋"/>
          <w:b/>
          <w:bCs/>
          <w:lang w:eastAsia="zh-CN"/>
        </w:rPr>
        <w:t>.1</w:t>
      </w:r>
      <w:bookmarkEnd w:id="278"/>
      <w:r>
        <w:rPr>
          <w:rFonts w:hint="eastAsia" w:ascii="仿宋" w:hAnsi="仿宋" w:eastAsia="仿宋" w:cs="仿宋"/>
          <w:b/>
          <w:bCs/>
          <w:lang w:eastAsia="zh-CN"/>
        </w:rPr>
        <w:tab/>
      </w:r>
    </w:p>
    <w:p w14:paraId="7743190A">
      <w:pPr>
        <w:widowControl w:val="0"/>
        <w:tabs>
          <w:tab w:val="left" w:pos="1260"/>
        </w:tabs>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738112" behindDoc="0" locked="0" layoutInCell="1" allowOverlap="1">
                <wp:simplePos x="0" y="0"/>
                <wp:positionH relativeFrom="column">
                  <wp:posOffset>-114300</wp:posOffset>
                </wp:positionH>
                <wp:positionV relativeFrom="paragraph">
                  <wp:posOffset>0</wp:posOffset>
                </wp:positionV>
                <wp:extent cx="832485" cy="481965"/>
                <wp:effectExtent l="0" t="0" r="0" b="0"/>
                <wp:wrapNone/>
                <wp:docPr id="107" name="文本框 776"/>
                <wp:cNvGraphicFramePr/>
                <a:graphic xmlns:a="http://schemas.openxmlformats.org/drawingml/2006/main">
                  <a:graphicData uri="http://schemas.microsoft.com/office/word/2010/wordprocessingShape">
                    <wps:wsp>
                      <wps:cNvSpPr txBox="1"/>
                      <wps:spPr>
                        <a:xfrm>
                          <a:off x="0" y="0"/>
                          <a:ext cx="832485" cy="481965"/>
                        </a:xfrm>
                        <a:prstGeom prst="rect">
                          <a:avLst/>
                        </a:prstGeom>
                        <a:noFill/>
                        <a:ln w="12700">
                          <a:noFill/>
                        </a:ln>
                      </wps:spPr>
                      <wps:txbx>
                        <w:txbxContent>
                          <w:p w14:paraId="7095C64C">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txbxContent>
                      </wps:txbx>
                      <wps:bodyPr rot="0" vert="horz" wrap="square" lIns="91440" tIns="45720" rIns="91440" bIns="45720" anchor="t" anchorCtr="0"/>
                    </wps:wsp>
                  </a:graphicData>
                </a:graphic>
              </wp:anchor>
            </w:drawing>
          </mc:Choice>
          <mc:Fallback>
            <w:pict>
              <v:shape id="文本框 776" o:spid="_x0000_s1026" o:spt="202" type="#_x0000_t202" style="position:absolute;left:0pt;margin-left:-9pt;margin-top:0pt;height:37.95pt;width:65.55pt;z-index:251738112;mso-width-relative:page;mso-height-relative:page;" filled="f" stroked="f" coordsize="21600,21600" o:gfxdata="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VX&#10;VWrXAAAABwEAAA8AAAAAAAAAAQAgAAAAIgAAAGRycy9kb3ducmV2LnhtbFBLAQIUABQAAAAIAIdO&#10;4kBZOwVL6wEAAL4DAAAOAAAAAAAAAAEAIAAAACYBAABkcnMvZTJvRG9jLnhtbFBLBQYAAAAABgAG&#10;AFkBAACDBQAAAAA=&#10;">
                <v:fill on="f" focussize="0,0"/>
                <v:stroke on="f" weight="1pt"/>
                <v:imagedata o:title=""/>
                <o:lock v:ext="edit" aspectratio="f"/>
                <v:textbox>
                  <w:txbxContent>
                    <w:p w14:paraId="7095C64C">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txbxContent>
                </v:textbox>
              </v:shape>
            </w:pict>
          </mc:Fallback>
        </mc:AlternateContent>
      </w:r>
      <w:r>
        <w:rPr>
          <w:rFonts w:hint="eastAsia" w:ascii="仿宋" w:hAnsi="仿宋" w:eastAsia="仿宋" w:cs="仿宋"/>
          <w:lang w:eastAsia="zh-CN"/>
        </w:rPr>
        <w:t>承包人应依据第</w:t>
      </w:r>
      <w:r>
        <w:rPr>
          <w:rFonts w:ascii="仿宋" w:hAnsi="仿宋" w:eastAsia="仿宋" w:cs="仿宋"/>
          <w:lang w:eastAsia="zh-CN"/>
        </w:rPr>
        <w:t>2</w:t>
      </w:r>
      <w:r>
        <w:rPr>
          <w:rFonts w:hint="eastAsia" w:ascii="仿宋" w:hAnsi="仿宋" w:eastAsia="仿宋" w:cs="仿宋"/>
          <w:lang w:eastAsia="zh-CN"/>
        </w:rPr>
        <w:t>4</w:t>
      </w:r>
      <w:r>
        <w:rPr>
          <w:rFonts w:ascii="仿宋" w:hAnsi="仿宋" w:eastAsia="仿宋" w:cs="仿宋"/>
          <w:lang w:eastAsia="zh-CN"/>
        </w:rPr>
        <w:t>.2</w:t>
      </w:r>
      <w:r>
        <w:rPr>
          <w:rFonts w:hint="eastAsia" w:ascii="仿宋" w:hAnsi="仿宋" w:eastAsia="仿宋" w:cs="仿宋"/>
          <w:lang w:eastAsia="zh-CN"/>
        </w:rPr>
        <w:t>款约定在专用条款中写明承包人代表及其专业负责人具体人选，同时在开始工作前将承包人代表及其专业负责人以书面形式通知发包人，授予承包人代表代表承包人履行合同约定职责所需的一切权力，授予专业负责人履行合同约定本专业职责所需的一定权力。</w:t>
      </w:r>
    </w:p>
    <w:p w14:paraId="104E85AA">
      <w:pPr>
        <w:spacing w:line="400" w:lineRule="exact"/>
        <w:rPr>
          <w:rFonts w:ascii="仿宋" w:hAnsi="仿宋" w:eastAsia="仿宋"/>
          <w:b/>
          <w:bCs/>
          <w:lang w:eastAsia="zh-CN"/>
        </w:rPr>
      </w:pPr>
      <w:bookmarkStart w:id="279" w:name="_Toc18916"/>
      <w:r>
        <w:rPr>
          <w:rFonts w:ascii="仿宋" w:hAnsi="仿宋" w:eastAsia="仿宋" w:cs="仿宋"/>
          <w:b/>
          <w:bCs/>
          <w:lang w:eastAsia="zh-CN"/>
        </w:rPr>
        <w:t>2</w:t>
      </w:r>
      <w:r>
        <w:rPr>
          <w:rFonts w:hint="eastAsia" w:ascii="仿宋" w:hAnsi="仿宋" w:eastAsia="仿宋" w:cs="仿宋"/>
          <w:b/>
          <w:bCs/>
          <w:lang w:eastAsia="zh-CN"/>
        </w:rPr>
        <w:t>9</w:t>
      </w:r>
      <w:r>
        <w:rPr>
          <w:rFonts w:ascii="仿宋" w:hAnsi="仿宋" w:eastAsia="仿宋" w:cs="仿宋"/>
          <w:b/>
          <w:bCs/>
          <w:lang w:eastAsia="zh-CN"/>
        </w:rPr>
        <w:t>.2</w:t>
      </w:r>
      <w:bookmarkEnd w:id="279"/>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6A4027D6">
      <w:pPr>
        <w:widowControl w:val="0"/>
        <w:tabs>
          <w:tab w:val="left" w:pos="1260"/>
        </w:tabs>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739136" behindDoc="0" locked="0" layoutInCell="1" allowOverlap="1">
                <wp:simplePos x="0" y="0"/>
                <wp:positionH relativeFrom="column">
                  <wp:posOffset>-114300</wp:posOffset>
                </wp:positionH>
                <wp:positionV relativeFrom="paragraph">
                  <wp:posOffset>7620</wp:posOffset>
                </wp:positionV>
                <wp:extent cx="847090" cy="527050"/>
                <wp:effectExtent l="0" t="0" r="0" b="0"/>
                <wp:wrapNone/>
                <wp:docPr id="108" name="文本框 777"/>
                <wp:cNvGraphicFramePr/>
                <a:graphic xmlns:a="http://schemas.openxmlformats.org/drawingml/2006/main">
                  <a:graphicData uri="http://schemas.microsoft.com/office/word/2010/wordprocessingShape">
                    <wps:wsp>
                      <wps:cNvSpPr txBox="1"/>
                      <wps:spPr>
                        <a:xfrm>
                          <a:off x="0" y="0"/>
                          <a:ext cx="847090" cy="527050"/>
                        </a:xfrm>
                        <a:prstGeom prst="rect">
                          <a:avLst/>
                        </a:prstGeom>
                        <a:noFill/>
                        <a:ln w="12700">
                          <a:noFill/>
                        </a:ln>
                      </wps:spPr>
                      <wps:txbx>
                        <w:txbxContent>
                          <w:p w14:paraId="2F776271">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承包人代表及其专业负责人职权</w:t>
                            </w:r>
                          </w:p>
                        </w:txbxContent>
                      </wps:txbx>
                      <wps:bodyPr rot="0" vert="horz" wrap="square" lIns="91440" tIns="45720" rIns="91440" bIns="45720" anchor="t" anchorCtr="0"/>
                    </wps:wsp>
                  </a:graphicData>
                </a:graphic>
              </wp:anchor>
            </w:drawing>
          </mc:Choice>
          <mc:Fallback>
            <w:pict>
              <v:shape id="文本框 777" o:spid="_x0000_s1026" o:spt="202" type="#_x0000_t202" style="position:absolute;left:0pt;margin-left:-9pt;margin-top:0.6pt;height:41.5pt;width:66.7pt;z-index:251739136;mso-width-relative:page;mso-height-relative:page;" filled="f" stroked="f" coordsize="21600,21600" o:gfxdata="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hKvqPW&#10;AAAACAEAAA8AAAAAAAAAAQAgAAAAIgAAAGRycy9kb3ducmV2LnhtbFBLAQIUABQAAAAIAIdO4kAz&#10;cgod6QEAAL4DAAAOAAAAAAAAAAEAIAAAACUBAABkcnMvZTJvRG9jLnhtbFBLBQYAAAAABgAGAFkB&#10;AACABQAAAAA=&#10;">
                <v:fill on="f" focussize="0,0"/>
                <v:stroke on="f" weight="1pt"/>
                <v:imagedata o:title=""/>
                <o:lock v:ext="edit" aspectratio="f"/>
                <v:textbox>
                  <w:txbxContent>
                    <w:p w14:paraId="2F776271">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承包人代表及其专业负责人职权</w:t>
                      </w:r>
                    </w:p>
                  </w:txbxContent>
                </v:textbox>
              </v:shape>
            </w:pict>
          </mc:Fallback>
        </mc:AlternateContent>
      </w:r>
      <w:r>
        <w:rPr>
          <w:rFonts w:hint="eastAsia" w:ascii="仿宋" w:hAnsi="仿宋" w:eastAsia="仿宋" w:cs="仿宋"/>
          <w:lang w:eastAsia="zh-CN"/>
        </w:rPr>
        <w:t>承包人代表应代表承包人履行合同约定的职责、行使合同明文约定或必然隐含的权力，对承包人负责。承包人代表在承包人授予职权范围内的工作，承包人应予认可。专业负责人负责本专业相关技术和管理工作，对承包人及承包人代表负责。</w:t>
      </w:r>
    </w:p>
    <w:p w14:paraId="30E3BDEE">
      <w:pPr>
        <w:spacing w:line="400" w:lineRule="exact"/>
        <w:rPr>
          <w:rFonts w:ascii="仿宋" w:hAnsi="仿宋" w:eastAsia="仿宋"/>
          <w:b/>
          <w:bCs/>
          <w:lang w:eastAsia="zh-CN"/>
        </w:rPr>
      </w:pPr>
      <w:bookmarkStart w:id="280" w:name="_Toc3838"/>
      <w:r>
        <w:rPr>
          <w:rFonts w:ascii="仿宋" w:hAnsi="仿宋" w:eastAsia="仿宋" w:cs="仿宋"/>
          <w:b/>
          <w:bCs/>
          <w:lang w:eastAsia="zh-CN"/>
        </w:rPr>
        <w:t>2</w:t>
      </w:r>
      <w:r>
        <w:rPr>
          <w:rFonts w:hint="eastAsia" w:ascii="仿宋" w:hAnsi="仿宋" w:eastAsia="仿宋" w:cs="仿宋"/>
          <w:b/>
          <w:bCs/>
          <w:lang w:eastAsia="zh-CN"/>
        </w:rPr>
        <w:t>9</w:t>
      </w:r>
      <w:r>
        <w:rPr>
          <w:rFonts w:ascii="仿宋" w:hAnsi="仿宋" w:eastAsia="仿宋" w:cs="仿宋"/>
          <w:b/>
          <w:bCs/>
          <w:lang w:eastAsia="zh-CN"/>
        </w:rPr>
        <w:t>.3</w:t>
      </w:r>
      <w:bookmarkEnd w:id="280"/>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7519C8B9">
      <w:pPr>
        <w:widowControl w:val="0"/>
        <w:tabs>
          <w:tab w:val="left" w:pos="1260"/>
        </w:tabs>
        <w:spacing w:line="400" w:lineRule="exact"/>
        <w:ind w:left="1850" w:leftChars="771"/>
        <w:jc w:val="both"/>
        <w:rPr>
          <w:rFonts w:ascii="仿宋" w:hAnsi="仿宋" w:eastAsia="仿宋" w:cs="仿宋"/>
          <w:lang w:eastAsia="zh-CN"/>
        </w:rPr>
      </w:pPr>
      <w:r>
        <w:rPr>
          <w:rFonts w:ascii="仿宋" w:hAnsi="仿宋" w:eastAsia="仿宋"/>
        </w:rPr>
        <mc:AlternateContent>
          <mc:Choice Requires="wps">
            <w:drawing>
              <wp:anchor distT="0" distB="0" distL="114300" distR="114300" simplePos="0" relativeHeight="251740160" behindDoc="0" locked="0" layoutInCell="1" allowOverlap="1">
                <wp:simplePos x="0" y="0"/>
                <wp:positionH relativeFrom="column">
                  <wp:posOffset>-114300</wp:posOffset>
                </wp:positionH>
                <wp:positionV relativeFrom="paragraph">
                  <wp:posOffset>0</wp:posOffset>
                </wp:positionV>
                <wp:extent cx="870585" cy="621030"/>
                <wp:effectExtent l="0" t="0" r="0" b="0"/>
                <wp:wrapNone/>
                <wp:docPr id="109" name="文本框 778"/>
                <wp:cNvGraphicFramePr/>
                <a:graphic xmlns:a="http://schemas.openxmlformats.org/drawingml/2006/main">
                  <a:graphicData uri="http://schemas.microsoft.com/office/word/2010/wordprocessingShape">
                    <wps:wsp>
                      <wps:cNvSpPr txBox="1"/>
                      <wps:spPr>
                        <a:xfrm>
                          <a:off x="0" y="0"/>
                          <a:ext cx="870585" cy="621030"/>
                        </a:xfrm>
                        <a:prstGeom prst="rect">
                          <a:avLst/>
                        </a:prstGeom>
                        <a:noFill/>
                        <a:ln w="12700">
                          <a:noFill/>
                        </a:ln>
                      </wps:spPr>
                      <wps:txbx>
                        <w:txbxContent>
                          <w:p w14:paraId="6ACD962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承包人代表临时任命人职权</w:t>
                            </w:r>
                          </w:p>
                        </w:txbxContent>
                      </wps:txbx>
                      <wps:bodyPr rot="0" vert="horz" wrap="square" lIns="91440" tIns="45720" rIns="91440" bIns="45720" anchor="t" anchorCtr="0"/>
                    </wps:wsp>
                  </a:graphicData>
                </a:graphic>
              </wp:anchor>
            </w:drawing>
          </mc:Choice>
          <mc:Fallback>
            <w:pict>
              <v:shape id="文本框 778" o:spid="_x0000_s1026" o:spt="202" type="#_x0000_t202" style="position:absolute;left:0pt;margin-left:-9pt;margin-top:0pt;height:48.9pt;width:68.55pt;z-index:251740160;mso-width-relative:page;mso-height-relative:page;" filled="f" stroked="f" coordsize="21600,21600" o:gfxdata="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A79y&#10;qtYAAAAHAQAADwAAAAAAAAABACAAAAAiAAAAZHJzL2Rvd25yZXYueG1sUEsBAhQAFAAAAAgAh07i&#10;QHNuocbrAQAAvgMAAA4AAAAAAAAAAQAgAAAAJQEAAGRycy9lMm9Eb2MueG1sUEsFBgAAAAAGAAYA&#10;WQEAAIIFAAAAAA==&#10;">
                <v:fill on="f" focussize="0,0"/>
                <v:stroke on="f" weight="1pt"/>
                <v:imagedata o:title=""/>
                <o:lock v:ext="edit" aspectratio="f"/>
                <v:textbox>
                  <w:txbxContent>
                    <w:p w14:paraId="6ACD962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承包人代表临时任命人职权</w:t>
                      </w:r>
                    </w:p>
                  </w:txbxContent>
                </v:textbox>
              </v:shape>
            </w:pict>
          </mc:Fallback>
        </mc:AlternateContent>
      </w:r>
      <w:r>
        <w:rPr>
          <w:rFonts w:hint="eastAsia" w:ascii="仿宋" w:hAnsi="仿宋" w:eastAsia="仿宋" w:cs="仿宋"/>
          <w:lang w:eastAsia="zh-CN"/>
        </w:rPr>
        <w:t>如果承包人代表在合同履行期间确需暂离现场，则应在监理人代表同意下，授权给其任命的合格人选，亦可将其授权撤回。任命的人选行使承包人代表授予的职权，对承包人代表负责。该人选在</w:t>
      </w:r>
      <w:r>
        <w:rPr>
          <w:rFonts w:hint="eastAsia" w:ascii="仿宋" w:hAnsi="仿宋" w:eastAsia="仿宋"/>
          <w:lang w:eastAsia="zh-CN"/>
        </w:rPr>
        <w:t>承包人</w:t>
      </w:r>
      <w:r>
        <w:rPr>
          <w:rFonts w:hint="eastAsia" w:ascii="仿宋" w:hAnsi="仿宋" w:eastAsia="仿宋" w:cs="仿宋"/>
          <w:lang w:eastAsia="zh-CN"/>
        </w:rPr>
        <w:t>代表授予职权范围内的工作，承包人代表应予认可，但承包人代表保留发出通知以纠正被授权人工作失误的权力。</w:t>
      </w:r>
    </w:p>
    <w:p w14:paraId="1FB66381">
      <w:pPr>
        <w:spacing w:line="400" w:lineRule="exact"/>
        <w:rPr>
          <w:rFonts w:ascii="仿宋" w:hAnsi="仿宋" w:eastAsia="仿宋"/>
          <w:b/>
          <w:bCs/>
          <w:lang w:eastAsia="zh-CN"/>
        </w:rPr>
      </w:pPr>
      <w:bookmarkStart w:id="281" w:name="_Toc2688"/>
      <w:r>
        <w:rPr>
          <w:rFonts w:ascii="仿宋" w:hAnsi="仿宋" w:eastAsia="仿宋" w:cs="仿宋"/>
          <w:b/>
          <w:bCs/>
          <w:lang w:eastAsia="zh-CN"/>
        </w:rPr>
        <w:t>2</w:t>
      </w:r>
      <w:r>
        <w:rPr>
          <w:rFonts w:hint="eastAsia" w:ascii="仿宋" w:hAnsi="仿宋" w:eastAsia="仿宋" w:cs="仿宋"/>
          <w:b/>
          <w:bCs/>
          <w:lang w:eastAsia="zh-CN"/>
        </w:rPr>
        <w:t>9</w:t>
      </w:r>
      <w:r>
        <w:rPr>
          <w:rFonts w:ascii="仿宋" w:hAnsi="仿宋" w:eastAsia="仿宋" w:cs="仿宋"/>
          <w:b/>
          <w:bCs/>
          <w:lang w:eastAsia="zh-CN"/>
        </w:rPr>
        <w:t>.4</w:t>
      </w:r>
      <w:bookmarkEnd w:id="281"/>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11B4164D">
      <w:pPr>
        <w:widowControl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741184" behindDoc="0" locked="0" layoutInCell="1" allowOverlap="1">
                <wp:simplePos x="0" y="0"/>
                <wp:positionH relativeFrom="column">
                  <wp:posOffset>-114300</wp:posOffset>
                </wp:positionH>
                <wp:positionV relativeFrom="paragraph">
                  <wp:posOffset>0</wp:posOffset>
                </wp:positionV>
                <wp:extent cx="756920" cy="993775"/>
                <wp:effectExtent l="0" t="0" r="0" b="0"/>
                <wp:wrapNone/>
                <wp:docPr id="110" name="文本框 779"/>
                <wp:cNvGraphicFramePr/>
                <a:graphic xmlns:a="http://schemas.openxmlformats.org/drawingml/2006/main">
                  <a:graphicData uri="http://schemas.microsoft.com/office/word/2010/wordprocessingShape">
                    <wps:wsp>
                      <wps:cNvSpPr txBox="1"/>
                      <wps:spPr>
                        <a:xfrm>
                          <a:off x="0" y="0"/>
                          <a:ext cx="756920" cy="993775"/>
                        </a:xfrm>
                        <a:prstGeom prst="rect">
                          <a:avLst/>
                        </a:prstGeom>
                        <a:noFill/>
                        <a:ln w="12700">
                          <a:noFill/>
                        </a:ln>
                      </wps:spPr>
                      <wps:txbx>
                        <w:txbxContent>
                          <w:p w14:paraId="2B49E919">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紧急情况时承包人代表采取措施及双方责任</w:t>
                            </w:r>
                          </w:p>
                        </w:txbxContent>
                      </wps:txbx>
                      <wps:bodyPr rot="0" vert="horz" wrap="square" lIns="91440" tIns="45720" rIns="91440" bIns="45720" anchor="t" anchorCtr="0"/>
                    </wps:wsp>
                  </a:graphicData>
                </a:graphic>
              </wp:anchor>
            </w:drawing>
          </mc:Choice>
          <mc:Fallback>
            <w:pict>
              <v:shape id="文本框 779" o:spid="_x0000_s1026" o:spt="202" type="#_x0000_t202" style="position:absolute;left:0pt;margin-left:-9pt;margin-top:0pt;height:78.25pt;width:59.6pt;z-index:251741184;mso-width-relative:page;mso-height-relative:page;" filled="f" stroked="f" coordsize="21600,21600" o:gfxdata="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qEWtr&#10;1wAAAAgBAAAPAAAAAAAAAAEAIAAAACIAAABkcnMvZG93bnJldi54bWxQSwECFAAUAAAACACHTuJA&#10;T4BIbOkBAAC+AwAADgAAAAAAAAABACAAAAAmAQAAZHJzL2Uyb0RvYy54bWxQSwUGAAAAAAYABgBZ&#10;AQAAgQUAAAAA&#10;">
                <v:fill on="f" focussize="0,0"/>
                <v:stroke on="f" weight="1pt"/>
                <v:imagedata o:title=""/>
                <o:lock v:ext="edit" aspectratio="f"/>
                <v:textbox>
                  <w:txbxContent>
                    <w:p w14:paraId="2B49E919">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紧急情况时承包人代表采取措施及双方责任</w:t>
                      </w:r>
                    </w:p>
                  </w:txbxContent>
                </v:textbox>
              </v:shape>
            </w:pict>
          </mc:Fallback>
        </mc:AlternateContent>
      </w:r>
      <w:r>
        <w:rPr>
          <w:rFonts w:hint="eastAsia" w:ascii="仿宋" w:hAnsi="仿宋" w:eastAsia="仿宋" w:cs="仿宋"/>
          <w:lang w:eastAsia="zh-CN"/>
        </w:rPr>
        <w:t>承包人代表按照经发包人认可的施工组织设计和监理人发出的指令组织施工。在紧急情况下，且无法与监理人代表取得联系时，承包人代表应立即采取保证人员生命和工程、财产安全的有效措施，并在采取措施后</w:t>
      </w:r>
      <w:r>
        <w:rPr>
          <w:rFonts w:ascii="仿宋" w:hAnsi="仿宋" w:eastAsia="仿宋" w:cs="仿宋"/>
          <w:lang w:eastAsia="zh-CN"/>
        </w:rPr>
        <w:t>48</w:t>
      </w:r>
      <w:r>
        <w:rPr>
          <w:rFonts w:hint="eastAsia" w:ascii="仿宋" w:hAnsi="仿宋" w:eastAsia="仿宋" w:cs="仿宋"/>
          <w:lang w:eastAsia="zh-CN"/>
        </w:rPr>
        <w:t>小时内向监理人提交书面报告，通知发包人。属于发包人或第三方责任的，其发生的费用和（或）延误的工期由发包人承担，并支付承包人合理利润；属于承包人责任的，其发生的费用和（或）延误的工期由承包人承担。</w:t>
      </w:r>
    </w:p>
    <w:p w14:paraId="63277289">
      <w:pPr>
        <w:pStyle w:val="22"/>
        <w:tabs>
          <w:tab w:val="left" w:pos="540"/>
        </w:tabs>
        <w:adjustRightInd w:val="0"/>
        <w:snapToGrid w:val="0"/>
        <w:spacing w:line="400" w:lineRule="exact"/>
        <w:rPr>
          <w:rFonts w:ascii="仿宋" w:hAnsi="仿宋" w:eastAsia="仿宋" w:cs="仿宋"/>
          <w:b/>
          <w:bCs/>
          <w:sz w:val="24"/>
          <w:szCs w:val="24"/>
          <w:u w:val="single"/>
          <w:lang w:eastAsia="zh-CN"/>
        </w:rPr>
      </w:pPr>
      <w:r>
        <w:rPr>
          <w:rFonts w:ascii="仿宋" w:hAnsi="仿宋" w:eastAsia="仿宋" w:cs="仿宋"/>
          <w:b/>
          <w:bCs/>
          <w:sz w:val="24"/>
          <w:szCs w:val="24"/>
          <w:u w:val="single"/>
          <w:lang w:eastAsia="zh-CN"/>
        </w:rPr>
        <w:t xml:space="preserve">                                                                                     </w:t>
      </w:r>
    </w:p>
    <w:p w14:paraId="38AB9BFA">
      <w:pPr>
        <w:pStyle w:val="4"/>
        <w:tabs>
          <w:tab w:val="left" w:pos="420"/>
        </w:tabs>
        <w:spacing w:before="0" w:after="0" w:line="400" w:lineRule="exact"/>
        <w:rPr>
          <w:rFonts w:ascii="仿宋" w:hAnsi="仿宋" w:eastAsia="仿宋"/>
          <w:bCs w:val="0"/>
          <w:sz w:val="24"/>
          <w:szCs w:val="24"/>
          <w:lang w:eastAsia="zh-CN"/>
        </w:rPr>
      </w:pPr>
      <w:bookmarkStart w:id="282" w:name="_Toc2851"/>
      <w:bookmarkStart w:id="283" w:name="_Toc194073136"/>
      <w:bookmarkStart w:id="284" w:name="_Toc29537"/>
      <w:bookmarkStart w:id="285" w:name="_Toc14423"/>
      <w:r>
        <w:rPr>
          <w:rFonts w:hint="eastAsia" w:ascii="仿宋" w:hAnsi="仿宋" w:eastAsia="仿宋" w:cs="仿宋"/>
          <w:bCs w:val="0"/>
          <w:sz w:val="24"/>
          <w:szCs w:val="24"/>
          <w:lang w:eastAsia="zh-CN"/>
        </w:rPr>
        <w:t>30</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指定分包人</w:t>
      </w:r>
      <w:bookmarkEnd w:id="282"/>
      <w:bookmarkEnd w:id="283"/>
      <w:bookmarkEnd w:id="284"/>
      <w:bookmarkEnd w:id="285"/>
    </w:p>
    <w:p w14:paraId="6A3D6A71">
      <w:pPr>
        <w:spacing w:line="400" w:lineRule="exact"/>
        <w:rPr>
          <w:rFonts w:ascii="仿宋" w:hAnsi="仿宋" w:eastAsia="仿宋"/>
          <w:b/>
          <w:bCs/>
          <w:lang w:eastAsia="zh-CN"/>
        </w:rPr>
      </w:pPr>
      <w:bookmarkStart w:id="286" w:name="_Toc3665"/>
      <w:r>
        <w:rPr>
          <w:rFonts w:hint="eastAsia" w:ascii="仿宋" w:hAnsi="仿宋" w:eastAsia="仿宋" w:cs="仿宋"/>
          <w:b/>
          <w:bCs/>
          <w:lang w:eastAsia="zh-CN"/>
        </w:rPr>
        <w:t>30</w:t>
      </w:r>
      <w:r>
        <w:rPr>
          <w:rFonts w:ascii="仿宋" w:hAnsi="仿宋" w:eastAsia="仿宋" w:cs="仿宋"/>
          <w:b/>
          <w:bCs/>
          <w:lang w:eastAsia="zh-CN"/>
        </w:rPr>
        <w:t>.1</w:t>
      </w:r>
      <w:bookmarkEnd w:id="286"/>
    </w:p>
    <w:p w14:paraId="4DB55CA0">
      <w:pPr>
        <w:widowControl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742208" behindDoc="0" locked="0" layoutInCell="1" allowOverlap="1">
                <wp:simplePos x="0" y="0"/>
                <wp:positionH relativeFrom="column">
                  <wp:posOffset>-114300</wp:posOffset>
                </wp:positionH>
                <wp:positionV relativeFrom="paragraph">
                  <wp:posOffset>60325</wp:posOffset>
                </wp:positionV>
                <wp:extent cx="822960" cy="483235"/>
                <wp:effectExtent l="0" t="0" r="0" b="0"/>
                <wp:wrapNone/>
                <wp:docPr id="111" name="文本框 780"/>
                <wp:cNvGraphicFramePr/>
                <a:graphic xmlns:a="http://schemas.openxmlformats.org/drawingml/2006/main">
                  <a:graphicData uri="http://schemas.microsoft.com/office/word/2010/wordprocessingShape">
                    <wps:wsp>
                      <wps:cNvSpPr txBox="1"/>
                      <wps:spPr>
                        <a:xfrm>
                          <a:off x="0" y="0"/>
                          <a:ext cx="822960" cy="483235"/>
                        </a:xfrm>
                        <a:prstGeom prst="rect">
                          <a:avLst/>
                        </a:prstGeom>
                        <a:noFill/>
                        <a:ln w="12700">
                          <a:noFill/>
                        </a:ln>
                      </wps:spPr>
                      <wps:txbx>
                        <w:txbxContent>
                          <w:p w14:paraId="62D18E8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txbxContent>
                      </wps:txbx>
                      <wps:bodyPr rot="0" vert="horz" wrap="square" lIns="91440" tIns="45720" rIns="91440" bIns="45720" anchor="t" anchorCtr="0"/>
                    </wps:wsp>
                  </a:graphicData>
                </a:graphic>
              </wp:anchor>
            </w:drawing>
          </mc:Choice>
          <mc:Fallback>
            <w:pict>
              <v:shape id="文本框 780" o:spid="_x0000_s1026" o:spt="202" type="#_x0000_t202" style="position:absolute;left:0pt;margin-left:-9pt;margin-top:4.75pt;height:38.05pt;width:64.8pt;z-index:251742208;mso-width-relative:page;mso-height-relative:page;" filled="f" stroked="f" coordsize="21600,21600" o:gfxdata="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0waHTX&#10;AAAACAEAAA8AAAAAAAAAAQAgAAAAIgAAAGRycy9kb3ducmV2LnhtbFBLAQIUABQAAAAIAIdO4kCL&#10;6x+k6AEAAL4DAAAOAAAAAAAAAAEAIAAAACYBAABkcnMvZTJvRG9jLnhtbFBLBQYAAAAABgAGAFkB&#10;AACABQAAAAA=&#10;">
                <v:fill on="f" focussize="0,0"/>
                <v:stroke on="f" weight="1pt"/>
                <v:imagedata o:title=""/>
                <o:lock v:ext="edit" aspectratio="f"/>
                <v:textbox>
                  <w:txbxContent>
                    <w:p w14:paraId="62D18E8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txbxContent>
                </v:textbox>
              </v:shape>
            </w:pict>
          </mc:Fallback>
        </mc:AlternateContent>
      </w:r>
      <w:r>
        <w:rPr>
          <w:rFonts w:hint="eastAsia" w:ascii="仿宋" w:hAnsi="仿宋" w:eastAsia="仿宋" w:cs="仿宋"/>
          <w:lang w:eastAsia="zh-CN"/>
        </w:rPr>
        <w:t>指定分包人是指发包人事先指定的从事下列工作之一的分包人：</w:t>
      </w:r>
    </w:p>
    <w:p w14:paraId="75523963">
      <w:pPr>
        <w:widowControl w:val="0"/>
        <w:spacing w:line="400" w:lineRule="exact"/>
        <w:ind w:left="1850" w:leftChars="771"/>
        <w:jc w:val="both"/>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1</w:t>
      </w:r>
      <w:r>
        <w:rPr>
          <w:rFonts w:hint="eastAsia" w:ascii="仿宋" w:hAnsi="仿宋" w:eastAsia="仿宋" w:cs="仿宋"/>
          <w:lang w:eastAsia="zh-CN"/>
        </w:rPr>
        <w:t>）根据专用条款的约定，发包人依法事先指定的实施、完成部分永久工程的分包人；</w:t>
      </w:r>
    </w:p>
    <w:p w14:paraId="50CEAAC6">
      <w:pPr>
        <w:widowControl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w:t>
      </w:r>
      <w:r>
        <w:rPr>
          <w:rFonts w:ascii="仿宋" w:hAnsi="仿宋" w:eastAsia="仿宋" w:cs="仿宋"/>
          <w:lang w:eastAsia="zh-CN"/>
        </w:rPr>
        <w:t>2</w:t>
      </w:r>
      <w:r>
        <w:rPr>
          <w:rFonts w:hint="eastAsia" w:ascii="仿宋" w:hAnsi="仿宋" w:eastAsia="仿宋" w:cs="仿宋"/>
          <w:lang w:eastAsia="zh-CN"/>
        </w:rPr>
        <w:t>）根据专用条款的约定，发包人选定的提供合同工程材料、工程设备和服务的分包人；</w:t>
      </w:r>
    </w:p>
    <w:p w14:paraId="7A8E05A6">
      <w:pPr>
        <w:widowControl w:val="0"/>
        <w:spacing w:line="400" w:lineRule="exact"/>
        <w:ind w:left="1850" w:leftChars="771"/>
        <w:jc w:val="both"/>
        <w:rPr>
          <w:rFonts w:ascii="仿宋" w:hAnsi="仿宋" w:eastAsia="仿宋"/>
          <w:lang w:eastAsia="zh-CN"/>
        </w:rPr>
      </w:pPr>
      <w:r>
        <w:rPr>
          <w:rFonts w:hint="eastAsia" w:ascii="仿宋" w:hAnsi="仿宋" w:eastAsia="仿宋" w:cs="仿宋"/>
          <w:lang w:eastAsia="zh-CN"/>
        </w:rPr>
        <w:t>（3）根据专用条款的约定，发包人选定的提供部分专业服务的分包人。</w:t>
      </w:r>
    </w:p>
    <w:p w14:paraId="3FD25FE3">
      <w:pPr>
        <w:spacing w:line="400" w:lineRule="exact"/>
        <w:rPr>
          <w:rFonts w:ascii="仿宋" w:hAnsi="仿宋" w:eastAsia="仿宋"/>
          <w:b/>
          <w:bCs/>
          <w:lang w:eastAsia="zh-CN"/>
        </w:rPr>
      </w:pPr>
      <w:bookmarkStart w:id="287" w:name="_Toc4859"/>
      <w:r>
        <w:rPr>
          <w:rFonts w:hint="eastAsia" w:ascii="仿宋" w:hAnsi="仿宋" w:eastAsia="仿宋" w:cs="仿宋"/>
          <w:b/>
          <w:bCs/>
          <w:lang w:eastAsia="zh-CN"/>
        </w:rPr>
        <w:t>30</w:t>
      </w:r>
      <w:r>
        <w:rPr>
          <w:rFonts w:ascii="仿宋" w:hAnsi="仿宋" w:eastAsia="仿宋" w:cs="仿宋"/>
          <w:b/>
          <w:bCs/>
          <w:lang w:eastAsia="zh-CN"/>
        </w:rPr>
        <w:t>.2</w:t>
      </w:r>
      <w:bookmarkEnd w:id="287"/>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1EB8E68A">
      <w:pPr>
        <w:widowControl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743232" behindDoc="0" locked="0" layoutInCell="1" allowOverlap="1">
                <wp:simplePos x="0" y="0"/>
                <wp:positionH relativeFrom="column">
                  <wp:posOffset>-114300</wp:posOffset>
                </wp:positionH>
                <wp:positionV relativeFrom="paragraph">
                  <wp:posOffset>0</wp:posOffset>
                </wp:positionV>
                <wp:extent cx="866775" cy="556895"/>
                <wp:effectExtent l="0" t="0" r="0" b="0"/>
                <wp:wrapNone/>
                <wp:docPr id="112" name="文本框 781"/>
                <wp:cNvGraphicFramePr/>
                <a:graphic xmlns:a="http://schemas.openxmlformats.org/drawingml/2006/main">
                  <a:graphicData uri="http://schemas.microsoft.com/office/word/2010/wordprocessingShape">
                    <wps:wsp>
                      <wps:cNvSpPr txBox="1"/>
                      <wps:spPr>
                        <a:xfrm>
                          <a:off x="0" y="0"/>
                          <a:ext cx="866775" cy="556895"/>
                        </a:xfrm>
                        <a:prstGeom prst="rect">
                          <a:avLst/>
                        </a:prstGeom>
                        <a:noFill/>
                        <a:ln w="12700">
                          <a:noFill/>
                        </a:ln>
                      </wps:spPr>
                      <wps:txbx>
                        <w:txbxContent>
                          <w:p w14:paraId="72AC68B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承包人对指定分包人的接受</w:t>
                            </w:r>
                          </w:p>
                        </w:txbxContent>
                      </wps:txbx>
                      <wps:bodyPr rot="0" vert="horz" wrap="square" lIns="91440" tIns="45720" rIns="91440" bIns="45720" anchor="t" anchorCtr="0"/>
                    </wps:wsp>
                  </a:graphicData>
                </a:graphic>
              </wp:anchor>
            </w:drawing>
          </mc:Choice>
          <mc:Fallback>
            <w:pict>
              <v:shape id="文本框 781" o:spid="_x0000_s1026" o:spt="202" type="#_x0000_t202" style="position:absolute;left:0pt;margin-left:-9pt;margin-top:0pt;height:43.85pt;width:68.25pt;z-index:251743232;mso-width-relative:page;mso-height-relative:page;" filled="f" stroked="f" coordsize="21600,21600" o:gfxdata="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LPMMW&#10;1gAAAAcBAAAPAAAAAAAAAAEAIAAAACIAAABkcnMvZG93bnJldi54bWxQSwECFAAUAAAACACHTuJA&#10;mU3Bd+oBAAC+AwAADgAAAAAAAAABACAAAAAlAQAAZHJzL2Uyb0RvYy54bWxQSwUGAAAAAAYABgBZ&#10;AQAAgQUAAAAA&#10;">
                <v:fill on="f" focussize="0,0"/>
                <v:stroke on="f" weight="1pt"/>
                <v:imagedata o:title=""/>
                <o:lock v:ext="edit" aspectratio="f"/>
                <v:textbox>
                  <w:txbxContent>
                    <w:p w14:paraId="72AC68B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承包人对指定分包人的接受</w:t>
                      </w:r>
                    </w:p>
                  </w:txbxContent>
                </v:textbox>
              </v:shape>
            </w:pict>
          </mc:Fallback>
        </mc:AlternateContent>
      </w:r>
      <w:r>
        <w:rPr>
          <w:rFonts w:hint="eastAsia" w:ascii="仿宋" w:hAnsi="仿宋" w:eastAsia="仿宋" w:cs="仿宋"/>
          <w:lang w:eastAsia="zh-CN"/>
        </w:rPr>
        <w:t>指定分包人属于承包人的分包人，发包人不应要求承包人有义务接受承包人有理由反对的任何指定分包人。</w:t>
      </w:r>
    </w:p>
    <w:p w14:paraId="1CD57926">
      <w:pPr>
        <w:spacing w:line="400" w:lineRule="exact"/>
        <w:rPr>
          <w:rFonts w:ascii="仿宋" w:hAnsi="仿宋" w:eastAsia="仿宋"/>
          <w:b/>
          <w:bCs/>
          <w:u w:val="dotted"/>
          <w:lang w:eastAsia="zh-CN"/>
        </w:rPr>
      </w:pPr>
      <w:bookmarkStart w:id="288" w:name="_Toc16892"/>
      <w:r>
        <w:rPr>
          <w:rFonts w:ascii="仿宋" w:hAnsi="仿宋" w:eastAsia="仿宋" w:cs="仿宋"/>
          <w:b/>
          <w:bCs/>
        </w:rPr>
        <mc:AlternateContent>
          <mc:Choice Requires="wps">
            <w:drawing>
              <wp:anchor distT="0" distB="0" distL="114300" distR="114300" simplePos="0" relativeHeight="251988992" behindDoc="0" locked="0" layoutInCell="1" allowOverlap="1">
                <wp:simplePos x="0" y="0"/>
                <wp:positionH relativeFrom="column">
                  <wp:posOffset>-114300</wp:posOffset>
                </wp:positionH>
                <wp:positionV relativeFrom="paragraph">
                  <wp:posOffset>237490</wp:posOffset>
                </wp:positionV>
                <wp:extent cx="856615" cy="678180"/>
                <wp:effectExtent l="0" t="0" r="0" b="0"/>
                <wp:wrapNone/>
                <wp:docPr id="113" name="文本框 782"/>
                <wp:cNvGraphicFramePr/>
                <a:graphic xmlns:a="http://schemas.openxmlformats.org/drawingml/2006/main">
                  <a:graphicData uri="http://schemas.microsoft.com/office/word/2010/wordprocessingShape">
                    <wps:wsp>
                      <wps:cNvSpPr txBox="1"/>
                      <wps:spPr>
                        <a:xfrm>
                          <a:off x="0" y="0"/>
                          <a:ext cx="856615" cy="678180"/>
                        </a:xfrm>
                        <a:prstGeom prst="rect">
                          <a:avLst/>
                        </a:prstGeom>
                        <a:noFill/>
                        <a:ln w="12700">
                          <a:noFill/>
                        </a:ln>
                      </wps:spPr>
                      <wps:txbx>
                        <w:txbxContent>
                          <w:p w14:paraId="0F2491A2">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指定分包工程款结算与支付</w:t>
                            </w:r>
                          </w:p>
                        </w:txbxContent>
                      </wps:txbx>
                      <wps:bodyPr rot="0" vert="horz" wrap="square" lIns="91440" tIns="45720" rIns="91440" bIns="45720" anchor="t" anchorCtr="0"/>
                    </wps:wsp>
                  </a:graphicData>
                </a:graphic>
              </wp:anchor>
            </w:drawing>
          </mc:Choice>
          <mc:Fallback>
            <w:pict>
              <v:shape id="文本框 782" o:spid="_x0000_s1026" o:spt="202" type="#_x0000_t202" style="position:absolute;left:0pt;margin-left:-9pt;margin-top:18.7pt;height:53.4pt;width:67.45pt;z-index:251988992;mso-width-relative:page;mso-height-relative:page;" filled="f" stroked="f" coordsize="21600,21600" o:gfxdata="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rmzDdkAAAAKAQAADwAAAAAAAAABACAAAAAiAAAAZHJzL2Rvd25yZXYueG1sUEsBAhQAFAAAAAgA&#10;h07iQGxBbV/rAQAAvgMAAA4AAAAAAAAAAQAgAAAAKAEAAGRycy9lMm9Eb2MueG1sUEsFBgAAAAAG&#10;AAYAWQEAAIUFAAAAAA==&#10;">
                <v:fill on="f" focussize="0,0"/>
                <v:stroke on="f" weight="1pt"/>
                <v:imagedata o:title=""/>
                <o:lock v:ext="edit" aspectratio="f"/>
                <v:textbox>
                  <w:txbxContent>
                    <w:p w14:paraId="0F2491A2">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指定分包工程款结算与支付</w:t>
                      </w:r>
                    </w:p>
                  </w:txbxContent>
                </v:textbox>
              </v:shape>
            </w:pict>
          </mc:Fallback>
        </mc:AlternateContent>
      </w:r>
      <w:r>
        <w:rPr>
          <w:rFonts w:hint="eastAsia" w:ascii="仿宋" w:hAnsi="仿宋" w:eastAsia="仿宋" w:cs="仿宋"/>
          <w:b/>
          <w:bCs/>
          <w:lang w:eastAsia="zh-CN"/>
        </w:rPr>
        <w:t>30</w:t>
      </w:r>
      <w:r>
        <w:rPr>
          <w:rFonts w:ascii="仿宋" w:hAnsi="仿宋" w:eastAsia="仿宋" w:cs="仿宋"/>
          <w:b/>
          <w:bCs/>
          <w:lang w:eastAsia="zh-CN"/>
        </w:rPr>
        <w:t>.3</w:t>
      </w:r>
      <w:bookmarkEnd w:id="288"/>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6B522238">
      <w:pPr>
        <w:widowControl w:val="0"/>
        <w:spacing w:line="400" w:lineRule="exact"/>
        <w:ind w:left="1850" w:leftChars="771"/>
        <w:jc w:val="both"/>
        <w:rPr>
          <w:rFonts w:ascii="仿宋" w:hAnsi="仿宋" w:eastAsia="仿宋"/>
          <w:lang w:eastAsia="zh-CN"/>
        </w:rPr>
      </w:pPr>
      <w:r>
        <w:rPr>
          <w:rFonts w:hint="eastAsia" w:ascii="仿宋" w:hAnsi="仿宋" w:eastAsia="仿宋" w:cs="仿宋"/>
          <w:lang w:eastAsia="zh-CN"/>
        </w:rPr>
        <w:t>发包人应按照合同的约定向承包人支付指定分包人的分包工程配合费。指定分包工程款的结算与支付，按照第10</w:t>
      </w:r>
      <w:r>
        <w:rPr>
          <w:rFonts w:ascii="仿宋" w:hAnsi="仿宋" w:eastAsia="仿宋" w:cs="仿宋"/>
          <w:lang w:eastAsia="zh-CN"/>
        </w:rPr>
        <w:t>.4</w:t>
      </w:r>
      <w:r>
        <w:rPr>
          <w:rFonts w:hint="eastAsia" w:ascii="仿宋" w:hAnsi="仿宋" w:eastAsia="仿宋" w:cs="仿宋"/>
          <w:lang w:eastAsia="zh-CN"/>
        </w:rPr>
        <w:t>款办理。</w:t>
      </w:r>
    </w:p>
    <w:p w14:paraId="54A66C7A">
      <w:pPr>
        <w:spacing w:line="400" w:lineRule="exact"/>
        <w:rPr>
          <w:rFonts w:ascii="仿宋" w:hAnsi="仿宋" w:eastAsia="仿宋"/>
          <w:b/>
          <w:bCs/>
          <w:u w:val="dotted"/>
          <w:lang w:eastAsia="zh-CN"/>
        </w:rPr>
      </w:pPr>
      <w:bookmarkStart w:id="289" w:name="_Toc20846"/>
      <w:r>
        <w:rPr>
          <w:rFonts w:ascii="仿宋" w:hAnsi="仿宋" w:eastAsia="仿宋" w:cs="仿宋"/>
          <w:b/>
          <w:bCs/>
        </w:rPr>
        <mc:AlternateContent>
          <mc:Choice Requires="wps">
            <w:drawing>
              <wp:anchor distT="0" distB="0" distL="114300" distR="114300" simplePos="0" relativeHeight="251990016" behindDoc="0" locked="0" layoutInCell="1" allowOverlap="1">
                <wp:simplePos x="0" y="0"/>
                <wp:positionH relativeFrom="column">
                  <wp:posOffset>-66675</wp:posOffset>
                </wp:positionH>
                <wp:positionV relativeFrom="paragraph">
                  <wp:posOffset>199390</wp:posOffset>
                </wp:positionV>
                <wp:extent cx="829310" cy="583565"/>
                <wp:effectExtent l="0" t="0" r="0" b="0"/>
                <wp:wrapNone/>
                <wp:docPr id="114" name="文本框 783"/>
                <wp:cNvGraphicFramePr/>
                <a:graphic xmlns:a="http://schemas.openxmlformats.org/drawingml/2006/main">
                  <a:graphicData uri="http://schemas.microsoft.com/office/word/2010/wordprocessingShape">
                    <wps:wsp>
                      <wps:cNvSpPr txBox="1"/>
                      <wps:spPr>
                        <a:xfrm>
                          <a:off x="0" y="0"/>
                          <a:ext cx="829310" cy="583565"/>
                        </a:xfrm>
                        <a:prstGeom prst="rect">
                          <a:avLst/>
                        </a:prstGeom>
                        <a:noFill/>
                        <a:ln w="12700">
                          <a:noFill/>
                        </a:ln>
                      </wps:spPr>
                      <wps:txbx>
                        <w:txbxContent>
                          <w:p w14:paraId="0F6E3272">
                            <w:pPr>
                              <w:rPr>
                                <w:lang w:eastAsia="zh-CN"/>
                              </w:rPr>
                            </w:pPr>
                            <w:r>
                              <w:rPr>
                                <w:rFonts w:hint="eastAsia" w:ascii="楷体_GB2312" w:hAnsi="宋体" w:eastAsia="楷体_GB2312" w:cs="楷体_GB2312"/>
                                <w:b/>
                                <w:bCs/>
                                <w:color w:val="000000"/>
                                <w:sz w:val="18"/>
                                <w:szCs w:val="18"/>
                                <w:lang w:eastAsia="zh-CN"/>
                              </w:rPr>
                              <w:t>承包人对指定分包工程的义务</w:t>
                            </w:r>
                          </w:p>
                        </w:txbxContent>
                      </wps:txbx>
                      <wps:bodyPr rot="0" vert="horz" wrap="square" lIns="91440" tIns="45720" rIns="91440" bIns="45720" anchor="t" anchorCtr="0"/>
                    </wps:wsp>
                  </a:graphicData>
                </a:graphic>
              </wp:anchor>
            </w:drawing>
          </mc:Choice>
          <mc:Fallback>
            <w:pict>
              <v:shape id="文本框 783" o:spid="_x0000_s1026" o:spt="202" type="#_x0000_t202" style="position:absolute;left:0pt;margin-left:-5.25pt;margin-top:15.7pt;height:45.95pt;width:65.3pt;z-index:251990016;mso-width-relative:page;mso-height-relative:page;" filled="f" stroked="f" coordsize="21600,21600" o:gfxdata="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BdRk&#10;htcAAAAKAQAADwAAAAAAAAABACAAAAAiAAAAZHJzL2Rvd25yZXYueG1sUEsBAhQAFAAAAAgAh07i&#10;QDhmpqfqAQAAvgMAAA4AAAAAAAAAAQAgAAAAJgEAAGRycy9lMm9Eb2MueG1sUEsFBgAAAAAGAAYA&#10;WQEAAIIFAAAAAA==&#10;">
                <v:fill on="f" focussize="0,0"/>
                <v:stroke on="f" weight="1pt"/>
                <v:imagedata o:title=""/>
                <o:lock v:ext="edit" aspectratio="f"/>
                <v:textbox>
                  <w:txbxContent>
                    <w:p w14:paraId="0F6E3272">
                      <w:pPr>
                        <w:rPr>
                          <w:lang w:eastAsia="zh-CN"/>
                        </w:rPr>
                      </w:pPr>
                      <w:r>
                        <w:rPr>
                          <w:rFonts w:hint="eastAsia" w:ascii="楷体_GB2312" w:hAnsi="宋体" w:eastAsia="楷体_GB2312" w:cs="楷体_GB2312"/>
                          <w:b/>
                          <w:bCs/>
                          <w:color w:val="000000"/>
                          <w:sz w:val="18"/>
                          <w:szCs w:val="18"/>
                          <w:lang w:eastAsia="zh-CN"/>
                        </w:rPr>
                        <w:t>承包人对指定分包工程的义务</w:t>
                      </w:r>
                    </w:p>
                  </w:txbxContent>
                </v:textbox>
              </v:shape>
            </w:pict>
          </mc:Fallback>
        </mc:AlternateContent>
      </w:r>
      <w:r>
        <w:rPr>
          <w:rFonts w:hint="eastAsia" w:ascii="仿宋" w:hAnsi="仿宋" w:eastAsia="仿宋" w:cs="仿宋"/>
          <w:b/>
          <w:bCs/>
          <w:lang w:eastAsia="zh-CN"/>
        </w:rPr>
        <w:t>30</w:t>
      </w:r>
      <w:r>
        <w:rPr>
          <w:rFonts w:ascii="仿宋" w:hAnsi="仿宋" w:eastAsia="仿宋" w:cs="仿宋"/>
          <w:b/>
          <w:bCs/>
          <w:lang w:eastAsia="zh-CN"/>
        </w:rPr>
        <w:t>.4</w:t>
      </w:r>
      <w:bookmarkEnd w:id="289"/>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3D7100DF">
      <w:pPr>
        <w:widowControl w:val="0"/>
        <w:spacing w:line="400" w:lineRule="exact"/>
        <w:ind w:left="1850" w:leftChars="771"/>
        <w:jc w:val="both"/>
        <w:rPr>
          <w:rFonts w:ascii="仿宋" w:hAnsi="仿宋" w:eastAsia="仿宋"/>
          <w:lang w:eastAsia="zh-CN"/>
        </w:rPr>
      </w:pPr>
      <w:r>
        <w:rPr>
          <w:rFonts w:hint="eastAsia" w:ascii="仿宋" w:hAnsi="仿宋" w:eastAsia="仿宋" w:cs="仿宋"/>
          <w:lang w:eastAsia="zh-CN"/>
        </w:rPr>
        <w:t>指定分包人应按照分包合同的约定对承包人负责。承包人有义务协助、配合指定分包人实施分包工程。</w:t>
      </w:r>
    </w:p>
    <w:p w14:paraId="2577AA48">
      <w:pPr>
        <w:spacing w:line="400" w:lineRule="exact"/>
        <w:rPr>
          <w:rFonts w:ascii="仿宋" w:hAnsi="仿宋" w:eastAsia="仿宋"/>
          <w:b/>
          <w:bCs/>
          <w:u w:val="single"/>
          <w:lang w:eastAsia="zh-CN"/>
        </w:rPr>
      </w:pPr>
      <w:r>
        <w:rPr>
          <w:rFonts w:ascii="仿宋" w:hAnsi="仿宋" w:eastAsia="仿宋" w:cs="仿宋"/>
          <w:b/>
          <w:bCs/>
          <w:u w:val="single"/>
          <w:lang w:eastAsia="zh-CN"/>
        </w:rPr>
        <w:t xml:space="preserve">                                                                                     </w:t>
      </w:r>
    </w:p>
    <w:p w14:paraId="0BC5F03D">
      <w:pPr>
        <w:pStyle w:val="4"/>
        <w:tabs>
          <w:tab w:val="left" w:pos="420"/>
        </w:tabs>
        <w:spacing w:before="0" w:after="0" w:line="400" w:lineRule="exact"/>
        <w:rPr>
          <w:rFonts w:ascii="仿宋" w:hAnsi="仿宋" w:eastAsia="仿宋"/>
          <w:bCs w:val="0"/>
          <w:sz w:val="24"/>
          <w:szCs w:val="24"/>
          <w:lang w:eastAsia="zh-CN"/>
        </w:rPr>
      </w:pPr>
      <w:bookmarkStart w:id="290" w:name="_Toc11534"/>
      <w:bookmarkStart w:id="291" w:name="_Toc194073137"/>
      <w:bookmarkStart w:id="292" w:name="_Toc18909"/>
      <w:bookmarkStart w:id="293" w:name="_Toc8546"/>
      <w:r>
        <w:rPr>
          <w:rFonts w:hint="eastAsia" w:ascii="仿宋" w:hAnsi="仿宋" w:eastAsia="仿宋" w:cs="仿宋"/>
          <w:bCs w:val="0"/>
          <w:sz w:val="24"/>
          <w:szCs w:val="24"/>
          <w:lang w:eastAsia="zh-CN"/>
        </w:rPr>
        <w:t>31</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 xml:space="preserve"> 承包人劳务</w:t>
      </w:r>
      <w:bookmarkEnd w:id="290"/>
      <w:bookmarkEnd w:id="291"/>
      <w:bookmarkEnd w:id="292"/>
      <w:bookmarkEnd w:id="293"/>
    </w:p>
    <w:p w14:paraId="5B22A45C">
      <w:pPr>
        <w:spacing w:line="400" w:lineRule="exact"/>
        <w:rPr>
          <w:rFonts w:ascii="仿宋" w:hAnsi="仿宋" w:eastAsia="仿宋"/>
          <w:b/>
          <w:bCs/>
          <w:lang w:eastAsia="zh-CN"/>
        </w:rPr>
      </w:pPr>
      <w:bookmarkStart w:id="294" w:name="_Toc27515"/>
      <w:r>
        <w:rPr>
          <w:rFonts w:hint="eastAsia" w:ascii="仿宋" w:hAnsi="仿宋" w:eastAsia="仿宋" w:cs="仿宋"/>
          <w:b/>
          <w:bCs/>
          <w:lang w:eastAsia="zh-CN"/>
        </w:rPr>
        <w:t>31</w:t>
      </w:r>
      <w:r>
        <w:rPr>
          <w:rFonts w:ascii="仿宋" w:hAnsi="仿宋" w:eastAsia="仿宋" w:cs="仿宋"/>
          <w:b/>
          <w:bCs/>
          <w:lang w:eastAsia="zh-CN"/>
        </w:rPr>
        <w:t>.1</w:t>
      </w:r>
      <w:bookmarkEnd w:id="294"/>
    </w:p>
    <w:p w14:paraId="4B9C6578">
      <w:pPr>
        <w:widowControl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744256" behindDoc="0" locked="0" layoutInCell="1" allowOverlap="1">
                <wp:simplePos x="0" y="0"/>
                <wp:positionH relativeFrom="column">
                  <wp:posOffset>-114300</wp:posOffset>
                </wp:positionH>
                <wp:positionV relativeFrom="paragraph">
                  <wp:posOffset>8255</wp:posOffset>
                </wp:positionV>
                <wp:extent cx="794385" cy="577850"/>
                <wp:effectExtent l="0" t="0" r="0" b="0"/>
                <wp:wrapNone/>
                <wp:docPr id="115" name="文本框 784"/>
                <wp:cNvGraphicFramePr/>
                <a:graphic xmlns:a="http://schemas.openxmlformats.org/drawingml/2006/main">
                  <a:graphicData uri="http://schemas.microsoft.com/office/word/2010/wordprocessingShape">
                    <wps:wsp>
                      <wps:cNvSpPr txBox="1"/>
                      <wps:spPr>
                        <a:xfrm>
                          <a:off x="0" y="0"/>
                          <a:ext cx="794385" cy="577850"/>
                        </a:xfrm>
                        <a:prstGeom prst="rect">
                          <a:avLst/>
                        </a:prstGeom>
                        <a:noFill/>
                        <a:ln w="12700">
                          <a:noFill/>
                        </a:ln>
                      </wps:spPr>
                      <wps:txbx>
                        <w:txbxContent>
                          <w:p w14:paraId="1CF1F07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承包人提交施工机构安排报告</w:t>
                            </w:r>
                          </w:p>
                        </w:txbxContent>
                      </wps:txbx>
                      <wps:bodyPr rot="0" vert="horz" wrap="square" lIns="91440" tIns="45720" rIns="91440" bIns="45720" anchor="t" anchorCtr="0"/>
                    </wps:wsp>
                  </a:graphicData>
                </a:graphic>
              </wp:anchor>
            </w:drawing>
          </mc:Choice>
          <mc:Fallback>
            <w:pict>
              <v:shape id="文本框 784" o:spid="_x0000_s1026" o:spt="202" type="#_x0000_t202" style="position:absolute;left:0pt;margin-left:-9pt;margin-top:0.65pt;height:45.5pt;width:62.55pt;z-index:251744256;mso-width-relative:page;mso-height-relative:page;" filled="f" stroked="f" coordsize="21600,21600" o:gfxdata="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9FN0&#10;ldYAAAAIAQAADwAAAAAAAAABACAAAAAiAAAAZHJzL2Rvd25yZXYueG1sUEsBAhQAFAAAAAgAh07i&#10;QF3ahurrAQAAvgMAAA4AAAAAAAAAAQAgAAAAJQEAAGRycy9lMm9Eb2MueG1sUEsFBgAAAAAGAAYA&#10;WQEAAIIFAAAAAA==&#10;">
                <v:fill on="f" focussize="0,0"/>
                <v:stroke on="f" weight="1pt"/>
                <v:imagedata o:title=""/>
                <o:lock v:ext="edit" aspectratio="f"/>
                <v:textbox>
                  <w:txbxContent>
                    <w:p w14:paraId="1CF1F07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承包人提交施工机构安排报告</w:t>
                      </w:r>
                    </w:p>
                  </w:txbxContent>
                </v:textbox>
              </v:shape>
            </w:pict>
          </mc:Fallback>
        </mc:AlternateContent>
      </w:r>
      <w:r>
        <w:rPr>
          <w:rFonts w:hint="eastAsia" w:ascii="仿宋" w:hAnsi="仿宋" w:eastAsia="仿宋" w:cs="仿宋"/>
          <w:lang w:eastAsia="zh-CN"/>
        </w:rPr>
        <w:t>承包人应在接到开工令后</w:t>
      </w:r>
      <w:r>
        <w:rPr>
          <w:rFonts w:ascii="仿宋" w:hAnsi="仿宋" w:eastAsia="仿宋" w:cs="仿宋"/>
          <w:lang w:eastAsia="zh-CN"/>
        </w:rPr>
        <w:t>28</w:t>
      </w:r>
      <w:r>
        <w:rPr>
          <w:rFonts w:hint="eastAsia" w:ascii="仿宋" w:hAnsi="仿宋" w:eastAsia="仿宋" w:cs="仿宋"/>
          <w:lang w:eastAsia="zh-CN"/>
        </w:rPr>
        <w:t>天内，向监理人提交承包人在施工场地的管理机构以及人员安排报告，并附上“主要人员一览表”。报告内容应包括管理机构的设置、各主要岗位的技术和管理人员名单及其资格，以及各工种技术工人的安排情况等。招标发包工程，“主要人员一览表”应与投标文件中的相应内容一致。</w:t>
      </w:r>
    </w:p>
    <w:p w14:paraId="43CAD62A">
      <w:pPr>
        <w:spacing w:line="400" w:lineRule="exact"/>
        <w:rPr>
          <w:rFonts w:ascii="仿宋" w:hAnsi="仿宋" w:eastAsia="仿宋" w:cs="仿宋"/>
          <w:b/>
          <w:bCs/>
          <w:lang w:eastAsia="zh-CN"/>
        </w:rPr>
      </w:pPr>
      <w:bookmarkStart w:id="295" w:name="_Toc31849"/>
      <w:r>
        <w:rPr>
          <w:rFonts w:hint="eastAsia" w:ascii="仿宋" w:hAnsi="仿宋" w:eastAsia="仿宋" w:cs="仿宋"/>
          <w:b/>
          <w:bCs/>
          <w:lang w:eastAsia="zh-CN"/>
        </w:rPr>
        <w:t>31</w:t>
      </w:r>
      <w:r>
        <w:rPr>
          <w:rFonts w:ascii="仿宋" w:hAnsi="仿宋" w:eastAsia="仿宋" w:cs="仿宋"/>
          <w:b/>
          <w:bCs/>
          <w:lang w:eastAsia="zh-CN"/>
        </w:rPr>
        <w:t>.2</w:t>
      </w:r>
      <w:bookmarkEnd w:id="295"/>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2CF40234">
      <w:pPr>
        <w:widowControl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745280" behindDoc="0" locked="0" layoutInCell="1" allowOverlap="1">
                <wp:simplePos x="0" y="0"/>
                <wp:positionH relativeFrom="column">
                  <wp:posOffset>-114300</wp:posOffset>
                </wp:positionH>
                <wp:positionV relativeFrom="paragraph">
                  <wp:posOffset>8255</wp:posOffset>
                </wp:positionV>
                <wp:extent cx="785495" cy="449580"/>
                <wp:effectExtent l="0" t="0" r="0" b="0"/>
                <wp:wrapNone/>
                <wp:docPr id="116" name="文本框 785"/>
                <wp:cNvGraphicFramePr/>
                <a:graphic xmlns:a="http://schemas.openxmlformats.org/drawingml/2006/main">
                  <a:graphicData uri="http://schemas.microsoft.com/office/word/2010/wordprocessingShape">
                    <wps:wsp>
                      <wps:cNvSpPr txBox="1"/>
                      <wps:spPr>
                        <a:xfrm>
                          <a:off x="0" y="0"/>
                          <a:ext cx="785495" cy="449580"/>
                        </a:xfrm>
                        <a:prstGeom prst="rect">
                          <a:avLst/>
                        </a:prstGeom>
                        <a:noFill/>
                        <a:ln w="12700">
                          <a:noFill/>
                        </a:ln>
                      </wps:spPr>
                      <wps:txbx>
                        <w:txbxContent>
                          <w:p w14:paraId="4CD8D96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txbxContent>
                      </wps:txbx>
                      <wps:bodyPr rot="0" vert="horz" wrap="square" lIns="91440" tIns="45720" rIns="91440" bIns="45720" anchor="t" anchorCtr="0"/>
                    </wps:wsp>
                  </a:graphicData>
                </a:graphic>
              </wp:anchor>
            </w:drawing>
          </mc:Choice>
          <mc:Fallback>
            <w:pict>
              <v:shape id="文本框 785" o:spid="_x0000_s1026" o:spt="202" type="#_x0000_t202" style="position:absolute;left:0pt;margin-left:-9pt;margin-top:0.65pt;height:35.4pt;width:61.85pt;z-index:251745280;mso-width-relative:page;mso-height-relative:page;" filled="f" stroked="f" coordsize="21600,21600" o:gfxdata="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I/j2N&#10;1gAAAAgBAAAPAAAAAAAAAAEAIAAAACIAAABkcnMvZG93bnJldi54bWxQSwECFAAUAAAACACHTuJA&#10;LaDq8uoBAAC+AwAADgAAAAAAAAABACAAAAAlAQAAZHJzL2Uyb0RvYy54bWxQSwUGAAAAAAYABgBZ&#10;AQAAgQUAAAAA&#10;">
                <v:fill on="f" focussize="0,0"/>
                <v:stroke on="f" weight="1pt"/>
                <v:imagedata o:title=""/>
                <o:lock v:ext="edit" aspectratio="f"/>
                <v:textbox>
                  <w:txbxContent>
                    <w:p w14:paraId="4CD8D96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txbxContent>
                </v:textbox>
              </v:shape>
            </w:pict>
          </mc:Fallback>
        </mc:AlternateContent>
      </w:r>
      <w:r>
        <w:rPr>
          <w:rFonts w:hint="eastAsia" w:ascii="仿宋" w:hAnsi="仿宋" w:eastAsia="仿宋" w:cs="仿宋"/>
          <w:lang w:eastAsia="zh-CN"/>
        </w:rPr>
        <w:t>承包人除应雇佣投标文件中“主要人员一览表”中指明的人员外，也可以雇佣经监理人批准的其他人员，但不得从发包人或服务于发包人的人员中雇佣人员。</w:t>
      </w:r>
    </w:p>
    <w:p w14:paraId="4F9218C5">
      <w:pPr>
        <w:spacing w:line="400" w:lineRule="exact"/>
        <w:rPr>
          <w:rFonts w:ascii="仿宋" w:hAnsi="仿宋" w:eastAsia="仿宋"/>
          <w:b/>
          <w:bCs/>
          <w:lang w:eastAsia="zh-CN"/>
        </w:rPr>
      </w:pPr>
      <w:bookmarkStart w:id="296" w:name="_Toc25755"/>
      <w:r>
        <w:rPr>
          <w:rFonts w:hint="eastAsia" w:ascii="仿宋" w:hAnsi="仿宋" w:eastAsia="仿宋" w:cs="仿宋"/>
          <w:b/>
          <w:bCs/>
          <w:lang w:eastAsia="zh-CN"/>
        </w:rPr>
        <w:t>31</w:t>
      </w:r>
      <w:r>
        <w:rPr>
          <w:rFonts w:ascii="仿宋" w:hAnsi="仿宋" w:eastAsia="仿宋" w:cs="仿宋"/>
          <w:b/>
          <w:bCs/>
          <w:lang w:eastAsia="zh-CN"/>
        </w:rPr>
        <w:t>.3</w:t>
      </w:r>
      <w:bookmarkEnd w:id="296"/>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4E884373">
      <w:pPr>
        <w:widowControl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746304" behindDoc="0" locked="0" layoutInCell="1" allowOverlap="1">
                <wp:simplePos x="0" y="0"/>
                <wp:positionH relativeFrom="column">
                  <wp:posOffset>-114300</wp:posOffset>
                </wp:positionH>
                <wp:positionV relativeFrom="paragraph">
                  <wp:posOffset>59690</wp:posOffset>
                </wp:positionV>
                <wp:extent cx="833120" cy="806450"/>
                <wp:effectExtent l="0" t="0" r="0" b="0"/>
                <wp:wrapNone/>
                <wp:docPr id="117" name="文本框 786"/>
                <wp:cNvGraphicFramePr/>
                <a:graphic xmlns:a="http://schemas.openxmlformats.org/drawingml/2006/main">
                  <a:graphicData uri="http://schemas.microsoft.com/office/word/2010/wordprocessingShape">
                    <wps:wsp>
                      <wps:cNvSpPr txBox="1"/>
                      <wps:spPr>
                        <a:xfrm>
                          <a:off x="0" y="0"/>
                          <a:ext cx="833120" cy="806450"/>
                        </a:xfrm>
                        <a:prstGeom prst="rect">
                          <a:avLst/>
                        </a:prstGeom>
                        <a:noFill/>
                        <a:ln w="12700">
                          <a:noFill/>
                        </a:ln>
                      </wps:spPr>
                      <wps:txbx>
                        <w:txbxContent>
                          <w:p w14:paraId="19EA757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承包人对雇员应做的工作</w:t>
                            </w:r>
                          </w:p>
                        </w:txbxContent>
                      </wps:txbx>
                      <wps:bodyPr rot="0" vert="horz" wrap="square" lIns="91440" tIns="45720" rIns="91440" bIns="45720" anchor="t" anchorCtr="0"/>
                    </wps:wsp>
                  </a:graphicData>
                </a:graphic>
              </wp:anchor>
            </w:drawing>
          </mc:Choice>
          <mc:Fallback>
            <w:pict>
              <v:shape id="文本框 786" o:spid="_x0000_s1026" o:spt="202" type="#_x0000_t202" style="position:absolute;left:0pt;margin-left:-9pt;margin-top:4.7pt;height:63.5pt;width:65.6pt;z-index:251746304;mso-width-relative:page;mso-height-relative:page;" filled="f" stroked="f" coordsize="21600,21600" o:gfxdata="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A&#10;3eKs2AAAAAkBAAAPAAAAAAAAAAEAIAAAACIAAABkcnMvZG93bnJldi54bWxQSwECFAAUAAAACACH&#10;TuJAxyvMw+sBAAC+AwAADgAAAAAAAAABACAAAAAnAQAAZHJzL2Uyb0RvYy54bWxQSwUGAAAAAAYA&#10;BgBZAQAAhAUAAAAA&#10;">
                <v:fill on="f" focussize="0,0"/>
                <v:stroke on="f" weight="1pt"/>
                <v:imagedata o:title=""/>
                <o:lock v:ext="edit" aspectratio="f"/>
                <v:textbox>
                  <w:txbxContent>
                    <w:p w14:paraId="19EA757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承包人对雇员应做的工作</w:t>
                      </w:r>
                    </w:p>
                  </w:txbxContent>
                </v:textbox>
              </v:shape>
            </w:pict>
          </mc:Fallback>
        </mc:AlternateContent>
      </w:r>
      <w:r>
        <w:rPr>
          <w:rFonts w:hint="eastAsia" w:ascii="仿宋" w:hAnsi="仿宋" w:eastAsia="仿宋" w:cs="仿宋"/>
          <w:lang w:eastAsia="zh-CN"/>
        </w:rPr>
        <w:t>承包人应完善雇员的劳务注册手续，并与雇员订立劳动合同，明确双方的权利和义务。雇佣期间，承包人应做好下列工作：</w:t>
      </w:r>
    </w:p>
    <w:p w14:paraId="224FAD21">
      <w:pPr>
        <w:widowControl w:val="0"/>
        <w:spacing w:line="400" w:lineRule="exact"/>
        <w:ind w:left="1850" w:leftChars="771"/>
        <w:jc w:val="both"/>
        <w:rPr>
          <w:rFonts w:ascii="仿宋" w:hAnsi="仿宋" w:eastAsia="仿宋" w:cs="仿宋"/>
          <w:lang w:eastAsia="zh-CN"/>
        </w:rPr>
      </w:pPr>
      <w:r>
        <w:rPr>
          <w:rFonts w:ascii="仿宋" w:hAnsi="仿宋" w:eastAsia="仿宋" w:cs="仿宋"/>
          <w:lang w:eastAsia="zh-CN"/>
        </w:rPr>
        <w:t>（1）</w:t>
      </w:r>
      <w:r>
        <w:rPr>
          <w:rFonts w:hint="eastAsia" w:ascii="仿宋" w:hAnsi="仿宋" w:eastAsia="仿宋" w:cs="仿宋"/>
          <w:lang w:eastAsia="zh-CN"/>
        </w:rPr>
        <w:t>负责为雇员提供必要的食宿及各种生活设施，采取合理的卫生、劳动保护和安全防护措施，保证雇员的健康和安全；</w:t>
      </w:r>
    </w:p>
    <w:p w14:paraId="0DDB94F2">
      <w:pPr>
        <w:widowControl w:val="0"/>
        <w:spacing w:line="400" w:lineRule="exact"/>
        <w:ind w:left="1850" w:leftChars="771"/>
        <w:jc w:val="both"/>
        <w:rPr>
          <w:rFonts w:ascii="仿宋" w:hAnsi="仿宋" w:eastAsia="仿宋" w:cs="仿宋"/>
          <w:lang w:eastAsia="zh-CN"/>
        </w:rPr>
      </w:pPr>
      <w:r>
        <w:rPr>
          <w:rFonts w:ascii="仿宋" w:hAnsi="仿宋" w:eastAsia="仿宋" w:cs="仿宋"/>
          <w:lang w:eastAsia="zh-CN"/>
        </w:rPr>
        <w:t>（2）</w:t>
      </w:r>
      <w:r>
        <w:rPr>
          <w:rFonts w:hint="eastAsia" w:ascii="仿宋" w:hAnsi="仿宋" w:eastAsia="仿宋" w:cs="仿宋"/>
          <w:lang w:eastAsia="zh-CN"/>
        </w:rPr>
        <w:t>保障雇员的合法权利和人身安全，及时采取有效措施抢救和治疗施工中受伤害的雇员；</w:t>
      </w:r>
    </w:p>
    <w:p w14:paraId="6CDA9E7F">
      <w:pPr>
        <w:widowControl w:val="0"/>
        <w:spacing w:line="400" w:lineRule="exact"/>
        <w:ind w:left="1850" w:leftChars="771"/>
        <w:jc w:val="both"/>
        <w:rPr>
          <w:rFonts w:ascii="仿宋" w:hAnsi="仿宋" w:eastAsia="仿宋" w:cs="仿宋"/>
          <w:lang w:eastAsia="zh-CN"/>
        </w:rPr>
      </w:pPr>
      <w:r>
        <w:rPr>
          <w:rFonts w:ascii="仿宋" w:hAnsi="仿宋" w:eastAsia="仿宋" w:cs="仿宋"/>
          <w:lang w:eastAsia="zh-CN"/>
        </w:rPr>
        <w:t>（3）</w:t>
      </w:r>
      <w:r>
        <w:rPr>
          <w:rFonts w:hint="eastAsia" w:ascii="仿宋" w:hAnsi="仿宋" w:eastAsia="仿宋" w:cs="仿宋"/>
          <w:lang w:eastAsia="zh-CN"/>
        </w:rPr>
        <w:t>充分考虑和保障雇员的休息时间和法定节假日休假时间，尊重雇员的宗教信仰和风俗习惯；</w:t>
      </w:r>
    </w:p>
    <w:p w14:paraId="6B0F4120">
      <w:pPr>
        <w:widowControl w:val="0"/>
        <w:spacing w:line="400" w:lineRule="exact"/>
        <w:ind w:left="1850" w:leftChars="771"/>
        <w:jc w:val="both"/>
        <w:rPr>
          <w:rFonts w:ascii="仿宋" w:hAnsi="仿宋" w:eastAsia="仿宋" w:cs="仿宋"/>
          <w:strike/>
          <w:lang w:eastAsia="zh-CN"/>
        </w:rPr>
      </w:pPr>
      <w:r>
        <w:rPr>
          <w:rFonts w:ascii="仿宋" w:hAnsi="仿宋" w:eastAsia="仿宋" w:cs="仿宋"/>
          <w:lang w:eastAsia="zh-CN"/>
        </w:rPr>
        <w:t>（4）</w:t>
      </w:r>
      <w:r>
        <w:rPr>
          <w:rFonts w:hint="eastAsia" w:ascii="仿宋" w:hAnsi="仿宋" w:eastAsia="仿宋" w:cs="仿宋"/>
          <w:lang w:eastAsia="zh-CN"/>
        </w:rPr>
        <w:t>在施工现场主要出入口处设榜公布雇员工资发放时间和投诉电话。</w:t>
      </w:r>
    </w:p>
    <w:p w14:paraId="7EC111A9">
      <w:pPr>
        <w:widowControl w:val="0"/>
        <w:spacing w:line="400" w:lineRule="exact"/>
        <w:ind w:left="1850" w:leftChars="771"/>
        <w:jc w:val="both"/>
        <w:rPr>
          <w:rFonts w:ascii="仿宋" w:hAnsi="仿宋" w:eastAsia="仿宋"/>
          <w:lang w:eastAsia="zh-CN"/>
        </w:rPr>
      </w:pPr>
      <w:r>
        <w:rPr>
          <w:rFonts w:ascii="仿宋" w:hAnsi="仿宋" w:eastAsia="仿宋" w:cs="仿宋"/>
          <w:lang w:eastAsia="zh-CN"/>
        </w:rPr>
        <w:t>（</w:t>
      </w:r>
      <w:r>
        <w:rPr>
          <w:rFonts w:hint="eastAsia" w:ascii="仿宋" w:hAnsi="仿宋" w:eastAsia="仿宋" w:cs="仿宋"/>
          <w:lang w:eastAsia="zh-CN"/>
        </w:rPr>
        <w:t>5</w:t>
      </w:r>
      <w:r>
        <w:rPr>
          <w:rFonts w:ascii="仿宋" w:hAnsi="仿宋" w:eastAsia="仿宋" w:cs="仿宋"/>
          <w:lang w:eastAsia="zh-CN"/>
        </w:rPr>
        <w:t>）</w:t>
      </w:r>
      <w:r>
        <w:rPr>
          <w:rFonts w:hint="eastAsia" w:ascii="仿宋" w:hAnsi="仿宋" w:eastAsia="仿宋" w:cs="仿宋"/>
          <w:lang w:eastAsia="zh-CN"/>
        </w:rPr>
        <w:t>办理雇员的意外伤害等一切保险，处理雇员因工伤亡事故的善后事宜。</w:t>
      </w:r>
    </w:p>
    <w:p w14:paraId="522736CA">
      <w:pPr>
        <w:spacing w:line="400" w:lineRule="exact"/>
        <w:rPr>
          <w:rFonts w:ascii="仿宋" w:hAnsi="仿宋" w:eastAsia="仿宋"/>
          <w:b/>
          <w:bCs/>
          <w:lang w:eastAsia="zh-CN"/>
        </w:rPr>
      </w:pPr>
      <w:bookmarkStart w:id="297" w:name="_Toc26563"/>
      <w:r>
        <w:rPr>
          <w:rFonts w:hint="eastAsia" w:ascii="仿宋" w:hAnsi="仿宋" w:eastAsia="仿宋" w:cs="仿宋"/>
          <w:b/>
          <w:bCs/>
          <w:lang w:eastAsia="zh-CN"/>
        </w:rPr>
        <w:t>31</w:t>
      </w:r>
      <w:r>
        <w:rPr>
          <w:rFonts w:ascii="仿宋" w:hAnsi="仿宋" w:eastAsia="仿宋" w:cs="仿宋"/>
          <w:b/>
          <w:bCs/>
          <w:lang w:eastAsia="zh-CN"/>
        </w:rPr>
        <w:t>.4</w:t>
      </w:r>
      <w:bookmarkEnd w:id="297"/>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0214F4A6">
      <w:pPr>
        <w:widowControl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747328" behindDoc="0" locked="0" layoutInCell="1" allowOverlap="1">
                <wp:simplePos x="0" y="0"/>
                <wp:positionH relativeFrom="column">
                  <wp:posOffset>-114300</wp:posOffset>
                </wp:positionH>
                <wp:positionV relativeFrom="paragraph">
                  <wp:posOffset>0</wp:posOffset>
                </wp:positionV>
                <wp:extent cx="851535" cy="549275"/>
                <wp:effectExtent l="0" t="0" r="0" b="0"/>
                <wp:wrapNone/>
                <wp:docPr id="118" name="文本框 787"/>
                <wp:cNvGraphicFramePr/>
                <a:graphic xmlns:a="http://schemas.openxmlformats.org/drawingml/2006/main">
                  <a:graphicData uri="http://schemas.microsoft.com/office/word/2010/wordprocessingShape">
                    <wps:wsp>
                      <wps:cNvSpPr txBox="1"/>
                      <wps:spPr>
                        <a:xfrm>
                          <a:off x="0" y="0"/>
                          <a:ext cx="851535" cy="549275"/>
                        </a:xfrm>
                        <a:prstGeom prst="rect">
                          <a:avLst/>
                        </a:prstGeom>
                        <a:noFill/>
                        <a:ln w="12700">
                          <a:noFill/>
                        </a:ln>
                      </wps:spPr>
                      <wps:txbx>
                        <w:txbxContent>
                          <w:p w14:paraId="7A5C9755">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承包人特殊时间施工的批准</w:t>
                            </w:r>
                          </w:p>
                        </w:txbxContent>
                      </wps:txbx>
                      <wps:bodyPr rot="0" vert="horz" wrap="square" lIns="91440" tIns="45720" rIns="91440" bIns="45720" anchor="t" anchorCtr="0"/>
                    </wps:wsp>
                  </a:graphicData>
                </a:graphic>
              </wp:anchor>
            </w:drawing>
          </mc:Choice>
          <mc:Fallback>
            <w:pict>
              <v:shape id="文本框 787" o:spid="_x0000_s1026" o:spt="202" type="#_x0000_t202" style="position:absolute;left:0pt;margin-left:-9pt;margin-top:0pt;height:43.25pt;width:67.05pt;z-index:251747328;mso-width-relative:page;mso-height-relative:page;" filled="f" stroked="f" coordsize="21600,21600" o:gfxdata="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X4xC&#10;btYAAAAHAQAADwAAAAAAAAABACAAAAAiAAAAZHJzL2Rvd25yZXYueG1sUEsBAhQAFAAAAAgAh07i&#10;QJoiuInrAQAAvgMAAA4AAAAAAAAAAQAgAAAAJQEAAGRycy9lMm9Eb2MueG1sUEsFBgAAAAAGAAYA&#10;WQEAAIIFAAAAAA==&#10;">
                <v:fill on="f" focussize="0,0"/>
                <v:stroke on="f" weight="1pt"/>
                <v:imagedata o:title=""/>
                <o:lock v:ext="edit" aspectratio="f"/>
                <v:textbox>
                  <w:txbxContent>
                    <w:p w14:paraId="7A5C9755">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承包人特殊时间施工的批准</w:t>
                      </w:r>
                    </w:p>
                  </w:txbxContent>
                </v:textbox>
              </v:shape>
            </w:pict>
          </mc:Fallback>
        </mc:AlternateContent>
      </w:r>
      <w:r>
        <w:rPr>
          <w:rFonts w:hint="eastAsia" w:ascii="仿宋" w:hAnsi="仿宋" w:eastAsia="仿宋" w:cs="仿宋"/>
          <w:lang w:eastAsia="zh-CN"/>
        </w:rPr>
        <w:t>承包人如需在法定节假日施工，应经监理人同意；如需在夜间施工，除应经监理人同意外，还应经有关部门批准。此类情况，均不得超过法律规定的限度，并应按照法律规定给予雇员补休或付酬。如无特殊原因，只要在不影响工程质量、施工安全、周围环境的情况下，监理人应予同意。但为抢救生命、保护财产，或为工程安全、质量而不可避免的作业，则无需事先经监理人同意。</w:t>
      </w:r>
    </w:p>
    <w:p w14:paraId="49F4F234">
      <w:pPr>
        <w:spacing w:line="400" w:lineRule="exact"/>
        <w:rPr>
          <w:rFonts w:ascii="仿宋" w:hAnsi="仿宋" w:eastAsia="仿宋"/>
          <w:b/>
          <w:bCs/>
          <w:lang w:eastAsia="zh-CN"/>
        </w:rPr>
      </w:pPr>
      <w:bookmarkStart w:id="298" w:name="_Toc17666"/>
      <w:r>
        <w:rPr>
          <w:rFonts w:hint="eastAsia" w:ascii="仿宋" w:hAnsi="仿宋" w:eastAsia="仿宋" w:cs="仿宋"/>
          <w:b/>
          <w:bCs/>
          <w:lang w:eastAsia="zh-CN"/>
        </w:rPr>
        <w:t>31</w:t>
      </w:r>
      <w:r>
        <w:rPr>
          <w:rFonts w:ascii="仿宋" w:hAnsi="仿宋" w:eastAsia="仿宋" w:cs="仿宋"/>
          <w:b/>
          <w:bCs/>
          <w:lang w:eastAsia="zh-CN"/>
        </w:rPr>
        <w:t>.5</w:t>
      </w:r>
      <w:bookmarkEnd w:id="298"/>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31B61094">
      <w:pPr>
        <w:widowControl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748352" behindDoc="0" locked="0" layoutInCell="1" allowOverlap="1">
                <wp:simplePos x="0" y="0"/>
                <wp:positionH relativeFrom="column">
                  <wp:posOffset>-114300</wp:posOffset>
                </wp:positionH>
                <wp:positionV relativeFrom="paragraph">
                  <wp:posOffset>0</wp:posOffset>
                </wp:positionV>
                <wp:extent cx="871220" cy="624840"/>
                <wp:effectExtent l="0" t="0" r="0" b="0"/>
                <wp:wrapNone/>
                <wp:docPr id="119" name="文本框 788"/>
                <wp:cNvGraphicFramePr/>
                <a:graphic xmlns:a="http://schemas.openxmlformats.org/drawingml/2006/main">
                  <a:graphicData uri="http://schemas.microsoft.com/office/word/2010/wordprocessingShape">
                    <wps:wsp>
                      <wps:cNvSpPr txBox="1"/>
                      <wps:spPr>
                        <a:xfrm>
                          <a:off x="0" y="0"/>
                          <a:ext cx="871220" cy="624840"/>
                        </a:xfrm>
                        <a:prstGeom prst="rect">
                          <a:avLst/>
                        </a:prstGeom>
                        <a:noFill/>
                        <a:ln w="12700">
                          <a:noFill/>
                        </a:ln>
                      </wps:spPr>
                      <wps:txbx>
                        <w:txbxContent>
                          <w:p w14:paraId="00090C78">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承包人向雇员支付劳务工资</w:t>
                            </w:r>
                          </w:p>
                        </w:txbxContent>
                      </wps:txbx>
                      <wps:bodyPr rot="0" vert="horz" wrap="square" lIns="91440" tIns="45720" rIns="91440" bIns="45720" anchor="t" anchorCtr="0"/>
                    </wps:wsp>
                  </a:graphicData>
                </a:graphic>
              </wp:anchor>
            </w:drawing>
          </mc:Choice>
          <mc:Fallback>
            <w:pict>
              <v:shape id="文本框 788" o:spid="_x0000_s1026" o:spt="202" type="#_x0000_t202" style="position:absolute;left:0pt;margin-left:-9pt;margin-top:0pt;height:49.2pt;width:68.6pt;z-index:251748352;mso-width-relative:page;mso-height-relative:page;" filled="f" stroked="f" coordsize="21600,21600" o:gfxdata="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IbysIXW&#10;AAAABwEAAA8AAAAAAAAAAQAgAAAAIgAAAGRycy9kb3ducmV2LnhtbFBLAQIUABQAAAAIAIdO4kBB&#10;xW/n6QEAAL4DAAAOAAAAAAAAAAEAIAAAACUBAABkcnMvZTJvRG9jLnhtbFBLBQYAAAAABgAGAFkB&#10;AACABQAAAAA=&#10;">
                <v:fill on="f" focussize="0,0"/>
                <v:stroke on="f" weight="1pt"/>
                <v:imagedata o:title=""/>
                <o:lock v:ext="edit" aspectratio="f"/>
                <v:textbox>
                  <w:txbxContent>
                    <w:p w14:paraId="00090C78">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承包人向雇员支付劳务工资</w:t>
                      </w:r>
                    </w:p>
                  </w:txbxContent>
                </v:textbox>
              </v:shape>
            </w:pict>
          </mc:Fallback>
        </mc:AlternateContent>
      </w:r>
      <w:r>
        <w:rPr>
          <w:rFonts w:hint="eastAsia" w:ascii="仿宋" w:hAnsi="仿宋" w:eastAsia="仿宋" w:cs="仿宋"/>
          <w:lang w:eastAsia="zh-CN"/>
        </w:rPr>
        <w:t>承包人应按时足额向雇员支付劳务工资，并不低于（含本数）当地最低工资标准。因承包人拖欠其雇员工资而造成群体性示威、游行等一切后果，由承包人承担。对发包人造成损失和（或）导致工期延误的，应赔偿发包人的损失，工期不予顺延。</w:t>
      </w:r>
    </w:p>
    <w:p w14:paraId="559DAA21">
      <w:pPr>
        <w:spacing w:line="400" w:lineRule="exact"/>
        <w:rPr>
          <w:rFonts w:ascii="仿宋" w:hAnsi="仿宋" w:eastAsia="仿宋"/>
          <w:b/>
          <w:bCs/>
          <w:lang w:eastAsia="zh-CN"/>
        </w:rPr>
      </w:pPr>
      <w:bookmarkStart w:id="299" w:name="_Toc27472"/>
      <w:r>
        <w:rPr>
          <w:rFonts w:hint="eastAsia" w:ascii="仿宋" w:hAnsi="仿宋" w:eastAsia="仿宋" w:cs="仿宋"/>
          <w:b/>
          <w:bCs/>
          <w:lang w:eastAsia="zh-CN"/>
        </w:rPr>
        <w:t>31</w:t>
      </w:r>
      <w:r>
        <w:rPr>
          <w:rFonts w:ascii="仿宋" w:hAnsi="仿宋" w:eastAsia="仿宋" w:cs="仿宋"/>
          <w:b/>
          <w:bCs/>
          <w:lang w:eastAsia="zh-CN"/>
        </w:rPr>
        <w:t>.6</w:t>
      </w:r>
      <w:bookmarkEnd w:id="299"/>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2D69695F">
      <w:pPr>
        <w:widowControl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749376" behindDoc="0" locked="0" layoutInCell="1" allowOverlap="1">
                <wp:simplePos x="0" y="0"/>
                <wp:positionH relativeFrom="column">
                  <wp:posOffset>-114300</wp:posOffset>
                </wp:positionH>
                <wp:positionV relativeFrom="paragraph">
                  <wp:posOffset>0</wp:posOffset>
                </wp:positionV>
                <wp:extent cx="775970" cy="722630"/>
                <wp:effectExtent l="0" t="0" r="0" b="0"/>
                <wp:wrapNone/>
                <wp:docPr id="120" name="文本框 789"/>
                <wp:cNvGraphicFramePr/>
                <a:graphic xmlns:a="http://schemas.openxmlformats.org/drawingml/2006/main">
                  <a:graphicData uri="http://schemas.microsoft.com/office/word/2010/wordprocessingShape">
                    <wps:wsp>
                      <wps:cNvSpPr txBox="1"/>
                      <wps:spPr>
                        <a:xfrm>
                          <a:off x="0" y="0"/>
                          <a:ext cx="775970" cy="722630"/>
                        </a:xfrm>
                        <a:prstGeom prst="rect">
                          <a:avLst/>
                        </a:prstGeom>
                        <a:noFill/>
                        <a:ln w="12700">
                          <a:noFill/>
                        </a:ln>
                      </wps:spPr>
                      <wps:txbx>
                        <w:txbxContent>
                          <w:p w14:paraId="79C87FB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承包人向工地派遣雇员的要求</w:t>
                            </w:r>
                          </w:p>
                        </w:txbxContent>
                      </wps:txbx>
                      <wps:bodyPr rot="0" vert="horz" wrap="square" lIns="91440" tIns="45720" rIns="91440" bIns="45720" anchor="t" anchorCtr="0"/>
                    </wps:wsp>
                  </a:graphicData>
                </a:graphic>
              </wp:anchor>
            </w:drawing>
          </mc:Choice>
          <mc:Fallback>
            <w:pict>
              <v:shape id="文本框 789" o:spid="_x0000_s1026" o:spt="202" type="#_x0000_t202" style="position:absolute;left:0pt;margin-left:-9pt;margin-top:0pt;height:56.9pt;width:61.1pt;z-index:251749376;mso-width-relative:page;mso-height-relative:page;" filled="f" stroked="f" coordsize="21600,21600" o:gfxdata="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E7lpR&#10;1gAAAAgBAAAPAAAAAAAAAAEAIAAAACIAAABkcnMvZG93bnJldi54bWxQSwECFAAUAAAACACHTuJA&#10;LXTJ9+oBAAC+AwAADgAAAAAAAAABACAAAAAlAQAAZHJzL2Uyb0RvYy54bWxQSwUGAAAAAAYABgBZ&#10;AQAAgQUAAAAA&#10;">
                <v:fill on="f" focussize="0,0"/>
                <v:stroke on="f" weight="1pt"/>
                <v:imagedata o:title=""/>
                <o:lock v:ext="edit" aspectratio="f"/>
                <v:textbox>
                  <w:txbxContent>
                    <w:p w14:paraId="79C87FB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承包人向工地派遣雇员的要求</w:t>
                      </w:r>
                    </w:p>
                  </w:txbxContent>
                </v:textbox>
              </v:shape>
            </w:pict>
          </mc:Fallback>
        </mc:AlternateContent>
      </w:r>
      <w:r>
        <w:rPr>
          <w:rFonts w:hint="eastAsia" w:ascii="仿宋" w:hAnsi="仿宋" w:eastAsia="仿宋" w:cs="仿宋"/>
          <w:lang w:eastAsia="zh-CN"/>
        </w:rPr>
        <w:t>承包人的雇员应是在行业或职业内具有相应资格、技能和经验的人员。承包人应向施工场地派遣足够数量的下列雇员：</w:t>
      </w:r>
    </w:p>
    <w:p w14:paraId="3F887E99">
      <w:pPr>
        <w:widowControl w:val="0"/>
        <w:numPr>
          <w:ilvl w:val="1"/>
          <w:numId w:val="15"/>
        </w:numPr>
        <w:tabs>
          <w:tab w:val="clear" w:pos="3285"/>
        </w:tabs>
        <w:spacing w:line="400" w:lineRule="exact"/>
        <w:ind w:left="1850" w:leftChars="771" w:firstLine="0"/>
        <w:jc w:val="both"/>
        <w:rPr>
          <w:rFonts w:ascii="仿宋" w:hAnsi="仿宋" w:eastAsia="仿宋" w:cs="仿宋"/>
          <w:lang w:eastAsia="zh-CN"/>
        </w:rPr>
      </w:pPr>
      <w:r>
        <w:rPr>
          <w:rFonts w:hint="eastAsia" w:ascii="仿宋" w:hAnsi="仿宋" w:eastAsia="仿宋" w:cs="仿宋"/>
          <w:lang w:eastAsia="zh-CN"/>
        </w:rPr>
        <w:t>具有相应资格的专业技工和合格的普工；</w:t>
      </w:r>
      <w:r>
        <w:rPr>
          <w:rFonts w:ascii="仿宋" w:hAnsi="仿宋" w:eastAsia="仿宋" w:cs="仿宋"/>
          <w:lang w:eastAsia="zh-CN"/>
        </w:rPr>
        <w:t xml:space="preserve"> </w:t>
      </w:r>
    </w:p>
    <w:p w14:paraId="097FB573">
      <w:pPr>
        <w:widowControl w:val="0"/>
        <w:numPr>
          <w:ilvl w:val="1"/>
          <w:numId w:val="15"/>
        </w:numPr>
        <w:tabs>
          <w:tab w:val="clear" w:pos="3285"/>
        </w:tabs>
        <w:spacing w:line="400" w:lineRule="exact"/>
        <w:ind w:left="1850" w:leftChars="771" w:firstLine="0"/>
        <w:jc w:val="both"/>
        <w:rPr>
          <w:rFonts w:ascii="仿宋" w:hAnsi="仿宋" w:eastAsia="仿宋"/>
          <w:lang w:eastAsia="zh-CN"/>
        </w:rPr>
      </w:pPr>
      <w:r>
        <w:rPr>
          <w:rFonts w:hint="eastAsia" w:ascii="仿宋" w:hAnsi="仿宋" w:eastAsia="仿宋" w:cs="仿宋"/>
          <w:lang w:eastAsia="zh-CN"/>
        </w:rPr>
        <w:t>具有相应施工经验的技术人员；</w:t>
      </w:r>
    </w:p>
    <w:p w14:paraId="5E79C25F">
      <w:pPr>
        <w:widowControl w:val="0"/>
        <w:numPr>
          <w:ilvl w:val="1"/>
          <w:numId w:val="15"/>
        </w:numPr>
        <w:tabs>
          <w:tab w:val="clear" w:pos="3285"/>
        </w:tabs>
        <w:spacing w:line="400" w:lineRule="exact"/>
        <w:ind w:left="1850" w:leftChars="771" w:firstLine="0"/>
        <w:jc w:val="both"/>
        <w:rPr>
          <w:rFonts w:ascii="仿宋" w:hAnsi="仿宋" w:eastAsia="仿宋"/>
          <w:lang w:eastAsia="zh-CN"/>
        </w:rPr>
      </w:pPr>
      <w:r>
        <w:rPr>
          <w:rFonts w:hint="eastAsia" w:ascii="仿宋" w:hAnsi="仿宋" w:eastAsia="仿宋" w:cs="仿宋"/>
          <w:lang w:eastAsia="zh-CN"/>
        </w:rPr>
        <w:t>具有相应岗位资格的各级管理人员。</w:t>
      </w:r>
    </w:p>
    <w:p w14:paraId="432C932F">
      <w:pPr>
        <w:spacing w:line="400" w:lineRule="exact"/>
        <w:rPr>
          <w:rFonts w:ascii="仿宋" w:hAnsi="仿宋" w:eastAsia="仿宋"/>
          <w:b/>
          <w:bCs/>
          <w:lang w:eastAsia="zh-CN"/>
        </w:rPr>
      </w:pPr>
      <w:r>
        <w:rPr>
          <w:rFonts w:hint="eastAsia" w:ascii="仿宋" w:hAnsi="仿宋" w:eastAsia="仿宋" w:cs="仿宋"/>
          <w:b/>
          <w:bCs/>
          <w:lang w:eastAsia="zh-CN"/>
        </w:rPr>
        <w:t>31</w:t>
      </w:r>
      <w:r>
        <w:rPr>
          <w:rFonts w:ascii="仿宋" w:hAnsi="仿宋" w:eastAsia="仿宋" w:cs="仿宋"/>
          <w:b/>
          <w:bCs/>
          <w:lang w:eastAsia="zh-CN"/>
        </w:rPr>
        <w:t xml:space="preserve">.7  </w:t>
      </w:r>
      <w:r>
        <w:rPr>
          <w:rFonts w:ascii="仿宋" w:hAnsi="仿宋" w:eastAsia="仿宋" w:cs="仿宋"/>
          <w:b/>
          <w:bCs/>
          <w:u w:val="dotted"/>
          <w:lang w:eastAsia="zh-CN"/>
        </w:rPr>
        <w:t xml:space="preserve">                                                                               </w:t>
      </w:r>
    </w:p>
    <w:p w14:paraId="03BFFB94">
      <w:pPr>
        <w:widowControl w:val="0"/>
        <w:spacing w:line="400" w:lineRule="exact"/>
        <w:ind w:left="1850" w:leftChars="771"/>
        <w:jc w:val="both"/>
        <w:rPr>
          <w:rFonts w:ascii="仿宋" w:hAnsi="仿宋" w:eastAsia="仿宋" w:cs="仿宋"/>
          <w:lang w:eastAsia="zh-CN"/>
        </w:rPr>
      </w:pPr>
      <w:r>
        <mc:AlternateContent>
          <mc:Choice Requires="wps">
            <w:drawing>
              <wp:anchor distT="0" distB="0" distL="114300" distR="114300" simplePos="0" relativeHeight="251750400" behindDoc="0" locked="0" layoutInCell="1" allowOverlap="1">
                <wp:simplePos x="0" y="0"/>
                <wp:positionH relativeFrom="column">
                  <wp:posOffset>-114300</wp:posOffset>
                </wp:positionH>
                <wp:positionV relativeFrom="paragraph">
                  <wp:posOffset>0</wp:posOffset>
                </wp:positionV>
                <wp:extent cx="756920" cy="541020"/>
                <wp:effectExtent l="0" t="0" r="0" b="0"/>
                <wp:wrapNone/>
                <wp:docPr id="121" name="文本框 790"/>
                <wp:cNvGraphicFramePr/>
                <a:graphic xmlns:a="http://schemas.openxmlformats.org/drawingml/2006/main">
                  <a:graphicData uri="http://schemas.microsoft.com/office/word/2010/wordprocessingShape">
                    <wps:wsp>
                      <wps:cNvSpPr txBox="1"/>
                      <wps:spPr>
                        <a:xfrm>
                          <a:off x="0" y="0"/>
                          <a:ext cx="756920" cy="541020"/>
                        </a:xfrm>
                        <a:prstGeom prst="rect">
                          <a:avLst/>
                        </a:prstGeom>
                        <a:noFill/>
                        <a:ln w="12700">
                          <a:noFill/>
                        </a:ln>
                      </wps:spPr>
                      <wps:txbx>
                        <w:txbxContent>
                          <w:p w14:paraId="744FA32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txbxContent>
                      </wps:txbx>
                      <wps:bodyPr rot="0" vert="horz" wrap="square" lIns="91440" tIns="45720" rIns="91440" bIns="45720" anchor="t" anchorCtr="0"/>
                    </wps:wsp>
                  </a:graphicData>
                </a:graphic>
              </wp:anchor>
            </w:drawing>
          </mc:Choice>
          <mc:Fallback>
            <w:pict>
              <v:shape id="文本框 790" o:spid="_x0000_s1026" o:spt="202" type="#_x0000_t202" style="position:absolute;left:0pt;margin-left:-9pt;margin-top:0pt;height:42.6pt;width:59.6pt;z-index:251750400;mso-width-relative:page;mso-height-relative:page;" filled="f" stroked="f" coordsize="21600,21600" o:gfxdata="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qTU9f1gAA&#10;AAcBAAAPAAAAAAAAAAEAIAAAACIAAABkcnMvZG93bnJldi54bWxQSwECFAAUAAAACACHTuJAAZGC&#10;rucBAAC+AwAADgAAAAAAAAABACAAAAAlAQAAZHJzL2Uyb0RvYy54bWxQSwUGAAAAAAYABgBZAQAA&#10;fgUAAAAA&#10;">
                <v:fill on="f" focussize="0,0"/>
                <v:stroke on="f" weight="1pt"/>
                <v:imagedata o:title=""/>
                <o:lock v:ext="edit" aspectratio="f"/>
                <v:textbox>
                  <w:txbxContent>
                    <w:p w14:paraId="744FA32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txbxContent>
                </v:textbox>
              </v:shape>
            </w:pict>
          </mc:Fallback>
        </mc:AlternateContent>
      </w:r>
      <w:r>
        <w:rPr>
          <w:rFonts w:hint="eastAsia" w:ascii="仿宋" w:hAnsi="仿宋" w:eastAsia="仿宋" w:cs="仿宋"/>
          <w:lang w:eastAsia="zh-CN"/>
        </w:rPr>
        <w:t>承包人安排在施工场地的雇员应保持相对稳定，但有下列行为的任何承包人雇员，监理人可要求承包人将其撤换：</w:t>
      </w:r>
    </w:p>
    <w:p w14:paraId="496B4B3C">
      <w:pPr>
        <w:widowControl w:val="0"/>
        <w:spacing w:line="400" w:lineRule="exact"/>
        <w:ind w:left="1850" w:leftChars="771"/>
        <w:jc w:val="both"/>
        <w:rPr>
          <w:rFonts w:ascii="仿宋" w:hAnsi="仿宋" w:eastAsia="仿宋"/>
          <w:lang w:eastAsia="zh-CN"/>
        </w:rPr>
      </w:pPr>
      <w:r>
        <w:rPr>
          <w:rFonts w:hint="eastAsia" w:ascii="仿宋" w:hAnsi="仿宋" w:eastAsia="仿宋" w:cs="仿宋"/>
          <w:lang w:eastAsia="zh-CN"/>
        </w:rPr>
        <w:t>（1）日常行为不当，或工作漫不经心；</w:t>
      </w:r>
    </w:p>
    <w:p w14:paraId="3417A81F">
      <w:pPr>
        <w:widowControl w:val="0"/>
        <w:spacing w:line="400" w:lineRule="exact"/>
        <w:ind w:left="1850" w:leftChars="771"/>
        <w:jc w:val="both"/>
        <w:rPr>
          <w:rFonts w:ascii="仿宋" w:hAnsi="仿宋" w:eastAsia="仿宋"/>
          <w:lang w:eastAsia="zh-CN"/>
        </w:rPr>
      </w:pPr>
      <w:r>
        <w:rPr>
          <w:rFonts w:hint="eastAsia" w:ascii="仿宋" w:hAnsi="仿宋" w:eastAsia="仿宋"/>
          <w:lang w:eastAsia="zh-CN"/>
        </w:rPr>
        <w:t>（2）</w:t>
      </w:r>
      <w:r>
        <w:rPr>
          <w:rFonts w:hint="eastAsia" w:ascii="仿宋" w:hAnsi="仿宋" w:eastAsia="仿宋" w:cs="仿宋"/>
          <w:lang w:eastAsia="zh-CN"/>
        </w:rPr>
        <w:t>无能力履行义务或玩忽职守；</w:t>
      </w:r>
    </w:p>
    <w:p w14:paraId="6F2D2E5D">
      <w:pPr>
        <w:widowControl w:val="0"/>
        <w:spacing w:line="400" w:lineRule="exact"/>
        <w:ind w:left="1850" w:leftChars="771"/>
        <w:jc w:val="both"/>
        <w:rPr>
          <w:rFonts w:ascii="仿宋" w:hAnsi="仿宋" w:eastAsia="仿宋"/>
          <w:lang w:eastAsia="zh-CN"/>
        </w:rPr>
      </w:pPr>
      <w:r>
        <w:rPr>
          <w:rFonts w:hint="eastAsia" w:ascii="仿宋" w:hAnsi="仿宋" w:eastAsia="仿宋"/>
          <w:lang w:eastAsia="zh-CN"/>
        </w:rPr>
        <w:t>（3）</w:t>
      </w:r>
      <w:r>
        <w:rPr>
          <w:rFonts w:hint="eastAsia" w:ascii="仿宋" w:hAnsi="仿宋" w:eastAsia="仿宋" w:cs="仿宋"/>
          <w:lang w:eastAsia="zh-CN"/>
        </w:rPr>
        <w:t>不遵守合同的约定；</w:t>
      </w:r>
    </w:p>
    <w:p w14:paraId="746B3709">
      <w:pPr>
        <w:widowControl w:val="0"/>
        <w:spacing w:line="400" w:lineRule="exact"/>
        <w:ind w:left="1850" w:leftChars="771"/>
        <w:jc w:val="both"/>
        <w:rPr>
          <w:rFonts w:ascii="仿宋" w:hAnsi="仿宋" w:eastAsia="仿宋"/>
          <w:lang w:eastAsia="zh-CN"/>
        </w:rPr>
      </w:pPr>
      <w:r>
        <w:rPr>
          <w:rFonts w:hint="eastAsia" w:ascii="仿宋" w:hAnsi="仿宋" w:eastAsia="仿宋"/>
          <w:lang w:eastAsia="zh-CN"/>
        </w:rPr>
        <w:t>（4）</w:t>
      </w:r>
      <w:r>
        <w:rPr>
          <w:rFonts w:hint="eastAsia" w:ascii="仿宋" w:hAnsi="仿宋" w:eastAsia="仿宋" w:cs="仿宋"/>
          <w:lang w:eastAsia="zh-CN"/>
        </w:rPr>
        <w:t>有损安全、健康和不利于环境保护的行为。</w:t>
      </w:r>
    </w:p>
    <w:p w14:paraId="4C4F0AFB">
      <w:pPr>
        <w:spacing w:line="400" w:lineRule="exact"/>
        <w:rPr>
          <w:rFonts w:ascii="仿宋" w:hAnsi="仿宋" w:eastAsia="仿宋"/>
          <w:b/>
          <w:bCs/>
          <w:lang w:eastAsia="zh-CN"/>
        </w:rPr>
      </w:pPr>
      <w:r>
        <w:rPr>
          <w:rFonts w:hint="eastAsia" w:ascii="仿宋" w:hAnsi="仿宋" w:eastAsia="仿宋" w:cs="仿宋"/>
          <w:b/>
          <w:bCs/>
          <w:lang w:eastAsia="zh-CN"/>
        </w:rPr>
        <w:t>31</w:t>
      </w:r>
      <w:r>
        <w:rPr>
          <w:rFonts w:ascii="仿宋" w:hAnsi="仿宋" w:eastAsia="仿宋" w:cs="仿宋"/>
          <w:b/>
          <w:bCs/>
          <w:lang w:eastAsia="zh-CN"/>
        </w:rPr>
        <w:t xml:space="preserve">.8  </w:t>
      </w:r>
      <w:r>
        <w:rPr>
          <w:rFonts w:ascii="仿宋" w:hAnsi="仿宋" w:eastAsia="仿宋" w:cs="仿宋"/>
          <w:b/>
          <w:bCs/>
          <w:u w:val="dotted"/>
          <w:lang w:eastAsia="zh-CN"/>
        </w:rPr>
        <w:t xml:space="preserve">                                                                               </w:t>
      </w:r>
    </w:p>
    <w:p w14:paraId="5B8D339E">
      <w:pPr>
        <w:widowControl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751424" behindDoc="0" locked="0" layoutInCell="1" allowOverlap="1">
                <wp:simplePos x="0" y="0"/>
                <wp:positionH relativeFrom="column">
                  <wp:posOffset>-114300</wp:posOffset>
                </wp:positionH>
                <wp:positionV relativeFrom="paragraph">
                  <wp:posOffset>0</wp:posOffset>
                </wp:positionV>
                <wp:extent cx="822960" cy="463550"/>
                <wp:effectExtent l="0" t="0" r="0" b="0"/>
                <wp:wrapNone/>
                <wp:docPr id="122" name="文本框 791"/>
                <wp:cNvGraphicFramePr/>
                <a:graphic xmlns:a="http://schemas.openxmlformats.org/drawingml/2006/main">
                  <a:graphicData uri="http://schemas.microsoft.com/office/word/2010/wordprocessingShape">
                    <wps:wsp>
                      <wps:cNvSpPr txBox="1"/>
                      <wps:spPr>
                        <a:xfrm>
                          <a:off x="0" y="0"/>
                          <a:ext cx="822960" cy="463550"/>
                        </a:xfrm>
                        <a:prstGeom prst="rect">
                          <a:avLst/>
                        </a:prstGeom>
                        <a:noFill/>
                        <a:ln w="12700">
                          <a:noFill/>
                        </a:ln>
                      </wps:spPr>
                      <wps:txbx>
                        <w:txbxContent>
                          <w:p w14:paraId="1DA901E2">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txbxContent>
                      </wps:txbx>
                      <wps:bodyPr rot="0" vert="horz" wrap="square" lIns="91440" tIns="45720" rIns="91440" bIns="45720" anchor="t" anchorCtr="0"/>
                    </wps:wsp>
                  </a:graphicData>
                </a:graphic>
              </wp:anchor>
            </w:drawing>
          </mc:Choice>
          <mc:Fallback>
            <w:pict>
              <v:shape id="文本框 791" o:spid="_x0000_s1026" o:spt="202" type="#_x0000_t202" style="position:absolute;left:0pt;margin-left:-9pt;margin-top:0pt;height:36.5pt;width:64.8pt;z-index:251751424;mso-width-relative:page;mso-height-relative:page;" filled="f" stroked="f" coordsize="21600,21600" o:gfxdata="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AeuL&#10;4dYAAAAHAQAADwAAAAAAAAABACAAAAAiAAAAZHJzL2Rvd25yZXYueG1sUEsBAhQAFAAAAAgAh07i&#10;QJqwDSDrAQAAvgMAAA4AAAAAAAAAAQAgAAAAJQEAAGRycy9lMm9Eb2MueG1sUEsFBgAAAAAGAAYA&#10;WQEAAIIFAAAAAA==&#10;">
                <v:fill on="f" focussize="0,0"/>
                <v:stroke on="f" weight="1pt"/>
                <v:imagedata o:title=""/>
                <o:lock v:ext="edit" aspectratio="f"/>
                <v:textbox>
                  <w:txbxContent>
                    <w:p w14:paraId="1DA901E2">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txbxContent>
                </v:textbox>
              </v:shape>
            </w:pict>
          </mc:Fallback>
        </mc:AlternateContent>
      </w:r>
      <w:r>
        <w:rPr>
          <w:rFonts w:hint="eastAsia" w:ascii="仿宋" w:hAnsi="仿宋" w:eastAsia="仿宋" w:cs="仿宋"/>
          <w:lang w:eastAsia="zh-CN"/>
        </w:rPr>
        <w:t>承包人应自始至终采取各种合理的预防措施，防止雇员内部发生打斗和任何无序、非法的不良行为，以确保现场安定和保护现场及邻近人员的生命、财产安全。</w:t>
      </w:r>
    </w:p>
    <w:p w14:paraId="17779778">
      <w:pPr>
        <w:spacing w:line="400" w:lineRule="exact"/>
        <w:rPr>
          <w:lang w:eastAsia="zh-CN"/>
        </w:rPr>
      </w:pPr>
      <w:r>
        <w:rPr>
          <w:rFonts w:ascii="仿宋" w:hAnsi="仿宋" w:eastAsia="仿宋" w:cs="仿宋"/>
          <w:b/>
          <w:bCs/>
          <w:u w:val="single"/>
          <w:lang w:eastAsia="zh-CN"/>
        </w:rPr>
        <w:t xml:space="preserve">                                                                                     </w:t>
      </w:r>
    </w:p>
    <w:p w14:paraId="6952C4D0">
      <w:pPr>
        <w:pStyle w:val="22"/>
        <w:adjustRightInd w:val="0"/>
        <w:snapToGrid w:val="0"/>
        <w:spacing w:line="400" w:lineRule="exact"/>
        <w:jc w:val="center"/>
        <w:outlineLvl w:val="1"/>
        <w:rPr>
          <w:rFonts w:ascii="仿宋" w:hAnsi="仿宋" w:eastAsia="仿宋"/>
          <w:b/>
          <w:bCs/>
          <w:sz w:val="24"/>
          <w:szCs w:val="24"/>
          <w:lang w:eastAsia="zh-CN"/>
        </w:rPr>
      </w:pPr>
      <w:bookmarkStart w:id="300" w:name="_Toc1935"/>
      <w:bookmarkStart w:id="301" w:name="_Toc24923"/>
      <w:bookmarkStart w:id="302" w:name="_Toc194073138"/>
      <w:bookmarkStart w:id="303" w:name="_Toc16829"/>
      <w:r>
        <w:rPr>
          <w:rFonts w:hint="eastAsia" w:ascii="仿宋" w:hAnsi="仿宋" w:eastAsia="仿宋" w:cs="仿宋"/>
          <w:b/>
          <w:bCs/>
          <w:sz w:val="24"/>
          <w:szCs w:val="24"/>
          <w:lang w:eastAsia="zh-CN"/>
        </w:rPr>
        <w:t>三、担保、保险与风险</w:t>
      </w:r>
      <w:bookmarkEnd w:id="300"/>
      <w:bookmarkEnd w:id="301"/>
      <w:bookmarkEnd w:id="302"/>
      <w:bookmarkEnd w:id="303"/>
    </w:p>
    <w:p w14:paraId="6A38679A">
      <w:pPr>
        <w:pStyle w:val="4"/>
        <w:tabs>
          <w:tab w:val="left" w:pos="420"/>
        </w:tabs>
        <w:spacing w:before="0" w:after="0" w:line="400" w:lineRule="exact"/>
        <w:rPr>
          <w:rFonts w:ascii="仿宋" w:hAnsi="仿宋" w:eastAsia="仿宋" w:cs="仿宋"/>
          <w:bCs w:val="0"/>
          <w:sz w:val="24"/>
          <w:szCs w:val="24"/>
          <w:lang w:eastAsia="zh-CN"/>
        </w:rPr>
      </w:pPr>
      <w:bookmarkStart w:id="304" w:name="_Toc20074"/>
      <w:bookmarkStart w:id="305" w:name="_Toc27465"/>
      <w:bookmarkStart w:id="306" w:name="_Toc194073139"/>
      <w:bookmarkStart w:id="307" w:name="_Toc24616"/>
      <w:r>
        <w:rPr>
          <w:rFonts w:hint="eastAsia" w:ascii="仿宋" w:hAnsi="仿宋" w:eastAsia="仿宋" w:cs="仿宋"/>
          <w:bCs w:val="0"/>
          <w:sz w:val="24"/>
          <w:szCs w:val="24"/>
          <w:lang w:eastAsia="zh-CN"/>
        </w:rPr>
        <w:t>32</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工程担保</w:t>
      </w:r>
      <w:bookmarkEnd w:id="304"/>
      <w:bookmarkEnd w:id="305"/>
      <w:bookmarkEnd w:id="306"/>
      <w:bookmarkEnd w:id="307"/>
    </w:p>
    <w:p w14:paraId="79A0BCE8">
      <w:pPr>
        <w:pStyle w:val="22"/>
        <w:tabs>
          <w:tab w:val="left" w:pos="1320"/>
        </w:tabs>
        <w:adjustRightInd w:val="0"/>
        <w:snapToGrid w:val="0"/>
        <w:spacing w:line="400" w:lineRule="exact"/>
        <w:ind w:right="-240"/>
        <w:rPr>
          <w:rFonts w:ascii="仿宋" w:hAnsi="仿宋" w:eastAsia="仿宋" w:cs="仿宋"/>
          <w:b/>
          <w:bCs/>
          <w:sz w:val="24"/>
          <w:szCs w:val="24"/>
          <w:lang w:eastAsia="zh-CN"/>
        </w:rPr>
      </w:pPr>
      <w:r>
        <w:rPr>
          <w:rFonts w:hint="eastAsia" w:ascii="仿宋" w:hAnsi="仿宋" w:eastAsia="仿宋" w:cs="仿宋"/>
          <w:b/>
          <w:bCs/>
          <w:sz w:val="24"/>
          <w:szCs w:val="24"/>
          <w:lang w:eastAsia="zh-CN"/>
        </w:rPr>
        <w:t>32</w:t>
      </w:r>
      <w:r>
        <w:rPr>
          <w:rFonts w:ascii="仿宋" w:hAnsi="仿宋" w:eastAsia="仿宋" w:cs="仿宋"/>
          <w:b/>
          <w:bCs/>
          <w:sz w:val="24"/>
          <w:szCs w:val="24"/>
          <w:lang w:eastAsia="zh-CN"/>
        </w:rPr>
        <w:t>.1</w:t>
      </w:r>
    </w:p>
    <w:p w14:paraId="7727A9BE">
      <w:pPr>
        <w:widowControl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752448" behindDoc="0" locked="0" layoutInCell="1" allowOverlap="1">
                <wp:simplePos x="0" y="0"/>
                <wp:positionH relativeFrom="column">
                  <wp:posOffset>-114300</wp:posOffset>
                </wp:positionH>
                <wp:positionV relativeFrom="paragraph">
                  <wp:posOffset>80645</wp:posOffset>
                </wp:positionV>
                <wp:extent cx="832485" cy="544830"/>
                <wp:effectExtent l="0" t="0" r="0" b="0"/>
                <wp:wrapNone/>
                <wp:docPr id="123" name="文本框 792"/>
                <wp:cNvGraphicFramePr/>
                <a:graphic xmlns:a="http://schemas.openxmlformats.org/drawingml/2006/main">
                  <a:graphicData uri="http://schemas.microsoft.com/office/word/2010/wordprocessingShape">
                    <wps:wsp>
                      <wps:cNvSpPr txBox="1"/>
                      <wps:spPr>
                        <a:xfrm>
                          <a:off x="0" y="0"/>
                          <a:ext cx="832485" cy="544830"/>
                        </a:xfrm>
                        <a:prstGeom prst="rect">
                          <a:avLst/>
                        </a:prstGeom>
                        <a:noFill/>
                        <a:ln w="12700">
                          <a:noFill/>
                        </a:ln>
                      </wps:spPr>
                      <wps:txbx>
                        <w:txbxContent>
                          <w:p w14:paraId="3EAB2D4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txbxContent>
                      </wps:txbx>
                      <wps:bodyPr rot="0" vert="horz" wrap="square" lIns="91440" tIns="45720" rIns="91440" bIns="45720" anchor="t" anchorCtr="0"/>
                    </wps:wsp>
                  </a:graphicData>
                </a:graphic>
              </wp:anchor>
            </w:drawing>
          </mc:Choice>
          <mc:Fallback>
            <w:pict>
              <v:shape id="文本框 792" o:spid="_x0000_s1026" o:spt="202" type="#_x0000_t202" style="position:absolute;left:0pt;margin-left:-9pt;margin-top:6.35pt;height:42.9pt;width:65.55pt;z-index:251752448;mso-width-relative:page;mso-height-relative:page;" filled="f" stroked="f" coordsize="21600,21600" o:gfxdata="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MG&#10;V53XAAAACQEAAA8AAAAAAAAAAQAgAAAAIgAAAGRycy9kb3ducmV2LnhtbFBLAQIUABQAAAAIAIdO&#10;4kBCPYfU6wEAAL4DAAAOAAAAAAAAAAEAIAAAACYBAABkcnMvZTJvRG9jLnhtbFBLBQYAAAAABgAG&#10;AFkBAACDBQAAAAA=&#10;">
                <v:fill on="f" focussize="0,0"/>
                <v:stroke on="f" weight="1pt"/>
                <v:imagedata o:title=""/>
                <o:lock v:ext="edit" aspectratio="f"/>
                <v:textbox>
                  <w:txbxContent>
                    <w:p w14:paraId="3EAB2D4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txbxContent>
                </v:textbox>
              </v:shape>
            </w:pict>
          </mc:Fallback>
        </mc:AlternateContent>
      </w:r>
      <w:r>
        <w:rPr>
          <w:rFonts w:hint="eastAsia" w:ascii="仿宋" w:hAnsi="仿宋" w:eastAsia="仿宋" w:cs="仿宋"/>
          <w:lang w:eastAsia="zh-CN"/>
        </w:rPr>
        <w:t>为正确履行本合同，发包人应在招标文件中或在签订合同前明确履约担保的有关要求，承包人应按照合同约定时间向发包人提供履约担保。履约担保采用银行保函、担保公司担保或</w:t>
      </w:r>
      <w:r>
        <w:rPr>
          <w:rFonts w:hint="eastAsia" w:ascii="仿宋" w:hAnsi="仿宋" w:eastAsia="仿宋" w:cs="仿宋"/>
          <w:shd w:val="clear" w:color="auto" w:fill="FFFFFF"/>
          <w:lang w:eastAsia="zh-CN"/>
        </w:rPr>
        <w:t>履约保证保险</w:t>
      </w:r>
      <w:r>
        <w:rPr>
          <w:rFonts w:hint="eastAsia" w:ascii="仿宋" w:hAnsi="仿宋" w:eastAsia="仿宋" w:cs="仿宋"/>
          <w:lang w:eastAsia="zh-CN"/>
        </w:rPr>
        <w:t>的形式，提供履约保函、担保公司担保、</w:t>
      </w:r>
      <w:r>
        <w:rPr>
          <w:rFonts w:hint="eastAsia" w:ascii="仿宋" w:hAnsi="仿宋" w:eastAsia="仿宋" w:cs="仿宋"/>
          <w:shd w:val="clear" w:color="auto" w:fill="FFFFFF"/>
          <w:lang w:eastAsia="zh-CN"/>
        </w:rPr>
        <w:t>履约保证保险</w:t>
      </w:r>
      <w:r>
        <w:rPr>
          <w:rFonts w:hint="eastAsia" w:ascii="仿宋" w:hAnsi="仿宋" w:eastAsia="仿宋" w:cs="仿宋"/>
          <w:lang w:eastAsia="zh-CN"/>
        </w:rPr>
        <w:t>所发生的费用由承包人承担。</w:t>
      </w:r>
    </w:p>
    <w:p w14:paraId="6B81E4AE">
      <w:pPr>
        <w:spacing w:line="400" w:lineRule="exact"/>
        <w:rPr>
          <w:rFonts w:ascii="仿宋" w:hAnsi="仿宋" w:eastAsia="仿宋"/>
          <w:b/>
          <w:bCs/>
          <w:lang w:eastAsia="zh-CN"/>
        </w:rPr>
      </w:pPr>
      <w:bookmarkStart w:id="308" w:name="_Toc31260"/>
      <w:r>
        <mc:AlternateContent>
          <mc:Choice Requires="wps">
            <w:drawing>
              <wp:anchor distT="0" distB="0" distL="114300" distR="114300" simplePos="0" relativeHeight="251753472" behindDoc="0" locked="0" layoutInCell="1" allowOverlap="1">
                <wp:simplePos x="0" y="0"/>
                <wp:positionH relativeFrom="column">
                  <wp:posOffset>-114300</wp:posOffset>
                </wp:positionH>
                <wp:positionV relativeFrom="paragraph">
                  <wp:posOffset>255905</wp:posOffset>
                </wp:positionV>
                <wp:extent cx="756920" cy="447675"/>
                <wp:effectExtent l="0" t="0" r="0" b="0"/>
                <wp:wrapNone/>
                <wp:docPr id="124" name="文本框 793"/>
                <wp:cNvGraphicFramePr/>
                <a:graphic xmlns:a="http://schemas.openxmlformats.org/drawingml/2006/main">
                  <a:graphicData uri="http://schemas.microsoft.com/office/word/2010/wordprocessingShape">
                    <wps:wsp>
                      <wps:cNvSpPr txBox="1"/>
                      <wps:spPr>
                        <a:xfrm>
                          <a:off x="0" y="0"/>
                          <a:ext cx="756920" cy="447675"/>
                        </a:xfrm>
                        <a:prstGeom prst="rect">
                          <a:avLst/>
                        </a:prstGeom>
                        <a:noFill/>
                        <a:ln w="12700">
                          <a:noFill/>
                        </a:ln>
                      </wps:spPr>
                      <wps:txbx>
                        <w:txbxContent>
                          <w:p w14:paraId="12BEA13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txbxContent>
                      </wps:txbx>
                      <wps:bodyPr rot="0" vert="horz" wrap="square" lIns="91440" tIns="45720" rIns="91440" bIns="45720" anchor="t" anchorCtr="0"/>
                    </wps:wsp>
                  </a:graphicData>
                </a:graphic>
              </wp:anchor>
            </w:drawing>
          </mc:Choice>
          <mc:Fallback>
            <w:pict>
              <v:shape id="文本框 793" o:spid="_x0000_s1026" o:spt="202" type="#_x0000_t202" style="position:absolute;left:0pt;margin-left:-9pt;margin-top:20.15pt;height:35.25pt;width:59.6pt;z-index:251753472;mso-width-relative:page;mso-height-relative:page;" filled="f" stroked="f" coordsize="21600,21600" o:gfxdata="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Va7ti&#10;2AAAAAoBAAAPAAAAAAAAAAEAIAAAACIAAABkcnMvZG93bnJldi54bWxQSwECFAAUAAAACACHTuJA&#10;z0bw7ugBAAC+AwAADgAAAAAAAAABACAAAAAnAQAAZHJzL2Uyb0RvYy54bWxQSwUGAAAAAAYABgBZ&#10;AQAAgQUAAAAA&#10;">
                <v:fill on="f" focussize="0,0"/>
                <v:stroke on="f" weight="1pt"/>
                <v:imagedata o:title=""/>
                <o:lock v:ext="edit" aspectratio="f"/>
                <v:textbox>
                  <w:txbxContent>
                    <w:p w14:paraId="12BEA13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txbxContent>
                </v:textbox>
              </v:shape>
            </w:pict>
          </mc:Fallback>
        </mc:AlternateContent>
      </w:r>
      <w:r>
        <w:rPr>
          <w:rFonts w:hint="eastAsia" w:ascii="仿宋" w:hAnsi="仿宋" w:eastAsia="仿宋" w:cs="仿宋"/>
          <w:b/>
          <w:bCs/>
          <w:lang w:eastAsia="zh-CN"/>
        </w:rPr>
        <w:t>32</w:t>
      </w:r>
      <w:r>
        <w:rPr>
          <w:rFonts w:ascii="仿宋" w:hAnsi="仿宋" w:eastAsia="仿宋" w:cs="仿宋"/>
          <w:b/>
          <w:bCs/>
          <w:lang w:eastAsia="zh-CN"/>
        </w:rPr>
        <w:t>.2</w:t>
      </w:r>
      <w:bookmarkEnd w:id="308"/>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1E93D48E">
      <w:pPr>
        <w:widowControl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履约担保的有效期，是从提供履约担保之日起至合同工程竣工验收合格之日止。担保有效期满后，发包人应在收到承包人退保申请后的</w:t>
      </w:r>
      <w:r>
        <w:rPr>
          <w:rFonts w:ascii="仿宋" w:hAnsi="仿宋" w:eastAsia="仿宋" w:cs="仿宋"/>
          <w:lang w:eastAsia="zh-CN"/>
        </w:rPr>
        <w:t xml:space="preserve">14 </w:t>
      </w:r>
      <w:r>
        <w:rPr>
          <w:rFonts w:hint="eastAsia" w:ascii="仿宋" w:hAnsi="仿宋" w:eastAsia="仿宋" w:cs="仿宋"/>
          <w:lang w:eastAsia="zh-CN"/>
        </w:rPr>
        <w:t>天内将此担保退还给承包人。</w:t>
      </w:r>
    </w:p>
    <w:p w14:paraId="39343F04">
      <w:pPr>
        <w:spacing w:line="400" w:lineRule="exact"/>
        <w:rPr>
          <w:rFonts w:ascii="仿宋" w:hAnsi="仿宋" w:eastAsia="仿宋"/>
          <w:b/>
          <w:bCs/>
          <w:lang w:eastAsia="zh-CN"/>
        </w:rPr>
      </w:pPr>
      <w:bookmarkStart w:id="309" w:name="_Toc27420"/>
      <w:r>
        <mc:AlternateContent>
          <mc:Choice Requires="wps">
            <w:drawing>
              <wp:anchor distT="0" distB="0" distL="114300" distR="114300" simplePos="0" relativeHeight="251754496" behindDoc="0" locked="0" layoutInCell="1" allowOverlap="1">
                <wp:simplePos x="0" y="0"/>
                <wp:positionH relativeFrom="column">
                  <wp:posOffset>-114300</wp:posOffset>
                </wp:positionH>
                <wp:positionV relativeFrom="paragraph">
                  <wp:posOffset>248920</wp:posOffset>
                </wp:positionV>
                <wp:extent cx="756920" cy="587375"/>
                <wp:effectExtent l="0" t="0" r="0" b="0"/>
                <wp:wrapNone/>
                <wp:docPr id="125" name="文本框 794"/>
                <wp:cNvGraphicFramePr/>
                <a:graphic xmlns:a="http://schemas.openxmlformats.org/drawingml/2006/main">
                  <a:graphicData uri="http://schemas.microsoft.com/office/word/2010/wordprocessingShape">
                    <wps:wsp>
                      <wps:cNvSpPr txBox="1"/>
                      <wps:spPr>
                        <a:xfrm>
                          <a:off x="0" y="0"/>
                          <a:ext cx="756920" cy="587375"/>
                        </a:xfrm>
                        <a:prstGeom prst="rect">
                          <a:avLst/>
                        </a:prstGeom>
                        <a:noFill/>
                        <a:ln w="12700">
                          <a:noFill/>
                        </a:ln>
                      </wps:spPr>
                      <wps:txbx>
                        <w:txbxContent>
                          <w:p w14:paraId="1A83902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向发包人支付索赔款项</w:t>
                            </w:r>
                          </w:p>
                        </w:txbxContent>
                      </wps:txbx>
                      <wps:bodyPr rot="0" vert="horz" wrap="square" lIns="91440" tIns="45720" rIns="91440" bIns="45720" anchor="t" anchorCtr="0"/>
                    </wps:wsp>
                  </a:graphicData>
                </a:graphic>
              </wp:anchor>
            </w:drawing>
          </mc:Choice>
          <mc:Fallback>
            <w:pict>
              <v:shape id="文本框 794" o:spid="_x0000_s1026" o:spt="202" type="#_x0000_t202" style="position:absolute;left:0pt;margin-left:-9pt;margin-top:19.6pt;height:46.25pt;width:59.6pt;z-index:251754496;mso-width-relative:page;mso-height-relative:page;" filled="f" stroked="f" coordsize="21600,21600" o:gfxdata="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V41Ao&#10;1wAAAAoBAAAPAAAAAAAAAAEAIAAAACIAAABkcnMvZG93bnJldi54bWxQSwECFAAUAAAACACHTuJA&#10;dAt9KekBAAC+AwAADgAAAAAAAAABACAAAAAmAQAAZHJzL2Uyb0RvYy54bWxQSwUGAAAAAAYABgBZ&#10;AQAAgQUAAAAA&#10;">
                <v:fill on="f" focussize="0,0"/>
                <v:stroke on="f" weight="1pt"/>
                <v:imagedata o:title=""/>
                <o:lock v:ext="edit" aspectratio="f"/>
                <v:textbox>
                  <w:txbxContent>
                    <w:p w14:paraId="1A83902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向发包人支付索赔款项</w:t>
                      </w:r>
                    </w:p>
                  </w:txbxContent>
                </v:textbox>
              </v:shape>
            </w:pict>
          </mc:Fallback>
        </mc:AlternateContent>
      </w:r>
      <w:r>
        <w:rPr>
          <w:rFonts w:hint="eastAsia" w:ascii="仿宋" w:hAnsi="仿宋" w:eastAsia="仿宋" w:cs="仿宋"/>
          <w:b/>
          <w:bCs/>
          <w:lang w:eastAsia="zh-CN"/>
        </w:rPr>
        <w:t>32</w:t>
      </w:r>
      <w:r>
        <w:rPr>
          <w:rFonts w:ascii="仿宋" w:hAnsi="仿宋" w:eastAsia="仿宋" w:cs="仿宋"/>
          <w:b/>
          <w:bCs/>
          <w:lang w:eastAsia="zh-CN"/>
        </w:rPr>
        <w:t>.3</w:t>
      </w:r>
      <w:bookmarkEnd w:id="309"/>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79E2C74F">
      <w:pPr>
        <w:widowControl w:val="0"/>
        <w:spacing w:line="400" w:lineRule="exact"/>
        <w:ind w:left="1850" w:leftChars="771"/>
        <w:jc w:val="both"/>
        <w:rPr>
          <w:rFonts w:ascii="仿宋" w:hAnsi="仿宋" w:eastAsia="仿宋"/>
          <w:b/>
          <w:bCs/>
          <w:lang w:eastAsia="zh-CN"/>
        </w:rPr>
      </w:pPr>
      <w:r>
        <w:rPr>
          <w:rFonts w:hint="eastAsia" w:ascii="仿宋" w:hAnsi="仿宋" w:eastAsia="仿宋" w:cs="仿宋"/>
          <w:lang w:eastAsia="zh-CN"/>
        </w:rPr>
        <w:t>发包人在对履约担保提出索赔要求之前，应书面通知承包人，说明导致此项索赔的原因，并及时向担保人提出索赔文件。担保人根据担保合同的约定在担保范围内承担担保责任，并无须征得承包人的同意，直接向发包人支付索赔价款。</w:t>
      </w:r>
    </w:p>
    <w:p w14:paraId="7D324F71">
      <w:pPr>
        <w:spacing w:line="400" w:lineRule="exact"/>
        <w:rPr>
          <w:rFonts w:ascii="仿宋" w:hAnsi="仿宋" w:eastAsia="仿宋"/>
          <w:b/>
          <w:bCs/>
          <w:lang w:eastAsia="zh-CN"/>
        </w:rPr>
      </w:pPr>
      <w:bookmarkStart w:id="310" w:name="_Toc325"/>
      <w:r>
        <mc:AlternateContent>
          <mc:Choice Requires="wps">
            <w:drawing>
              <wp:anchor distT="0" distB="0" distL="114300" distR="114300" simplePos="0" relativeHeight="251991040" behindDoc="0" locked="0" layoutInCell="1" allowOverlap="1">
                <wp:simplePos x="0" y="0"/>
                <wp:positionH relativeFrom="column">
                  <wp:posOffset>-114300</wp:posOffset>
                </wp:positionH>
                <wp:positionV relativeFrom="paragraph">
                  <wp:posOffset>251460</wp:posOffset>
                </wp:positionV>
                <wp:extent cx="794385" cy="481330"/>
                <wp:effectExtent l="0" t="0" r="0" b="0"/>
                <wp:wrapNone/>
                <wp:docPr id="126" name="文本框 795"/>
                <wp:cNvGraphicFramePr/>
                <a:graphic xmlns:a="http://schemas.openxmlformats.org/drawingml/2006/main">
                  <a:graphicData uri="http://schemas.microsoft.com/office/word/2010/wordprocessingShape">
                    <wps:wsp>
                      <wps:cNvSpPr txBox="1"/>
                      <wps:spPr>
                        <a:xfrm>
                          <a:off x="0" y="0"/>
                          <a:ext cx="794385" cy="481330"/>
                        </a:xfrm>
                        <a:prstGeom prst="rect">
                          <a:avLst/>
                        </a:prstGeom>
                        <a:noFill/>
                        <a:ln w="12700">
                          <a:noFill/>
                        </a:ln>
                      </wps:spPr>
                      <wps:txbx>
                        <w:txbxContent>
                          <w:p w14:paraId="5C27C74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发包人提供支付担保</w:t>
                            </w:r>
                          </w:p>
                        </w:txbxContent>
                      </wps:txbx>
                      <wps:bodyPr rot="0" vert="horz" wrap="square" lIns="91440" tIns="45720" rIns="91440" bIns="45720" anchor="t" anchorCtr="0"/>
                    </wps:wsp>
                  </a:graphicData>
                </a:graphic>
              </wp:anchor>
            </w:drawing>
          </mc:Choice>
          <mc:Fallback>
            <w:pict>
              <v:shape id="文本框 795" o:spid="_x0000_s1026" o:spt="202" type="#_x0000_t202" style="position:absolute;left:0pt;margin-left:-9pt;margin-top:19.8pt;height:37.9pt;width:62.55pt;z-index:251991040;mso-width-relative:page;mso-height-relative:page;" filled="f" stroked="f" coordsize="21600,21600" o:gfxdata="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mQ7D3NkAAAAKAQAADwAAAAAAAAABACAAAAAiAAAAZHJzL2Rvd25yZXYueG1sUEsBAhQAFAAAAAgA&#10;h07iQJVdlhPrAQAAvgMAAA4AAAAAAAAAAQAgAAAAKAEAAGRycy9lMm9Eb2MueG1sUEsFBgAAAAAG&#10;AAYAWQEAAIUFAAAAAA==&#10;">
                <v:fill on="f" focussize="0,0"/>
                <v:stroke on="f" weight="1pt"/>
                <v:imagedata o:title=""/>
                <o:lock v:ext="edit" aspectratio="f"/>
                <v:textbox>
                  <w:txbxContent>
                    <w:p w14:paraId="5C27C74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发包人提供支付担保</w:t>
                      </w:r>
                    </w:p>
                  </w:txbxContent>
                </v:textbox>
              </v:shape>
            </w:pict>
          </mc:Fallback>
        </mc:AlternateContent>
      </w:r>
      <w:r>
        <w:rPr>
          <w:rFonts w:hint="eastAsia" w:ascii="仿宋" w:hAnsi="仿宋" w:eastAsia="仿宋" w:cs="仿宋"/>
          <w:b/>
          <w:bCs/>
          <w:lang w:eastAsia="zh-CN"/>
        </w:rPr>
        <w:t>32</w:t>
      </w:r>
      <w:r>
        <w:rPr>
          <w:rFonts w:ascii="仿宋" w:hAnsi="仿宋" w:eastAsia="仿宋" w:cs="仿宋"/>
          <w:b/>
          <w:bCs/>
          <w:lang w:eastAsia="zh-CN"/>
        </w:rPr>
        <w:t>.4</w:t>
      </w:r>
      <w:bookmarkEnd w:id="310"/>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5FAE2220">
      <w:pPr>
        <w:widowControl w:val="0"/>
        <w:spacing w:line="400" w:lineRule="exact"/>
        <w:ind w:left="1850" w:leftChars="771"/>
        <w:jc w:val="both"/>
        <w:rPr>
          <w:rFonts w:ascii="仿宋" w:hAnsi="仿宋" w:eastAsia="仿宋"/>
          <w:lang w:eastAsia="zh-CN"/>
        </w:rPr>
      </w:pPr>
      <w:r>
        <w:rPr>
          <w:rFonts w:hint="eastAsia" w:ascii="仿宋" w:hAnsi="仿宋" w:eastAsia="仿宋" w:cs="仿宋"/>
          <w:lang w:eastAsia="zh-CN"/>
        </w:rPr>
        <w:t>承包人按照第32</w:t>
      </w:r>
      <w:r>
        <w:rPr>
          <w:rFonts w:ascii="仿宋" w:hAnsi="仿宋" w:eastAsia="仿宋" w:cs="仿宋"/>
          <w:lang w:eastAsia="zh-CN"/>
        </w:rPr>
        <w:t>.1</w:t>
      </w:r>
      <w:r>
        <w:rPr>
          <w:rFonts w:hint="eastAsia" w:ascii="仿宋" w:hAnsi="仿宋" w:eastAsia="仿宋" w:cs="仿宋"/>
          <w:lang w:eastAsia="zh-CN"/>
        </w:rPr>
        <w:t>款的要求提交了履约担保，发包人应按照合同约定时间向承包人提交与履约担保等值的支付担保；发、承包人也可约定由发包人向承包人提交预付款等值的支付担保。支付担保采用银行保函、担保公司担保或</w:t>
      </w:r>
      <w:r>
        <w:rPr>
          <w:rFonts w:hint="eastAsia" w:ascii="仿宋" w:hAnsi="仿宋" w:eastAsia="仿宋" w:cs="仿宋"/>
          <w:shd w:val="clear" w:color="auto" w:fill="FFFFFF"/>
          <w:lang w:eastAsia="zh-CN"/>
        </w:rPr>
        <w:t>支付保证保险</w:t>
      </w:r>
      <w:r>
        <w:rPr>
          <w:rFonts w:hint="eastAsia" w:ascii="仿宋" w:hAnsi="仿宋" w:eastAsia="仿宋" w:cs="仿宋"/>
          <w:lang w:eastAsia="zh-CN"/>
        </w:rPr>
        <w:t>的形式，提供支付保函、担保公司担保、</w:t>
      </w:r>
      <w:r>
        <w:rPr>
          <w:rFonts w:hint="eastAsia" w:ascii="仿宋" w:hAnsi="仿宋" w:eastAsia="仿宋" w:cs="仿宋"/>
          <w:shd w:val="clear" w:color="auto" w:fill="FFFFFF"/>
          <w:lang w:eastAsia="zh-CN"/>
        </w:rPr>
        <w:t>支付保证保险</w:t>
      </w:r>
      <w:r>
        <w:rPr>
          <w:rFonts w:hint="eastAsia" w:ascii="仿宋" w:hAnsi="仿宋" w:eastAsia="仿宋" w:cs="仿宋"/>
          <w:lang w:eastAsia="zh-CN"/>
        </w:rPr>
        <w:t>所发生的费用由发包人承担。</w:t>
      </w:r>
    </w:p>
    <w:p w14:paraId="39A5329C">
      <w:pPr>
        <w:spacing w:line="400" w:lineRule="exact"/>
        <w:rPr>
          <w:rFonts w:ascii="仿宋" w:hAnsi="仿宋" w:eastAsia="仿宋"/>
          <w:b/>
          <w:bCs/>
          <w:lang w:eastAsia="zh-CN"/>
        </w:rPr>
      </w:pPr>
      <w:bookmarkStart w:id="311" w:name="_Toc11769"/>
      <w:r>
        <mc:AlternateContent>
          <mc:Choice Requires="wps">
            <w:drawing>
              <wp:anchor distT="0" distB="0" distL="114300" distR="114300" simplePos="0" relativeHeight="251992064" behindDoc="0" locked="0" layoutInCell="1" allowOverlap="1">
                <wp:simplePos x="0" y="0"/>
                <wp:positionH relativeFrom="column">
                  <wp:posOffset>-114300</wp:posOffset>
                </wp:positionH>
                <wp:positionV relativeFrom="paragraph">
                  <wp:posOffset>238125</wp:posOffset>
                </wp:positionV>
                <wp:extent cx="833120" cy="563880"/>
                <wp:effectExtent l="0" t="0" r="0" b="0"/>
                <wp:wrapNone/>
                <wp:docPr id="127" name="文本框 796"/>
                <wp:cNvGraphicFramePr/>
                <a:graphic xmlns:a="http://schemas.openxmlformats.org/drawingml/2006/main">
                  <a:graphicData uri="http://schemas.microsoft.com/office/word/2010/wordprocessingShape">
                    <wps:wsp>
                      <wps:cNvSpPr txBox="1"/>
                      <wps:spPr>
                        <a:xfrm>
                          <a:off x="0" y="0"/>
                          <a:ext cx="833120" cy="563880"/>
                        </a:xfrm>
                        <a:prstGeom prst="rect">
                          <a:avLst/>
                        </a:prstGeom>
                        <a:noFill/>
                        <a:ln w="12700">
                          <a:noFill/>
                        </a:ln>
                      </wps:spPr>
                      <wps:txbx>
                        <w:txbxContent>
                          <w:p w14:paraId="3111DFB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txbxContent>
                      </wps:txbx>
                      <wps:bodyPr rot="0" vert="horz" wrap="square" lIns="91440" tIns="45720" rIns="91440" bIns="45720" anchor="t" anchorCtr="0"/>
                    </wps:wsp>
                  </a:graphicData>
                </a:graphic>
              </wp:anchor>
            </w:drawing>
          </mc:Choice>
          <mc:Fallback>
            <w:pict>
              <v:shape id="文本框 796" o:spid="_x0000_s1026" o:spt="202" type="#_x0000_t202" style="position:absolute;left:0pt;margin-left:-9pt;margin-top:18.75pt;height:44.4pt;width:65.6pt;z-index:251992064;mso-width-relative:page;mso-height-relative:page;" filled="f" stroked="f" coordsize="21600,21600" o:gfxdata="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0J&#10;Sl3ZAAAACgEAAA8AAAAAAAAAAQAgAAAAIgAAAGRycy9kb3ducmV2LnhtbFBLAQIUABQAAAAIAIdO&#10;4kBRTtrv6QEAAL4DAAAOAAAAAAAAAAEAIAAAACgBAABkcnMvZTJvRG9jLnhtbFBLBQYAAAAABgAG&#10;AFkBAACDBQAAAAA=&#10;">
                <v:fill on="f" focussize="0,0"/>
                <v:stroke on="f" weight="1pt"/>
                <v:imagedata o:title=""/>
                <o:lock v:ext="edit" aspectratio="f"/>
                <v:textbox>
                  <w:txbxContent>
                    <w:p w14:paraId="3111DFB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txbxContent>
                </v:textbox>
              </v:shape>
            </w:pict>
          </mc:Fallback>
        </mc:AlternateContent>
      </w:r>
      <w:r>
        <w:rPr>
          <w:rFonts w:hint="eastAsia" w:ascii="仿宋" w:hAnsi="仿宋" w:eastAsia="仿宋" w:cs="仿宋"/>
          <w:b/>
          <w:bCs/>
          <w:lang w:eastAsia="zh-CN"/>
        </w:rPr>
        <w:t>32</w:t>
      </w:r>
      <w:r>
        <w:rPr>
          <w:rFonts w:ascii="仿宋" w:hAnsi="仿宋" w:eastAsia="仿宋" w:cs="仿宋"/>
          <w:b/>
          <w:bCs/>
          <w:lang w:eastAsia="zh-CN"/>
        </w:rPr>
        <w:t>.5</w:t>
      </w:r>
      <w:bookmarkEnd w:id="311"/>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5DAE5548">
      <w:pPr>
        <w:widowControl w:val="0"/>
        <w:spacing w:line="400" w:lineRule="exact"/>
        <w:ind w:left="1850" w:leftChars="771"/>
        <w:jc w:val="both"/>
        <w:rPr>
          <w:rFonts w:ascii="仿宋" w:hAnsi="仿宋" w:eastAsia="仿宋"/>
          <w:lang w:eastAsia="zh-CN"/>
        </w:rPr>
      </w:pPr>
      <w:r>
        <w:rPr>
          <w:rFonts w:hint="eastAsia" w:ascii="仿宋" w:hAnsi="仿宋" w:eastAsia="仿宋" w:cs="仿宋"/>
          <w:lang w:eastAsia="zh-CN"/>
        </w:rPr>
        <w:t>支付担保的有效期，是从提供支付担保之日起至发包人根据本合同约定支付完除质量保证金以外的全部款项之日止。承包人应在担保有效期满后的</w:t>
      </w:r>
      <w:r>
        <w:rPr>
          <w:rFonts w:ascii="仿宋" w:hAnsi="仿宋" w:eastAsia="仿宋" w:cs="仿宋"/>
          <w:lang w:eastAsia="zh-CN"/>
        </w:rPr>
        <w:t>14</w:t>
      </w:r>
      <w:r>
        <w:rPr>
          <w:rFonts w:hint="eastAsia" w:ascii="仿宋" w:hAnsi="仿宋" w:eastAsia="仿宋" w:cs="仿宋"/>
          <w:lang w:eastAsia="zh-CN"/>
        </w:rPr>
        <w:t>天内将此担保退还给发包人。</w:t>
      </w:r>
    </w:p>
    <w:p w14:paraId="430EF0BE">
      <w:pPr>
        <w:spacing w:line="400" w:lineRule="exact"/>
        <w:rPr>
          <w:rFonts w:ascii="仿宋" w:hAnsi="仿宋" w:eastAsia="仿宋"/>
          <w:b/>
          <w:bCs/>
          <w:lang w:eastAsia="zh-CN"/>
        </w:rPr>
      </w:pPr>
      <w:bookmarkStart w:id="312" w:name="_Toc6720"/>
      <w:r>
        <mc:AlternateContent>
          <mc:Choice Requires="wps">
            <w:drawing>
              <wp:anchor distT="0" distB="0" distL="114300" distR="114300" simplePos="0" relativeHeight="251993088" behindDoc="0" locked="0" layoutInCell="1" allowOverlap="1">
                <wp:simplePos x="0" y="0"/>
                <wp:positionH relativeFrom="column">
                  <wp:posOffset>-114300</wp:posOffset>
                </wp:positionH>
                <wp:positionV relativeFrom="paragraph">
                  <wp:posOffset>247650</wp:posOffset>
                </wp:positionV>
                <wp:extent cx="842645" cy="562610"/>
                <wp:effectExtent l="0" t="0" r="0" b="0"/>
                <wp:wrapNone/>
                <wp:docPr id="128" name="文本框 797"/>
                <wp:cNvGraphicFramePr/>
                <a:graphic xmlns:a="http://schemas.openxmlformats.org/drawingml/2006/main">
                  <a:graphicData uri="http://schemas.microsoft.com/office/word/2010/wordprocessingShape">
                    <wps:wsp>
                      <wps:cNvSpPr txBox="1"/>
                      <wps:spPr>
                        <a:xfrm>
                          <a:off x="0" y="0"/>
                          <a:ext cx="842645" cy="562610"/>
                        </a:xfrm>
                        <a:prstGeom prst="rect">
                          <a:avLst/>
                        </a:prstGeom>
                        <a:noFill/>
                        <a:ln w="12700">
                          <a:noFill/>
                        </a:ln>
                      </wps:spPr>
                      <wps:txbx>
                        <w:txbxContent>
                          <w:p w14:paraId="2627595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txbxContent>
                      </wps:txbx>
                      <wps:bodyPr rot="0" vert="horz" wrap="square" lIns="91440" tIns="45720" rIns="91440" bIns="45720" anchor="t" anchorCtr="0"/>
                    </wps:wsp>
                  </a:graphicData>
                </a:graphic>
              </wp:anchor>
            </w:drawing>
          </mc:Choice>
          <mc:Fallback>
            <w:pict>
              <v:shape id="文本框 797" o:spid="_x0000_s1026" o:spt="202" type="#_x0000_t202" style="position:absolute;left:0pt;margin-left:-9pt;margin-top:19.5pt;height:44.3pt;width:66.35pt;z-index:251993088;mso-width-relative:page;mso-height-relative:page;" filled="f" stroked="f" coordsize="21600,21600" o:gfxdata="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7QSxMdkAAAAKAQAADwAAAAAAAAABACAAAAAiAAAAZHJzL2Rvd25yZXYueG1sUEsBAhQAFAAAAAgA&#10;h07iQEIa/y7rAQAAvgMAAA4AAAAAAAAAAQAgAAAAKAEAAGRycy9lMm9Eb2MueG1sUEsFBgAAAAAG&#10;AAYAWQEAAIUFAAAAAA==&#10;">
                <v:fill on="f" focussize="0,0"/>
                <v:stroke on="f" weight="1pt"/>
                <v:imagedata o:title=""/>
                <o:lock v:ext="edit" aspectratio="f"/>
                <v:textbox>
                  <w:txbxContent>
                    <w:p w14:paraId="2627595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txbxContent>
                </v:textbox>
              </v:shape>
            </w:pict>
          </mc:Fallback>
        </mc:AlternateContent>
      </w:r>
      <w:r>
        <w:rPr>
          <w:rFonts w:hint="eastAsia" w:ascii="仿宋" w:hAnsi="仿宋" w:eastAsia="仿宋" w:cs="仿宋"/>
          <w:b/>
          <w:bCs/>
          <w:lang w:eastAsia="zh-CN"/>
        </w:rPr>
        <w:t>32</w:t>
      </w:r>
      <w:r>
        <w:rPr>
          <w:rFonts w:ascii="仿宋" w:hAnsi="仿宋" w:eastAsia="仿宋" w:cs="仿宋"/>
          <w:b/>
          <w:bCs/>
          <w:lang w:eastAsia="zh-CN"/>
        </w:rPr>
        <w:t>.6</w:t>
      </w:r>
      <w:bookmarkEnd w:id="312"/>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6B88EAE2">
      <w:pPr>
        <w:widowControl w:val="0"/>
        <w:spacing w:line="400" w:lineRule="exact"/>
        <w:ind w:left="1850" w:leftChars="771"/>
        <w:jc w:val="both"/>
        <w:rPr>
          <w:rFonts w:ascii="仿宋" w:hAnsi="仿宋" w:eastAsia="仿宋"/>
          <w:lang w:eastAsia="zh-CN"/>
        </w:rPr>
      </w:pPr>
      <w:r>
        <w:rPr>
          <w:rFonts w:hint="eastAsia" w:ascii="仿宋" w:hAnsi="仿宋" w:eastAsia="仿宋" w:cs="仿宋"/>
          <w:lang w:eastAsia="zh-CN"/>
        </w:rPr>
        <w:t>承包人在对支付担保提出索赔要求之前，应书面通知发包人和造价工程师，说明导致此项索赔的原因，并及时向担保人提出索赔文件。担保人根据担保合同的约定在担保范围内承担担保责任，并无须征得发包人的同意，直接向承包人支付索赔款。</w:t>
      </w:r>
    </w:p>
    <w:p w14:paraId="44962F5C">
      <w:pPr>
        <w:spacing w:line="400" w:lineRule="exact"/>
        <w:rPr>
          <w:rFonts w:ascii="仿宋" w:hAnsi="仿宋" w:eastAsia="仿宋"/>
          <w:b/>
          <w:bCs/>
          <w:lang w:eastAsia="zh-CN"/>
        </w:rPr>
      </w:pPr>
      <w:bookmarkStart w:id="313" w:name="_Toc32372"/>
      <w:r>
        <mc:AlternateContent>
          <mc:Choice Requires="wps">
            <w:drawing>
              <wp:anchor distT="0" distB="0" distL="114300" distR="114300" simplePos="0" relativeHeight="251994112" behindDoc="0" locked="0" layoutInCell="1" allowOverlap="1">
                <wp:simplePos x="0" y="0"/>
                <wp:positionH relativeFrom="column">
                  <wp:posOffset>-114300</wp:posOffset>
                </wp:positionH>
                <wp:positionV relativeFrom="paragraph">
                  <wp:posOffset>243205</wp:posOffset>
                </wp:positionV>
                <wp:extent cx="842010" cy="617855"/>
                <wp:effectExtent l="0" t="0" r="0" b="0"/>
                <wp:wrapNone/>
                <wp:docPr id="129" name="文本框 798"/>
                <wp:cNvGraphicFramePr/>
                <a:graphic xmlns:a="http://schemas.openxmlformats.org/drawingml/2006/main">
                  <a:graphicData uri="http://schemas.microsoft.com/office/word/2010/wordprocessingShape">
                    <wps:wsp>
                      <wps:cNvSpPr txBox="1"/>
                      <wps:spPr>
                        <a:xfrm>
                          <a:off x="0" y="0"/>
                          <a:ext cx="842010" cy="617855"/>
                        </a:xfrm>
                        <a:prstGeom prst="rect">
                          <a:avLst/>
                        </a:prstGeom>
                        <a:noFill/>
                        <a:ln w="12700">
                          <a:noFill/>
                        </a:ln>
                      </wps:spPr>
                      <wps:txbx>
                        <w:txbxContent>
                          <w:p w14:paraId="587EE2A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txbxContent>
                      </wps:txbx>
                      <wps:bodyPr rot="0" vert="horz" wrap="square" lIns="91440" tIns="45720" rIns="91440" bIns="45720" anchor="t" anchorCtr="0"/>
                    </wps:wsp>
                  </a:graphicData>
                </a:graphic>
              </wp:anchor>
            </w:drawing>
          </mc:Choice>
          <mc:Fallback>
            <w:pict>
              <v:shape id="文本框 798" o:spid="_x0000_s1026" o:spt="202" type="#_x0000_t202" style="position:absolute;left:0pt;margin-left:-9pt;margin-top:19.15pt;height:48.65pt;width:66.3pt;z-index:251994112;mso-width-relative:page;mso-height-relative:page;" filled="f" stroked="f" coordsize="21600,21600" o:gfxdata="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DO+bLY&#10;AAAACgEAAA8AAAAAAAAAAQAgAAAAIgAAAGRycy9kb3ducmV2LnhtbFBLAQIUABQAAAAIAIdO4kDO&#10;Bhdo5wEAAL4DAAAOAAAAAAAAAAEAIAAAACcBAABkcnMvZTJvRG9jLnhtbFBLBQYAAAAABgAGAFkB&#10;AACABQAAAAA=&#10;">
                <v:fill on="f" focussize="0,0"/>
                <v:stroke on="f" weight="1pt"/>
                <v:imagedata o:title=""/>
                <o:lock v:ext="edit" aspectratio="f"/>
                <v:textbox>
                  <w:txbxContent>
                    <w:p w14:paraId="587EE2A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txbxContent>
                </v:textbox>
              </v:shape>
            </w:pict>
          </mc:Fallback>
        </mc:AlternateContent>
      </w:r>
      <w:r>
        <w:rPr>
          <w:rFonts w:hint="eastAsia" w:ascii="仿宋" w:hAnsi="仿宋" w:eastAsia="仿宋" w:cs="仿宋"/>
          <w:b/>
          <w:bCs/>
          <w:lang w:eastAsia="zh-CN"/>
        </w:rPr>
        <w:t>32</w:t>
      </w:r>
      <w:r>
        <w:rPr>
          <w:rFonts w:ascii="仿宋" w:hAnsi="仿宋" w:eastAsia="仿宋" w:cs="仿宋"/>
          <w:b/>
          <w:bCs/>
          <w:lang w:eastAsia="zh-CN"/>
        </w:rPr>
        <w:t>.7</w:t>
      </w:r>
      <w:bookmarkEnd w:id="313"/>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6C2E2667">
      <w:pPr>
        <w:widowControl w:val="0"/>
        <w:spacing w:line="400" w:lineRule="exact"/>
        <w:ind w:left="1850" w:leftChars="771"/>
        <w:jc w:val="both"/>
        <w:rPr>
          <w:rFonts w:ascii="仿宋" w:hAnsi="仿宋" w:eastAsia="仿宋"/>
          <w:lang w:eastAsia="zh-CN"/>
        </w:rPr>
      </w:pPr>
      <w:r>
        <w:rPr>
          <w:rFonts w:hint="eastAsia" w:ascii="仿宋" w:hAnsi="仿宋" w:eastAsia="仿宋" w:cs="仿宋"/>
          <w:lang w:eastAsia="zh-CN"/>
        </w:rPr>
        <w:t>合同双方当事人均应确保合同工程担保有效期符合工期合理顺延的要求。若合同一方当事人未能保证延长担保有效期，另一方当事人可向其索赔担保的全部金额。</w:t>
      </w:r>
    </w:p>
    <w:p w14:paraId="13ED9169">
      <w:pPr>
        <w:spacing w:line="400" w:lineRule="exact"/>
        <w:rPr>
          <w:rFonts w:ascii="仿宋" w:hAnsi="仿宋" w:eastAsia="仿宋"/>
          <w:b/>
          <w:bCs/>
          <w:lang w:eastAsia="zh-CN"/>
        </w:rPr>
      </w:pPr>
      <w:bookmarkStart w:id="314" w:name="_Toc5677"/>
      <w:r>
        <w:rPr>
          <w:rFonts w:hint="eastAsia" w:ascii="仿宋" w:hAnsi="仿宋" w:eastAsia="仿宋" w:cs="仿宋"/>
          <w:b/>
          <w:bCs/>
          <w:lang w:eastAsia="zh-CN"/>
        </w:rPr>
        <w:t>32</w:t>
      </w:r>
      <w:r>
        <w:rPr>
          <w:rFonts w:ascii="仿宋" w:hAnsi="仿宋" w:eastAsia="仿宋" w:cs="仿宋"/>
          <w:b/>
          <w:bCs/>
          <w:lang w:eastAsia="zh-CN"/>
        </w:rPr>
        <w:t>.8</w:t>
      </w:r>
      <w:bookmarkEnd w:id="314"/>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60721D89">
      <w:pPr>
        <w:widowControl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995136" behindDoc="0" locked="0" layoutInCell="1" allowOverlap="1">
                <wp:simplePos x="0" y="0"/>
                <wp:positionH relativeFrom="column">
                  <wp:posOffset>-114300</wp:posOffset>
                </wp:positionH>
                <wp:positionV relativeFrom="paragraph">
                  <wp:posOffset>41275</wp:posOffset>
                </wp:positionV>
                <wp:extent cx="756920" cy="460375"/>
                <wp:effectExtent l="0" t="0" r="0" b="0"/>
                <wp:wrapNone/>
                <wp:docPr id="130" name="文本框 799"/>
                <wp:cNvGraphicFramePr/>
                <a:graphic xmlns:a="http://schemas.openxmlformats.org/drawingml/2006/main">
                  <a:graphicData uri="http://schemas.microsoft.com/office/word/2010/wordprocessingShape">
                    <wps:wsp>
                      <wps:cNvSpPr txBox="1"/>
                      <wps:spPr>
                        <a:xfrm>
                          <a:off x="0" y="0"/>
                          <a:ext cx="756920" cy="460375"/>
                        </a:xfrm>
                        <a:prstGeom prst="rect">
                          <a:avLst/>
                        </a:prstGeom>
                        <a:noFill/>
                        <a:ln w="12700">
                          <a:noFill/>
                        </a:ln>
                      </wps:spPr>
                      <wps:txbx>
                        <w:txbxContent>
                          <w:p w14:paraId="70693E0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txbxContent>
                      </wps:txbx>
                      <wps:bodyPr rot="0" vert="horz" wrap="square" lIns="91440" tIns="45720" rIns="91440" bIns="45720" anchor="t" anchorCtr="0"/>
                    </wps:wsp>
                  </a:graphicData>
                </a:graphic>
              </wp:anchor>
            </w:drawing>
          </mc:Choice>
          <mc:Fallback>
            <w:pict>
              <v:shape id="文本框 799" o:spid="_x0000_s1026" o:spt="202" type="#_x0000_t202" style="position:absolute;left:0pt;margin-left:-9pt;margin-top:3.25pt;height:36.25pt;width:59.6pt;z-index:251995136;mso-width-relative:page;mso-height-relative:page;" filled="f" stroked="f" coordsize="21600,21600" o:gfxdata="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O/9F&#10;nNcAAAAIAQAADwAAAAAAAAABACAAAAAiAAAAZHJzL2Rvd25yZXYueG1sUEsBAhQAFAAAAAgAh07i&#10;QLpGsWHqAQAAvgMAAA4AAAAAAAAAAQAgAAAAJgEAAGRycy9lMm9Eb2MueG1sUEsFBgAAAAAGAAYA&#10;WQEAAIIFAAAAAA==&#10;">
                <v:fill on="f" focussize="0,0"/>
                <v:stroke on="f" weight="1pt"/>
                <v:imagedata o:title=""/>
                <o:lock v:ext="edit" aspectratio="f"/>
                <v:textbox>
                  <w:txbxContent>
                    <w:p w14:paraId="70693E0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txbxContent>
                </v:textbox>
              </v:shape>
            </w:pict>
          </mc:Fallback>
        </mc:AlternateContent>
      </w:r>
      <w:r>
        <w:rPr>
          <w:rFonts w:hint="eastAsia" w:ascii="仿宋" w:hAnsi="仿宋" w:eastAsia="仿宋" w:cs="仿宋"/>
          <w:lang w:eastAsia="zh-CN"/>
        </w:rPr>
        <w:t>合同双方当事人在专用条款中约定担保内容、方式和责任等事项，并签订担保合同，作为本合同附件。</w:t>
      </w:r>
    </w:p>
    <w:p w14:paraId="3803C489">
      <w:pPr>
        <w:pStyle w:val="22"/>
        <w:adjustRightInd w:val="0"/>
        <w:snapToGrid w:val="0"/>
        <w:spacing w:line="400" w:lineRule="exact"/>
        <w:rPr>
          <w:rFonts w:ascii="仿宋" w:hAnsi="仿宋" w:eastAsia="仿宋" w:cs="仿宋"/>
          <w:b/>
          <w:bCs/>
          <w:sz w:val="24"/>
          <w:szCs w:val="24"/>
          <w:u w:val="single"/>
          <w:lang w:eastAsia="zh-CN"/>
        </w:rPr>
      </w:pPr>
      <w:r>
        <w:rPr>
          <w:rFonts w:ascii="仿宋" w:hAnsi="仿宋" w:eastAsia="仿宋" w:cs="仿宋"/>
          <w:b/>
          <w:bCs/>
          <w:sz w:val="24"/>
          <w:szCs w:val="24"/>
          <w:u w:val="single"/>
          <w:lang w:eastAsia="zh-CN"/>
        </w:rPr>
        <w:t xml:space="preserve">                                                                                     </w:t>
      </w:r>
    </w:p>
    <w:p w14:paraId="3F24A141">
      <w:pPr>
        <w:pStyle w:val="4"/>
        <w:tabs>
          <w:tab w:val="left" w:pos="420"/>
        </w:tabs>
        <w:spacing w:before="0" w:after="0" w:line="400" w:lineRule="exact"/>
        <w:rPr>
          <w:rFonts w:ascii="仿宋" w:hAnsi="仿宋" w:eastAsia="仿宋" w:cs="仿宋"/>
          <w:bCs w:val="0"/>
          <w:sz w:val="24"/>
          <w:szCs w:val="24"/>
          <w:lang w:eastAsia="zh-CN"/>
        </w:rPr>
      </w:pPr>
      <w:bookmarkStart w:id="315" w:name="_Toc8070"/>
      <w:bookmarkStart w:id="316" w:name="_Toc2651"/>
      <w:bookmarkStart w:id="317" w:name="_Toc194073140"/>
      <w:bookmarkStart w:id="318" w:name="_Toc4257"/>
      <w:r>
        <w:rPr>
          <w:rFonts w:hint="eastAsia" w:ascii="仿宋" w:hAnsi="仿宋" w:eastAsia="仿宋" w:cs="仿宋"/>
          <w:bCs w:val="0"/>
          <w:sz w:val="24"/>
          <w:szCs w:val="24"/>
          <w:lang w:eastAsia="zh-CN"/>
        </w:rPr>
        <w:t>33</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发包人风险</w:t>
      </w:r>
      <w:bookmarkEnd w:id="315"/>
      <w:bookmarkEnd w:id="316"/>
      <w:bookmarkEnd w:id="317"/>
      <w:bookmarkEnd w:id="318"/>
    </w:p>
    <w:p w14:paraId="313BF9F5">
      <w:pPr>
        <w:pStyle w:val="22"/>
        <w:adjustRightInd w:val="0"/>
        <w:snapToGrid w:val="0"/>
        <w:spacing w:line="400" w:lineRule="exact"/>
        <w:ind w:right="-240"/>
        <w:rPr>
          <w:rFonts w:ascii="仿宋" w:hAnsi="仿宋" w:eastAsia="仿宋"/>
          <w:b/>
          <w:bCs/>
          <w:sz w:val="24"/>
          <w:szCs w:val="24"/>
          <w:lang w:eastAsia="zh-CN"/>
        </w:rPr>
      </w:pPr>
      <w:r>
        <mc:AlternateContent>
          <mc:Choice Requires="wps">
            <w:drawing>
              <wp:anchor distT="0" distB="0" distL="114300" distR="114300" simplePos="0" relativeHeight="251996160" behindDoc="0" locked="0" layoutInCell="1" allowOverlap="1">
                <wp:simplePos x="0" y="0"/>
                <wp:positionH relativeFrom="column">
                  <wp:posOffset>-114300</wp:posOffset>
                </wp:positionH>
                <wp:positionV relativeFrom="paragraph">
                  <wp:posOffset>179070</wp:posOffset>
                </wp:positionV>
                <wp:extent cx="861695" cy="429260"/>
                <wp:effectExtent l="0" t="0" r="0" b="0"/>
                <wp:wrapNone/>
                <wp:docPr id="131" name="文本框 800"/>
                <wp:cNvGraphicFramePr/>
                <a:graphic xmlns:a="http://schemas.openxmlformats.org/drawingml/2006/main">
                  <a:graphicData uri="http://schemas.microsoft.com/office/word/2010/wordprocessingShape">
                    <wps:wsp>
                      <wps:cNvSpPr txBox="1"/>
                      <wps:spPr>
                        <a:xfrm>
                          <a:off x="0" y="0"/>
                          <a:ext cx="861695" cy="429260"/>
                        </a:xfrm>
                        <a:prstGeom prst="rect">
                          <a:avLst/>
                        </a:prstGeom>
                        <a:noFill/>
                        <a:ln w="12700">
                          <a:noFill/>
                        </a:ln>
                      </wps:spPr>
                      <wps:txbx>
                        <w:txbxContent>
                          <w:p w14:paraId="64F66B7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发包人承担风险</w:t>
                            </w:r>
                          </w:p>
                        </w:txbxContent>
                      </wps:txbx>
                      <wps:bodyPr rot="0" vert="horz" wrap="square" lIns="91440" tIns="45720" rIns="91440" bIns="45720" anchor="t" anchorCtr="0"/>
                    </wps:wsp>
                  </a:graphicData>
                </a:graphic>
              </wp:anchor>
            </w:drawing>
          </mc:Choice>
          <mc:Fallback>
            <w:pict>
              <v:shape id="文本框 800" o:spid="_x0000_s1026" o:spt="202" type="#_x0000_t202" style="position:absolute;left:0pt;margin-left:-9pt;margin-top:14.1pt;height:33.8pt;width:67.85pt;z-index:251996160;mso-width-relative:page;mso-height-relative:page;" filled="f" stroked="f" coordsize="21600,21600" o:gfxdata="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mMFxA&#10;2AAAAAkBAAAPAAAAAAAAAAEAIAAAACIAAABkcnMvZG93bnJldi54bWxQSwECFAAUAAAACACHTuJA&#10;OXQ9qegBAAC+AwAADgAAAAAAAAABACAAAAAnAQAAZHJzL2Uyb0RvYy54bWxQSwUGAAAAAAYABgBZ&#10;AQAAgQUAAAAA&#10;">
                <v:fill on="f" focussize="0,0"/>
                <v:stroke on="f" weight="1pt"/>
                <v:imagedata o:title=""/>
                <o:lock v:ext="edit" aspectratio="f"/>
                <v:textbox>
                  <w:txbxContent>
                    <w:p w14:paraId="64F66B7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发包人承担风险</w:t>
                      </w:r>
                    </w:p>
                  </w:txbxContent>
                </v:textbox>
              </v:shape>
            </w:pict>
          </mc:Fallback>
        </mc:AlternateContent>
      </w:r>
      <w:r>
        <w:rPr>
          <w:rFonts w:hint="eastAsia" w:ascii="仿宋" w:hAnsi="仿宋" w:eastAsia="仿宋" w:cs="仿宋"/>
          <w:b/>
          <w:bCs/>
          <w:sz w:val="24"/>
          <w:szCs w:val="24"/>
          <w:lang w:eastAsia="zh-CN"/>
        </w:rPr>
        <w:t>33</w:t>
      </w:r>
      <w:r>
        <w:rPr>
          <w:rFonts w:ascii="仿宋" w:hAnsi="仿宋" w:eastAsia="仿宋" w:cs="仿宋"/>
          <w:b/>
          <w:bCs/>
          <w:sz w:val="24"/>
          <w:szCs w:val="24"/>
          <w:lang w:eastAsia="zh-CN"/>
        </w:rPr>
        <w:t>.1</w:t>
      </w:r>
    </w:p>
    <w:p w14:paraId="6EA6F8C9">
      <w:pPr>
        <w:widowControl w:val="0"/>
        <w:spacing w:line="400" w:lineRule="exact"/>
        <w:ind w:left="1850" w:leftChars="771"/>
        <w:jc w:val="both"/>
        <w:rPr>
          <w:rFonts w:ascii="仿宋" w:hAnsi="仿宋" w:eastAsia="仿宋"/>
          <w:lang w:eastAsia="zh-CN"/>
        </w:rPr>
      </w:pPr>
      <w:r>
        <w:rPr>
          <w:rFonts w:hint="eastAsia" w:ascii="仿宋" w:hAnsi="仿宋" w:eastAsia="仿宋" w:cs="仿宋"/>
          <w:lang w:eastAsia="zh-CN"/>
        </w:rPr>
        <w:t>发包人应承担本合同中约定应由发包人承担的风险。</w:t>
      </w:r>
    </w:p>
    <w:p w14:paraId="4098A1DD">
      <w:pPr>
        <w:pStyle w:val="22"/>
        <w:adjustRightInd w:val="0"/>
        <w:snapToGrid w:val="0"/>
        <w:spacing w:line="400" w:lineRule="exact"/>
        <w:rPr>
          <w:rFonts w:ascii="仿宋" w:hAnsi="仿宋" w:eastAsia="仿宋"/>
          <w:b/>
          <w:bCs/>
          <w:sz w:val="24"/>
          <w:szCs w:val="24"/>
          <w:lang w:eastAsia="zh-CN"/>
        </w:rPr>
      </w:pPr>
      <w:r>
        <w:rPr>
          <w:rFonts w:hint="eastAsia" w:ascii="仿宋" w:hAnsi="仿宋" w:eastAsia="仿宋" w:cs="仿宋"/>
          <w:b/>
          <w:bCs/>
          <w:sz w:val="24"/>
          <w:szCs w:val="24"/>
          <w:lang w:eastAsia="zh-CN"/>
        </w:rPr>
        <w:t>33</w:t>
      </w:r>
      <w:r>
        <w:rPr>
          <w:rFonts w:ascii="仿宋" w:hAnsi="仿宋" w:eastAsia="仿宋" w:cs="仿宋"/>
          <w:b/>
          <w:bCs/>
          <w:sz w:val="24"/>
          <w:szCs w:val="24"/>
          <w:lang w:eastAsia="zh-CN"/>
        </w:rPr>
        <w:t xml:space="preserve">.2  </w:t>
      </w:r>
      <w:r>
        <w:rPr>
          <w:rFonts w:ascii="仿宋" w:hAnsi="仿宋" w:eastAsia="仿宋" w:cs="仿宋"/>
          <w:b/>
          <w:bCs/>
          <w:sz w:val="24"/>
          <w:szCs w:val="24"/>
          <w:u w:val="dotted"/>
          <w:lang w:eastAsia="zh-CN"/>
        </w:rPr>
        <w:t xml:space="preserve">                                                      </w:t>
      </w:r>
      <w:r>
        <w:rPr>
          <w:rFonts w:hint="eastAsia" w:ascii="仿宋" w:hAnsi="仿宋" w:eastAsia="仿宋" w:cs="仿宋"/>
          <w:b/>
          <w:bCs/>
          <w:sz w:val="24"/>
          <w:szCs w:val="24"/>
          <w:u w:val="dotted"/>
          <w:lang w:eastAsia="zh-CN"/>
        </w:rPr>
        <w:t xml:space="preserve">    </w:t>
      </w:r>
      <w:r>
        <w:rPr>
          <w:rFonts w:ascii="仿宋" w:hAnsi="仿宋" w:eastAsia="仿宋" w:cs="仿宋"/>
          <w:b/>
          <w:bCs/>
          <w:sz w:val="24"/>
          <w:szCs w:val="24"/>
          <w:u w:val="dotted"/>
          <w:lang w:eastAsia="zh-CN"/>
        </w:rPr>
        <w:t xml:space="preserve">                     </w:t>
      </w:r>
    </w:p>
    <w:p w14:paraId="57AA06C4">
      <w:pPr>
        <w:widowControl w:val="0"/>
        <w:spacing w:line="400" w:lineRule="exact"/>
        <w:ind w:left="1850" w:leftChars="771"/>
        <w:jc w:val="both"/>
        <w:rPr>
          <w:rFonts w:ascii="仿宋" w:hAnsi="仿宋" w:eastAsia="仿宋" w:cs="仿宋"/>
          <w:lang w:eastAsia="zh-CN"/>
        </w:rPr>
      </w:pPr>
      <w:r>
        <mc:AlternateContent>
          <mc:Choice Requires="wps">
            <w:drawing>
              <wp:anchor distT="0" distB="0" distL="114300" distR="114300" simplePos="0" relativeHeight="251755520" behindDoc="0" locked="0" layoutInCell="1" allowOverlap="1">
                <wp:simplePos x="0" y="0"/>
                <wp:positionH relativeFrom="column">
                  <wp:posOffset>-114300</wp:posOffset>
                </wp:positionH>
                <wp:positionV relativeFrom="paragraph">
                  <wp:posOffset>10795</wp:posOffset>
                </wp:positionV>
                <wp:extent cx="842645" cy="509905"/>
                <wp:effectExtent l="0" t="0" r="0" b="0"/>
                <wp:wrapNone/>
                <wp:docPr id="132" name="文本框 801"/>
                <wp:cNvGraphicFramePr/>
                <a:graphic xmlns:a="http://schemas.openxmlformats.org/drawingml/2006/main">
                  <a:graphicData uri="http://schemas.microsoft.com/office/word/2010/wordprocessingShape">
                    <wps:wsp>
                      <wps:cNvSpPr txBox="1"/>
                      <wps:spPr>
                        <a:xfrm>
                          <a:off x="0" y="0"/>
                          <a:ext cx="842645" cy="509905"/>
                        </a:xfrm>
                        <a:prstGeom prst="rect">
                          <a:avLst/>
                        </a:prstGeom>
                        <a:noFill/>
                        <a:ln w="12700">
                          <a:noFill/>
                        </a:ln>
                      </wps:spPr>
                      <wps:txbx>
                        <w:txbxContent>
                          <w:p w14:paraId="4D02F80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发包人风险</w:t>
                            </w:r>
                          </w:p>
                        </w:txbxContent>
                      </wps:txbx>
                      <wps:bodyPr rot="0" vert="horz" wrap="square" lIns="91440" tIns="45720" rIns="91440" bIns="45720" anchor="t" anchorCtr="0"/>
                    </wps:wsp>
                  </a:graphicData>
                </a:graphic>
              </wp:anchor>
            </w:drawing>
          </mc:Choice>
          <mc:Fallback>
            <w:pict>
              <v:shape id="文本框 801" o:spid="_x0000_s1026" o:spt="202" type="#_x0000_t202" style="position:absolute;left:0pt;margin-left:-9pt;margin-top:0.85pt;height:40.15pt;width:66.35pt;z-index:251755520;mso-width-relative:page;mso-height-relative:page;" filled="f" stroked="f" coordsize="21600,21600" o:gfxdata="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CNKEzW&#10;AAAACAEAAA8AAAAAAAAAAQAgAAAAIgAAAGRycy9kb3ducmV2LnhtbFBLAQIUABQAAAAIAIdO4kBn&#10;3AxF6QEAAL4DAAAOAAAAAAAAAAEAIAAAACUBAABkcnMvZTJvRG9jLnhtbFBLBQYAAAAABgAGAFkB&#10;AACABQAAAAA=&#10;">
                <v:fill on="f" focussize="0,0"/>
                <v:stroke on="f" weight="1pt"/>
                <v:imagedata o:title=""/>
                <o:lock v:ext="edit" aspectratio="f"/>
                <v:textbox>
                  <w:txbxContent>
                    <w:p w14:paraId="4D02F80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发包人风险</w:t>
                      </w:r>
                    </w:p>
                  </w:txbxContent>
                </v:textbox>
              </v:shape>
            </w:pict>
          </mc:Fallback>
        </mc:AlternateContent>
      </w:r>
      <w:r>
        <w:rPr>
          <w:rFonts w:hint="eastAsia" w:ascii="仿宋" w:hAnsi="仿宋" w:eastAsia="仿宋" w:cs="仿宋"/>
          <w:lang w:eastAsia="zh-CN"/>
        </w:rPr>
        <w:t>自本项目工程总承包范围首要工作（如勘察）开始工作之日起至颁发工程接收证书之日止，发包人风险包括：</w:t>
      </w:r>
    </w:p>
    <w:p w14:paraId="17EA14F3">
      <w:pPr>
        <w:pStyle w:val="22"/>
        <w:widowControl w:val="0"/>
        <w:numPr>
          <w:ilvl w:val="0"/>
          <w:numId w:val="16"/>
        </w:numPr>
        <w:tabs>
          <w:tab w:val="clear" w:pos="2609"/>
        </w:tabs>
        <w:adjustRightInd w:val="0"/>
        <w:snapToGrid w:val="0"/>
        <w:spacing w:line="400" w:lineRule="exact"/>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由非承</w:t>
      </w:r>
      <w:r>
        <w:rPr>
          <w:rFonts w:hint="eastAsia" w:ascii="仿宋" w:hAnsi="仿宋" w:eastAsia="仿宋"/>
          <w:sz w:val="24"/>
          <w:szCs w:val="24"/>
          <w:lang w:eastAsia="zh-CN"/>
        </w:rPr>
        <w:t>包人原因导致的勘察、设计等工作延误、暂停或终止；</w:t>
      </w:r>
    </w:p>
    <w:p w14:paraId="677ECCCD">
      <w:pPr>
        <w:pStyle w:val="22"/>
        <w:widowControl w:val="0"/>
        <w:numPr>
          <w:ilvl w:val="0"/>
          <w:numId w:val="16"/>
        </w:numPr>
        <w:tabs>
          <w:tab w:val="clear" w:pos="2609"/>
        </w:tabs>
        <w:adjustRightInd w:val="0"/>
        <w:snapToGrid w:val="0"/>
        <w:spacing w:line="400" w:lineRule="exact"/>
        <w:ind w:left="1850" w:leftChars="771" w:firstLine="0"/>
        <w:jc w:val="both"/>
        <w:rPr>
          <w:rFonts w:ascii="仿宋" w:hAnsi="仿宋" w:eastAsia="仿宋"/>
          <w:sz w:val="24"/>
          <w:szCs w:val="24"/>
          <w:lang w:eastAsia="zh-CN"/>
        </w:rPr>
      </w:pPr>
      <w:r>
        <w:rPr>
          <w:rFonts w:hint="eastAsia" w:ascii="仿宋" w:hAnsi="仿宋" w:eastAsia="仿宋"/>
          <w:sz w:val="24"/>
          <w:szCs w:val="24"/>
          <w:lang w:eastAsia="zh-CN"/>
        </w:rPr>
        <w:t>由非承包人原因导致的勘察、设计等工作缺陷；</w:t>
      </w:r>
    </w:p>
    <w:p w14:paraId="72B9D5D7">
      <w:pPr>
        <w:pStyle w:val="22"/>
        <w:widowControl w:val="0"/>
        <w:numPr>
          <w:ilvl w:val="0"/>
          <w:numId w:val="16"/>
        </w:numPr>
        <w:tabs>
          <w:tab w:val="clear" w:pos="2609"/>
        </w:tabs>
        <w:adjustRightInd w:val="0"/>
        <w:snapToGrid w:val="0"/>
        <w:spacing w:line="400" w:lineRule="exact"/>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由于永久工程本身或施工而不可避免造成的财产（除工程本身、工程材料、工程设备和施工设备外）损失或损坏；</w:t>
      </w:r>
    </w:p>
    <w:p w14:paraId="49DF9B1D">
      <w:pPr>
        <w:pStyle w:val="22"/>
        <w:widowControl w:val="0"/>
        <w:numPr>
          <w:ilvl w:val="0"/>
          <w:numId w:val="16"/>
        </w:numPr>
        <w:tabs>
          <w:tab w:val="clear" w:pos="2609"/>
        </w:tabs>
        <w:adjustRightInd w:val="0"/>
        <w:snapToGrid w:val="0"/>
        <w:spacing w:line="400" w:lineRule="exact"/>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由于发包人工作人员及其相关人员（除承包人外）的疏忽或违规造成的人员伤亡、财产损失或损坏；</w:t>
      </w:r>
    </w:p>
    <w:p w14:paraId="5425C6D8">
      <w:pPr>
        <w:pStyle w:val="22"/>
        <w:widowControl w:val="0"/>
        <w:numPr>
          <w:ilvl w:val="0"/>
          <w:numId w:val="16"/>
        </w:numPr>
        <w:tabs>
          <w:tab w:val="clear" w:pos="2609"/>
        </w:tabs>
        <w:adjustRightInd w:val="0"/>
        <w:snapToGrid w:val="0"/>
        <w:spacing w:line="400" w:lineRule="exact"/>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由于发包人提前使用或占用永久工程或其部分造成的损失或损坏；</w:t>
      </w:r>
    </w:p>
    <w:p w14:paraId="21F78761">
      <w:pPr>
        <w:pStyle w:val="22"/>
        <w:widowControl w:val="0"/>
        <w:numPr>
          <w:ilvl w:val="0"/>
          <w:numId w:val="16"/>
        </w:numPr>
        <w:tabs>
          <w:tab w:val="clear" w:pos="2609"/>
        </w:tabs>
        <w:adjustRightInd w:val="0"/>
        <w:snapToGrid w:val="0"/>
        <w:spacing w:line="400" w:lineRule="exact"/>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由于发包人提供或发包人负责的设计造成的对永久工程、工程材料、工程设备和施工设备的损失或损害；</w:t>
      </w:r>
    </w:p>
    <w:p w14:paraId="5CDCF516">
      <w:pPr>
        <w:pStyle w:val="22"/>
        <w:widowControl w:val="0"/>
        <w:numPr>
          <w:ilvl w:val="0"/>
          <w:numId w:val="16"/>
        </w:numPr>
        <w:tabs>
          <w:tab w:val="clear" w:pos="2609"/>
        </w:tabs>
        <w:adjustRightInd w:val="0"/>
        <w:snapToGrid w:val="0"/>
        <w:spacing w:line="400" w:lineRule="exact"/>
        <w:ind w:left="1850" w:leftChars="771" w:firstLine="0"/>
        <w:jc w:val="both"/>
        <w:rPr>
          <w:lang w:eastAsia="zh-CN"/>
        </w:rPr>
      </w:pPr>
      <w:r>
        <w:rPr>
          <w:rFonts w:hint="eastAsia" w:ascii="仿宋" w:hAnsi="仿宋" w:eastAsia="仿宋" w:cs="仿宋"/>
          <w:sz w:val="24"/>
          <w:szCs w:val="24"/>
          <w:lang w:eastAsia="zh-CN"/>
        </w:rPr>
        <w:t>由于地质、邻近建筑物、古树名木等发包人和第三方责任人原因造成施工过程中费用的增加；</w:t>
      </w:r>
    </w:p>
    <w:p w14:paraId="558EB413">
      <w:pPr>
        <w:pStyle w:val="22"/>
        <w:widowControl w:val="0"/>
        <w:numPr>
          <w:ilvl w:val="0"/>
          <w:numId w:val="16"/>
        </w:numPr>
        <w:tabs>
          <w:tab w:val="clear" w:pos="2609"/>
        </w:tabs>
        <w:adjustRightInd w:val="0"/>
        <w:snapToGrid w:val="0"/>
        <w:spacing w:line="400" w:lineRule="exact"/>
        <w:ind w:left="1850" w:leftChars="771" w:firstLine="0"/>
        <w:jc w:val="both"/>
        <w:rPr>
          <w:rFonts w:ascii="仿宋" w:hAnsi="仿宋" w:eastAsia="仿宋" w:cs="仿宋"/>
          <w:sz w:val="24"/>
          <w:szCs w:val="24"/>
          <w:lang w:eastAsia="zh-CN"/>
        </w:rPr>
      </w:pPr>
      <w:r>
        <w:rPr>
          <w:rFonts w:hint="eastAsia" w:ascii="仿宋" w:hAnsi="仿宋" w:eastAsia="仿宋" w:cs="仿宋"/>
          <w:sz w:val="24"/>
          <w:szCs w:val="24"/>
          <w:lang w:eastAsia="zh-CN"/>
        </w:rPr>
        <w:t>专用条款约定由发包人承担的物价上涨等非承包人原因造成施工过程中费用的增加；</w:t>
      </w:r>
    </w:p>
    <w:p w14:paraId="4BE5E81C">
      <w:pPr>
        <w:pStyle w:val="22"/>
        <w:widowControl w:val="0"/>
        <w:numPr>
          <w:ilvl w:val="0"/>
          <w:numId w:val="16"/>
        </w:numPr>
        <w:tabs>
          <w:tab w:val="clear" w:pos="2609"/>
        </w:tabs>
        <w:adjustRightInd w:val="0"/>
        <w:snapToGrid w:val="0"/>
        <w:spacing w:line="400" w:lineRule="exact"/>
        <w:ind w:left="1850" w:leftChars="771" w:firstLine="0"/>
        <w:jc w:val="both"/>
        <w:rPr>
          <w:rFonts w:ascii="仿宋" w:hAnsi="仿宋" w:eastAsia="仿宋" w:cs="仿宋"/>
          <w:sz w:val="24"/>
          <w:szCs w:val="24"/>
          <w:lang w:eastAsia="zh-CN"/>
        </w:rPr>
      </w:pPr>
      <w:r>
        <w:rPr>
          <w:rFonts w:hint="eastAsia" w:ascii="仿宋" w:hAnsi="仿宋" w:eastAsia="仿宋" w:cs="仿宋"/>
          <w:sz w:val="24"/>
          <w:szCs w:val="24"/>
          <w:lang w:eastAsia="zh-CN"/>
        </w:rPr>
        <w:t>其他风险。</w:t>
      </w:r>
    </w:p>
    <w:p w14:paraId="4CDAEFDC">
      <w:pPr>
        <w:pStyle w:val="22"/>
        <w:adjustRightInd w:val="0"/>
        <w:snapToGrid w:val="0"/>
        <w:spacing w:line="400" w:lineRule="exact"/>
        <w:rPr>
          <w:rFonts w:ascii="仿宋" w:hAnsi="仿宋" w:eastAsia="仿宋" w:cs="仿宋"/>
          <w:sz w:val="24"/>
          <w:szCs w:val="24"/>
          <w:u w:val="single"/>
          <w:lang w:eastAsia="zh-CN"/>
        </w:rPr>
      </w:pPr>
      <w:r>
        <w:rPr>
          <w:rFonts w:ascii="仿宋" w:hAnsi="仿宋" w:eastAsia="仿宋" w:cs="仿宋"/>
          <w:sz w:val="24"/>
          <w:szCs w:val="24"/>
          <w:u w:val="single"/>
          <w:lang w:eastAsia="zh-CN"/>
        </w:rPr>
        <w:t xml:space="preserve">                                                                                     </w:t>
      </w:r>
    </w:p>
    <w:p w14:paraId="02B6694C">
      <w:pPr>
        <w:pStyle w:val="4"/>
        <w:tabs>
          <w:tab w:val="left" w:pos="420"/>
        </w:tabs>
        <w:spacing w:before="0" w:after="0" w:line="400" w:lineRule="exact"/>
        <w:rPr>
          <w:rFonts w:ascii="仿宋" w:hAnsi="仿宋" w:eastAsia="仿宋" w:cs="仿宋"/>
          <w:bCs w:val="0"/>
          <w:sz w:val="24"/>
          <w:szCs w:val="24"/>
        </w:rPr>
      </w:pPr>
      <w:bookmarkStart w:id="319" w:name="_Toc194073141"/>
      <w:bookmarkStart w:id="320" w:name="_Toc200"/>
      <w:bookmarkStart w:id="321" w:name="_Toc11353"/>
      <w:bookmarkStart w:id="322" w:name="_Toc32122"/>
      <w:r>
        <w:rPr>
          <w:rFonts w:ascii="仿宋" w:hAnsi="仿宋" w:eastAsia="仿宋" w:cs="仿宋"/>
          <w:bCs w:val="0"/>
          <w:sz w:val="24"/>
          <w:szCs w:val="24"/>
        </w:rPr>
        <w:t>3</w:t>
      </w:r>
      <w:r>
        <w:rPr>
          <w:rFonts w:hint="eastAsia" w:ascii="仿宋" w:hAnsi="仿宋" w:eastAsia="仿宋" w:cs="仿宋"/>
          <w:bCs w:val="0"/>
          <w:sz w:val="24"/>
          <w:szCs w:val="24"/>
        </w:rPr>
        <w:t>4</w:t>
      </w:r>
      <w:r>
        <w:rPr>
          <w:rFonts w:ascii="仿宋" w:hAnsi="仿宋" w:eastAsia="仿宋" w:cs="仿宋"/>
          <w:bCs w:val="0"/>
          <w:sz w:val="24"/>
          <w:szCs w:val="24"/>
        </w:rPr>
        <w:t xml:space="preserve">  </w:t>
      </w:r>
      <w:r>
        <w:rPr>
          <w:rFonts w:hint="eastAsia" w:ascii="仿宋" w:hAnsi="仿宋" w:eastAsia="仿宋" w:cs="仿宋"/>
          <w:bCs w:val="0"/>
          <w:sz w:val="24"/>
          <w:szCs w:val="24"/>
        </w:rPr>
        <w:t>承包人风险</w:t>
      </w:r>
      <w:bookmarkEnd w:id="319"/>
      <w:bookmarkEnd w:id="320"/>
      <w:bookmarkEnd w:id="321"/>
      <w:bookmarkEnd w:id="322"/>
    </w:p>
    <w:p w14:paraId="6CA356A8">
      <w:pPr>
        <w:pStyle w:val="22"/>
        <w:tabs>
          <w:tab w:val="left" w:pos="1320"/>
          <w:tab w:val="left" w:pos="1440"/>
        </w:tabs>
        <w:adjustRightInd w:val="0"/>
        <w:snapToGrid w:val="0"/>
        <w:spacing w:line="400" w:lineRule="exact"/>
        <w:rPr>
          <w:rFonts w:ascii="仿宋" w:hAnsi="仿宋" w:eastAsia="仿宋"/>
          <w:b/>
          <w:bCs/>
          <w:sz w:val="24"/>
          <w:szCs w:val="24"/>
          <w:lang w:eastAsia="zh-CN"/>
        </w:rPr>
      </w:pPr>
      <w:r>
        <mc:AlternateContent>
          <mc:Choice Requires="wps">
            <w:drawing>
              <wp:anchor distT="0" distB="0" distL="114300" distR="114300" simplePos="0" relativeHeight="251997184" behindDoc="0" locked="0" layoutInCell="1" allowOverlap="1">
                <wp:simplePos x="0" y="0"/>
                <wp:positionH relativeFrom="column">
                  <wp:posOffset>-133350</wp:posOffset>
                </wp:positionH>
                <wp:positionV relativeFrom="paragraph">
                  <wp:posOffset>226060</wp:posOffset>
                </wp:positionV>
                <wp:extent cx="800100" cy="411480"/>
                <wp:effectExtent l="0" t="0" r="0" b="0"/>
                <wp:wrapNone/>
                <wp:docPr id="133" name="文本框 802"/>
                <wp:cNvGraphicFramePr/>
                <a:graphic xmlns:a="http://schemas.openxmlformats.org/drawingml/2006/main">
                  <a:graphicData uri="http://schemas.microsoft.com/office/word/2010/wordprocessingShape">
                    <wps:wsp>
                      <wps:cNvSpPr txBox="1"/>
                      <wps:spPr>
                        <a:xfrm>
                          <a:off x="0" y="0"/>
                          <a:ext cx="800100" cy="411480"/>
                        </a:xfrm>
                        <a:prstGeom prst="rect">
                          <a:avLst/>
                        </a:prstGeom>
                        <a:noFill/>
                        <a:ln w="12700">
                          <a:noFill/>
                        </a:ln>
                      </wps:spPr>
                      <wps:txbx>
                        <w:txbxContent>
                          <w:p w14:paraId="2F2B699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承包人承担风险</w:t>
                            </w:r>
                          </w:p>
                        </w:txbxContent>
                      </wps:txbx>
                      <wps:bodyPr rot="0" vert="horz" wrap="square" lIns="91440" tIns="45720" rIns="91440" bIns="45720" anchor="t" anchorCtr="0"/>
                    </wps:wsp>
                  </a:graphicData>
                </a:graphic>
              </wp:anchor>
            </w:drawing>
          </mc:Choice>
          <mc:Fallback>
            <w:pict>
              <v:shape id="文本框 802" o:spid="_x0000_s1026" o:spt="202" type="#_x0000_t202" style="position:absolute;left:0pt;margin-left:-10.5pt;margin-top:17.8pt;height:32.4pt;width:63pt;z-index:251997184;mso-width-relative:page;mso-height-relative:page;" filled="f" stroked="f" coordsize="21600,21600" o:gfxdata="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ZDFM/Y&#10;AAAACgEAAA8AAAAAAAAAAQAgAAAAIgAAAGRycy9kb3ducmV2LnhtbFBLAQIUABQAAAAIAIdO4kAn&#10;53op5wEAAL4DAAAOAAAAAAAAAAEAIAAAACcBAABkcnMvZTJvRG9jLnhtbFBLBQYAAAAABgAGAFkB&#10;AACABQAAAAA=&#10;">
                <v:fill on="f" focussize="0,0"/>
                <v:stroke on="f" weight="1pt"/>
                <v:imagedata o:title=""/>
                <o:lock v:ext="edit" aspectratio="f"/>
                <v:textbox>
                  <w:txbxContent>
                    <w:p w14:paraId="2F2B699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承包人承担风险</w:t>
                      </w:r>
                    </w:p>
                  </w:txbxContent>
                </v:textbox>
              </v:shape>
            </w:pict>
          </mc:Fallback>
        </mc:AlternateContent>
      </w:r>
      <w:r>
        <w:rPr>
          <w:rFonts w:ascii="仿宋" w:hAnsi="仿宋" w:eastAsia="仿宋" w:cs="仿宋"/>
          <w:b/>
          <w:bCs/>
          <w:sz w:val="24"/>
          <w:szCs w:val="24"/>
        </w:rPr>
        <w:t>3</w:t>
      </w:r>
      <w:r>
        <w:rPr>
          <w:rFonts w:hint="eastAsia" w:ascii="仿宋" w:hAnsi="仿宋" w:eastAsia="仿宋" w:cs="仿宋"/>
          <w:b/>
          <w:bCs/>
          <w:sz w:val="24"/>
          <w:szCs w:val="24"/>
          <w:lang w:eastAsia="zh-CN"/>
        </w:rPr>
        <w:t>4</w:t>
      </w:r>
      <w:r>
        <w:rPr>
          <w:rFonts w:ascii="仿宋" w:hAnsi="仿宋" w:eastAsia="仿宋" w:cs="仿宋"/>
          <w:b/>
          <w:bCs/>
          <w:sz w:val="24"/>
          <w:szCs w:val="24"/>
        </w:rPr>
        <w:t>.1</w:t>
      </w:r>
    </w:p>
    <w:p w14:paraId="7D080ECA">
      <w:pPr>
        <w:widowControl w:val="0"/>
        <w:spacing w:line="400" w:lineRule="exact"/>
        <w:ind w:left="1850" w:leftChars="771"/>
        <w:jc w:val="both"/>
        <w:rPr>
          <w:rFonts w:ascii="仿宋" w:hAnsi="仿宋" w:eastAsia="仿宋"/>
          <w:lang w:eastAsia="zh-CN"/>
        </w:rPr>
      </w:pPr>
      <w:r>
        <w:rPr>
          <w:rFonts w:hint="eastAsia" w:ascii="仿宋" w:hAnsi="仿宋" w:eastAsia="仿宋" w:cs="仿宋"/>
          <w:lang w:eastAsia="zh-CN"/>
        </w:rPr>
        <w:t>承包人应承担本合同中约定应由承包人承担的风险。</w:t>
      </w:r>
    </w:p>
    <w:p w14:paraId="66D9EB0A">
      <w:pPr>
        <w:pStyle w:val="22"/>
        <w:tabs>
          <w:tab w:val="left" w:pos="1320"/>
          <w:tab w:val="left" w:pos="1440"/>
        </w:tabs>
        <w:adjustRightInd w:val="0"/>
        <w:snapToGrid w:val="0"/>
        <w:spacing w:line="400" w:lineRule="exact"/>
        <w:rPr>
          <w:rFonts w:ascii="仿宋" w:hAnsi="仿宋" w:eastAsia="仿宋" w:cs="仿宋"/>
          <w:b/>
          <w:bCs/>
          <w:sz w:val="24"/>
          <w:szCs w:val="24"/>
          <w:lang w:eastAsia="zh-CN"/>
        </w:rPr>
      </w:pPr>
      <w:r>
        <mc:AlternateContent>
          <mc:Choice Requires="wps">
            <w:drawing>
              <wp:anchor distT="0" distB="0" distL="114300" distR="114300" simplePos="0" relativeHeight="251998208" behindDoc="0" locked="0" layoutInCell="1" allowOverlap="1">
                <wp:simplePos x="0" y="0"/>
                <wp:positionH relativeFrom="column">
                  <wp:posOffset>-114300</wp:posOffset>
                </wp:positionH>
                <wp:positionV relativeFrom="paragraph">
                  <wp:posOffset>262255</wp:posOffset>
                </wp:positionV>
                <wp:extent cx="765810" cy="422275"/>
                <wp:effectExtent l="0" t="0" r="0" b="0"/>
                <wp:wrapNone/>
                <wp:docPr id="134" name="文本框 803"/>
                <wp:cNvGraphicFramePr/>
                <a:graphic xmlns:a="http://schemas.openxmlformats.org/drawingml/2006/main">
                  <a:graphicData uri="http://schemas.microsoft.com/office/word/2010/wordprocessingShape">
                    <wps:wsp>
                      <wps:cNvSpPr txBox="1"/>
                      <wps:spPr>
                        <a:xfrm>
                          <a:off x="0" y="0"/>
                          <a:ext cx="765810" cy="422275"/>
                        </a:xfrm>
                        <a:prstGeom prst="rect">
                          <a:avLst/>
                        </a:prstGeom>
                        <a:noFill/>
                        <a:ln w="12700">
                          <a:noFill/>
                        </a:ln>
                      </wps:spPr>
                      <wps:txbx>
                        <w:txbxContent>
                          <w:p w14:paraId="3DA993F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txbxContent>
                      </wps:txbx>
                      <wps:bodyPr rot="0" vert="horz" wrap="square" lIns="91440" tIns="45720" rIns="91440" bIns="45720" anchor="t" anchorCtr="0"/>
                    </wps:wsp>
                  </a:graphicData>
                </a:graphic>
              </wp:anchor>
            </w:drawing>
          </mc:Choice>
          <mc:Fallback>
            <w:pict>
              <v:shape id="文本框 803" o:spid="_x0000_s1026" o:spt="202" type="#_x0000_t202" style="position:absolute;left:0pt;margin-left:-9pt;margin-top:20.65pt;height:33.25pt;width:60.3pt;z-index:251998208;mso-width-relative:page;mso-height-relative:page;" filled="f" stroked="f" coordsize="21600,21600" o:gfxdata="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Yixy&#10;MtgAAAAKAQAADwAAAAAAAAABACAAAAAiAAAAZHJzL2Rvd25yZXYueG1sUEsBAhQAFAAAAAgAh07i&#10;QOlGnW3pAQAAvgMAAA4AAAAAAAAAAQAgAAAAJwEAAGRycy9lMm9Eb2MueG1sUEsFBgAAAAAGAAYA&#10;WQEAAIIFAAAAAA==&#10;">
                <v:fill on="f" focussize="0,0"/>
                <v:stroke on="f" weight="1pt"/>
                <v:imagedata o:title=""/>
                <o:lock v:ext="edit" aspectratio="f"/>
                <v:textbox>
                  <w:txbxContent>
                    <w:p w14:paraId="3DA993F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txbxContent>
                </v:textbox>
              </v:shape>
            </w:pict>
          </mc:Fallback>
        </mc:AlternateContent>
      </w:r>
      <w:r>
        <w:rPr>
          <w:rFonts w:ascii="仿宋" w:hAnsi="仿宋" w:eastAsia="仿宋" w:cs="仿宋"/>
          <w:b/>
          <w:bCs/>
          <w:sz w:val="24"/>
          <w:szCs w:val="24"/>
          <w:lang w:eastAsia="zh-CN"/>
        </w:rPr>
        <w:t>3</w:t>
      </w:r>
      <w:r>
        <w:rPr>
          <w:rFonts w:hint="eastAsia" w:ascii="仿宋" w:hAnsi="仿宋" w:eastAsia="仿宋" w:cs="仿宋"/>
          <w:b/>
          <w:bCs/>
          <w:sz w:val="24"/>
          <w:szCs w:val="24"/>
          <w:lang w:eastAsia="zh-CN"/>
        </w:rPr>
        <w:t>4</w:t>
      </w:r>
      <w:r>
        <w:rPr>
          <w:rFonts w:ascii="仿宋" w:hAnsi="仿宋" w:eastAsia="仿宋" w:cs="仿宋"/>
          <w:b/>
          <w:bCs/>
          <w:sz w:val="24"/>
          <w:szCs w:val="24"/>
          <w:lang w:eastAsia="zh-CN"/>
        </w:rPr>
        <w:t xml:space="preserve">.2  </w:t>
      </w:r>
      <w:r>
        <w:rPr>
          <w:rFonts w:ascii="仿宋" w:hAnsi="仿宋" w:eastAsia="仿宋" w:cs="仿宋"/>
          <w:b/>
          <w:bCs/>
          <w:sz w:val="24"/>
          <w:szCs w:val="24"/>
          <w:u w:val="dotted"/>
          <w:lang w:eastAsia="zh-CN"/>
        </w:rPr>
        <w:t xml:space="preserve">                                                                               </w:t>
      </w:r>
    </w:p>
    <w:p w14:paraId="55FCA58B">
      <w:pPr>
        <w:widowControl w:val="0"/>
        <w:spacing w:line="400" w:lineRule="exact"/>
        <w:ind w:left="1850" w:leftChars="771"/>
        <w:jc w:val="both"/>
        <w:rPr>
          <w:rFonts w:ascii="仿宋" w:hAnsi="仿宋" w:eastAsia="仿宋"/>
          <w:lang w:eastAsia="zh-CN"/>
        </w:rPr>
      </w:pPr>
      <w:r>
        <w:rPr>
          <w:rFonts w:hint="eastAsia" w:ascii="仿宋" w:hAnsi="仿宋" w:eastAsia="仿宋" w:cs="仿宋"/>
          <w:lang w:eastAsia="zh-CN"/>
        </w:rPr>
        <w:t>自本项目工程总承包范围首要工作（如勘察）开始工作之日起直到颁发工程接收证书之日止，承包人风险为：除第33条和第</w:t>
      </w:r>
      <w:r>
        <w:rPr>
          <w:rFonts w:ascii="仿宋" w:hAnsi="仿宋" w:eastAsia="仿宋" w:cs="仿宋"/>
          <w:lang w:eastAsia="zh-CN"/>
        </w:rPr>
        <w:t>3</w:t>
      </w:r>
      <w:r>
        <w:rPr>
          <w:rFonts w:hint="eastAsia" w:ascii="仿宋" w:hAnsi="仿宋" w:eastAsia="仿宋" w:cs="仿宋"/>
          <w:lang w:eastAsia="zh-CN"/>
        </w:rPr>
        <w:t>5条以外的人员伤亡以及财产（包括但不限于合同工程、工程材料、工程设备和施工设备）的损失或损坏。</w:t>
      </w:r>
    </w:p>
    <w:p w14:paraId="5990BD7A">
      <w:pPr>
        <w:pStyle w:val="22"/>
        <w:adjustRightInd w:val="0"/>
        <w:snapToGrid w:val="0"/>
        <w:spacing w:line="400" w:lineRule="exact"/>
        <w:ind w:right="-240"/>
        <w:rPr>
          <w:rFonts w:ascii="仿宋" w:hAnsi="仿宋" w:eastAsia="仿宋" w:cs="仿宋"/>
          <w:b/>
          <w:bCs/>
          <w:sz w:val="24"/>
          <w:szCs w:val="24"/>
          <w:u w:val="single"/>
          <w:lang w:eastAsia="zh-CN"/>
        </w:rPr>
      </w:pPr>
      <w:r>
        <w:rPr>
          <w:rFonts w:ascii="仿宋" w:hAnsi="仿宋" w:eastAsia="仿宋" w:cs="仿宋"/>
          <w:b/>
          <w:bCs/>
          <w:sz w:val="24"/>
          <w:szCs w:val="24"/>
          <w:u w:val="single"/>
          <w:lang w:eastAsia="zh-CN"/>
        </w:rPr>
        <w:t xml:space="preserve">                                                                                       </w:t>
      </w:r>
    </w:p>
    <w:p w14:paraId="773A3F51">
      <w:pPr>
        <w:pStyle w:val="4"/>
        <w:tabs>
          <w:tab w:val="left" w:pos="420"/>
        </w:tabs>
        <w:spacing w:before="0" w:after="0" w:line="400" w:lineRule="exact"/>
        <w:rPr>
          <w:rFonts w:ascii="仿宋" w:hAnsi="仿宋" w:eastAsia="仿宋" w:cs="仿宋"/>
          <w:bCs w:val="0"/>
          <w:sz w:val="24"/>
          <w:szCs w:val="24"/>
          <w:lang w:eastAsia="zh-CN"/>
        </w:rPr>
      </w:pPr>
      <w:bookmarkStart w:id="323" w:name="_Toc194073142"/>
      <w:bookmarkStart w:id="324" w:name="_Toc28402"/>
      <w:bookmarkStart w:id="325" w:name="_Toc18159"/>
      <w:bookmarkStart w:id="326" w:name="_Toc6100"/>
      <w:r>
        <w:rPr>
          <w:rFonts w:ascii="仿宋" w:hAnsi="仿宋" w:eastAsia="仿宋" w:cs="仿宋"/>
          <w:bCs w:val="0"/>
          <w:sz w:val="24"/>
          <w:szCs w:val="24"/>
          <w:lang w:eastAsia="zh-CN"/>
        </w:rPr>
        <w:t>3</w:t>
      </w:r>
      <w:r>
        <w:rPr>
          <w:rFonts w:hint="eastAsia" w:ascii="仿宋" w:hAnsi="仿宋" w:eastAsia="仿宋" w:cs="仿宋"/>
          <w:bCs w:val="0"/>
          <w:sz w:val="24"/>
          <w:szCs w:val="24"/>
          <w:lang w:eastAsia="zh-CN"/>
        </w:rPr>
        <w:t>5</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不可抗力</w:t>
      </w:r>
      <w:bookmarkEnd w:id="323"/>
      <w:bookmarkEnd w:id="324"/>
      <w:bookmarkEnd w:id="325"/>
      <w:bookmarkEnd w:id="326"/>
    </w:p>
    <w:p w14:paraId="6F1645B7">
      <w:pPr>
        <w:pStyle w:val="22"/>
        <w:adjustRightInd w:val="0"/>
        <w:snapToGrid w:val="0"/>
        <w:spacing w:line="400" w:lineRule="exact"/>
        <w:rPr>
          <w:rFonts w:ascii="仿宋" w:hAnsi="仿宋" w:eastAsia="仿宋"/>
          <w:b/>
          <w:bCs/>
          <w:sz w:val="24"/>
          <w:szCs w:val="24"/>
          <w:lang w:eastAsia="zh-CN"/>
        </w:rPr>
      </w:pPr>
      <w:r>
        <w:rPr>
          <w:rFonts w:ascii="仿宋" w:hAnsi="仿宋" w:eastAsia="仿宋" w:cs="仿宋"/>
          <w:b/>
          <w:bCs/>
          <w:sz w:val="24"/>
          <w:szCs w:val="24"/>
          <w:lang w:eastAsia="zh-CN"/>
        </w:rPr>
        <w:t>3</w:t>
      </w:r>
      <w:r>
        <w:rPr>
          <w:rFonts w:hint="eastAsia" w:ascii="仿宋" w:hAnsi="仿宋" w:eastAsia="仿宋" w:cs="仿宋"/>
          <w:b/>
          <w:bCs/>
          <w:sz w:val="24"/>
          <w:szCs w:val="24"/>
          <w:lang w:eastAsia="zh-CN"/>
        </w:rPr>
        <w:t>5</w:t>
      </w:r>
      <w:r>
        <w:rPr>
          <w:rFonts w:ascii="仿宋" w:hAnsi="仿宋" w:eastAsia="仿宋" w:cs="仿宋"/>
          <w:b/>
          <w:bCs/>
          <w:sz w:val="24"/>
          <w:szCs w:val="24"/>
          <w:lang w:eastAsia="zh-CN"/>
        </w:rPr>
        <w:t>.1</w:t>
      </w:r>
    </w:p>
    <w:p w14:paraId="16B968EA">
      <w:pPr>
        <w:widowControl w:val="0"/>
        <w:spacing w:line="400" w:lineRule="exact"/>
        <w:ind w:left="1850" w:leftChars="771"/>
        <w:jc w:val="both"/>
        <w:rPr>
          <w:rFonts w:ascii="仿宋" w:hAnsi="仿宋" w:eastAsia="仿宋" w:cs="仿宋"/>
          <w:lang w:eastAsia="zh-CN"/>
        </w:rPr>
      </w:pPr>
      <w:r>
        <mc:AlternateContent>
          <mc:Choice Requires="wps">
            <w:drawing>
              <wp:anchor distT="0" distB="0" distL="114300" distR="114300" simplePos="0" relativeHeight="252120064" behindDoc="0" locked="0" layoutInCell="1" allowOverlap="1">
                <wp:simplePos x="0" y="0"/>
                <wp:positionH relativeFrom="column">
                  <wp:posOffset>-95250</wp:posOffset>
                </wp:positionH>
                <wp:positionV relativeFrom="paragraph">
                  <wp:posOffset>80645</wp:posOffset>
                </wp:positionV>
                <wp:extent cx="804545" cy="575945"/>
                <wp:effectExtent l="0" t="0" r="0" b="0"/>
                <wp:wrapNone/>
                <wp:docPr id="135" name="文本框 1342"/>
                <wp:cNvGraphicFramePr/>
                <a:graphic xmlns:a="http://schemas.openxmlformats.org/drawingml/2006/main">
                  <a:graphicData uri="http://schemas.microsoft.com/office/word/2010/wordprocessingShape">
                    <wps:wsp>
                      <wps:cNvSpPr txBox="1"/>
                      <wps:spPr>
                        <a:xfrm>
                          <a:off x="0" y="0"/>
                          <a:ext cx="804545" cy="575945"/>
                        </a:xfrm>
                        <a:prstGeom prst="rect">
                          <a:avLst/>
                        </a:prstGeom>
                        <a:noFill/>
                        <a:ln w="12700">
                          <a:noFill/>
                        </a:ln>
                      </wps:spPr>
                      <wps:txbx>
                        <w:txbxContent>
                          <w:p w14:paraId="15F06C32">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rPr>
                              <w:t>不可抗力</w:t>
                            </w:r>
                            <w:r>
                              <w:rPr>
                                <w:rFonts w:hint="eastAsia" w:ascii="楷体_GB2312" w:hAnsi="宋体" w:eastAsia="楷体_GB2312" w:cs="楷体_GB2312"/>
                                <w:b/>
                                <w:bCs/>
                                <w:sz w:val="18"/>
                                <w:szCs w:val="18"/>
                                <w:lang w:eastAsia="zh-CN"/>
                              </w:rPr>
                              <w:t>的定义</w:t>
                            </w:r>
                          </w:p>
                        </w:txbxContent>
                      </wps:txbx>
                      <wps:bodyPr rot="0" vert="horz" wrap="square" lIns="91440" tIns="45720" rIns="91440" bIns="45720" anchor="t" anchorCtr="0"/>
                    </wps:wsp>
                  </a:graphicData>
                </a:graphic>
              </wp:anchor>
            </w:drawing>
          </mc:Choice>
          <mc:Fallback>
            <w:pict>
              <v:shape id="文本框 1342" o:spid="_x0000_s1026" o:spt="202" type="#_x0000_t202" style="position:absolute;left:0pt;margin-left:-7.5pt;margin-top:6.35pt;height:45.35pt;width:63.35pt;z-index:252120064;mso-width-relative:page;mso-height-relative:page;" filled="f" stroked="f" coordsize="21600,21600" o:gfxdata="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X03JvV&#10;AAAACgEAAA8AAAAAAAAAAQAgAAAAIgAAAGRycy9kb3ducmV2LnhtbFBLAQIUABQAAAAIAIdO4kBU&#10;gWf76gEAAL8DAAAOAAAAAAAAAAEAIAAAACQBAABkcnMvZTJvRG9jLnhtbFBLBQYAAAAABgAGAFkB&#10;AACABQAAAAA=&#10;">
                <v:fill on="f" focussize="0,0"/>
                <v:stroke on="f" weight="1pt"/>
                <v:imagedata o:title=""/>
                <o:lock v:ext="edit" aspectratio="f"/>
                <v:textbox>
                  <w:txbxContent>
                    <w:p w14:paraId="15F06C32">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rPr>
                        <w:t>不可抗力</w:t>
                      </w:r>
                      <w:r>
                        <w:rPr>
                          <w:rFonts w:hint="eastAsia" w:ascii="楷体_GB2312" w:hAnsi="宋体" w:eastAsia="楷体_GB2312" w:cs="楷体_GB2312"/>
                          <w:b/>
                          <w:bCs/>
                          <w:sz w:val="18"/>
                          <w:szCs w:val="18"/>
                          <w:lang w:eastAsia="zh-CN"/>
                        </w:rPr>
                        <w:t>的定义</w:t>
                      </w:r>
                    </w:p>
                  </w:txbxContent>
                </v:textbox>
              </v:shape>
            </w:pict>
          </mc:Fallback>
        </mc:AlternateContent>
      </w:r>
      <w:r>
        <w:rPr>
          <w:rFonts w:hint="eastAsia" w:ascii="仿宋" w:hAnsi="仿宋" w:eastAsia="仿宋" w:cs="仿宋"/>
          <w:lang w:eastAsia="zh-CN"/>
        </w:rPr>
        <w:t>不可抗力是指合同当事人在订立合同时不可预见，在合同履行过程中不可避免、不能克服且不能提前防备的自然灾害和社会性突发事件，如地震、海啸、瘟疫、骚乱、戒严、暴动、战争和合同专用条款中约定的其他情形。</w:t>
      </w:r>
    </w:p>
    <w:p w14:paraId="3273D6A6">
      <w:pPr>
        <w:pStyle w:val="22"/>
        <w:adjustRightInd w:val="0"/>
        <w:snapToGrid w:val="0"/>
        <w:spacing w:line="400" w:lineRule="exact"/>
        <w:rPr>
          <w:rFonts w:ascii="仿宋" w:hAnsi="仿宋" w:eastAsia="仿宋"/>
          <w:b/>
          <w:bCs/>
          <w:sz w:val="24"/>
          <w:szCs w:val="24"/>
          <w:lang w:eastAsia="zh-CN"/>
        </w:rPr>
      </w:pPr>
      <w:r>
        <w:rPr>
          <w:rFonts w:ascii="仿宋" w:hAnsi="仿宋" w:eastAsia="仿宋" w:cs="仿宋"/>
          <w:b/>
          <w:bCs/>
          <w:sz w:val="24"/>
          <w:szCs w:val="24"/>
          <w:lang w:eastAsia="zh-CN"/>
        </w:rPr>
        <w:t>3</w:t>
      </w:r>
      <w:r>
        <w:rPr>
          <w:rFonts w:hint="eastAsia" w:ascii="仿宋" w:hAnsi="仿宋" w:eastAsia="仿宋" w:cs="仿宋"/>
          <w:b/>
          <w:bCs/>
          <w:sz w:val="24"/>
          <w:szCs w:val="24"/>
          <w:lang w:eastAsia="zh-CN"/>
        </w:rPr>
        <w:t>5</w:t>
      </w:r>
      <w:r>
        <w:rPr>
          <w:rFonts w:ascii="仿宋" w:hAnsi="仿宋" w:eastAsia="仿宋" w:cs="仿宋"/>
          <w:b/>
          <w:bCs/>
          <w:sz w:val="24"/>
          <w:szCs w:val="24"/>
          <w:lang w:eastAsia="zh-CN"/>
        </w:rPr>
        <w:t xml:space="preserve">.2  </w:t>
      </w:r>
      <w:r>
        <w:rPr>
          <w:rFonts w:ascii="仿宋" w:hAnsi="仿宋" w:eastAsia="仿宋" w:cs="仿宋"/>
          <w:b/>
          <w:bCs/>
          <w:sz w:val="24"/>
          <w:szCs w:val="24"/>
          <w:u w:val="dotted"/>
          <w:lang w:eastAsia="zh-CN"/>
        </w:rPr>
        <w:t xml:space="preserve">                                                                               </w:t>
      </w:r>
    </w:p>
    <w:p w14:paraId="31BF2C78">
      <w:pPr>
        <w:widowControl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756544" behindDoc="0" locked="0" layoutInCell="1" allowOverlap="1">
                <wp:simplePos x="0" y="0"/>
                <wp:positionH relativeFrom="column">
                  <wp:posOffset>-114300</wp:posOffset>
                </wp:positionH>
                <wp:positionV relativeFrom="paragraph">
                  <wp:posOffset>7620</wp:posOffset>
                </wp:positionV>
                <wp:extent cx="822960" cy="585470"/>
                <wp:effectExtent l="0" t="0" r="0" b="0"/>
                <wp:wrapNone/>
                <wp:docPr id="136" name="文本框 804"/>
                <wp:cNvGraphicFramePr/>
                <a:graphic xmlns:a="http://schemas.openxmlformats.org/drawingml/2006/main">
                  <a:graphicData uri="http://schemas.microsoft.com/office/word/2010/wordprocessingShape">
                    <wps:wsp>
                      <wps:cNvSpPr txBox="1"/>
                      <wps:spPr>
                        <a:xfrm>
                          <a:off x="0" y="0"/>
                          <a:ext cx="822960" cy="585470"/>
                        </a:xfrm>
                        <a:prstGeom prst="rect">
                          <a:avLst/>
                        </a:prstGeom>
                        <a:noFill/>
                        <a:ln w="12700">
                          <a:noFill/>
                        </a:ln>
                      </wps:spPr>
                      <wps:txbx>
                        <w:txbxContent>
                          <w:p w14:paraId="71FC898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txbxContent>
                      </wps:txbx>
                      <wps:bodyPr rot="0" vert="horz" wrap="square" lIns="91440" tIns="45720" rIns="91440" bIns="45720" anchor="t" anchorCtr="0"/>
                    </wps:wsp>
                  </a:graphicData>
                </a:graphic>
              </wp:anchor>
            </w:drawing>
          </mc:Choice>
          <mc:Fallback>
            <w:pict>
              <v:shape id="文本框 804" o:spid="_x0000_s1026" o:spt="202" type="#_x0000_t202" style="position:absolute;left:0pt;margin-left:-9pt;margin-top:0.6pt;height:46.1pt;width:64.8pt;z-index:251756544;mso-width-relative:page;mso-height-relative:page;" filled="f" stroked="f" coordsize="21600,21600" o:gfxdata="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Cm&#10;M5vWAAAACAEAAA8AAAAAAAAAAQAgAAAAIgAAAGRycy9kb3ducmV2LnhtbFBLAQIUABQAAAAIAIdO&#10;4kA6iVDX7AEAAL4DAAAOAAAAAAAAAAEAIAAAACUBAABkcnMvZTJvRG9jLnhtbFBLBQYAAAAABgAG&#10;AFkBAACDBQAAAAA=&#10;">
                <v:fill on="f" focussize="0,0"/>
                <v:stroke on="f" weight="1pt"/>
                <v:imagedata o:title=""/>
                <o:lock v:ext="edit" aspectratio="f"/>
                <v:textbox>
                  <w:txbxContent>
                    <w:p w14:paraId="71FC898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txbxContent>
                </v:textbox>
              </v:shape>
            </w:pict>
          </mc:Fallback>
        </mc:AlternateContent>
      </w:r>
      <w:r>
        <w:rPr>
          <w:rFonts w:hint="eastAsia" w:ascii="仿宋" w:hAnsi="仿宋" w:eastAsia="仿宋" w:cs="仿宋"/>
          <w:lang w:eastAsia="zh-CN"/>
        </w:rPr>
        <w:t>不可抗力事项发生后，承包人应立即书面通知发包人和监理人，并在力所能及的条件下迅速采取措施，尽力减少损失，发包人应协助承包人采取相应措施。监理人认为应当暂停施工的，承包人应暂停施工。不可抗力事项结束后的</w:t>
      </w:r>
      <w:r>
        <w:rPr>
          <w:rFonts w:ascii="仿宋" w:hAnsi="仿宋" w:eastAsia="仿宋" w:cs="仿宋"/>
          <w:lang w:eastAsia="zh-CN"/>
        </w:rPr>
        <w:t>7</w:t>
      </w:r>
      <w:r>
        <w:rPr>
          <w:rFonts w:hint="eastAsia" w:ascii="仿宋" w:hAnsi="仿宋" w:eastAsia="仿宋" w:cs="仿宋"/>
          <w:lang w:eastAsia="zh-CN"/>
        </w:rPr>
        <w:t>天内，承包人向监理人通报受害情况和损失情况，并预计清理和修复的费用，抄送造价咨询人。不可抗力事项持续发生，承包人应每隔</w:t>
      </w:r>
      <w:r>
        <w:rPr>
          <w:rFonts w:ascii="仿宋" w:hAnsi="仿宋" w:eastAsia="仿宋" w:cs="仿宋"/>
          <w:lang w:eastAsia="zh-CN"/>
        </w:rPr>
        <w:t>7</w:t>
      </w:r>
      <w:r>
        <w:rPr>
          <w:rFonts w:hint="eastAsia" w:ascii="仿宋" w:hAnsi="仿宋" w:eastAsia="仿宋" w:cs="仿宋"/>
          <w:lang w:eastAsia="zh-CN"/>
        </w:rPr>
        <w:t>天向监理人和造价咨询人报告一次受害情况。不可抗力事项结束后的</w:t>
      </w:r>
      <w:r>
        <w:rPr>
          <w:rFonts w:ascii="仿宋" w:hAnsi="仿宋" w:eastAsia="仿宋" w:cs="仿宋"/>
          <w:lang w:eastAsia="zh-CN"/>
        </w:rPr>
        <w:t>28</w:t>
      </w:r>
      <w:r>
        <w:rPr>
          <w:rFonts w:hint="eastAsia" w:ascii="仿宋" w:hAnsi="仿宋" w:eastAsia="仿宋" w:cs="仿宋"/>
          <w:lang w:eastAsia="zh-CN"/>
        </w:rPr>
        <w:t>天内，承包人应分别按照第43条、第80条约定索赔工期、费用。</w:t>
      </w:r>
    </w:p>
    <w:p w14:paraId="192FD623">
      <w:pPr>
        <w:pStyle w:val="22"/>
        <w:adjustRightInd w:val="0"/>
        <w:snapToGrid w:val="0"/>
        <w:spacing w:line="400" w:lineRule="exact"/>
        <w:rPr>
          <w:rFonts w:ascii="仿宋" w:hAnsi="仿宋" w:eastAsia="仿宋"/>
          <w:b/>
          <w:bCs/>
          <w:sz w:val="24"/>
          <w:szCs w:val="24"/>
          <w:lang w:eastAsia="zh-CN"/>
        </w:rPr>
      </w:pPr>
      <w:r>
        <w:rPr>
          <w:rFonts w:ascii="仿宋" w:hAnsi="仿宋" w:eastAsia="仿宋" w:cs="仿宋"/>
          <w:b/>
          <w:bCs/>
          <w:sz w:val="24"/>
          <w:szCs w:val="24"/>
          <w:lang w:eastAsia="zh-CN"/>
        </w:rPr>
        <w:t>3</w:t>
      </w:r>
      <w:r>
        <w:rPr>
          <w:rFonts w:hint="eastAsia" w:ascii="仿宋" w:hAnsi="仿宋" w:eastAsia="仿宋" w:cs="仿宋"/>
          <w:b/>
          <w:bCs/>
          <w:sz w:val="24"/>
          <w:szCs w:val="24"/>
          <w:lang w:eastAsia="zh-CN"/>
        </w:rPr>
        <w:t>5</w:t>
      </w:r>
      <w:r>
        <w:rPr>
          <w:rFonts w:ascii="仿宋" w:hAnsi="仿宋" w:eastAsia="仿宋" w:cs="仿宋"/>
          <w:b/>
          <w:bCs/>
          <w:sz w:val="24"/>
          <w:szCs w:val="24"/>
          <w:lang w:eastAsia="zh-CN"/>
        </w:rPr>
        <w:t xml:space="preserve">.3  </w:t>
      </w:r>
      <w:r>
        <w:rPr>
          <w:rFonts w:ascii="仿宋" w:hAnsi="仿宋" w:eastAsia="仿宋" w:cs="仿宋"/>
          <w:b/>
          <w:bCs/>
          <w:sz w:val="24"/>
          <w:szCs w:val="24"/>
          <w:u w:val="dotted"/>
          <w:lang w:eastAsia="zh-CN"/>
        </w:rPr>
        <w:t xml:space="preserve">                                                                               </w:t>
      </w:r>
    </w:p>
    <w:p w14:paraId="37D8B0E7">
      <w:pPr>
        <w:widowControl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757568" behindDoc="0" locked="0" layoutInCell="1" allowOverlap="1">
                <wp:simplePos x="0" y="0"/>
                <wp:positionH relativeFrom="column">
                  <wp:posOffset>-114300</wp:posOffset>
                </wp:positionH>
                <wp:positionV relativeFrom="paragraph">
                  <wp:posOffset>22225</wp:posOffset>
                </wp:positionV>
                <wp:extent cx="775970" cy="664210"/>
                <wp:effectExtent l="0" t="0" r="0" b="0"/>
                <wp:wrapNone/>
                <wp:docPr id="137" name="文本框 805"/>
                <wp:cNvGraphicFramePr/>
                <a:graphic xmlns:a="http://schemas.openxmlformats.org/drawingml/2006/main">
                  <a:graphicData uri="http://schemas.microsoft.com/office/word/2010/wordprocessingShape">
                    <wps:wsp>
                      <wps:cNvSpPr txBox="1"/>
                      <wps:spPr>
                        <a:xfrm>
                          <a:off x="0" y="0"/>
                          <a:ext cx="775970" cy="664210"/>
                        </a:xfrm>
                        <a:prstGeom prst="rect">
                          <a:avLst/>
                        </a:prstGeom>
                        <a:noFill/>
                        <a:ln w="12700">
                          <a:noFill/>
                        </a:ln>
                      </wps:spPr>
                      <wps:txbx>
                        <w:txbxContent>
                          <w:p w14:paraId="5A2EFF5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不可抗力引起费用的承担</w:t>
                            </w:r>
                          </w:p>
                        </w:txbxContent>
                      </wps:txbx>
                      <wps:bodyPr rot="0" vert="horz" wrap="square" lIns="91440" tIns="45720" rIns="91440" bIns="45720" anchor="t" anchorCtr="0"/>
                    </wps:wsp>
                  </a:graphicData>
                </a:graphic>
              </wp:anchor>
            </w:drawing>
          </mc:Choice>
          <mc:Fallback>
            <w:pict>
              <v:shape id="文本框 805" o:spid="_x0000_s1026" o:spt="202" type="#_x0000_t202" style="position:absolute;left:0pt;margin-left:-9pt;margin-top:1.75pt;height:52.3pt;width:61.1pt;z-index:251757568;mso-width-relative:page;mso-height-relative:page;" filled="f" stroked="f" coordsize="21600,21600" o:gfxdata="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dj&#10;ecnXAAAACQEAAA8AAAAAAAAAAQAgAAAAIgAAAGRycy9kb3ducmV2LnhtbFBLAQIUABQAAAAIAIdO&#10;4kDGZVht6wEAAL4DAAAOAAAAAAAAAAEAIAAAACYBAABkcnMvZTJvRG9jLnhtbFBLBQYAAAAABgAG&#10;AFkBAACDBQAAAAA=&#10;">
                <v:fill on="f" focussize="0,0"/>
                <v:stroke on="f" weight="1pt"/>
                <v:imagedata o:title=""/>
                <o:lock v:ext="edit" aspectratio="f"/>
                <v:textbox>
                  <w:txbxContent>
                    <w:p w14:paraId="5A2EFF5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不可抗力引起费用的承担</w:t>
                      </w:r>
                    </w:p>
                  </w:txbxContent>
                </v:textbox>
              </v:shape>
            </w:pict>
          </mc:Fallback>
        </mc:AlternateContent>
      </w:r>
      <w:r>
        <w:rPr>
          <w:rFonts w:hint="eastAsia" w:ascii="仿宋" w:hAnsi="仿宋" w:eastAsia="仿宋" w:cs="仿宋"/>
          <w:lang w:eastAsia="zh-CN"/>
        </w:rPr>
        <w:t>因不可抗力事项导致的费用，由合同双方当事人按照下列约定承担，并相应调整合同价格：</w:t>
      </w:r>
    </w:p>
    <w:p w14:paraId="1AED53EB">
      <w:pPr>
        <w:pStyle w:val="22"/>
        <w:widowControl w:val="0"/>
        <w:numPr>
          <w:ilvl w:val="0"/>
          <w:numId w:val="17"/>
        </w:numPr>
        <w:adjustRightInd w:val="0"/>
        <w:snapToGrid w:val="0"/>
        <w:spacing w:line="400" w:lineRule="exact"/>
        <w:ind w:left="1850" w:leftChars="771" w:firstLine="1"/>
        <w:jc w:val="both"/>
        <w:rPr>
          <w:rFonts w:ascii="仿宋" w:hAnsi="仿宋" w:eastAsia="仿宋"/>
          <w:sz w:val="24"/>
          <w:szCs w:val="24"/>
          <w:lang w:eastAsia="zh-CN"/>
        </w:rPr>
      </w:pPr>
      <w:r>
        <w:rPr>
          <w:rFonts w:hint="eastAsia" w:ascii="仿宋" w:hAnsi="仿宋" w:eastAsia="仿宋" w:cs="仿宋"/>
          <w:sz w:val="24"/>
          <w:szCs w:val="24"/>
          <w:lang w:eastAsia="zh-CN"/>
        </w:rPr>
        <w:t>永久工程本身的损害、已运至施工场地的工程材料和工程设备的损害，以及因工程损害导致第三者人员伤亡和财产损失，由发包人承担；</w:t>
      </w:r>
    </w:p>
    <w:p w14:paraId="592F2689">
      <w:pPr>
        <w:pStyle w:val="22"/>
        <w:widowControl w:val="0"/>
        <w:numPr>
          <w:ilvl w:val="0"/>
          <w:numId w:val="17"/>
        </w:numPr>
        <w:adjustRightInd w:val="0"/>
        <w:snapToGrid w:val="0"/>
        <w:spacing w:line="400" w:lineRule="exact"/>
        <w:ind w:left="1850" w:leftChars="771" w:firstLine="1"/>
        <w:jc w:val="both"/>
        <w:rPr>
          <w:rFonts w:ascii="仿宋" w:hAnsi="仿宋" w:eastAsia="仿宋"/>
          <w:sz w:val="24"/>
          <w:szCs w:val="24"/>
          <w:lang w:eastAsia="zh-CN"/>
        </w:rPr>
      </w:pPr>
      <w:r>
        <w:rPr>
          <w:rFonts w:hint="eastAsia" w:ascii="仿宋" w:hAnsi="仿宋" w:eastAsia="仿宋" w:cs="仿宋"/>
          <w:sz w:val="24"/>
          <w:szCs w:val="24"/>
          <w:lang w:eastAsia="zh-CN"/>
        </w:rPr>
        <w:t>承包人施工设备和用于合同工程的周转材料损坏以及停工损失，由承包人承担；发包人提供的施工设备损坏，由发包人承担；</w:t>
      </w:r>
    </w:p>
    <w:p w14:paraId="0A45831C">
      <w:pPr>
        <w:pStyle w:val="22"/>
        <w:widowControl w:val="0"/>
        <w:numPr>
          <w:ilvl w:val="0"/>
          <w:numId w:val="17"/>
        </w:numPr>
        <w:adjustRightInd w:val="0"/>
        <w:snapToGrid w:val="0"/>
        <w:spacing w:line="400" w:lineRule="exact"/>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施工场地内的人员伤亡和本款第</w:t>
      </w:r>
      <w:r>
        <w:rPr>
          <w:rFonts w:ascii="仿宋" w:hAnsi="仿宋" w:eastAsia="仿宋" w:cs="仿宋"/>
          <w:sz w:val="24"/>
          <w:szCs w:val="24"/>
          <w:lang w:eastAsia="zh-CN"/>
        </w:rPr>
        <w:t>(1)</w:t>
      </w:r>
      <w:r>
        <w:rPr>
          <w:rFonts w:hint="eastAsia" w:ascii="仿宋" w:hAnsi="仿宋" w:eastAsia="仿宋" w:cs="仿宋"/>
          <w:sz w:val="24"/>
          <w:szCs w:val="24"/>
          <w:lang w:eastAsia="zh-CN"/>
        </w:rPr>
        <w:t>点、第</w:t>
      </w:r>
      <w:r>
        <w:rPr>
          <w:rFonts w:ascii="仿宋" w:hAnsi="仿宋" w:eastAsia="仿宋" w:cs="仿宋"/>
          <w:sz w:val="24"/>
          <w:szCs w:val="24"/>
          <w:lang w:eastAsia="zh-CN"/>
        </w:rPr>
        <w:t>(2)</w:t>
      </w:r>
      <w:r>
        <w:rPr>
          <w:rFonts w:hint="eastAsia" w:ascii="仿宋" w:hAnsi="仿宋" w:eastAsia="仿宋" w:cs="仿宋"/>
          <w:sz w:val="24"/>
          <w:szCs w:val="24"/>
          <w:lang w:eastAsia="zh-CN"/>
        </w:rPr>
        <w:t>点以外财产损失及其相关费用，由合同双方当事人各自承担；</w:t>
      </w:r>
    </w:p>
    <w:p w14:paraId="2687661E">
      <w:pPr>
        <w:pStyle w:val="22"/>
        <w:widowControl w:val="0"/>
        <w:numPr>
          <w:ilvl w:val="0"/>
          <w:numId w:val="17"/>
        </w:numPr>
        <w:adjustRightInd w:val="0"/>
        <w:snapToGrid w:val="0"/>
        <w:spacing w:line="400" w:lineRule="exact"/>
        <w:ind w:left="1850" w:leftChars="771" w:firstLine="1"/>
        <w:jc w:val="both"/>
        <w:rPr>
          <w:rFonts w:ascii="仿宋" w:hAnsi="仿宋" w:eastAsia="仿宋"/>
          <w:sz w:val="24"/>
          <w:szCs w:val="24"/>
          <w:lang w:eastAsia="zh-CN"/>
        </w:rPr>
      </w:pPr>
      <w:r>
        <w:rPr>
          <w:rFonts w:hint="eastAsia" w:ascii="仿宋" w:hAnsi="仿宋" w:eastAsia="仿宋" w:cs="仿宋"/>
          <w:sz w:val="24"/>
          <w:szCs w:val="24"/>
          <w:lang w:eastAsia="zh-CN"/>
        </w:rPr>
        <w:t>停工期间，承包人应监理工程师要求照管工程的费用，由发包人承担；</w:t>
      </w:r>
    </w:p>
    <w:p w14:paraId="249883E8">
      <w:pPr>
        <w:pStyle w:val="22"/>
        <w:widowControl w:val="0"/>
        <w:numPr>
          <w:ilvl w:val="0"/>
          <w:numId w:val="17"/>
        </w:numPr>
        <w:adjustRightInd w:val="0"/>
        <w:snapToGrid w:val="0"/>
        <w:spacing w:line="400" w:lineRule="exact"/>
        <w:ind w:left="2328" w:leftChars="772" w:hanging="475" w:hangingChars="198"/>
        <w:jc w:val="both"/>
        <w:rPr>
          <w:rFonts w:ascii="仿宋" w:hAnsi="仿宋" w:eastAsia="仿宋"/>
          <w:sz w:val="24"/>
          <w:szCs w:val="24"/>
          <w:lang w:eastAsia="zh-CN"/>
        </w:rPr>
      </w:pPr>
      <w:r>
        <w:rPr>
          <w:rFonts w:hint="eastAsia" w:ascii="仿宋" w:hAnsi="仿宋" w:eastAsia="仿宋" w:cs="仿宋"/>
          <w:sz w:val="24"/>
          <w:szCs w:val="24"/>
          <w:lang w:eastAsia="zh-CN"/>
        </w:rPr>
        <w:t>工程所需的清理、修复费用，由发包人承担。</w:t>
      </w:r>
    </w:p>
    <w:p w14:paraId="372CABF0">
      <w:pPr>
        <w:spacing w:line="400" w:lineRule="exact"/>
        <w:rPr>
          <w:rFonts w:ascii="仿宋" w:hAnsi="仿宋" w:eastAsia="仿宋"/>
          <w:b/>
          <w:bCs/>
          <w:lang w:eastAsia="zh-CN"/>
        </w:rPr>
      </w:pPr>
      <w:bookmarkStart w:id="327" w:name="_Toc18665"/>
      <w:r>
        <mc:AlternateContent>
          <mc:Choice Requires="wps">
            <w:drawing>
              <wp:anchor distT="0" distB="0" distL="114300" distR="114300" simplePos="0" relativeHeight="251999232" behindDoc="0" locked="0" layoutInCell="1" allowOverlap="1">
                <wp:simplePos x="0" y="0"/>
                <wp:positionH relativeFrom="column">
                  <wp:posOffset>-114300</wp:posOffset>
                </wp:positionH>
                <wp:positionV relativeFrom="paragraph">
                  <wp:posOffset>247650</wp:posOffset>
                </wp:positionV>
                <wp:extent cx="813435" cy="725170"/>
                <wp:effectExtent l="0" t="0" r="0" b="0"/>
                <wp:wrapNone/>
                <wp:docPr id="138" name="文本框 806"/>
                <wp:cNvGraphicFramePr/>
                <a:graphic xmlns:a="http://schemas.openxmlformats.org/drawingml/2006/main">
                  <a:graphicData uri="http://schemas.microsoft.com/office/word/2010/wordprocessingShape">
                    <wps:wsp>
                      <wps:cNvSpPr txBox="1"/>
                      <wps:spPr>
                        <a:xfrm>
                          <a:off x="0" y="0"/>
                          <a:ext cx="813435" cy="725170"/>
                        </a:xfrm>
                        <a:prstGeom prst="rect">
                          <a:avLst/>
                        </a:prstGeom>
                        <a:noFill/>
                        <a:ln w="12700">
                          <a:noFill/>
                        </a:ln>
                      </wps:spPr>
                      <wps:txbx>
                        <w:txbxContent>
                          <w:p w14:paraId="4DB62AB6">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不可抗力引起工期的处理</w:t>
                            </w:r>
                          </w:p>
                        </w:txbxContent>
                      </wps:txbx>
                      <wps:bodyPr rot="0" vert="horz" wrap="square" lIns="91440" tIns="45720" rIns="91440" bIns="45720" anchor="t" anchorCtr="0"/>
                    </wps:wsp>
                  </a:graphicData>
                </a:graphic>
              </wp:anchor>
            </w:drawing>
          </mc:Choice>
          <mc:Fallback>
            <w:pict>
              <v:shape id="文本框 806" o:spid="_x0000_s1026" o:spt="202" type="#_x0000_t202" style="position:absolute;left:0pt;margin-left:-9pt;margin-top:19.5pt;height:57.1pt;width:64.05pt;z-index:251999232;mso-width-relative:page;mso-height-relative:page;" filled="f" stroked="f" coordsize="21600,21600" o:gfxdata="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kQgBrdgAAAAKAQAADwAAAAAAAAABACAAAAAiAAAAZHJzL2Rvd25yZXYueG1sUEsBAhQAFAAAAAgA&#10;h07iQLCWxfLsAQAAvgMAAA4AAAAAAAAAAQAgAAAAJwEAAGRycy9lMm9Eb2MueG1sUEsFBgAAAAAG&#10;AAYAWQEAAIUFAAAAAA==&#10;">
                <v:fill on="f" focussize="0,0"/>
                <v:stroke on="f" weight="1pt"/>
                <v:imagedata o:title=""/>
                <o:lock v:ext="edit" aspectratio="f"/>
                <v:textbox>
                  <w:txbxContent>
                    <w:p w14:paraId="4DB62AB6">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不可抗力引起工期的处理</w:t>
                      </w:r>
                    </w:p>
                  </w:txbxContent>
                </v:textbox>
              </v:shape>
            </w:pict>
          </mc:Fallback>
        </mc:AlternateContent>
      </w:r>
      <w:r>
        <w:rPr>
          <w:rFonts w:ascii="仿宋" w:hAnsi="仿宋" w:eastAsia="仿宋" w:cs="仿宋"/>
          <w:b/>
          <w:bCs/>
          <w:lang w:eastAsia="zh-CN"/>
        </w:rPr>
        <w:t>3</w:t>
      </w:r>
      <w:r>
        <w:rPr>
          <w:rFonts w:hint="eastAsia" w:ascii="仿宋" w:hAnsi="仿宋" w:eastAsia="仿宋" w:cs="仿宋"/>
          <w:b/>
          <w:bCs/>
          <w:lang w:eastAsia="zh-CN"/>
        </w:rPr>
        <w:t>5</w:t>
      </w:r>
      <w:r>
        <w:rPr>
          <w:rFonts w:ascii="仿宋" w:hAnsi="仿宋" w:eastAsia="仿宋" w:cs="仿宋"/>
          <w:b/>
          <w:bCs/>
          <w:lang w:eastAsia="zh-CN"/>
        </w:rPr>
        <w:t>.4</w:t>
      </w:r>
      <w:bookmarkEnd w:id="327"/>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62689B9E">
      <w:pPr>
        <w:widowControl w:val="0"/>
        <w:spacing w:line="400" w:lineRule="exact"/>
        <w:ind w:left="1850" w:leftChars="771"/>
        <w:jc w:val="both"/>
        <w:rPr>
          <w:rFonts w:ascii="仿宋" w:hAnsi="仿宋" w:eastAsia="仿宋"/>
          <w:dstrike/>
          <w:lang w:eastAsia="zh-CN"/>
        </w:rPr>
      </w:pPr>
      <w:r>
        <w:rPr>
          <w:rFonts w:hint="eastAsia" w:ascii="仿宋" w:hAnsi="仿宋" w:eastAsia="仿宋" w:cs="仿宋"/>
          <w:lang w:eastAsia="zh-CN"/>
        </w:rPr>
        <w:t>因发生不可抗力事项导致工期延误的，工期相应顺延；不能按期竣工的，承包人无需为此支付任何误期赔偿费。发包人要求赶工的，承包人应采取赶工措施，赶工费用由发包人支付。</w:t>
      </w:r>
    </w:p>
    <w:p w14:paraId="33E513F0">
      <w:pPr>
        <w:spacing w:line="400" w:lineRule="exact"/>
        <w:rPr>
          <w:rFonts w:ascii="仿宋" w:hAnsi="仿宋" w:eastAsia="仿宋"/>
          <w:b/>
          <w:bCs/>
          <w:lang w:eastAsia="zh-CN"/>
        </w:rPr>
      </w:pPr>
      <w:bookmarkStart w:id="328" w:name="_Toc30872"/>
      <w:r>
        <mc:AlternateContent>
          <mc:Choice Requires="wps">
            <w:drawing>
              <wp:anchor distT="0" distB="0" distL="114300" distR="114300" simplePos="0" relativeHeight="252000256" behindDoc="0" locked="0" layoutInCell="1" allowOverlap="1">
                <wp:simplePos x="0" y="0"/>
                <wp:positionH relativeFrom="column">
                  <wp:posOffset>-114300</wp:posOffset>
                </wp:positionH>
                <wp:positionV relativeFrom="paragraph">
                  <wp:posOffset>247650</wp:posOffset>
                </wp:positionV>
                <wp:extent cx="842645" cy="525145"/>
                <wp:effectExtent l="0" t="0" r="0" b="0"/>
                <wp:wrapNone/>
                <wp:docPr id="139" name="文本框 807"/>
                <wp:cNvGraphicFramePr/>
                <a:graphic xmlns:a="http://schemas.openxmlformats.org/drawingml/2006/main">
                  <a:graphicData uri="http://schemas.microsoft.com/office/word/2010/wordprocessingShape">
                    <wps:wsp>
                      <wps:cNvSpPr txBox="1"/>
                      <wps:spPr>
                        <a:xfrm>
                          <a:off x="0" y="0"/>
                          <a:ext cx="842645" cy="525145"/>
                        </a:xfrm>
                        <a:prstGeom prst="rect">
                          <a:avLst/>
                        </a:prstGeom>
                        <a:noFill/>
                        <a:ln w="12700">
                          <a:noFill/>
                        </a:ln>
                      </wps:spPr>
                      <wps:txbx>
                        <w:txbxContent>
                          <w:p w14:paraId="3EC02FE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延迟履约发生不可抗力的责任</w:t>
                            </w:r>
                          </w:p>
                        </w:txbxContent>
                      </wps:txbx>
                      <wps:bodyPr rot="0" vert="horz" wrap="square" lIns="91440" tIns="45720" rIns="91440" bIns="45720" anchor="t" anchorCtr="0"/>
                    </wps:wsp>
                  </a:graphicData>
                </a:graphic>
              </wp:anchor>
            </w:drawing>
          </mc:Choice>
          <mc:Fallback>
            <w:pict>
              <v:shape id="文本框 807" o:spid="_x0000_s1026" o:spt="202" type="#_x0000_t202" style="position:absolute;left:0pt;margin-left:-9pt;margin-top:19.5pt;height:41.35pt;width:66.35pt;z-index:252000256;mso-width-relative:page;mso-height-relative:page;" filled="f" stroked="f" coordsize="21600,21600" o:gfxdata="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AZ&#10;cGLYAAAACgEAAA8AAAAAAAAAAQAgAAAAIgAAAGRycy9kb3ducmV2LnhtbFBLAQIUABQAAAAIAIdO&#10;4kAAyu1m6gEAAL4DAAAOAAAAAAAAAAEAIAAAACcBAABkcnMvZTJvRG9jLnhtbFBLBQYAAAAABgAG&#10;AFkBAACDBQAAAAA=&#10;">
                <v:fill on="f" focussize="0,0"/>
                <v:stroke on="f" weight="1pt"/>
                <v:imagedata o:title=""/>
                <o:lock v:ext="edit" aspectratio="f"/>
                <v:textbox>
                  <w:txbxContent>
                    <w:p w14:paraId="3EC02FE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延迟履约发生不可抗力的责任</w:t>
                      </w:r>
                    </w:p>
                  </w:txbxContent>
                </v:textbox>
              </v:shape>
            </w:pict>
          </mc:Fallback>
        </mc:AlternateContent>
      </w:r>
      <w:r>
        <w:rPr>
          <w:rFonts w:ascii="仿宋" w:hAnsi="仿宋" w:eastAsia="仿宋" w:cs="仿宋"/>
          <w:b/>
          <w:bCs/>
          <w:lang w:eastAsia="zh-CN"/>
        </w:rPr>
        <w:t>3</w:t>
      </w:r>
      <w:r>
        <w:rPr>
          <w:rFonts w:hint="eastAsia" w:ascii="仿宋" w:hAnsi="仿宋" w:eastAsia="仿宋" w:cs="仿宋"/>
          <w:b/>
          <w:bCs/>
          <w:lang w:eastAsia="zh-CN"/>
        </w:rPr>
        <w:t>5</w:t>
      </w:r>
      <w:r>
        <w:rPr>
          <w:rFonts w:ascii="仿宋" w:hAnsi="仿宋" w:eastAsia="仿宋" w:cs="仿宋"/>
          <w:b/>
          <w:bCs/>
          <w:lang w:eastAsia="zh-CN"/>
        </w:rPr>
        <w:t>.5</w:t>
      </w:r>
      <w:bookmarkEnd w:id="328"/>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66E035D4">
      <w:pPr>
        <w:widowControl w:val="0"/>
        <w:spacing w:line="400" w:lineRule="exact"/>
        <w:ind w:left="1850" w:leftChars="771"/>
        <w:jc w:val="both"/>
        <w:rPr>
          <w:rFonts w:ascii="仿宋" w:hAnsi="仿宋" w:eastAsia="仿宋"/>
          <w:lang w:eastAsia="zh-CN"/>
        </w:rPr>
      </w:pPr>
      <w:r>
        <w:rPr>
          <w:rFonts w:hint="eastAsia" w:ascii="仿宋" w:hAnsi="仿宋" w:eastAsia="仿宋" w:cs="仿宋"/>
          <w:lang w:eastAsia="zh-CN"/>
        </w:rPr>
        <w:t>合同任何一方当事人延迟履行合同后发生不可抗力事项的，不能免除其因不可抗力给另一方当事人造成损失的责任。</w:t>
      </w:r>
    </w:p>
    <w:p w14:paraId="53419FD4">
      <w:pPr>
        <w:spacing w:line="400" w:lineRule="exact"/>
        <w:rPr>
          <w:rFonts w:ascii="仿宋" w:hAnsi="仿宋" w:eastAsia="仿宋"/>
          <w:b/>
          <w:bCs/>
          <w:lang w:eastAsia="zh-CN"/>
        </w:rPr>
      </w:pPr>
      <w:bookmarkStart w:id="329" w:name="_Toc8778"/>
      <w:r>
        <w:rPr>
          <w:rFonts w:ascii="仿宋" w:hAnsi="仿宋" w:eastAsia="仿宋" w:cs="仿宋"/>
          <w:b/>
          <w:bCs/>
          <w:lang w:eastAsia="zh-CN"/>
        </w:rPr>
        <w:t>3</w:t>
      </w:r>
      <w:r>
        <w:rPr>
          <w:rFonts w:hint="eastAsia" w:ascii="仿宋" w:hAnsi="仿宋" w:eastAsia="仿宋" w:cs="仿宋"/>
          <w:b/>
          <w:bCs/>
          <w:lang w:eastAsia="zh-CN"/>
        </w:rPr>
        <w:t>5</w:t>
      </w:r>
      <w:r>
        <w:rPr>
          <w:rFonts w:ascii="仿宋" w:hAnsi="仿宋" w:eastAsia="仿宋" w:cs="仿宋"/>
          <w:b/>
          <w:bCs/>
          <w:lang w:eastAsia="zh-CN"/>
        </w:rPr>
        <w:t>.6</w:t>
      </w:r>
      <w:bookmarkEnd w:id="329"/>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687D0DD3">
      <w:pPr>
        <w:pStyle w:val="22"/>
        <w:widowControl w:val="0"/>
        <w:adjustRightInd w:val="0"/>
        <w:snapToGrid w:val="0"/>
        <w:spacing w:line="400" w:lineRule="exact"/>
        <w:ind w:left="1850" w:leftChars="771"/>
        <w:jc w:val="both"/>
        <w:rPr>
          <w:rFonts w:ascii="仿宋" w:hAnsi="仿宋" w:eastAsia="仿宋" w:cs="仿宋"/>
          <w:sz w:val="24"/>
          <w:szCs w:val="24"/>
          <w:lang w:eastAsia="zh-CN"/>
        </w:rPr>
      </w:pPr>
      <w:r>
        <mc:AlternateContent>
          <mc:Choice Requires="wps">
            <w:drawing>
              <wp:anchor distT="0" distB="0" distL="114300" distR="114300" simplePos="0" relativeHeight="251758592" behindDoc="0" locked="0" layoutInCell="1" allowOverlap="1">
                <wp:simplePos x="0" y="0"/>
                <wp:positionH relativeFrom="column">
                  <wp:posOffset>-114300</wp:posOffset>
                </wp:positionH>
                <wp:positionV relativeFrom="paragraph">
                  <wp:posOffset>34290</wp:posOffset>
                </wp:positionV>
                <wp:extent cx="804545" cy="525145"/>
                <wp:effectExtent l="0" t="0" r="0" b="0"/>
                <wp:wrapNone/>
                <wp:docPr id="140" name="文本框 808"/>
                <wp:cNvGraphicFramePr/>
                <a:graphic xmlns:a="http://schemas.openxmlformats.org/drawingml/2006/main">
                  <a:graphicData uri="http://schemas.microsoft.com/office/word/2010/wordprocessingShape">
                    <wps:wsp>
                      <wps:cNvSpPr txBox="1"/>
                      <wps:spPr>
                        <a:xfrm>
                          <a:off x="0" y="0"/>
                          <a:ext cx="804545" cy="525145"/>
                        </a:xfrm>
                        <a:prstGeom prst="rect">
                          <a:avLst/>
                        </a:prstGeom>
                        <a:noFill/>
                        <a:ln w="12700">
                          <a:noFill/>
                        </a:ln>
                      </wps:spPr>
                      <wps:txbx>
                        <w:txbxContent>
                          <w:p w14:paraId="1AE47F0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避免和减少不可抗力的损失</w:t>
                            </w:r>
                          </w:p>
                        </w:txbxContent>
                      </wps:txbx>
                      <wps:bodyPr rot="0" vert="horz" wrap="square" lIns="91440" tIns="45720" rIns="91440" bIns="45720" anchor="t" anchorCtr="0"/>
                    </wps:wsp>
                  </a:graphicData>
                </a:graphic>
              </wp:anchor>
            </w:drawing>
          </mc:Choice>
          <mc:Fallback>
            <w:pict>
              <v:shape id="文本框 808" o:spid="_x0000_s1026" o:spt="202" type="#_x0000_t202" style="position:absolute;left:0pt;margin-left:-9pt;margin-top:2.7pt;height:41.35pt;width:63.35pt;z-index:251758592;mso-width-relative:page;mso-height-relative:page;" filled="f" stroked="f" coordsize="21600,21600" o:gfxdata="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9FE67X&#10;AAAACAEAAA8AAAAAAAAAAQAgAAAAIgAAAGRycy9kb3ducmV2LnhtbFBLAQIUABQAAAAIAIdO4kDk&#10;dNjQ6AEAAL4DAAAOAAAAAAAAAAEAIAAAACYBAABkcnMvZTJvRG9jLnhtbFBLBQYAAAAABgAGAFkB&#10;AACABQAAAAA=&#10;">
                <v:fill on="f" focussize="0,0"/>
                <v:stroke on="f" weight="1pt"/>
                <v:imagedata o:title=""/>
                <o:lock v:ext="edit" aspectratio="f"/>
                <v:textbox>
                  <w:txbxContent>
                    <w:p w14:paraId="1AE47F0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避免和减少不可抗力的损失</w:t>
                      </w:r>
                    </w:p>
                  </w:txbxContent>
                </v:textbox>
              </v:shape>
            </w:pict>
          </mc:Fallback>
        </mc:AlternateContent>
      </w:r>
      <w:r>
        <w:rPr>
          <w:rFonts w:hint="eastAsia" w:ascii="仿宋" w:hAnsi="仿宋" w:eastAsia="仿宋" w:cs="仿宋"/>
          <w:sz w:val="24"/>
          <w:szCs w:val="24"/>
          <w:lang w:eastAsia="zh-CN"/>
        </w:rPr>
        <w:t>不可抗力事项发生后，合同双方当事人应采取措施尽量避免和减少由此发生的损失。因合同任何一方当事人没有采取有效措施而导致损失扩大的，则损失扩大部分由其自身承担。</w:t>
      </w:r>
    </w:p>
    <w:p w14:paraId="4EAD3895">
      <w:pPr>
        <w:spacing w:line="400" w:lineRule="exact"/>
        <w:ind w:left="1920" w:hanging="1920" w:hangingChars="800"/>
        <w:rPr>
          <w:lang w:eastAsia="zh-CN"/>
        </w:rPr>
      </w:pPr>
      <w:r>
        <w:rPr>
          <w:rFonts w:hint="eastAsia" w:ascii="仿宋" w:hAnsi="仿宋" w:eastAsia="仿宋" w:cs="仿宋"/>
          <w:lang w:eastAsia="zh-CN" w:bidi="ar-SA"/>
        </w:rPr>
        <mc:AlternateContent>
          <mc:Choice Requires="wps">
            <w:drawing>
              <wp:anchor distT="0" distB="0" distL="114300" distR="114300" simplePos="0" relativeHeight="252121088" behindDoc="0" locked="0" layoutInCell="1" allowOverlap="1">
                <wp:simplePos x="0" y="0"/>
                <wp:positionH relativeFrom="column">
                  <wp:posOffset>-114300</wp:posOffset>
                </wp:positionH>
                <wp:positionV relativeFrom="paragraph">
                  <wp:posOffset>237490</wp:posOffset>
                </wp:positionV>
                <wp:extent cx="770890" cy="678180"/>
                <wp:effectExtent l="0" t="0" r="0" b="0"/>
                <wp:wrapNone/>
                <wp:docPr id="141" name="文本框 1345"/>
                <wp:cNvGraphicFramePr/>
                <a:graphic xmlns:a="http://schemas.openxmlformats.org/drawingml/2006/main">
                  <a:graphicData uri="http://schemas.microsoft.com/office/word/2010/wordprocessingShape">
                    <wps:wsp>
                      <wps:cNvSpPr txBox="1"/>
                      <wps:spPr>
                        <a:xfrm>
                          <a:off x="0" y="0"/>
                          <a:ext cx="770890" cy="678180"/>
                        </a:xfrm>
                        <a:prstGeom prst="rect">
                          <a:avLst/>
                        </a:prstGeom>
                        <a:noFill/>
                        <a:ln w="12700">
                          <a:noFill/>
                        </a:ln>
                      </wps:spPr>
                      <wps:txbx>
                        <w:txbxContent>
                          <w:p w14:paraId="2D285C74">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不可抗力影响分包人</w:t>
                            </w:r>
                          </w:p>
                        </w:txbxContent>
                      </wps:txbx>
                      <wps:bodyPr rot="0" vert="horz" wrap="square" lIns="91440" tIns="45720" rIns="91440" bIns="45720" anchor="t" anchorCtr="0"/>
                    </wps:wsp>
                  </a:graphicData>
                </a:graphic>
              </wp:anchor>
            </w:drawing>
          </mc:Choice>
          <mc:Fallback>
            <w:pict>
              <v:shape id="文本框 1345" o:spid="_x0000_s1026" o:spt="202" type="#_x0000_t202" style="position:absolute;left:0pt;margin-left:-9pt;margin-top:18.7pt;height:53.4pt;width:60.7pt;z-index:252121088;mso-width-relative:page;mso-height-relative:page;" filled="f" stroked="f" coordsize="21600,21600" o:gfxdata="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dgB3D9gAAAAKAQAADwAAAAAAAAABACAAAAAiAAAAZHJzL2Rvd25yZXYueG1sUEsBAhQAFAAAAAgA&#10;h07iQGtqWP3sAQAAvwMAAA4AAAAAAAAAAQAgAAAAJwEAAGRycy9lMm9Eb2MueG1sUEsFBgAAAAAG&#10;AAYAWQEAAIUFAAAAAA==&#10;">
                <v:fill on="f" focussize="0,0"/>
                <v:stroke on="f" weight="1pt"/>
                <v:imagedata o:title=""/>
                <o:lock v:ext="edit" aspectratio="f"/>
                <v:textbox>
                  <w:txbxContent>
                    <w:p w14:paraId="2D285C74">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不可抗力影响分包人</w:t>
                      </w:r>
                    </w:p>
                  </w:txbxContent>
                </v:textbox>
              </v:shape>
            </w:pict>
          </mc:Fallback>
        </mc:AlternateContent>
      </w:r>
      <w:r>
        <w:rPr>
          <w:rFonts w:ascii="仿宋" w:hAnsi="仿宋" w:eastAsia="仿宋" w:cs="仿宋"/>
          <w:b/>
          <w:bCs/>
          <w:lang w:eastAsia="zh-CN"/>
        </w:rPr>
        <w:t>3</w:t>
      </w:r>
      <w:r>
        <w:rPr>
          <w:rFonts w:hint="eastAsia" w:ascii="仿宋" w:hAnsi="仿宋" w:eastAsia="仿宋" w:cs="仿宋"/>
          <w:b/>
          <w:bCs/>
          <w:lang w:eastAsia="zh-CN"/>
        </w:rPr>
        <w:t>5</w:t>
      </w:r>
      <w:r>
        <w:rPr>
          <w:rFonts w:ascii="仿宋" w:hAnsi="仿宋" w:eastAsia="仿宋" w:cs="仿宋"/>
          <w:b/>
          <w:bCs/>
          <w:lang w:eastAsia="zh-CN"/>
        </w:rPr>
        <w:t>.</w:t>
      </w:r>
      <w:r>
        <w:rPr>
          <w:rFonts w:hint="eastAsia" w:ascii="仿宋" w:hAnsi="仿宋" w:eastAsia="仿宋" w:cs="仿宋"/>
          <w:b/>
          <w:bCs/>
          <w:lang w:eastAsia="zh-CN"/>
        </w:rPr>
        <w:t>7</w:t>
      </w:r>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lang w:eastAsia="zh-CN" w:bidi="ar-SA"/>
        </w:rPr>
        <w:t>分包人根据分包合同的约定，以更大范围的不可抗力而免除某些义务的，承包人不得以分包合同中不可抗力约定向发包人抗辩免除其义务。</w:t>
      </w:r>
    </w:p>
    <w:p w14:paraId="18B200C5">
      <w:pPr>
        <w:pStyle w:val="22"/>
        <w:adjustRightInd w:val="0"/>
        <w:snapToGrid w:val="0"/>
        <w:spacing w:line="400" w:lineRule="exact"/>
        <w:rPr>
          <w:rFonts w:ascii="仿宋" w:hAnsi="仿宋" w:eastAsia="仿宋" w:cs="仿宋"/>
          <w:sz w:val="24"/>
          <w:szCs w:val="24"/>
          <w:u w:val="single"/>
          <w:lang w:eastAsia="zh-CN"/>
        </w:rPr>
      </w:pPr>
      <w:r>
        <w:rPr>
          <w:rFonts w:ascii="仿宋" w:hAnsi="仿宋" w:eastAsia="仿宋" w:cs="仿宋"/>
          <w:b/>
          <w:bCs/>
          <w:sz w:val="24"/>
          <w:szCs w:val="24"/>
          <w:u w:val="single"/>
          <w:lang w:eastAsia="zh-CN"/>
        </w:rPr>
        <w:t xml:space="preserve">                                                                                   </w:t>
      </w:r>
      <w:r>
        <w:rPr>
          <w:rFonts w:ascii="仿宋" w:hAnsi="仿宋" w:eastAsia="仿宋" w:cs="仿宋"/>
          <w:sz w:val="24"/>
          <w:szCs w:val="24"/>
          <w:u w:val="single"/>
          <w:lang w:eastAsia="zh-CN"/>
        </w:rPr>
        <w:t xml:space="preserve">  </w:t>
      </w:r>
    </w:p>
    <w:p w14:paraId="2DF516F0">
      <w:pPr>
        <w:pStyle w:val="4"/>
        <w:tabs>
          <w:tab w:val="left" w:pos="420"/>
        </w:tabs>
        <w:spacing w:before="0" w:after="0" w:line="400" w:lineRule="exact"/>
        <w:rPr>
          <w:rFonts w:ascii="仿宋" w:hAnsi="仿宋" w:eastAsia="仿宋" w:cs="仿宋"/>
          <w:bCs w:val="0"/>
          <w:sz w:val="24"/>
          <w:szCs w:val="24"/>
          <w:lang w:eastAsia="zh-CN"/>
        </w:rPr>
      </w:pPr>
      <w:bookmarkStart w:id="330" w:name="_Toc194073143"/>
      <w:bookmarkStart w:id="331" w:name="_Toc31449"/>
      <w:bookmarkStart w:id="332" w:name="_Toc16291"/>
      <w:bookmarkStart w:id="333" w:name="_Toc21252"/>
      <w:r>
        <w:rPr>
          <w:rFonts w:ascii="仿宋" w:hAnsi="仿宋" w:eastAsia="仿宋" w:cs="仿宋"/>
          <w:bCs w:val="0"/>
          <w:sz w:val="24"/>
          <w:szCs w:val="24"/>
          <w:lang w:eastAsia="zh-CN"/>
        </w:rPr>
        <w:t>3</w:t>
      </w:r>
      <w:r>
        <w:rPr>
          <w:rFonts w:hint="eastAsia" w:ascii="仿宋" w:hAnsi="仿宋" w:eastAsia="仿宋" w:cs="仿宋"/>
          <w:bCs w:val="0"/>
          <w:sz w:val="24"/>
          <w:szCs w:val="24"/>
          <w:lang w:eastAsia="zh-CN"/>
        </w:rPr>
        <w:t>6</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保险</w:t>
      </w:r>
      <w:bookmarkEnd w:id="330"/>
      <w:bookmarkEnd w:id="331"/>
      <w:bookmarkEnd w:id="332"/>
      <w:bookmarkEnd w:id="333"/>
    </w:p>
    <w:p w14:paraId="1C415E8A">
      <w:pPr>
        <w:pStyle w:val="22"/>
        <w:tabs>
          <w:tab w:val="left" w:pos="1320"/>
        </w:tabs>
        <w:adjustRightInd w:val="0"/>
        <w:snapToGrid w:val="0"/>
        <w:spacing w:line="400" w:lineRule="exact"/>
        <w:rPr>
          <w:rFonts w:ascii="仿宋" w:hAnsi="仿宋" w:eastAsia="仿宋"/>
          <w:b/>
          <w:bCs/>
          <w:sz w:val="24"/>
          <w:szCs w:val="24"/>
          <w:lang w:eastAsia="zh-CN"/>
        </w:rPr>
      </w:pPr>
      <w:r>
        <w:rPr>
          <w:rFonts w:ascii="仿宋" w:hAnsi="仿宋" w:eastAsia="仿宋" w:cs="仿宋"/>
          <w:b/>
          <w:bCs/>
          <w:sz w:val="24"/>
          <w:szCs w:val="24"/>
          <w:lang w:eastAsia="zh-CN"/>
        </w:rPr>
        <w:t>3</w:t>
      </w:r>
      <w:r>
        <w:rPr>
          <w:rFonts w:hint="eastAsia" w:ascii="仿宋" w:hAnsi="仿宋" w:eastAsia="仿宋" w:cs="仿宋"/>
          <w:b/>
          <w:bCs/>
          <w:sz w:val="24"/>
          <w:szCs w:val="24"/>
          <w:lang w:eastAsia="zh-CN"/>
        </w:rPr>
        <w:t>6</w:t>
      </w:r>
      <w:r>
        <w:rPr>
          <w:rFonts w:ascii="仿宋" w:hAnsi="仿宋" w:eastAsia="仿宋" w:cs="仿宋"/>
          <w:b/>
          <w:bCs/>
          <w:sz w:val="24"/>
          <w:szCs w:val="24"/>
          <w:lang w:eastAsia="zh-CN"/>
        </w:rPr>
        <w:t>.1</w:t>
      </w:r>
    </w:p>
    <w:p w14:paraId="19F40F28">
      <w:pPr>
        <w:pStyle w:val="22"/>
        <w:widowControl w:val="0"/>
        <w:adjustRightInd w:val="0"/>
        <w:snapToGrid w:val="0"/>
        <w:spacing w:line="400" w:lineRule="exact"/>
        <w:ind w:left="1850" w:leftChars="771"/>
        <w:jc w:val="both"/>
        <w:rPr>
          <w:rFonts w:ascii="仿宋" w:hAnsi="仿宋" w:eastAsia="仿宋"/>
          <w:sz w:val="24"/>
          <w:szCs w:val="24"/>
          <w:lang w:eastAsia="zh-CN"/>
        </w:rPr>
      </w:pPr>
      <w:r>
        <mc:AlternateContent>
          <mc:Choice Requires="wps">
            <w:drawing>
              <wp:anchor distT="0" distB="0" distL="114300" distR="114300" simplePos="0" relativeHeight="251759616" behindDoc="0" locked="0" layoutInCell="1" allowOverlap="1">
                <wp:simplePos x="0" y="0"/>
                <wp:positionH relativeFrom="column">
                  <wp:posOffset>-114300</wp:posOffset>
                </wp:positionH>
                <wp:positionV relativeFrom="paragraph">
                  <wp:posOffset>7620</wp:posOffset>
                </wp:positionV>
                <wp:extent cx="847090" cy="487680"/>
                <wp:effectExtent l="0" t="0" r="0" b="0"/>
                <wp:wrapNone/>
                <wp:docPr id="142" name="文本框 809"/>
                <wp:cNvGraphicFramePr/>
                <a:graphic xmlns:a="http://schemas.openxmlformats.org/drawingml/2006/main">
                  <a:graphicData uri="http://schemas.microsoft.com/office/word/2010/wordprocessingShape">
                    <wps:wsp>
                      <wps:cNvSpPr txBox="1"/>
                      <wps:spPr>
                        <a:xfrm>
                          <a:off x="0" y="0"/>
                          <a:ext cx="847090" cy="487680"/>
                        </a:xfrm>
                        <a:prstGeom prst="rect">
                          <a:avLst/>
                        </a:prstGeom>
                        <a:noFill/>
                        <a:ln w="12700">
                          <a:noFill/>
                        </a:ln>
                      </wps:spPr>
                      <wps:txbx>
                        <w:txbxContent>
                          <w:p w14:paraId="7907E7A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发包人办理保险</w:t>
                            </w:r>
                          </w:p>
                        </w:txbxContent>
                      </wps:txbx>
                      <wps:bodyPr rot="0" vert="horz" wrap="square" lIns="91440" tIns="45720" rIns="91440" bIns="45720" anchor="t" anchorCtr="0"/>
                    </wps:wsp>
                  </a:graphicData>
                </a:graphic>
              </wp:anchor>
            </w:drawing>
          </mc:Choice>
          <mc:Fallback>
            <w:pict>
              <v:shape id="文本框 809" o:spid="_x0000_s1026" o:spt="202" type="#_x0000_t202" style="position:absolute;left:0pt;margin-left:-9pt;margin-top:0.6pt;height:38.4pt;width:66.7pt;z-index:251759616;mso-width-relative:page;mso-height-relative:page;" filled="f" stroked="f" coordsize="21600,21600" o:gfxdata="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XP4p&#10;SNYAAAAIAQAADwAAAAAAAAABACAAAAAiAAAAZHJzL2Rvd25yZXYueG1sUEsBAhQAFAAAAAgAh07i&#10;QJ2IHyrrAQAAvgMAAA4AAAAAAAAAAQAgAAAAJQEAAGRycy9lMm9Eb2MueG1sUEsFBgAAAAAGAAYA&#10;WQEAAIIFAAAAAA==&#10;">
                <v:fill on="f" focussize="0,0"/>
                <v:stroke on="f" weight="1pt"/>
                <v:imagedata o:title=""/>
                <o:lock v:ext="edit" aspectratio="f"/>
                <v:textbox>
                  <w:txbxContent>
                    <w:p w14:paraId="7907E7A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发包人办理保险</w:t>
                      </w:r>
                    </w:p>
                  </w:txbxContent>
                </v:textbox>
              </v:shape>
            </w:pict>
          </mc:Fallback>
        </mc:AlternateContent>
      </w:r>
      <w:r>
        <w:rPr>
          <w:rFonts w:hint="eastAsia" w:ascii="仿宋" w:hAnsi="仿宋" w:eastAsia="仿宋" w:cs="仿宋"/>
          <w:sz w:val="24"/>
          <w:szCs w:val="24"/>
          <w:lang w:eastAsia="zh-CN"/>
        </w:rPr>
        <w:t>发包人应按照下列约定办理保险，并支付保险费：</w:t>
      </w:r>
    </w:p>
    <w:p w14:paraId="06329B2E">
      <w:pPr>
        <w:pStyle w:val="22"/>
        <w:widowControl w:val="0"/>
        <w:numPr>
          <w:ilvl w:val="0"/>
          <w:numId w:val="18"/>
        </w:numPr>
        <w:tabs>
          <w:tab w:val="left" w:pos="1980"/>
        </w:tabs>
        <w:adjustRightInd w:val="0"/>
        <w:snapToGrid w:val="0"/>
        <w:spacing w:line="400" w:lineRule="exact"/>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工程开工前，为合同工程办理建筑工程一切险、安装工程一切险；</w:t>
      </w:r>
    </w:p>
    <w:p w14:paraId="02FC1C30">
      <w:pPr>
        <w:pStyle w:val="22"/>
        <w:widowControl w:val="0"/>
        <w:numPr>
          <w:ilvl w:val="0"/>
          <w:numId w:val="18"/>
        </w:numPr>
        <w:tabs>
          <w:tab w:val="left" w:pos="1980"/>
        </w:tabs>
        <w:adjustRightInd w:val="0"/>
        <w:snapToGrid w:val="0"/>
        <w:spacing w:line="400" w:lineRule="exact"/>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工程开工前，为施工场地内的自有人员（包括设计顾问工程师、监理工程师、造价工程师在内）办理意外伤害保险；</w:t>
      </w:r>
    </w:p>
    <w:p w14:paraId="73513B0E">
      <w:pPr>
        <w:pStyle w:val="22"/>
        <w:widowControl w:val="0"/>
        <w:numPr>
          <w:ilvl w:val="0"/>
          <w:numId w:val="18"/>
        </w:numPr>
        <w:tabs>
          <w:tab w:val="left" w:pos="1980"/>
        </w:tabs>
        <w:adjustRightInd w:val="0"/>
        <w:snapToGrid w:val="0"/>
        <w:spacing w:line="400" w:lineRule="exact"/>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为第三者办理第三者责任险；</w:t>
      </w:r>
    </w:p>
    <w:p w14:paraId="3FE06A0F">
      <w:pPr>
        <w:pStyle w:val="22"/>
        <w:widowControl w:val="0"/>
        <w:numPr>
          <w:ilvl w:val="0"/>
          <w:numId w:val="18"/>
        </w:numPr>
        <w:tabs>
          <w:tab w:val="left" w:pos="1980"/>
        </w:tabs>
        <w:adjustRightInd w:val="0"/>
        <w:snapToGrid w:val="0"/>
        <w:spacing w:line="400" w:lineRule="exact"/>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为运至施工场地内用于永久工程的工程材料和待安装工程设备办理保险。</w:t>
      </w:r>
    </w:p>
    <w:p w14:paraId="0FBE740E">
      <w:pPr>
        <w:pStyle w:val="22"/>
        <w:tabs>
          <w:tab w:val="left" w:pos="1080"/>
        </w:tabs>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上述保险的保险期从办理保险之日起至工程竣工验收合格之日止。</w:t>
      </w:r>
    </w:p>
    <w:p w14:paraId="3F66F512">
      <w:pPr>
        <w:pStyle w:val="22"/>
        <w:widowControl w:val="0"/>
        <w:numPr>
          <w:ilvl w:val="0"/>
          <w:numId w:val="18"/>
        </w:numPr>
        <w:tabs>
          <w:tab w:val="left" w:pos="1980"/>
        </w:tabs>
        <w:adjustRightInd w:val="0"/>
        <w:snapToGrid w:val="0"/>
        <w:spacing w:line="400" w:lineRule="exact"/>
        <w:ind w:left="1850" w:leftChars="771" w:firstLine="0"/>
        <w:jc w:val="both"/>
        <w:rPr>
          <w:rFonts w:ascii="仿宋" w:hAnsi="仿宋" w:eastAsia="仿宋" w:cs="仿宋"/>
          <w:sz w:val="24"/>
          <w:szCs w:val="24"/>
          <w:lang w:eastAsia="zh-CN"/>
        </w:rPr>
      </w:pPr>
      <w:r>
        <w:rPr>
          <w:rFonts w:hint="eastAsia" w:ascii="仿宋" w:hAnsi="仿宋" w:eastAsia="仿宋" w:cs="仿宋"/>
          <w:sz w:val="24"/>
          <w:szCs w:val="24"/>
          <w:lang w:eastAsia="zh-CN"/>
        </w:rPr>
        <w:t>工程开工前，为合同工程办理工程质量保险或工程质量潜在缺陷保险，并由保险公司对工程质量、施工安全进行综合担保，以及聘请专业的团队进行工程建设全过程风险、质量控制。保险期限由发包人与保险公司具体约定。</w:t>
      </w:r>
    </w:p>
    <w:p w14:paraId="09CEFEF3">
      <w:pPr>
        <w:pStyle w:val="22"/>
        <w:tabs>
          <w:tab w:val="left" w:pos="1080"/>
        </w:tabs>
        <w:adjustRightInd w:val="0"/>
        <w:snapToGri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发包人可将其中部分事项委托给承包人办理，具体由合同双方当事人在专用条款中约定。除合同价格已包括外，由发包人承担所需保险费用，并向承包人支付合理利润。</w:t>
      </w:r>
    </w:p>
    <w:p w14:paraId="5A5D0D79">
      <w:pPr>
        <w:pStyle w:val="22"/>
        <w:tabs>
          <w:tab w:val="left" w:pos="1320"/>
        </w:tabs>
        <w:adjustRightInd w:val="0"/>
        <w:snapToGrid w:val="0"/>
        <w:spacing w:line="400" w:lineRule="exact"/>
        <w:rPr>
          <w:rFonts w:ascii="仿宋" w:hAnsi="仿宋" w:eastAsia="仿宋" w:cs="仿宋"/>
          <w:b/>
          <w:bCs/>
          <w:sz w:val="24"/>
          <w:szCs w:val="24"/>
          <w:u w:val="dotted"/>
          <w:lang w:eastAsia="zh-CN"/>
        </w:rPr>
      </w:pPr>
      <w:r>
        <w:rPr>
          <w:rFonts w:ascii="仿宋" w:hAnsi="仿宋" w:eastAsia="仿宋" w:cs="仿宋"/>
          <w:b/>
          <w:bCs/>
          <w:sz w:val="24"/>
          <w:szCs w:val="24"/>
          <w:lang w:eastAsia="zh-CN"/>
        </w:rPr>
        <w:t>3</w:t>
      </w:r>
      <w:r>
        <w:rPr>
          <w:rFonts w:hint="eastAsia" w:ascii="仿宋" w:hAnsi="仿宋" w:eastAsia="仿宋" w:cs="仿宋"/>
          <w:b/>
          <w:bCs/>
          <w:sz w:val="24"/>
          <w:szCs w:val="24"/>
          <w:lang w:eastAsia="zh-CN"/>
        </w:rPr>
        <w:t>6</w:t>
      </w:r>
      <w:r>
        <w:rPr>
          <w:rFonts w:ascii="仿宋" w:hAnsi="仿宋" w:eastAsia="仿宋" w:cs="仿宋"/>
          <w:b/>
          <w:bCs/>
          <w:sz w:val="24"/>
          <w:szCs w:val="24"/>
          <w:lang w:eastAsia="zh-CN"/>
        </w:rPr>
        <w:t xml:space="preserve">.2  </w:t>
      </w:r>
      <w:r>
        <w:rPr>
          <w:rFonts w:ascii="仿宋" w:hAnsi="仿宋" w:eastAsia="仿宋" w:cs="仿宋"/>
          <w:b/>
          <w:bCs/>
          <w:sz w:val="24"/>
          <w:szCs w:val="24"/>
          <w:u w:val="dotted"/>
          <w:lang w:eastAsia="zh-CN"/>
        </w:rPr>
        <w:t xml:space="preserve">                                                                               </w:t>
      </w:r>
    </w:p>
    <w:p w14:paraId="3CFE1233">
      <w:pPr>
        <w:pStyle w:val="22"/>
        <w:widowControl w:val="0"/>
        <w:adjustRightInd w:val="0"/>
        <w:snapToGrid w:val="0"/>
        <w:spacing w:line="400" w:lineRule="exact"/>
        <w:ind w:left="1850" w:leftChars="771"/>
        <w:jc w:val="both"/>
        <w:rPr>
          <w:rFonts w:ascii="仿宋" w:hAnsi="仿宋" w:eastAsia="仿宋"/>
          <w:sz w:val="24"/>
          <w:szCs w:val="24"/>
          <w:lang w:eastAsia="zh-CN"/>
        </w:rPr>
      </w:pPr>
      <w:r>
        <mc:AlternateContent>
          <mc:Choice Requires="wps">
            <w:drawing>
              <wp:anchor distT="0" distB="0" distL="114300" distR="114300" simplePos="0" relativeHeight="251760640" behindDoc="0" locked="0" layoutInCell="1" allowOverlap="1">
                <wp:simplePos x="0" y="0"/>
                <wp:positionH relativeFrom="column">
                  <wp:posOffset>-114300</wp:posOffset>
                </wp:positionH>
                <wp:positionV relativeFrom="paragraph">
                  <wp:posOffset>635</wp:posOffset>
                </wp:positionV>
                <wp:extent cx="816610" cy="501015"/>
                <wp:effectExtent l="0" t="0" r="0" b="0"/>
                <wp:wrapNone/>
                <wp:docPr id="143" name="文本框 810"/>
                <wp:cNvGraphicFramePr/>
                <a:graphic xmlns:a="http://schemas.openxmlformats.org/drawingml/2006/main">
                  <a:graphicData uri="http://schemas.microsoft.com/office/word/2010/wordprocessingShape">
                    <wps:wsp>
                      <wps:cNvSpPr txBox="1"/>
                      <wps:spPr>
                        <a:xfrm>
                          <a:off x="0" y="0"/>
                          <a:ext cx="816610" cy="501015"/>
                        </a:xfrm>
                        <a:prstGeom prst="rect">
                          <a:avLst/>
                        </a:prstGeom>
                        <a:noFill/>
                        <a:ln w="12700">
                          <a:noFill/>
                        </a:ln>
                      </wps:spPr>
                      <wps:txbx>
                        <w:txbxContent>
                          <w:p w14:paraId="23D4608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承包人办理保险</w:t>
                            </w:r>
                          </w:p>
                        </w:txbxContent>
                      </wps:txbx>
                      <wps:bodyPr rot="0" vert="horz" wrap="square" lIns="91440" tIns="45720" rIns="91440" bIns="45720" anchor="t" anchorCtr="0"/>
                    </wps:wsp>
                  </a:graphicData>
                </a:graphic>
              </wp:anchor>
            </w:drawing>
          </mc:Choice>
          <mc:Fallback>
            <w:pict>
              <v:shape id="文本框 810" o:spid="_x0000_s1026" o:spt="202" type="#_x0000_t202" style="position:absolute;left:0pt;margin-left:-9pt;margin-top:0.05pt;height:39.45pt;width:64.3pt;z-index:251760640;mso-width-relative:page;mso-height-relative:page;" filled="f" stroked="f" coordsize="21600,21600" o:gfxdata="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diWyLVAAAA&#10;BwEAAA8AAAAAAAAAAQAgAAAAIgAAAGRycy9kb3ducmV2LnhtbFBLAQIUABQAAAAIAIdO4kClSFrc&#10;5wEAAL4DAAAOAAAAAAAAAAEAIAAAACQBAABkcnMvZTJvRG9jLnhtbFBLBQYAAAAABgAGAFkBAAB9&#10;BQAAAAA=&#10;">
                <v:fill on="f" focussize="0,0"/>
                <v:stroke on="f" weight="1pt"/>
                <v:imagedata o:title=""/>
                <o:lock v:ext="edit" aspectratio="f"/>
                <v:textbox>
                  <w:txbxContent>
                    <w:p w14:paraId="23D4608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承包人办理保险</w:t>
                      </w:r>
                    </w:p>
                  </w:txbxContent>
                </v:textbox>
              </v:shape>
            </w:pict>
          </mc:Fallback>
        </mc:AlternateContent>
      </w:r>
      <w:r>
        <w:rPr>
          <w:rFonts w:hint="eastAsia" w:ascii="仿宋" w:hAnsi="仿宋" w:eastAsia="仿宋" w:cs="仿宋"/>
          <w:sz w:val="24"/>
          <w:szCs w:val="24"/>
          <w:lang w:eastAsia="zh-CN"/>
        </w:rPr>
        <w:t>承包人应按照下列约定办理保险，并支付保险费：</w:t>
      </w:r>
    </w:p>
    <w:p w14:paraId="54934BBB">
      <w:pPr>
        <w:pStyle w:val="22"/>
        <w:widowControl w:val="0"/>
        <w:numPr>
          <w:ilvl w:val="0"/>
          <w:numId w:val="19"/>
        </w:numPr>
        <w:adjustRightInd w:val="0"/>
        <w:snapToGrid w:val="0"/>
        <w:spacing w:line="400" w:lineRule="exact"/>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工程开工前，为施工场地内自有人员（包括分包人在内）办理意外伤害保险；</w:t>
      </w:r>
    </w:p>
    <w:p w14:paraId="443CA189">
      <w:pPr>
        <w:pStyle w:val="22"/>
        <w:widowControl w:val="0"/>
        <w:numPr>
          <w:ilvl w:val="0"/>
          <w:numId w:val="19"/>
        </w:numPr>
        <w:adjustRightInd w:val="0"/>
        <w:snapToGrid w:val="0"/>
        <w:spacing w:line="400" w:lineRule="exact"/>
        <w:ind w:left="1850" w:leftChars="771" w:firstLine="0"/>
        <w:jc w:val="both"/>
        <w:rPr>
          <w:rFonts w:ascii="仿宋" w:hAnsi="仿宋" w:eastAsia="仿宋" w:cs="仿宋"/>
          <w:sz w:val="24"/>
          <w:szCs w:val="24"/>
          <w:lang w:eastAsia="zh-CN"/>
        </w:rPr>
      </w:pPr>
      <w:r>
        <w:rPr>
          <w:rFonts w:hint="eastAsia" w:ascii="仿宋" w:hAnsi="仿宋" w:eastAsia="仿宋" w:cs="仿宋"/>
          <w:sz w:val="24"/>
          <w:szCs w:val="24"/>
          <w:lang w:eastAsia="zh-CN"/>
        </w:rPr>
        <w:t>为施工场地内的自有施工设备、第</w:t>
      </w:r>
      <w:r>
        <w:rPr>
          <w:rFonts w:ascii="仿宋" w:hAnsi="仿宋" w:eastAsia="仿宋" w:cs="仿宋"/>
          <w:sz w:val="24"/>
          <w:szCs w:val="24"/>
          <w:lang w:eastAsia="zh-CN"/>
        </w:rPr>
        <w:t>3</w:t>
      </w:r>
      <w:r>
        <w:rPr>
          <w:rFonts w:hint="eastAsia" w:ascii="仿宋" w:hAnsi="仿宋" w:eastAsia="仿宋" w:cs="仿宋"/>
          <w:sz w:val="24"/>
          <w:szCs w:val="24"/>
          <w:lang w:eastAsia="zh-CN"/>
        </w:rPr>
        <w:t>6</w:t>
      </w:r>
      <w:r>
        <w:rPr>
          <w:rFonts w:ascii="仿宋" w:hAnsi="仿宋" w:eastAsia="仿宋" w:cs="仿宋"/>
          <w:sz w:val="24"/>
          <w:szCs w:val="24"/>
          <w:lang w:eastAsia="zh-CN"/>
        </w:rPr>
        <w:t>.1</w:t>
      </w:r>
      <w:r>
        <w:rPr>
          <w:rFonts w:hint="eastAsia" w:ascii="仿宋" w:hAnsi="仿宋" w:eastAsia="仿宋" w:cs="仿宋"/>
          <w:sz w:val="24"/>
          <w:szCs w:val="24"/>
          <w:lang w:eastAsia="zh-CN"/>
        </w:rPr>
        <w:t>款第</w:t>
      </w:r>
      <w:r>
        <w:rPr>
          <w:rFonts w:ascii="仿宋" w:hAnsi="仿宋" w:eastAsia="仿宋" w:cs="仿宋"/>
          <w:sz w:val="24"/>
          <w:szCs w:val="24"/>
          <w:lang w:eastAsia="zh-CN"/>
        </w:rPr>
        <w:t>(4)</w:t>
      </w:r>
      <w:r>
        <w:rPr>
          <w:rFonts w:hint="eastAsia" w:ascii="仿宋" w:hAnsi="仿宋" w:eastAsia="仿宋" w:cs="仿宋"/>
          <w:sz w:val="24"/>
          <w:szCs w:val="24"/>
          <w:lang w:eastAsia="zh-CN"/>
        </w:rPr>
        <w:t>项以外采购进场的工程材料和工程设备等办理保险。</w:t>
      </w:r>
    </w:p>
    <w:p w14:paraId="1DF11DEC">
      <w:pPr>
        <w:pStyle w:val="22"/>
        <w:tabs>
          <w:tab w:val="left" w:pos="1080"/>
        </w:tabs>
        <w:adjustRightInd w:val="0"/>
        <w:snapToGri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上述保险的保险期从开工之日起至工程竣工验收合格之日止。</w:t>
      </w:r>
    </w:p>
    <w:p w14:paraId="6CAEDFA1">
      <w:pPr>
        <w:pStyle w:val="22"/>
        <w:widowControl w:val="0"/>
        <w:numPr>
          <w:ilvl w:val="0"/>
          <w:numId w:val="19"/>
        </w:numPr>
        <w:adjustRightInd w:val="0"/>
        <w:snapToGrid w:val="0"/>
        <w:spacing w:line="400" w:lineRule="exact"/>
        <w:ind w:left="1850" w:leftChars="771" w:firstLine="0"/>
        <w:jc w:val="both"/>
        <w:rPr>
          <w:sz w:val="24"/>
          <w:szCs w:val="24"/>
          <w:lang w:eastAsia="zh-CN"/>
        </w:rPr>
      </w:pPr>
      <w:r>
        <w:rPr>
          <w:rFonts w:hint="eastAsia" w:ascii="仿宋" w:hAnsi="仿宋" w:eastAsia="仿宋" w:cs="仿宋"/>
          <w:sz w:val="24"/>
          <w:szCs w:val="24"/>
          <w:lang w:eastAsia="zh-CN"/>
        </w:rPr>
        <w:t>工程开工前，为合同工程办理建设工程勘察设计责任保险，保险期限由承包人与保险公司具体约定。</w:t>
      </w:r>
    </w:p>
    <w:p w14:paraId="2CEC063B">
      <w:pPr>
        <w:pStyle w:val="22"/>
        <w:tabs>
          <w:tab w:val="left" w:pos="1080"/>
        </w:tabs>
        <w:adjustRightInd w:val="0"/>
        <w:snapToGrid w:val="0"/>
        <w:spacing w:line="400" w:lineRule="exact"/>
        <w:rPr>
          <w:rFonts w:ascii="仿宋" w:hAnsi="仿宋" w:eastAsia="仿宋" w:cs="仿宋"/>
          <w:b/>
          <w:bCs/>
          <w:sz w:val="24"/>
          <w:szCs w:val="24"/>
          <w:u w:val="dotted"/>
          <w:lang w:eastAsia="zh-CN"/>
        </w:rPr>
      </w:pPr>
      <w:r>
        <mc:AlternateContent>
          <mc:Choice Requires="wps">
            <w:drawing>
              <wp:anchor distT="0" distB="0" distL="114300" distR="114300" simplePos="0" relativeHeight="252001280" behindDoc="0" locked="0" layoutInCell="1" allowOverlap="1">
                <wp:simplePos x="0" y="0"/>
                <wp:positionH relativeFrom="column">
                  <wp:posOffset>-114300</wp:posOffset>
                </wp:positionH>
                <wp:positionV relativeFrom="paragraph">
                  <wp:posOffset>287020</wp:posOffset>
                </wp:positionV>
                <wp:extent cx="869950" cy="540385"/>
                <wp:effectExtent l="0" t="0" r="0" b="0"/>
                <wp:wrapNone/>
                <wp:docPr id="144" name="文本框 811"/>
                <wp:cNvGraphicFramePr/>
                <a:graphic xmlns:a="http://schemas.openxmlformats.org/drawingml/2006/main">
                  <a:graphicData uri="http://schemas.microsoft.com/office/word/2010/wordprocessingShape">
                    <wps:wsp>
                      <wps:cNvSpPr txBox="1"/>
                      <wps:spPr>
                        <a:xfrm>
                          <a:off x="0" y="0"/>
                          <a:ext cx="869950" cy="540385"/>
                        </a:xfrm>
                        <a:prstGeom prst="rect">
                          <a:avLst/>
                        </a:prstGeom>
                        <a:noFill/>
                        <a:ln w="12700">
                          <a:noFill/>
                        </a:ln>
                      </wps:spPr>
                      <wps:txbx>
                        <w:txbxContent>
                          <w:p w14:paraId="0EA3D84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txbxContent>
                      </wps:txbx>
                      <wps:bodyPr rot="0" vert="horz" wrap="square" lIns="91440" tIns="45720" rIns="91440" bIns="45720" anchor="t" anchorCtr="0"/>
                    </wps:wsp>
                  </a:graphicData>
                </a:graphic>
              </wp:anchor>
            </w:drawing>
          </mc:Choice>
          <mc:Fallback>
            <w:pict>
              <v:shape id="文本框 811" o:spid="_x0000_s1026" o:spt="202" type="#_x0000_t202" style="position:absolute;left:0pt;margin-left:-9pt;margin-top:22.6pt;height:42.55pt;width:68.5pt;z-index:252001280;mso-width-relative:page;mso-height-relative:page;" filled="f" stroked="f" coordsize="21600,21600" o:gfxdata="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4jqX&#10;69gAAAAKAQAADwAAAAAAAAABACAAAAAiAAAAZHJzL2Rvd25yZXYueG1sUEsBAhQAFAAAAAgAh07i&#10;QKbUXm/pAQAAvgMAAA4AAAAAAAAAAQAgAAAAJwEAAGRycy9lMm9Eb2MueG1sUEsFBgAAAAAGAAYA&#10;WQEAAIIFAAAAAA==&#10;">
                <v:fill on="f" focussize="0,0"/>
                <v:stroke on="f" weight="1pt"/>
                <v:imagedata o:title=""/>
                <o:lock v:ext="edit" aspectratio="f"/>
                <v:textbox>
                  <w:txbxContent>
                    <w:p w14:paraId="0EA3D84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txbxContent>
                </v:textbox>
              </v:shape>
            </w:pict>
          </mc:Fallback>
        </mc:AlternateContent>
      </w:r>
      <w:r>
        <w:rPr>
          <w:rFonts w:ascii="仿宋" w:hAnsi="仿宋" w:eastAsia="仿宋" w:cs="仿宋"/>
          <w:b/>
          <w:bCs/>
          <w:sz w:val="24"/>
          <w:szCs w:val="24"/>
          <w:lang w:eastAsia="zh-CN"/>
        </w:rPr>
        <w:t>3</w:t>
      </w:r>
      <w:r>
        <w:rPr>
          <w:rFonts w:hint="eastAsia" w:ascii="仿宋" w:hAnsi="仿宋" w:eastAsia="仿宋" w:cs="仿宋"/>
          <w:b/>
          <w:bCs/>
          <w:sz w:val="24"/>
          <w:szCs w:val="24"/>
          <w:lang w:eastAsia="zh-CN"/>
        </w:rPr>
        <w:t>6</w:t>
      </w:r>
      <w:r>
        <w:rPr>
          <w:rFonts w:ascii="仿宋" w:hAnsi="仿宋" w:eastAsia="仿宋" w:cs="仿宋"/>
          <w:b/>
          <w:bCs/>
          <w:sz w:val="24"/>
          <w:szCs w:val="24"/>
          <w:lang w:eastAsia="zh-CN"/>
        </w:rPr>
        <w:t xml:space="preserve">.3  </w:t>
      </w:r>
      <w:r>
        <w:rPr>
          <w:rFonts w:ascii="仿宋" w:hAnsi="仿宋" w:eastAsia="仿宋" w:cs="仿宋"/>
          <w:b/>
          <w:bCs/>
          <w:sz w:val="24"/>
          <w:szCs w:val="24"/>
          <w:u w:val="dotted"/>
          <w:lang w:eastAsia="zh-CN"/>
        </w:rPr>
        <w:t xml:space="preserve">                                                                               </w:t>
      </w:r>
    </w:p>
    <w:p w14:paraId="15FAEE8F">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合同一方当事人应按照本合同约定向另一方当事人提供有效的投保保险单和保险凭证。</w:t>
      </w:r>
    </w:p>
    <w:p w14:paraId="342CCFCE">
      <w:pPr>
        <w:pStyle w:val="22"/>
        <w:tabs>
          <w:tab w:val="left" w:pos="1320"/>
        </w:tabs>
        <w:adjustRightInd w:val="0"/>
        <w:snapToGrid w:val="0"/>
        <w:spacing w:line="400" w:lineRule="exact"/>
        <w:rPr>
          <w:rFonts w:ascii="仿宋" w:hAnsi="仿宋" w:eastAsia="仿宋" w:cs="仿宋"/>
          <w:b/>
          <w:bCs/>
          <w:sz w:val="24"/>
          <w:szCs w:val="24"/>
          <w:u w:val="dotted"/>
          <w:lang w:eastAsia="zh-CN"/>
        </w:rPr>
      </w:pPr>
      <w:r>
        <mc:AlternateContent>
          <mc:Choice Requires="wps">
            <w:drawing>
              <wp:anchor distT="0" distB="0" distL="114300" distR="114300" simplePos="0" relativeHeight="252002304" behindDoc="0" locked="0" layoutInCell="1" allowOverlap="1">
                <wp:simplePos x="0" y="0"/>
                <wp:positionH relativeFrom="column">
                  <wp:posOffset>-123825</wp:posOffset>
                </wp:positionH>
                <wp:positionV relativeFrom="paragraph">
                  <wp:posOffset>236855</wp:posOffset>
                </wp:positionV>
                <wp:extent cx="803275" cy="525780"/>
                <wp:effectExtent l="0" t="0" r="0" b="0"/>
                <wp:wrapNone/>
                <wp:docPr id="145" name="文本框 812"/>
                <wp:cNvGraphicFramePr/>
                <a:graphic xmlns:a="http://schemas.openxmlformats.org/drawingml/2006/main">
                  <a:graphicData uri="http://schemas.microsoft.com/office/word/2010/wordprocessingShape">
                    <wps:wsp>
                      <wps:cNvSpPr txBox="1"/>
                      <wps:spPr>
                        <a:xfrm>
                          <a:off x="0" y="0"/>
                          <a:ext cx="803275" cy="525780"/>
                        </a:xfrm>
                        <a:prstGeom prst="rect">
                          <a:avLst/>
                        </a:prstGeom>
                        <a:noFill/>
                        <a:ln w="12700">
                          <a:noFill/>
                        </a:ln>
                      </wps:spPr>
                      <wps:txbx>
                        <w:txbxContent>
                          <w:p w14:paraId="41A04095">
                            <w:pPr>
                              <w:spacing w:line="240" w:lineRule="exact"/>
                              <w:rPr>
                                <w:rFonts w:ascii="宋体"/>
                                <w:sz w:val="18"/>
                                <w:szCs w:val="18"/>
                              </w:rPr>
                            </w:pPr>
                            <w:r>
                              <w:rPr>
                                <w:rFonts w:hint="eastAsia" w:ascii="楷体_GB2312" w:hAnsi="宋体" w:eastAsia="楷体_GB2312" w:cs="楷体_GB2312"/>
                                <w:b/>
                                <w:bCs/>
                                <w:color w:val="000000"/>
                                <w:sz w:val="18"/>
                                <w:szCs w:val="18"/>
                              </w:rPr>
                              <w:t>未按</w:t>
                            </w:r>
                            <w:r>
                              <w:rPr>
                                <w:rFonts w:hint="eastAsia" w:ascii="楷体_GB2312" w:hAnsi="宋体" w:eastAsia="楷体_GB2312" w:cs="楷体_GB2312"/>
                                <w:b/>
                                <w:bCs/>
                                <w:color w:val="000000"/>
                                <w:sz w:val="18"/>
                                <w:szCs w:val="18"/>
                                <w:lang w:eastAsia="zh-CN"/>
                              </w:rPr>
                              <w:t>约定</w:t>
                            </w:r>
                            <w:r>
                              <w:rPr>
                                <w:rFonts w:hint="eastAsia" w:ascii="楷体_GB2312" w:hAnsi="宋体" w:eastAsia="楷体_GB2312" w:cs="楷体_GB2312"/>
                                <w:b/>
                                <w:bCs/>
                                <w:color w:val="000000"/>
                                <w:sz w:val="18"/>
                                <w:szCs w:val="18"/>
                              </w:rPr>
                              <w:t>投保的补救</w:t>
                            </w:r>
                          </w:p>
                        </w:txbxContent>
                      </wps:txbx>
                      <wps:bodyPr rot="0" vert="horz" wrap="square" lIns="91440" tIns="45720" rIns="91440" bIns="45720" anchor="t" anchorCtr="0"/>
                    </wps:wsp>
                  </a:graphicData>
                </a:graphic>
              </wp:anchor>
            </w:drawing>
          </mc:Choice>
          <mc:Fallback>
            <w:pict>
              <v:shape id="文本框 812" o:spid="_x0000_s1026" o:spt="202" type="#_x0000_t202" style="position:absolute;left:0pt;margin-left:-9.75pt;margin-top:18.65pt;height:41.4pt;width:63.25pt;z-index:252002304;mso-width-relative:page;mso-height-relative:page;" filled="f" stroked="f" coordsize="21600,21600" o:gfxdata="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W&#10;j+5O2AAAAAoBAAAPAAAAAAAAAAEAIAAAACIAAABkcnMvZG93bnJldi54bWxQSwECFAAUAAAACACH&#10;TuJAooX+z+sBAAC+AwAADgAAAAAAAAABACAAAAAnAQAAZHJzL2Uyb0RvYy54bWxQSwUGAAAAAAYA&#10;BgBZAQAAhAUAAAAA&#10;">
                <v:fill on="f" focussize="0,0"/>
                <v:stroke on="f" weight="1pt"/>
                <v:imagedata o:title=""/>
                <o:lock v:ext="edit" aspectratio="f"/>
                <v:textbox>
                  <w:txbxContent>
                    <w:p w14:paraId="41A04095">
                      <w:pPr>
                        <w:spacing w:line="240" w:lineRule="exact"/>
                        <w:rPr>
                          <w:rFonts w:ascii="宋体"/>
                          <w:sz w:val="18"/>
                          <w:szCs w:val="18"/>
                        </w:rPr>
                      </w:pPr>
                      <w:r>
                        <w:rPr>
                          <w:rFonts w:hint="eastAsia" w:ascii="楷体_GB2312" w:hAnsi="宋体" w:eastAsia="楷体_GB2312" w:cs="楷体_GB2312"/>
                          <w:b/>
                          <w:bCs/>
                          <w:color w:val="000000"/>
                          <w:sz w:val="18"/>
                          <w:szCs w:val="18"/>
                        </w:rPr>
                        <w:t>未按</w:t>
                      </w:r>
                      <w:r>
                        <w:rPr>
                          <w:rFonts w:hint="eastAsia" w:ascii="楷体_GB2312" w:hAnsi="宋体" w:eastAsia="楷体_GB2312" w:cs="楷体_GB2312"/>
                          <w:b/>
                          <w:bCs/>
                          <w:color w:val="000000"/>
                          <w:sz w:val="18"/>
                          <w:szCs w:val="18"/>
                          <w:lang w:eastAsia="zh-CN"/>
                        </w:rPr>
                        <w:t>约定</w:t>
                      </w:r>
                      <w:r>
                        <w:rPr>
                          <w:rFonts w:hint="eastAsia" w:ascii="楷体_GB2312" w:hAnsi="宋体" w:eastAsia="楷体_GB2312" w:cs="楷体_GB2312"/>
                          <w:b/>
                          <w:bCs/>
                          <w:color w:val="000000"/>
                          <w:sz w:val="18"/>
                          <w:szCs w:val="18"/>
                        </w:rPr>
                        <w:t>投保的补救</w:t>
                      </w:r>
                    </w:p>
                  </w:txbxContent>
                </v:textbox>
              </v:shape>
            </w:pict>
          </mc:Fallback>
        </mc:AlternateContent>
      </w:r>
      <w:r>
        <w:rPr>
          <w:rFonts w:ascii="仿宋" w:hAnsi="仿宋" w:eastAsia="仿宋" w:cs="仿宋"/>
          <w:b/>
          <w:bCs/>
          <w:sz w:val="24"/>
          <w:szCs w:val="24"/>
          <w:lang w:eastAsia="zh-CN"/>
        </w:rPr>
        <w:t>3</w:t>
      </w:r>
      <w:r>
        <w:rPr>
          <w:rFonts w:hint="eastAsia" w:ascii="仿宋" w:hAnsi="仿宋" w:eastAsia="仿宋" w:cs="仿宋"/>
          <w:b/>
          <w:bCs/>
          <w:sz w:val="24"/>
          <w:szCs w:val="24"/>
          <w:lang w:eastAsia="zh-CN"/>
        </w:rPr>
        <w:t>6</w:t>
      </w:r>
      <w:r>
        <w:rPr>
          <w:rFonts w:ascii="仿宋" w:hAnsi="仿宋" w:eastAsia="仿宋" w:cs="仿宋"/>
          <w:b/>
          <w:bCs/>
          <w:sz w:val="24"/>
          <w:szCs w:val="24"/>
          <w:lang w:eastAsia="zh-CN"/>
        </w:rPr>
        <w:t xml:space="preserve">.4  </w:t>
      </w:r>
      <w:r>
        <w:rPr>
          <w:rFonts w:ascii="仿宋" w:hAnsi="仿宋" w:eastAsia="仿宋" w:cs="仿宋"/>
          <w:b/>
          <w:bCs/>
          <w:sz w:val="24"/>
          <w:szCs w:val="24"/>
          <w:u w:val="dotted"/>
          <w:lang w:eastAsia="zh-CN"/>
        </w:rPr>
        <w:t xml:space="preserve">                                                                               </w:t>
      </w:r>
    </w:p>
    <w:p w14:paraId="1745FE43">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合同双方当事人应遵守本条约定办理有关保险事项。如果未按约定投保的，应按下列约定补偿：</w:t>
      </w:r>
    </w:p>
    <w:p w14:paraId="720A8A19">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（1）由于负有投保义务的合同一方当事人未按合同约定办理保险，或未能使保险持续有效的，则另一方当事人可代为办理，所需费用由对方当事人承担；</w:t>
      </w:r>
    </w:p>
    <w:p w14:paraId="2B4AFA26">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（2）由于负有投保义务的合同一方当事人未按合同约定办理某项保险，导致受益人未能得到保险人的赔偿，则该项保险金应由负有投保义务的一方当事人支付。</w:t>
      </w:r>
    </w:p>
    <w:p w14:paraId="4DA37A62">
      <w:pPr>
        <w:pStyle w:val="22"/>
        <w:adjustRightInd w:val="0"/>
        <w:snapToGrid w:val="0"/>
        <w:spacing w:line="400" w:lineRule="exact"/>
        <w:rPr>
          <w:rFonts w:ascii="仿宋" w:hAnsi="仿宋" w:eastAsia="仿宋" w:cs="仿宋"/>
          <w:sz w:val="24"/>
          <w:szCs w:val="24"/>
          <w:u w:val="dotted"/>
          <w:lang w:eastAsia="zh-CN"/>
        </w:rPr>
      </w:pPr>
      <w:r>
        <mc:AlternateContent>
          <mc:Choice Requires="wps">
            <w:drawing>
              <wp:anchor distT="0" distB="0" distL="114300" distR="114300" simplePos="0" relativeHeight="252003328" behindDoc="0" locked="0" layoutInCell="1" allowOverlap="1">
                <wp:simplePos x="0" y="0"/>
                <wp:positionH relativeFrom="column">
                  <wp:posOffset>-114300</wp:posOffset>
                </wp:positionH>
                <wp:positionV relativeFrom="paragraph">
                  <wp:posOffset>292100</wp:posOffset>
                </wp:positionV>
                <wp:extent cx="813435" cy="588010"/>
                <wp:effectExtent l="0" t="0" r="0" b="0"/>
                <wp:wrapNone/>
                <wp:docPr id="146" name="文本框 813"/>
                <wp:cNvGraphicFramePr/>
                <a:graphic xmlns:a="http://schemas.openxmlformats.org/drawingml/2006/main">
                  <a:graphicData uri="http://schemas.microsoft.com/office/word/2010/wordprocessingShape">
                    <wps:wsp>
                      <wps:cNvSpPr txBox="1"/>
                      <wps:spPr>
                        <a:xfrm>
                          <a:off x="0" y="0"/>
                          <a:ext cx="813435" cy="588010"/>
                        </a:xfrm>
                        <a:prstGeom prst="rect">
                          <a:avLst/>
                        </a:prstGeom>
                        <a:noFill/>
                        <a:ln w="12700">
                          <a:noFill/>
                        </a:ln>
                      </wps:spPr>
                      <wps:txbx>
                        <w:txbxContent>
                          <w:p w14:paraId="03A4E6F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发生保险事故双方应尽的责任</w:t>
                            </w:r>
                          </w:p>
                        </w:txbxContent>
                      </wps:txbx>
                      <wps:bodyPr rot="0" vert="horz" wrap="square" lIns="91440" tIns="45720" rIns="91440" bIns="45720" anchor="t" anchorCtr="0"/>
                    </wps:wsp>
                  </a:graphicData>
                </a:graphic>
              </wp:anchor>
            </w:drawing>
          </mc:Choice>
          <mc:Fallback>
            <w:pict>
              <v:shape id="文本框 813" o:spid="_x0000_s1026" o:spt="202" type="#_x0000_t202" style="position:absolute;left:0pt;margin-left:-9pt;margin-top:23pt;height:46.3pt;width:64.05pt;z-index:252003328;mso-width-relative:page;mso-height-relative:page;" filled="f" stroked="f" coordsize="21600,21600" o:gfxdata="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aajR&#10;E9gAAAAKAQAADwAAAAAAAAABACAAAAAiAAAAZHJzL2Rvd25yZXYueG1sUEsBAhQAFAAAAAgAh07i&#10;QEkzU9DpAQAAvgMAAA4AAAAAAAAAAQAgAAAAJwEAAGRycy9lMm9Eb2MueG1sUEsFBgAAAAAGAAYA&#10;WQEAAIIFAAAAAA==&#10;">
                <v:fill on="f" focussize="0,0"/>
                <v:stroke on="f" weight="1pt"/>
                <v:imagedata o:title=""/>
                <o:lock v:ext="edit" aspectratio="f"/>
                <v:textbox>
                  <w:txbxContent>
                    <w:p w14:paraId="03A4E6F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发生保险事故双方应尽的责任</w:t>
                      </w:r>
                    </w:p>
                  </w:txbxContent>
                </v:textbox>
              </v:shape>
            </w:pict>
          </mc:Fallback>
        </mc:AlternateContent>
      </w:r>
      <w:r>
        <w:rPr>
          <w:rFonts w:ascii="仿宋" w:hAnsi="仿宋" w:eastAsia="仿宋" w:cs="仿宋"/>
          <w:b/>
          <w:bCs/>
          <w:sz w:val="24"/>
          <w:szCs w:val="24"/>
          <w:lang w:eastAsia="zh-CN"/>
        </w:rPr>
        <w:t>3</w:t>
      </w:r>
      <w:r>
        <w:rPr>
          <w:rFonts w:hint="eastAsia" w:ascii="仿宋" w:hAnsi="仿宋" w:eastAsia="仿宋" w:cs="仿宋"/>
          <w:b/>
          <w:bCs/>
          <w:sz w:val="24"/>
          <w:szCs w:val="24"/>
          <w:lang w:eastAsia="zh-CN"/>
        </w:rPr>
        <w:t>6</w:t>
      </w:r>
      <w:r>
        <w:rPr>
          <w:rFonts w:ascii="仿宋" w:hAnsi="仿宋" w:eastAsia="仿宋" w:cs="仿宋"/>
          <w:b/>
          <w:bCs/>
          <w:sz w:val="24"/>
          <w:szCs w:val="24"/>
          <w:lang w:eastAsia="zh-CN"/>
        </w:rPr>
        <w:t xml:space="preserve">.5 </w:t>
      </w:r>
      <w:r>
        <w:rPr>
          <w:rFonts w:ascii="仿宋" w:hAnsi="仿宋" w:eastAsia="仿宋" w:cs="仿宋"/>
          <w:sz w:val="24"/>
          <w:szCs w:val="24"/>
          <w:lang w:eastAsia="zh-CN"/>
        </w:rPr>
        <w:t xml:space="preserve"> </w:t>
      </w:r>
      <w:r>
        <w:rPr>
          <w:rFonts w:ascii="仿宋" w:hAnsi="仿宋" w:eastAsia="仿宋" w:cs="仿宋"/>
          <w:sz w:val="24"/>
          <w:szCs w:val="24"/>
          <w:u w:val="dotted"/>
          <w:lang w:eastAsia="zh-CN"/>
        </w:rPr>
        <w:t xml:space="preserve">                                                                               </w:t>
      </w:r>
    </w:p>
    <w:p w14:paraId="298DDCD8">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当合同工程发生保险事故时</w:t>
      </w:r>
      <w:r>
        <w:rPr>
          <w:rFonts w:ascii="仿宋" w:hAnsi="仿宋" w:eastAsia="仿宋" w:cs="仿宋"/>
          <w:sz w:val="24"/>
          <w:szCs w:val="24"/>
          <w:lang w:eastAsia="zh-CN"/>
        </w:rPr>
        <w:t>,</w:t>
      </w:r>
      <w:r>
        <w:rPr>
          <w:rFonts w:hint="eastAsia" w:ascii="仿宋" w:hAnsi="仿宋" w:eastAsia="仿宋" w:cs="仿宋"/>
          <w:sz w:val="24"/>
          <w:szCs w:val="24"/>
          <w:lang w:eastAsia="zh-CN"/>
        </w:rPr>
        <w:t>投保人应及时通知保险人，并提供有关资料。合同双方当事人有责任采取合理有效措施防止或减少损失，并应相互协助做好向保险人的报告和理赔工作。</w:t>
      </w:r>
    </w:p>
    <w:p w14:paraId="2C88D23F">
      <w:pPr>
        <w:pStyle w:val="22"/>
        <w:tabs>
          <w:tab w:val="left" w:pos="1320"/>
          <w:tab w:val="left" w:pos="1620"/>
        </w:tabs>
        <w:adjustRightInd w:val="0"/>
        <w:snapToGrid w:val="0"/>
        <w:spacing w:line="400" w:lineRule="exact"/>
        <w:rPr>
          <w:rFonts w:ascii="仿宋" w:hAnsi="仿宋" w:eastAsia="仿宋" w:cs="仿宋"/>
          <w:b/>
          <w:bCs/>
          <w:sz w:val="24"/>
          <w:szCs w:val="24"/>
          <w:u w:val="dotted"/>
          <w:lang w:eastAsia="zh-CN"/>
        </w:rPr>
      </w:pPr>
      <w:r>
        <w:rPr>
          <w:rFonts w:ascii="仿宋" w:hAnsi="仿宋" w:eastAsia="仿宋" w:cs="仿宋"/>
          <w:b/>
          <w:bCs/>
          <w:sz w:val="24"/>
          <w:szCs w:val="24"/>
          <w:lang w:eastAsia="zh-CN"/>
        </w:rPr>
        <w:t>3</w:t>
      </w:r>
      <w:r>
        <w:rPr>
          <w:rFonts w:hint="eastAsia" w:ascii="仿宋" w:hAnsi="仿宋" w:eastAsia="仿宋" w:cs="仿宋"/>
          <w:b/>
          <w:bCs/>
          <w:sz w:val="24"/>
          <w:szCs w:val="24"/>
          <w:lang w:eastAsia="zh-CN"/>
        </w:rPr>
        <w:t>6</w:t>
      </w:r>
      <w:r>
        <w:rPr>
          <w:rFonts w:ascii="仿宋" w:hAnsi="仿宋" w:eastAsia="仿宋" w:cs="仿宋"/>
          <w:b/>
          <w:bCs/>
          <w:sz w:val="24"/>
          <w:szCs w:val="24"/>
          <w:lang w:eastAsia="zh-CN"/>
        </w:rPr>
        <w:t xml:space="preserve">.6  </w:t>
      </w:r>
      <w:r>
        <w:rPr>
          <w:rFonts w:ascii="仿宋" w:hAnsi="仿宋" w:eastAsia="仿宋" w:cs="仿宋"/>
          <w:b/>
          <w:bCs/>
          <w:sz w:val="24"/>
          <w:szCs w:val="24"/>
          <w:u w:val="dotted"/>
          <w:lang w:eastAsia="zh-CN"/>
        </w:rPr>
        <w:t xml:space="preserve">                                                                               </w:t>
      </w:r>
    </w:p>
    <w:p w14:paraId="6154FAC7">
      <w:pPr>
        <w:pStyle w:val="22"/>
        <w:widowControl w:val="0"/>
        <w:adjustRightInd w:val="0"/>
        <w:snapToGrid w:val="0"/>
        <w:spacing w:line="400" w:lineRule="exact"/>
        <w:ind w:left="1850" w:leftChars="771"/>
        <w:jc w:val="both"/>
        <w:rPr>
          <w:rFonts w:ascii="仿宋" w:hAnsi="仿宋" w:eastAsia="仿宋"/>
          <w:sz w:val="24"/>
          <w:szCs w:val="24"/>
          <w:lang w:eastAsia="zh-CN"/>
        </w:rPr>
      </w:pPr>
      <w:r>
        <mc:AlternateContent>
          <mc:Choice Requires="wps">
            <w:drawing>
              <wp:anchor distT="0" distB="0" distL="114300" distR="114300" simplePos="0" relativeHeight="251761664" behindDoc="0" locked="0" layoutInCell="1" allowOverlap="1">
                <wp:simplePos x="0" y="0"/>
                <wp:positionH relativeFrom="column">
                  <wp:posOffset>-114300</wp:posOffset>
                </wp:positionH>
                <wp:positionV relativeFrom="paragraph">
                  <wp:posOffset>0</wp:posOffset>
                </wp:positionV>
                <wp:extent cx="785495" cy="614045"/>
                <wp:effectExtent l="0" t="0" r="0" b="0"/>
                <wp:wrapNone/>
                <wp:docPr id="147" name="文本框 814"/>
                <wp:cNvGraphicFramePr/>
                <a:graphic xmlns:a="http://schemas.openxmlformats.org/drawingml/2006/main">
                  <a:graphicData uri="http://schemas.microsoft.com/office/word/2010/wordprocessingShape">
                    <wps:wsp>
                      <wps:cNvSpPr txBox="1"/>
                      <wps:spPr>
                        <a:xfrm>
                          <a:off x="0" y="0"/>
                          <a:ext cx="785495" cy="614045"/>
                        </a:xfrm>
                        <a:prstGeom prst="rect">
                          <a:avLst/>
                        </a:prstGeom>
                        <a:noFill/>
                        <a:ln w="12700">
                          <a:noFill/>
                        </a:ln>
                      </wps:spPr>
                      <wps:txbx>
                        <w:txbxContent>
                          <w:p w14:paraId="11A00A51">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工程变更被保险人应尽的责任</w:t>
                            </w:r>
                          </w:p>
                        </w:txbxContent>
                      </wps:txbx>
                      <wps:bodyPr rot="0" vert="horz" wrap="square" lIns="91440" tIns="45720" rIns="91440" bIns="45720" anchor="t" anchorCtr="0"/>
                    </wps:wsp>
                  </a:graphicData>
                </a:graphic>
              </wp:anchor>
            </w:drawing>
          </mc:Choice>
          <mc:Fallback>
            <w:pict>
              <v:shape id="文本框 814" o:spid="_x0000_s1026" o:spt="202" type="#_x0000_t202" style="position:absolute;left:0pt;margin-left:-9pt;margin-top:0pt;height:48.35pt;width:61.85pt;z-index:251761664;mso-width-relative:page;mso-height-relative:page;" filled="f" stroked="f" coordsize="21600,21600" o:gfxdata="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9Iqs&#10;WNcAAAAHAQAADwAAAAAAAAABACAAAAAiAAAAZHJzL2Rvd25yZXYueG1sUEsBAhQAFAAAAAgAh07i&#10;QI5ThJnqAQAAvgMAAA4AAAAAAAAAAQAgAAAAJgEAAGRycy9lMm9Eb2MueG1sUEsFBgAAAAAGAAYA&#10;WQEAAIIFAAAAAA==&#10;">
                <v:fill on="f" focussize="0,0"/>
                <v:stroke on="f" weight="1pt"/>
                <v:imagedata o:title=""/>
                <o:lock v:ext="edit" aspectratio="f"/>
                <v:textbox>
                  <w:txbxContent>
                    <w:p w14:paraId="11A00A51">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工程变更被保险人应尽的责任</w:t>
                      </w:r>
                    </w:p>
                  </w:txbxContent>
                </v:textbox>
              </v:shape>
            </w:pict>
          </mc:Fallback>
        </mc:AlternateContent>
      </w:r>
      <w:r>
        <w:rPr>
          <w:rFonts w:hint="eastAsia" w:ascii="仿宋" w:hAnsi="仿宋" w:eastAsia="仿宋" w:cs="仿宋"/>
          <w:sz w:val="24"/>
          <w:szCs w:val="24"/>
          <w:lang w:eastAsia="zh-CN"/>
        </w:rPr>
        <w:t>当合同工程的性质、规模或计划发生变更时，被保险人应及时通知保险人，并在合同履行期间按照本条约定保证足够的保险额，由此造成的费用由责任方承担。</w:t>
      </w:r>
    </w:p>
    <w:p w14:paraId="33CCBD0F">
      <w:pPr>
        <w:spacing w:line="400" w:lineRule="exact"/>
        <w:rPr>
          <w:rFonts w:ascii="仿宋" w:hAnsi="仿宋" w:eastAsia="仿宋" w:cs="仿宋"/>
          <w:b/>
          <w:bCs/>
          <w:u w:val="dotted"/>
          <w:lang w:eastAsia="zh-CN"/>
        </w:rPr>
      </w:pPr>
      <w:r>
        <w:rPr>
          <w:rFonts w:ascii="仿宋" w:hAnsi="仿宋" w:eastAsia="仿宋" w:cs="仿宋"/>
          <w:b/>
          <w:bCs/>
          <w:lang w:eastAsia="zh-CN"/>
        </w:rPr>
        <w:t>3</w:t>
      </w:r>
      <w:r>
        <w:rPr>
          <w:rFonts w:hint="eastAsia" w:ascii="仿宋" w:hAnsi="仿宋" w:eastAsia="仿宋" w:cs="仿宋"/>
          <w:b/>
          <w:bCs/>
          <w:lang w:eastAsia="zh-CN"/>
        </w:rPr>
        <w:t>6</w:t>
      </w:r>
      <w:r>
        <w:rPr>
          <w:rFonts w:ascii="仿宋" w:hAnsi="仿宋" w:eastAsia="仿宋" w:cs="仿宋"/>
          <w:b/>
          <w:bCs/>
          <w:lang w:eastAsia="zh-CN"/>
        </w:rPr>
        <w:t xml:space="preserve">.7  </w:t>
      </w:r>
      <w:r>
        <w:rPr>
          <w:rFonts w:ascii="仿宋" w:hAnsi="仿宋" w:eastAsia="仿宋" w:cs="仿宋"/>
          <w:b/>
          <w:bCs/>
          <w:u w:val="dotted"/>
          <w:lang w:eastAsia="zh-CN"/>
        </w:rPr>
        <w:t xml:space="preserve">                                                                               </w:t>
      </w:r>
    </w:p>
    <w:p w14:paraId="17C6140F">
      <w:pPr>
        <w:pStyle w:val="22"/>
        <w:widowControl w:val="0"/>
        <w:adjustRightInd w:val="0"/>
        <w:snapToGrid w:val="0"/>
        <w:spacing w:line="400" w:lineRule="exact"/>
        <w:ind w:left="1850" w:leftChars="771"/>
        <w:jc w:val="both"/>
        <w:rPr>
          <w:rFonts w:ascii="仿宋" w:hAnsi="仿宋" w:eastAsia="仿宋"/>
          <w:b/>
          <w:bCs/>
          <w:sz w:val="24"/>
          <w:szCs w:val="24"/>
          <w:lang w:eastAsia="zh-CN"/>
        </w:rPr>
      </w:pPr>
      <w:r>
        <mc:AlternateContent>
          <mc:Choice Requires="wps">
            <w:drawing>
              <wp:anchor distT="0" distB="0" distL="114300" distR="114300" simplePos="0" relativeHeight="251762688" behindDoc="0" locked="0" layoutInCell="1" allowOverlap="1">
                <wp:simplePos x="0" y="0"/>
                <wp:positionH relativeFrom="column">
                  <wp:posOffset>-123825</wp:posOffset>
                </wp:positionH>
                <wp:positionV relativeFrom="paragraph">
                  <wp:posOffset>13970</wp:posOffset>
                </wp:positionV>
                <wp:extent cx="785495" cy="448310"/>
                <wp:effectExtent l="0" t="0" r="0" b="0"/>
                <wp:wrapNone/>
                <wp:docPr id="148" name="文本框 815"/>
                <wp:cNvGraphicFramePr/>
                <a:graphic xmlns:a="http://schemas.openxmlformats.org/drawingml/2006/main">
                  <a:graphicData uri="http://schemas.microsoft.com/office/word/2010/wordprocessingShape">
                    <wps:wsp>
                      <wps:cNvSpPr txBox="1"/>
                      <wps:spPr>
                        <a:xfrm>
                          <a:off x="0" y="0"/>
                          <a:ext cx="785495" cy="448310"/>
                        </a:xfrm>
                        <a:prstGeom prst="rect">
                          <a:avLst/>
                        </a:prstGeom>
                        <a:noFill/>
                        <a:ln w="12700">
                          <a:noFill/>
                        </a:ln>
                      </wps:spPr>
                      <wps:txbx>
                        <w:txbxContent>
                          <w:p w14:paraId="783AD41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txbxContent>
                      </wps:txbx>
                      <wps:bodyPr rot="0" vert="horz" wrap="square" lIns="91440" tIns="45720" rIns="91440" bIns="45720" anchor="t" anchorCtr="0"/>
                    </wps:wsp>
                  </a:graphicData>
                </a:graphic>
              </wp:anchor>
            </w:drawing>
          </mc:Choice>
          <mc:Fallback>
            <w:pict>
              <v:shape id="文本框 815" o:spid="_x0000_s1026" o:spt="202" type="#_x0000_t202" style="position:absolute;left:0pt;margin-left:-9.75pt;margin-top:1.1pt;height:35.3pt;width:61.85pt;z-index:251762688;mso-width-relative:page;mso-height-relative:page;" filled="f" stroked="f" coordsize="21600,21600" o:gfxdata="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0W&#10;EjjXAAAACAEAAA8AAAAAAAAAAQAgAAAAIgAAAGRycy9kb3ducmV2LnhtbFBLAQIUABQAAAAIAIdO&#10;4kChTg516wEAAL4DAAAOAAAAAAAAAAEAIAAAACYBAABkcnMvZTJvRG9jLnhtbFBLBQYAAAAABgAG&#10;AFkBAACDBQAAAAA=&#10;">
                <v:fill on="f" focussize="0,0"/>
                <v:stroke on="f" weight="1pt"/>
                <v:imagedata o:title=""/>
                <o:lock v:ext="edit" aspectratio="f"/>
                <v:textbox>
                  <w:txbxContent>
                    <w:p w14:paraId="783AD41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txbxContent>
                </v:textbox>
              </v:shape>
            </w:pict>
          </mc:Fallback>
        </mc:AlternateContent>
      </w:r>
      <w:r>
        <w:rPr>
          <w:rFonts w:hint="eastAsia" w:ascii="仿宋" w:hAnsi="仿宋" w:eastAsia="仿宋" w:cs="仿宋"/>
          <w:sz w:val="24"/>
          <w:szCs w:val="24"/>
          <w:lang w:eastAsia="zh-CN"/>
        </w:rPr>
        <w:t>从保险人处收到的因合同工程本身损失或损坏的保险金</w:t>
      </w:r>
      <w:r>
        <w:rPr>
          <w:rFonts w:ascii="仿宋" w:hAnsi="仿宋" w:eastAsia="仿宋" w:cs="仿宋"/>
          <w:sz w:val="24"/>
          <w:szCs w:val="24"/>
          <w:lang w:eastAsia="zh-CN"/>
        </w:rPr>
        <w:t>,</w:t>
      </w:r>
      <w:r>
        <w:rPr>
          <w:rFonts w:hint="eastAsia" w:ascii="仿宋" w:hAnsi="仿宋" w:eastAsia="仿宋" w:cs="仿宋"/>
          <w:sz w:val="24"/>
          <w:szCs w:val="24"/>
          <w:lang w:eastAsia="zh-CN"/>
        </w:rPr>
        <w:t>应专项用于修复合同工程的损失或损坏，或作为对未能修复合同工程这些损失或损坏的补偿。</w:t>
      </w:r>
    </w:p>
    <w:p w14:paraId="5B02A35A">
      <w:pPr>
        <w:spacing w:line="400" w:lineRule="exact"/>
        <w:rPr>
          <w:rFonts w:ascii="仿宋" w:hAnsi="仿宋" w:eastAsia="仿宋" w:cs="仿宋"/>
          <w:b/>
          <w:bCs/>
          <w:u w:val="dotted"/>
          <w:lang w:eastAsia="zh-CN"/>
        </w:rPr>
      </w:pPr>
      <w:r>
        <w:rPr>
          <w:rFonts w:ascii="仿宋" w:hAnsi="仿宋" w:eastAsia="仿宋" w:cs="仿宋"/>
          <w:b/>
          <w:bCs/>
          <w:lang w:eastAsia="zh-CN"/>
        </w:rPr>
        <w:t>3</w:t>
      </w:r>
      <w:r>
        <w:rPr>
          <w:rFonts w:hint="eastAsia" w:ascii="仿宋" w:hAnsi="仿宋" w:eastAsia="仿宋" w:cs="仿宋"/>
          <w:b/>
          <w:bCs/>
          <w:lang w:eastAsia="zh-CN"/>
        </w:rPr>
        <w:t>6</w:t>
      </w:r>
      <w:r>
        <w:rPr>
          <w:rFonts w:ascii="仿宋" w:hAnsi="仿宋" w:eastAsia="仿宋" w:cs="仿宋"/>
          <w:b/>
          <w:bCs/>
          <w:lang w:eastAsia="zh-CN"/>
        </w:rPr>
        <w:t xml:space="preserve">.8  </w:t>
      </w:r>
      <w:r>
        <w:rPr>
          <w:rFonts w:ascii="仿宋" w:hAnsi="仿宋" w:eastAsia="仿宋" w:cs="仿宋"/>
          <w:b/>
          <w:bCs/>
          <w:u w:val="dotted"/>
          <w:lang w:eastAsia="zh-CN"/>
        </w:rPr>
        <w:t xml:space="preserve">                                                                               </w:t>
      </w:r>
    </w:p>
    <w:p w14:paraId="48CA4898">
      <w:pPr>
        <w:pStyle w:val="22"/>
        <w:widowControl w:val="0"/>
        <w:adjustRightInd w:val="0"/>
        <w:snapToGrid w:val="0"/>
        <w:spacing w:line="400" w:lineRule="exact"/>
        <w:ind w:left="1850" w:leftChars="771"/>
        <w:jc w:val="both"/>
        <w:rPr>
          <w:rFonts w:ascii="仿宋" w:hAnsi="仿宋" w:eastAsia="仿宋"/>
          <w:sz w:val="24"/>
          <w:szCs w:val="24"/>
          <w:lang w:eastAsia="zh-CN"/>
        </w:rPr>
      </w:pPr>
      <w:r>
        <mc:AlternateContent>
          <mc:Choice Requires="wps">
            <w:drawing>
              <wp:anchor distT="0" distB="0" distL="114300" distR="114300" simplePos="0" relativeHeight="252004352" behindDoc="0" locked="0" layoutInCell="1" allowOverlap="1">
                <wp:simplePos x="0" y="0"/>
                <wp:positionH relativeFrom="column">
                  <wp:posOffset>0</wp:posOffset>
                </wp:positionH>
                <wp:positionV relativeFrom="paragraph">
                  <wp:posOffset>5080</wp:posOffset>
                </wp:positionV>
                <wp:extent cx="832485" cy="389255"/>
                <wp:effectExtent l="0" t="0" r="0" b="0"/>
                <wp:wrapNone/>
                <wp:docPr id="149" name="文本框 816"/>
                <wp:cNvGraphicFramePr/>
                <a:graphic xmlns:a="http://schemas.openxmlformats.org/drawingml/2006/main">
                  <a:graphicData uri="http://schemas.microsoft.com/office/word/2010/wordprocessingShape">
                    <wps:wsp>
                      <wps:cNvSpPr txBox="1"/>
                      <wps:spPr>
                        <a:xfrm>
                          <a:off x="0" y="0"/>
                          <a:ext cx="832485" cy="389255"/>
                        </a:xfrm>
                        <a:prstGeom prst="rect">
                          <a:avLst/>
                        </a:prstGeom>
                        <a:noFill/>
                        <a:ln w="12700">
                          <a:noFill/>
                        </a:ln>
                      </wps:spPr>
                      <wps:txbx>
                        <w:txbxContent>
                          <w:p w14:paraId="0481E435">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txbxContent>
                      </wps:txbx>
                      <wps:bodyPr rot="0" vert="horz" wrap="square" lIns="91440" tIns="45720" rIns="91440" bIns="45720" anchor="t" anchorCtr="0"/>
                    </wps:wsp>
                  </a:graphicData>
                </a:graphic>
              </wp:anchor>
            </w:drawing>
          </mc:Choice>
          <mc:Fallback>
            <w:pict>
              <v:shape id="文本框 816" o:spid="_x0000_s1026" o:spt="202" type="#_x0000_t202" style="position:absolute;left:0pt;margin-left:0pt;margin-top:0.4pt;height:30.65pt;width:65.55pt;z-index:252004352;mso-width-relative:page;mso-height-relative:page;" filled="f" stroked="f" coordsize="21600,21600" o:gfxdata="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PlfUl7SAAAA&#10;BAEAAA8AAAAAAAAAAQAgAAAAIgAAAGRycy9kb3ducmV2LnhtbFBLAQIUABQAAAAIAIdO4kDXrydd&#10;6gEAAL4DAAAOAAAAAAAAAAEAIAAAACEBAABkcnMvZTJvRG9jLnhtbFBLBQYAAAAABgAGAFkBAAB9&#10;BQAAAAA=&#10;">
                <v:fill on="f" focussize="0,0"/>
                <v:stroke on="f" weight="1pt"/>
                <v:imagedata o:title=""/>
                <o:lock v:ext="edit" aspectratio="f"/>
                <v:textbox>
                  <w:txbxContent>
                    <w:p w14:paraId="0481E435">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txbxContent>
                </v:textbox>
              </v:shape>
            </w:pict>
          </mc:Fallback>
        </mc:AlternateContent>
      </w:r>
      <w:r>
        <w:rPr>
          <w:rFonts w:hint="eastAsia" w:ascii="仿宋" w:hAnsi="仿宋" w:eastAsia="仿宋" w:cs="仿宋"/>
          <w:sz w:val="24"/>
          <w:szCs w:val="24"/>
          <w:lang w:eastAsia="zh-CN"/>
        </w:rPr>
        <w:t>具体投保内容、保险金、保险期限及相关责任等事项，合同双方当事人应在专用条款中约定。</w:t>
      </w:r>
    </w:p>
    <w:p w14:paraId="7D3BC3D8">
      <w:pPr>
        <w:pStyle w:val="22"/>
        <w:adjustRightInd w:val="0"/>
        <w:snapToGrid w:val="0"/>
        <w:spacing w:line="400" w:lineRule="exact"/>
        <w:rPr>
          <w:rFonts w:ascii="仿宋" w:hAnsi="仿宋" w:eastAsia="仿宋"/>
          <w:b/>
          <w:bCs/>
          <w:sz w:val="24"/>
          <w:szCs w:val="24"/>
          <w:lang w:eastAsia="zh-CN"/>
        </w:rPr>
      </w:pPr>
      <w:r>
        <w:rPr>
          <w:rFonts w:ascii="仿宋" w:hAnsi="仿宋" w:eastAsia="仿宋" w:cs="仿宋"/>
          <w:b/>
          <w:bCs/>
          <w:sz w:val="24"/>
          <w:szCs w:val="24"/>
          <w:u w:val="single"/>
          <w:lang w:eastAsia="zh-CN"/>
        </w:rPr>
        <w:t xml:space="preserve">                                                                                     </w:t>
      </w:r>
    </w:p>
    <w:p w14:paraId="30BEA8D1">
      <w:pPr>
        <w:spacing w:line="400" w:lineRule="exact"/>
        <w:jc w:val="center"/>
        <w:outlineLvl w:val="1"/>
        <w:rPr>
          <w:rFonts w:ascii="仿宋" w:hAnsi="仿宋" w:eastAsia="仿宋" w:cs="仿宋"/>
          <w:b/>
          <w:bCs/>
          <w:lang w:eastAsia="zh-CN"/>
        </w:rPr>
      </w:pPr>
      <w:bookmarkStart w:id="334" w:name="_Toc13246"/>
      <w:bookmarkStart w:id="335" w:name="_Toc194073144"/>
      <w:bookmarkStart w:id="336" w:name="_Toc6465"/>
      <w:bookmarkStart w:id="337" w:name="_Toc15342"/>
      <w:r>
        <w:rPr>
          <w:rFonts w:hint="eastAsia" w:ascii="仿宋" w:hAnsi="仿宋" w:eastAsia="仿宋" w:cs="仿宋"/>
          <w:b/>
          <w:bCs/>
          <w:lang w:eastAsia="zh-CN"/>
        </w:rPr>
        <w:t>四、勘察、设计与BIM技术应用</w:t>
      </w:r>
      <w:bookmarkEnd w:id="334"/>
      <w:bookmarkEnd w:id="335"/>
      <w:bookmarkEnd w:id="336"/>
      <w:bookmarkEnd w:id="337"/>
    </w:p>
    <w:p w14:paraId="02B43D1C">
      <w:pPr>
        <w:pStyle w:val="4"/>
        <w:tabs>
          <w:tab w:val="left" w:pos="420"/>
        </w:tabs>
        <w:spacing w:before="0" w:after="0" w:line="400" w:lineRule="exact"/>
        <w:rPr>
          <w:rFonts w:ascii="仿宋" w:hAnsi="仿宋" w:eastAsia="仿宋" w:cs="仿宋"/>
          <w:bCs w:val="0"/>
          <w:sz w:val="24"/>
          <w:szCs w:val="24"/>
          <w:lang w:eastAsia="zh-CN"/>
        </w:rPr>
      </w:pPr>
      <w:bookmarkStart w:id="338" w:name="_Toc11316"/>
      <w:bookmarkStart w:id="339" w:name="_Toc4521"/>
      <w:bookmarkStart w:id="340" w:name="_Toc194073145"/>
      <w:bookmarkStart w:id="341" w:name="_Toc17970"/>
      <w:r>
        <w:rPr>
          <w:rFonts w:hint="eastAsia" w:ascii="仿宋" w:hAnsi="仿宋" w:eastAsia="仿宋" w:cs="仿宋"/>
          <w:bCs w:val="0"/>
          <w:sz w:val="24"/>
          <w:szCs w:val="24"/>
          <w:lang w:eastAsia="zh-CN"/>
        </w:rPr>
        <w:t>37  工程勘察</w:t>
      </w:r>
      <w:bookmarkEnd w:id="338"/>
      <w:bookmarkEnd w:id="339"/>
      <w:bookmarkEnd w:id="340"/>
      <w:bookmarkEnd w:id="341"/>
    </w:p>
    <w:p w14:paraId="08495F96">
      <w:pPr>
        <w:tabs>
          <w:tab w:val="left" w:pos="1320"/>
        </w:tabs>
        <w:spacing w:line="400" w:lineRule="exact"/>
        <w:ind w:right="-7"/>
        <w:rPr>
          <w:rFonts w:ascii="仿宋" w:hAnsi="仿宋" w:eastAsia="仿宋" w:cs="仿宋"/>
          <w:b/>
          <w:lang w:eastAsia="zh-CN"/>
        </w:rPr>
      </w:pPr>
      <w:r>
        <w:rPr>
          <w:rFonts w:hint="eastAsia" w:ascii="仿宋" w:hAnsi="仿宋" w:eastAsia="仿宋" w:cs="仿宋"/>
          <w:b/>
          <w:lang w:eastAsia="zh-CN"/>
        </w:rPr>
        <w:t>37.1</w:t>
      </w:r>
    </w:p>
    <w:p w14:paraId="3FAC9DA3">
      <w:pPr>
        <w:widowControl w:val="0"/>
        <w:tabs>
          <w:tab w:val="left" w:pos="4970"/>
        </w:tabs>
        <w:spacing w:line="400" w:lineRule="exact"/>
        <w:ind w:left="1850" w:leftChars="771"/>
        <w:jc w:val="both"/>
        <w:rPr>
          <w:rFonts w:ascii="仿宋" w:hAnsi="仿宋" w:eastAsia="仿宋" w:cs="仿宋"/>
          <w:lang w:eastAsia="zh-CN"/>
        </w:rPr>
      </w:pPr>
      <w:r>
        <w:rPr>
          <w:rFonts w:hint="eastAsia" w:ascii="仿宋" w:hAnsi="仿宋" w:eastAsia="仿宋" w:cs="仿宋"/>
        </w:rPr>
        <mc:AlternateContent>
          <mc:Choice Requires="wps">
            <w:drawing>
              <wp:anchor distT="0" distB="0" distL="114300" distR="114300" simplePos="0" relativeHeight="251976704" behindDoc="0" locked="0" layoutInCell="1" allowOverlap="1">
                <wp:simplePos x="0" y="0"/>
                <wp:positionH relativeFrom="column">
                  <wp:posOffset>-85725</wp:posOffset>
                </wp:positionH>
                <wp:positionV relativeFrom="paragraph">
                  <wp:posOffset>62865</wp:posOffset>
                </wp:positionV>
                <wp:extent cx="794385" cy="798195"/>
                <wp:effectExtent l="0" t="0" r="0" b="0"/>
                <wp:wrapNone/>
                <wp:docPr id="150" name="文本框 11"/>
                <wp:cNvGraphicFramePr/>
                <a:graphic xmlns:a="http://schemas.openxmlformats.org/drawingml/2006/main">
                  <a:graphicData uri="http://schemas.microsoft.com/office/word/2010/wordprocessingShape">
                    <wps:wsp>
                      <wps:cNvSpPr txBox="1"/>
                      <wps:spPr>
                        <a:xfrm>
                          <a:off x="0" y="0"/>
                          <a:ext cx="794385" cy="798195"/>
                        </a:xfrm>
                        <a:prstGeom prst="rect">
                          <a:avLst/>
                        </a:prstGeom>
                        <a:noFill/>
                        <a:ln w="12700">
                          <a:noFill/>
                        </a:ln>
                      </wps:spPr>
                      <wps:txbx>
                        <w:txbxContent>
                          <w:p w14:paraId="261FF4E1">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对发包人要求与项目基础资料的核实</w:t>
                            </w:r>
                          </w:p>
                        </w:txbxContent>
                      </wps:txbx>
                      <wps:bodyPr rot="0" vert="horz" wrap="square" lIns="91440" tIns="45720" rIns="91440" bIns="45720" anchor="t" anchorCtr="0"/>
                    </wps:wsp>
                  </a:graphicData>
                </a:graphic>
              </wp:anchor>
            </w:drawing>
          </mc:Choice>
          <mc:Fallback>
            <w:pict>
              <v:shape id="文本框 11" o:spid="_x0000_s1026" o:spt="202" type="#_x0000_t202" style="position:absolute;left:0pt;margin-left:-6.75pt;margin-top:4.95pt;height:62.85pt;width:62.55pt;z-index:251976704;mso-width-relative:page;mso-height-relative:page;" filled="f" stroked="f" coordsize="21600,21600" o:gfxdata="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Byock&#10;2AAAAAkBAAAPAAAAAAAAAAEAIAAAACIAAABkcnMvZG93bnJldi54bWxQSwECFAAUAAAACACHTuJA&#10;xOCWlegBAAC9AwAADgAAAAAAAAABACAAAAAnAQAAZHJzL2Uyb0RvYy54bWxQSwUGAAAAAAYABgBZ&#10;AQAAgQUAAAAA&#10;">
                <v:fill on="f" focussize="0,0"/>
                <v:stroke on="f" weight="1pt"/>
                <v:imagedata o:title=""/>
                <o:lock v:ext="edit" aspectratio="f"/>
                <v:textbox>
                  <w:txbxContent>
                    <w:p w14:paraId="261FF4E1">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对发包人要求与项目基础资料的核实</w:t>
                      </w:r>
                    </w:p>
                  </w:txbxContent>
                </v:textbox>
              </v:shape>
            </w:pict>
          </mc:Fallback>
        </mc:AlternateContent>
      </w:r>
      <w:r>
        <w:rPr>
          <w:rFonts w:hint="eastAsia" w:ascii="仿宋" w:hAnsi="仿宋" w:eastAsia="仿宋" w:cs="仿宋"/>
          <w:lang w:eastAsia="zh-CN"/>
        </w:rPr>
        <w:t>承包人在工程勘察工作开始日期前，应对发包人及设计顾问人的勘察要求和所提供的项目基础资料或其他途径得到的现场资料的完备性和正确性进行核实，发现错漏应及时提请发包人补充完善。因发包人要求和所提供的资料存在错漏，但发包人未按承包人要求补充完善，导致工程存在缺陷或事故，责任由发包人承担。</w:t>
      </w:r>
    </w:p>
    <w:p w14:paraId="66A13B13">
      <w:pPr>
        <w:tabs>
          <w:tab w:val="left" w:pos="1320"/>
        </w:tabs>
        <w:spacing w:line="400" w:lineRule="exact"/>
        <w:ind w:right="-7"/>
        <w:rPr>
          <w:rFonts w:ascii="仿宋" w:hAnsi="仿宋" w:eastAsia="仿宋" w:cs="仿宋"/>
          <w:b/>
          <w:lang w:eastAsia="zh-CN"/>
        </w:rPr>
      </w:pPr>
      <w:r>
        <w:rPr>
          <w:rFonts w:hint="eastAsia" w:ascii="仿宋" w:hAnsi="仿宋" w:eastAsia="仿宋" w:cs="仿宋"/>
          <w:b/>
          <w:lang w:eastAsia="zh-CN"/>
        </w:rPr>
        <w:t>37.2</w:t>
      </w:r>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7409BDF5">
      <w:pPr>
        <w:widowControl w:val="0"/>
        <w:spacing w:line="400" w:lineRule="exact"/>
        <w:ind w:left="1850" w:leftChars="771"/>
        <w:jc w:val="both"/>
        <w:rPr>
          <w:rFonts w:ascii="仿宋" w:hAnsi="仿宋" w:eastAsia="仿宋" w:cs="仿宋"/>
          <w:lang w:eastAsia="zh-CN"/>
        </w:rPr>
      </w:pPr>
      <w:r>
        <w:rPr>
          <w:rFonts w:hint="eastAsia" w:ascii="仿宋" w:hAnsi="仿宋" w:eastAsia="仿宋" w:cs="仿宋"/>
        </w:rPr>
        <mc:AlternateContent>
          <mc:Choice Requires="wps">
            <w:drawing>
              <wp:anchor distT="0" distB="0" distL="114300" distR="114300" simplePos="0" relativeHeight="251974656" behindDoc="0" locked="0" layoutInCell="1" allowOverlap="1">
                <wp:simplePos x="0" y="0"/>
                <wp:positionH relativeFrom="column">
                  <wp:posOffset>-95250</wp:posOffset>
                </wp:positionH>
                <wp:positionV relativeFrom="paragraph">
                  <wp:posOffset>62865</wp:posOffset>
                </wp:positionV>
                <wp:extent cx="765810" cy="683895"/>
                <wp:effectExtent l="0" t="0" r="0" b="0"/>
                <wp:wrapNone/>
                <wp:docPr id="151" name="文本框 11"/>
                <wp:cNvGraphicFramePr/>
                <a:graphic xmlns:a="http://schemas.openxmlformats.org/drawingml/2006/main">
                  <a:graphicData uri="http://schemas.microsoft.com/office/word/2010/wordprocessingShape">
                    <wps:wsp>
                      <wps:cNvSpPr txBox="1"/>
                      <wps:spPr>
                        <a:xfrm>
                          <a:off x="0" y="0"/>
                          <a:ext cx="765810" cy="683895"/>
                        </a:xfrm>
                        <a:prstGeom prst="rect">
                          <a:avLst/>
                        </a:prstGeom>
                        <a:noFill/>
                        <a:ln w="12700">
                          <a:noFill/>
                        </a:ln>
                      </wps:spPr>
                      <wps:txbx>
                        <w:txbxContent>
                          <w:p w14:paraId="63308614">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勘察实施方案与应急预案</w:t>
                            </w:r>
                          </w:p>
                        </w:txbxContent>
                      </wps:txbx>
                      <wps:bodyPr rot="0" vert="horz" wrap="square" lIns="91440" tIns="45720" rIns="91440" bIns="45720" anchor="t" anchorCtr="0"/>
                    </wps:wsp>
                  </a:graphicData>
                </a:graphic>
              </wp:anchor>
            </w:drawing>
          </mc:Choice>
          <mc:Fallback>
            <w:pict>
              <v:shape id="文本框 11" o:spid="_x0000_s1026" o:spt="202" type="#_x0000_t202" style="position:absolute;left:0pt;margin-left:-7.5pt;margin-top:4.95pt;height:53.85pt;width:60.3pt;z-index:251974656;mso-width-relative:page;mso-height-relative:page;" filled="f" stroked="f" coordsize="21600,21600" o:gfxdata="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pGJ2c&#10;2AAAAAkBAAAPAAAAAAAAAAEAIAAAACIAAABkcnMvZG93bnJldi54bWxQSwECFAAUAAAACACHTuJA&#10;OiERV+gBAAC9AwAADgAAAAAAAAABACAAAAAnAQAAZHJzL2Uyb0RvYy54bWxQSwUGAAAAAAYABgBZ&#10;AQAAgQUAAAAA&#10;">
                <v:fill on="f" focussize="0,0"/>
                <v:stroke on="f" weight="1pt"/>
                <v:imagedata o:title=""/>
                <o:lock v:ext="edit" aspectratio="f"/>
                <v:textbox>
                  <w:txbxContent>
                    <w:p w14:paraId="63308614">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勘察实施方案与应急预案</w:t>
                      </w:r>
                    </w:p>
                  </w:txbxContent>
                </v:textbox>
              </v:shape>
            </w:pict>
          </mc:Fallback>
        </mc:AlternateContent>
      </w:r>
      <w:r>
        <w:rPr>
          <w:rFonts w:hint="eastAsia" w:ascii="仿宋" w:hAnsi="仿宋" w:eastAsia="仿宋" w:cs="仿宋"/>
          <w:lang w:eastAsia="zh-CN"/>
        </w:rPr>
        <w:t>37.2.1承包人应在工程勘察工作开始日期前，编制勘察实施方案及应急预案，并按专用条款约定的时间和份数报发包人审查或备案。发包人在收到承包人勘察报告后，应通知设计顾问人对报告内容予以核实或审核，并在收到报告后的</w:t>
      </w:r>
      <w:r>
        <w:rPr>
          <w:rFonts w:ascii="仿宋" w:hAnsi="仿宋" w:eastAsia="仿宋" w:cs="仿宋"/>
          <w:lang w:eastAsia="zh-CN"/>
        </w:rPr>
        <w:t>14</w:t>
      </w:r>
      <w:r>
        <w:rPr>
          <w:rFonts w:hint="eastAsia" w:ascii="仿宋" w:hAnsi="仿宋" w:eastAsia="仿宋" w:cs="仿宋"/>
          <w:lang w:eastAsia="zh-CN"/>
        </w:rPr>
        <w:t>天内予以确定或提出修改意见，逾期不确认也不提出书面意见的，视为同意。</w:t>
      </w:r>
    </w:p>
    <w:p w14:paraId="44E21660">
      <w:pPr>
        <w:widowControl w:val="0"/>
        <w:tabs>
          <w:tab w:val="left" w:pos="4970"/>
        </w:tabs>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37.2.2勘察实施方案应包括项目基本情况、人员安排、工作进度、技术方法、工作量、质量保证体系以及需要发包人配合事项等，并制定环境保护的具体措施，在勘察期间合理保护作业现场环境。</w:t>
      </w:r>
    </w:p>
    <w:p w14:paraId="1C53E06B">
      <w:pPr>
        <w:widowControl w:val="0"/>
        <w:tabs>
          <w:tab w:val="left" w:pos="4970"/>
        </w:tabs>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37.2.3承包人在燃气管道、热力管道、动力设备、输水管道、输电线路、临街交通要道及城市轨道交通隧道、地下通道（地下隧道）附近等风险性较大的地点，以及在易燃易爆地段及放射、有毒环境中进行工程勘察作业时，应编制安全防护方案并制定应急预案报发包人审查或备案。发包人在收到承包人应急预案后，应通知设计顾问人对报告内容予以核实或审核，并在收到报告后的</w:t>
      </w:r>
      <w:r>
        <w:rPr>
          <w:rFonts w:ascii="仿宋" w:hAnsi="仿宋" w:eastAsia="仿宋" w:cs="仿宋"/>
          <w:lang w:eastAsia="zh-CN"/>
        </w:rPr>
        <w:t>14</w:t>
      </w:r>
      <w:r>
        <w:rPr>
          <w:rFonts w:hint="eastAsia" w:ascii="仿宋" w:hAnsi="仿宋" w:eastAsia="仿宋" w:cs="仿宋"/>
          <w:lang w:eastAsia="zh-CN"/>
        </w:rPr>
        <w:t>天内予以确定或提出修改意见，逾期不确认也不提出书面意见的，视为无异议。</w:t>
      </w:r>
    </w:p>
    <w:p w14:paraId="6F2F52A6">
      <w:pPr>
        <w:tabs>
          <w:tab w:val="left" w:pos="1320"/>
        </w:tabs>
        <w:spacing w:line="400" w:lineRule="exact"/>
        <w:rPr>
          <w:rFonts w:ascii="仿宋" w:hAnsi="仿宋" w:eastAsia="仿宋" w:cs="仿宋"/>
          <w:b/>
          <w:lang w:eastAsia="zh-CN"/>
        </w:rPr>
      </w:pPr>
      <w:r>
        <w:rPr>
          <w:rFonts w:hint="eastAsia" w:ascii="仿宋" w:hAnsi="仿宋" w:eastAsia="仿宋" w:cs="仿宋"/>
          <w:b/>
        </w:rPr>
        <mc:AlternateContent>
          <mc:Choice Requires="wps">
            <w:drawing>
              <wp:anchor distT="0" distB="0" distL="114300" distR="114300" simplePos="0" relativeHeight="252005376" behindDoc="0" locked="0" layoutInCell="1" allowOverlap="1">
                <wp:simplePos x="0" y="0"/>
                <wp:positionH relativeFrom="column">
                  <wp:posOffset>-114300</wp:posOffset>
                </wp:positionH>
                <wp:positionV relativeFrom="paragraph">
                  <wp:posOffset>310515</wp:posOffset>
                </wp:positionV>
                <wp:extent cx="796925" cy="331470"/>
                <wp:effectExtent l="0" t="0" r="0" b="0"/>
                <wp:wrapNone/>
                <wp:docPr id="152" name="文本框 11"/>
                <wp:cNvGraphicFramePr/>
                <a:graphic xmlns:a="http://schemas.openxmlformats.org/drawingml/2006/main">
                  <a:graphicData uri="http://schemas.microsoft.com/office/word/2010/wordprocessingShape">
                    <wps:wsp>
                      <wps:cNvSpPr txBox="1"/>
                      <wps:spPr>
                        <a:xfrm>
                          <a:off x="0" y="0"/>
                          <a:ext cx="796925" cy="331470"/>
                        </a:xfrm>
                        <a:prstGeom prst="rect">
                          <a:avLst/>
                        </a:prstGeom>
                        <a:noFill/>
                        <a:ln w="12700">
                          <a:noFill/>
                        </a:ln>
                      </wps:spPr>
                      <wps:txbx>
                        <w:txbxContent>
                          <w:p w14:paraId="01119013">
                            <w:pPr>
                              <w:spacing w:line="240" w:lineRule="exact"/>
                              <w:rPr>
                                <w:rFonts w:ascii="宋体"/>
                                <w:sz w:val="18"/>
                                <w:szCs w:val="18"/>
                              </w:rPr>
                            </w:pPr>
                            <w:r>
                              <w:rPr>
                                <w:rFonts w:hint="eastAsia" w:ascii="楷体_GB2312" w:hAnsi="宋体" w:eastAsia="楷体_GB2312" w:cs="楷体_GB2312"/>
                                <w:b/>
                                <w:bCs/>
                                <w:color w:val="000000"/>
                                <w:sz w:val="18"/>
                                <w:szCs w:val="18"/>
                              </w:rPr>
                              <w:t>勘察实施</w:t>
                            </w:r>
                          </w:p>
                        </w:txbxContent>
                      </wps:txbx>
                      <wps:bodyPr rot="0" vert="horz" wrap="square" lIns="91440" tIns="45720" rIns="91440" bIns="45720" anchor="t" anchorCtr="0"/>
                    </wps:wsp>
                  </a:graphicData>
                </a:graphic>
              </wp:anchor>
            </w:drawing>
          </mc:Choice>
          <mc:Fallback>
            <w:pict>
              <v:shape id="文本框 11" o:spid="_x0000_s1026" o:spt="202" type="#_x0000_t202" style="position:absolute;left:0pt;margin-left:-9pt;margin-top:24.45pt;height:26.1pt;width:62.75pt;z-index:252005376;mso-width-relative:page;mso-height-relative:page;" filled="f" stroked="f" coordsize="21600,21600" o:gfxdata="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0S&#10;e2LZAAAACgEAAA8AAAAAAAAAAQAgAAAAIgAAAGRycy9kb3ducmV2LnhtbFBLAQIUABQAAAAIAIdO&#10;4kBt4gxS6QEAAL0DAAAOAAAAAAAAAAEAIAAAACgBAABkcnMvZTJvRG9jLnhtbFBLBQYAAAAABgAG&#10;AFkBAACDBQAAAAA=&#10;">
                <v:fill on="f" focussize="0,0"/>
                <v:stroke on="f" weight="1pt"/>
                <v:imagedata o:title=""/>
                <o:lock v:ext="edit" aspectratio="f"/>
                <v:textbox>
                  <w:txbxContent>
                    <w:p w14:paraId="01119013">
                      <w:pPr>
                        <w:spacing w:line="240" w:lineRule="exact"/>
                        <w:rPr>
                          <w:rFonts w:ascii="宋体"/>
                          <w:sz w:val="18"/>
                          <w:szCs w:val="18"/>
                        </w:rPr>
                      </w:pPr>
                      <w:r>
                        <w:rPr>
                          <w:rFonts w:hint="eastAsia" w:ascii="楷体_GB2312" w:hAnsi="宋体" w:eastAsia="楷体_GB2312" w:cs="楷体_GB2312"/>
                          <w:b/>
                          <w:bCs/>
                          <w:color w:val="000000"/>
                          <w:sz w:val="18"/>
                          <w:szCs w:val="18"/>
                        </w:rPr>
                        <w:t>勘察实施</w:t>
                      </w:r>
                    </w:p>
                  </w:txbxContent>
                </v:textbox>
              </v:shape>
            </w:pict>
          </mc:Fallback>
        </mc:AlternateContent>
      </w:r>
      <w:r>
        <w:rPr>
          <w:rFonts w:hint="eastAsia" w:ascii="仿宋" w:hAnsi="仿宋" w:eastAsia="仿宋" w:cs="仿宋"/>
          <w:b/>
          <w:lang w:eastAsia="zh-CN"/>
        </w:rPr>
        <w:t>37.3</w:t>
      </w:r>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65E1E52E">
      <w:pPr>
        <w:widowControl w:val="0"/>
        <w:tabs>
          <w:tab w:val="left" w:pos="4970"/>
        </w:tabs>
        <w:spacing w:line="400" w:lineRule="exact"/>
        <w:ind w:left="1850" w:leftChars="771"/>
        <w:rPr>
          <w:rFonts w:ascii="仿宋" w:hAnsi="仿宋" w:eastAsia="仿宋" w:cs="仿宋"/>
          <w:lang w:eastAsia="zh-CN"/>
        </w:rPr>
      </w:pPr>
      <w:r>
        <w:rPr>
          <w:rFonts w:hint="eastAsia" w:ascii="仿宋" w:hAnsi="仿宋" w:eastAsia="仿宋" w:cs="仿宋"/>
          <w:lang w:eastAsia="zh-CN"/>
        </w:rPr>
        <w:t>37.3.1承包人应根据发包人审查批准或备案的勘察实施方案及应急预案、发包人要求、设计顾问人指示并依据有关技术标准进行工程勘察工作。</w:t>
      </w:r>
    </w:p>
    <w:p w14:paraId="268CE4F9">
      <w:pPr>
        <w:tabs>
          <w:tab w:val="left" w:pos="4970"/>
        </w:tabs>
        <w:spacing w:line="400" w:lineRule="exact"/>
        <w:ind w:left="1850" w:leftChars="771"/>
        <w:rPr>
          <w:rFonts w:ascii="仿宋" w:hAnsi="仿宋" w:eastAsia="仿宋" w:cs="仿宋"/>
          <w:lang w:eastAsia="zh-CN"/>
        </w:rPr>
      </w:pPr>
      <w:r>
        <w:rPr>
          <w:rFonts w:hint="eastAsia" w:ascii="仿宋" w:hAnsi="仿宋" w:eastAsia="仿宋" w:cs="仿宋"/>
          <w:lang w:eastAsia="zh-CN"/>
        </w:rPr>
        <w:t>37.3.2 承包人应核查并在勘察报告及后续设计文件中明示工程项目工程场地范围内城市轨道交通隧道、给水管道、燃气管道等分布情况。</w:t>
      </w:r>
    </w:p>
    <w:p w14:paraId="0A740153">
      <w:pPr>
        <w:tabs>
          <w:tab w:val="left" w:pos="4970"/>
        </w:tabs>
        <w:spacing w:line="400" w:lineRule="exact"/>
        <w:ind w:left="1850" w:leftChars="771"/>
        <w:rPr>
          <w:rFonts w:ascii="仿宋" w:hAnsi="仿宋" w:eastAsia="仿宋" w:cs="仿宋"/>
          <w:lang w:eastAsia="zh-CN"/>
        </w:rPr>
      </w:pPr>
      <w:r>
        <w:rPr>
          <w:rFonts w:hint="eastAsia" w:ascii="仿宋" w:hAnsi="仿宋" w:eastAsia="仿宋" w:cs="仿宋"/>
          <w:lang w:eastAsia="zh-CN"/>
        </w:rPr>
        <w:t>37.3.3勘查现场遇到地下文物时，承包人应及时向发包人和文物主管部门报告并妥善保护。</w:t>
      </w:r>
    </w:p>
    <w:p w14:paraId="2921C405">
      <w:pPr>
        <w:tabs>
          <w:tab w:val="left" w:pos="4970"/>
        </w:tabs>
        <w:spacing w:line="400" w:lineRule="exact"/>
        <w:ind w:left="1850" w:leftChars="771"/>
        <w:rPr>
          <w:rFonts w:ascii="仿宋" w:hAnsi="仿宋" w:eastAsia="仿宋" w:cs="仿宋"/>
          <w:lang w:eastAsia="zh-CN"/>
        </w:rPr>
      </w:pPr>
      <w:r>
        <w:rPr>
          <w:rFonts w:hint="eastAsia" w:ascii="仿宋" w:hAnsi="仿宋" w:eastAsia="仿宋" w:cs="仿宋"/>
          <w:lang w:eastAsia="zh-CN"/>
        </w:rPr>
        <w:t>37.3.4发包人应为承包人进入勘察工作现场提供必要的条件和协助，因发包人不能按时提供勘察工作现场，导致的工期延误及费用增加，责任由发包人承担。</w:t>
      </w:r>
    </w:p>
    <w:p w14:paraId="0B3A029B">
      <w:pPr>
        <w:spacing w:line="400" w:lineRule="exact"/>
        <w:ind w:left="1687" w:hanging="1687" w:hangingChars="700"/>
        <w:rPr>
          <w:rFonts w:ascii="仿宋" w:hAnsi="仿宋" w:eastAsia="仿宋" w:cs="仿宋"/>
          <w:lang w:eastAsia="zh-CN"/>
        </w:rPr>
      </w:pPr>
      <w:r>
        <w:rPr>
          <w:rFonts w:hint="eastAsia" w:ascii="仿宋" w:hAnsi="仿宋" w:eastAsia="仿宋" w:cs="仿宋"/>
          <w:b/>
          <w:bCs/>
        </w:rPr>
        <mc:AlternateContent>
          <mc:Choice Requires="wps">
            <w:drawing>
              <wp:anchor distT="0" distB="0" distL="114300" distR="114300" simplePos="0" relativeHeight="252096512" behindDoc="0" locked="0" layoutInCell="1" allowOverlap="1">
                <wp:simplePos x="0" y="0"/>
                <wp:positionH relativeFrom="column">
                  <wp:posOffset>-76200</wp:posOffset>
                </wp:positionH>
                <wp:positionV relativeFrom="paragraph">
                  <wp:posOffset>285750</wp:posOffset>
                </wp:positionV>
                <wp:extent cx="796925" cy="378460"/>
                <wp:effectExtent l="0" t="0" r="0" b="0"/>
                <wp:wrapNone/>
                <wp:docPr id="153" name="文本框 11"/>
                <wp:cNvGraphicFramePr/>
                <a:graphic xmlns:a="http://schemas.openxmlformats.org/drawingml/2006/main">
                  <a:graphicData uri="http://schemas.microsoft.com/office/word/2010/wordprocessingShape">
                    <wps:wsp>
                      <wps:cNvSpPr txBox="1"/>
                      <wps:spPr>
                        <a:xfrm>
                          <a:off x="0" y="0"/>
                          <a:ext cx="796925" cy="378460"/>
                        </a:xfrm>
                        <a:prstGeom prst="rect">
                          <a:avLst/>
                        </a:prstGeom>
                        <a:noFill/>
                        <a:ln w="12700">
                          <a:noFill/>
                        </a:ln>
                      </wps:spPr>
                      <wps:txbx>
                        <w:txbxContent>
                          <w:p w14:paraId="359AACB1">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勘察成果</w:t>
                            </w:r>
                          </w:p>
                        </w:txbxContent>
                      </wps:txbx>
                      <wps:bodyPr rot="0" vert="horz" wrap="square" lIns="91440" tIns="45720" rIns="91440" bIns="45720" anchor="t" anchorCtr="0"/>
                    </wps:wsp>
                  </a:graphicData>
                </a:graphic>
              </wp:anchor>
            </w:drawing>
          </mc:Choice>
          <mc:Fallback>
            <w:pict>
              <v:shape id="文本框 11" o:spid="_x0000_s1026" o:spt="202" type="#_x0000_t202" style="position:absolute;left:0pt;margin-left:-6pt;margin-top:22.5pt;height:29.8pt;width:62.75pt;z-index:252096512;mso-width-relative:page;mso-height-relative:page;" filled="f" stroked="f" coordsize="21600,21600" o:gfxdata="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Jv&#10;8+LYAAAACgEAAA8AAAAAAAAAAQAgAAAAIgAAAGRycy9kb3ducmV2LnhtbFBLAQIUABQAAAAIAIdO&#10;4kC3uQvT6gEAAL0DAAAOAAAAAAAAAAEAIAAAACcBAABkcnMvZTJvRG9jLnhtbFBLBQYAAAAABgAG&#10;AFkBAACDBQAAAAA=&#10;">
                <v:fill on="f" focussize="0,0"/>
                <v:stroke on="f" weight="1pt"/>
                <v:imagedata o:title=""/>
                <o:lock v:ext="edit" aspectratio="f"/>
                <v:textbox>
                  <w:txbxContent>
                    <w:p w14:paraId="359AACB1">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勘察成果</w:t>
                      </w:r>
                    </w:p>
                  </w:txbxContent>
                </v:textbox>
              </v:shape>
            </w:pict>
          </mc:Fallback>
        </mc:AlternateContent>
      </w:r>
      <w:r>
        <w:rPr>
          <w:rFonts w:hint="eastAsia" w:ascii="仿宋" w:hAnsi="仿宋" w:eastAsia="仿宋" w:cs="仿宋"/>
          <w:b/>
          <w:bCs/>
          <w:lang w:eastAsia="zh-CN"/>
        </w:rPr>
        <w:t>37.4</w:t>
      </w:r>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480361CC">
      <w:pPr>
        <w:widowControl w:val="0"/>
        <w:tabs>
          <w:tab w:val="left" w:pos="4970"/>
        </w:tabs>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37.4.1承包人向发包人提交合格的勘察报告的方式、数量和时间，由双方在专用条款中约定。发包人要求增加的勘察报告，费用由发包人承担；承包人内部使用的勘察报告，其费用由承包人自己承担。</w:t>
      </w:r>
    </w:p>
    <w:p w14:paraId="47653697">
      <w:pPr>
        <w:widowControl w:val="0"/>
        <w:tabs>
          <w:tab w:val="left" w:pos="4970"/>
        </w:tabs>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37.4.2承包人完成勘察工作并提交勘察报告后，发包人应及时组织设计顾问人、监理人和承包人进行验收。发包人应及时签收勘察报告、确认勘察工作完成时间，并按专用条款约定计付工程勘察费。</w:t>
      </w:r>
    </w:p>
    <w:p w14:paraId="5E466D2F">
      <w:pPr>
        <w:widowControl w:val="0"/>
        <w:tabs>
          <w:tab w:val="left" w:pos="4970"/>
        </w:tabs>
        <w:spacing w:line="400" w:lineRule="exact"/>
        <w:ind w:left="1850" w:leftChars="771"/>
        <w:jc w:val="both"/>
        <w:rPr>
          <w:rFonts w:ascii="仿宋" w:hAnsi="仿宋" w:eastAsia="仿宋"/>
          <w:lang w:eastAsia="zh-CN"/>
        </w:rPr>
      </w:pPr>
      <w:r>
        <w:rPr>
          <w:rFonts w:hint="eastAsia" w:ascii="仿宋" w:hAnsi="仿宋" w:eastAsia="仿宋"/>
          <w:lang w:eastAsia="zh-CN"/>
        </w:rPr>
        <w:t>37.4.3政府部门审查或</w:t>
      </w:r>
    </w:p>
    <w:p w14:paraId="24607C93">
      <w:pPr>
        <w:widowControl w:val="0"/>
        <w:tabs>
          <w:tab w:val="left" w:pos="4970"/>
        </w:tabs>
        <w:spacing w:line="400" w:lineRule="exact"/>
        <w:ind w:left="1850" w:leftChars="771"/>
        <w:jc w:val="both"/>
        <w:rPr>
          <w:rFonts w:ascii="仿宋" w:hAnsi="仿宋" w:eastAsia="仿宋"/>
          <w:lang w:eastAsia="zh-CN"/>
        </w:rPr>
      </w:pPr>
      <w:r>
        <w:rPr>
          <w:rFonts w:hint="eastAsia" w:ascii="仿宋" w:hAnsi="仿宋" w:eastAsia="仿宋"/>
          <w:lang w:eastAsia="zh-CN"/>
        </w:rPr>
        <w:t>37.4.3.1 承包人的勘察报告需政府有关部门或施工图审查机构审查或批准的，发包人应在审查同意后7天内，向政府有关部门或施工图审查机构报送勘察报告，承包人应</w:t>
      </w:r>
      <w:r>
        <w:rPr>
          <w:rFonts w:ascii="仿宋" w:hAnsi="仿宋" w:eastAsia="仿宋"/>
          <w:lang w:eastAsia="zh-CN"/>
        </w:rPr>
        <w:t>予以</w:t>
      </w:r>
      <w:r>
        <w:rPr>
          <w:rFonts w:hint="eastAsia" w:ascii="仿宋" w:hAnsi="仿宋" w:eastAsia="仿宋"/>
          <w:lang w:eastAsia="zh-CN"/>
        </w:rPr>
        <w:t>协助。</w:t>
      </w:r>
    </w:p>
    <w:p w14:paraId="12C756DE">
      <w:pPr>
        <w:widowControl w:val="0"/>
        <w:tabs>
          <w:tab w:val="left" w:pos="4970"/>
        </w:tabs>
        <w:spacing w:line="400" w:lineRule="exact"/>
        <w:ind w:left="1850" w:leftChars="771"/>
        <w:jc w:val="both"/>
        <w:rPr>
          <w:rFonts w:ascii="仿宋" w:hAnsi="仿宋" w:eastAsia="仿宋"/>
          <w:lang w:eastAsia="zh-CN"/>
        </w:rPr>
      </w:pPr>
      <w:r>
        <w:rPr>
          <w:rFonts w:hint="eastAsia" w:ascii="仿宋" w:hAnsi="仿宋" w:eastAsia="仿宋"/>
          <w:lang w:eastAsia="zh-CN"/>
        </w:rPr>
        <w:t>37.4.3.2</w:t>
      </w:r>
      <w:r>
        <w:rPr>
          <w:rFonts w:ascii="仿宋" w:hAnsi="仿宋" w:eastAsia="仿宋"/>
          <w:lang w:eastAsia="zh-CN"/>
        </w:rPr>
        <w:t>发包人</w:t>
      </w:r>
      <w:r>
        <w:rPr>
          <w:rFonts w:hint="eastAsia" w:ascii="仿宋" w:hAnsi="仿宋" w:eastAsia="仿宋"/>
          <w:lang w:eastAsia="zh-CN"/>
        </w:rPr>
        <w:t>应</w:t>
      </w:r>
      <w:r>
        <w:rPr>
          <w:rFonts w:ascii="仿宋" w:hAnsi="仿宋" w:eastAsia="仿宋"/>
          <w:lang w:eastAsia="zh-CN"/>
        </w:rPr>
        <w:t>向承包人提供</w:t>
      </w:r>
      <w:r>
        <w:rPr>
          <w:rFonts w:hint="eastAsia" w:ascii="仿宋" w:hAnsi="仿宋" w:eastAsia="仿宋"/>
          <w:lang w:eastAsia="zh-CN"/>
        </w:rPr>
        <w:t>政府有关部门或施工图审查机构</w:t>
      </w:r>
      <w:r>
        <w:rPr>
          <w:rFonts w:ascii="仿宋" w:hAnsi="仿宋" w:eastAsia="仿宋"/>
          <w:lang w:eastAsia="zh-CN"/>
        </w:rPr>
        <w:t>的批准文件和</w:t>
      </w:r>
      <w:r>
        <w:rPr>
          <w:rFonts w:hint="eastAsia" w:ascii="仿宋" w:hAnsi="仿宋" w:eastAsia="仿宋"/>
          <w:lang w:eastAsia="zh-CN"/>
        </w:rPr>
        <w:t>审查会议</w:t>
      </w:r>
      <w:r>
        <w:rPr>
          <w:rFonts w:ascii="仿宋" w:hAnsi="仿宋" w:eastAsia="仿宋"/>
          <w:lang w:eastAsia="zh-CN"/>
        </w:rPr>
        <w:t>纪要</w:t>
      </w:r>
      <w:r>
        <w:rPr>
          <w:rFonts w:hint="eastAsia" w:ascii="仿宋" w:hAnsi="仿宋" w:eastAsia="仿宋"/>
          <w:lang w:eastAsia="zh-CN"/>
        </w:rPr>
        <w:t>。</w:t>
      </w:r>
      <w:r>
        <w:rPr>
          <w:rFonts w:ascii="仿宋" w:hAnsi="仿宋" w:eastAsia="仿宋"/>
          <w:lang w:eastAsia="zh-CN"/>
        </w:rPr>
        <w:t>承包人</w:t>
      </w:r>
      <w:r>
        <w:rPr>
          <w:rFonts w:hint="eastAsia" w:ascii="仿宋" w:hAnsi="仿宋" w:eastAsia="仿宋"/>
          <w:lang w:eastAsia="zh-CN"/>
        </w:rPr>
        <w:t>应按照相关审查批准文件和纪要对勘察报告进行补充、修改和完善。</w:t>
      </w:r>
    </w:p>
    <w:p w14:paraId="6C986469">
      <w:pPr>
        <w:widowControl w:val="0"/>
        <w:tabs>
          <w:tab w:val="left" w:pos="4970"/>
        </w:tabs>
        <w:spacing w:line="400" w:lineRule="exact"/>
        <w:ind w:left="1850" w:leftChars="771"/>
        <w:jc w:val="both"/>
        <w:rPr>
          <w:rFonts w:ascii="仿宋" w:hAnsi="仿宋" w:eastAsia="仿宋" w:cs="仿宋"/>
          <w:lang w:eastAsia="zh-CN"/>
        </w:rPr>
      </w:pPr>
      <w:r>
        <w:rPr>
          <w:rFonts w:hint="eastAsia" w:ascii="仿宋" w:hAnsi="仿宋" w:eastAsia="仿宋"/>
          <w:lang w:eastAsia="zh-CN"/>
        </w:rPr>
        <w:t>37.4.3.3经政府有关部门或</w:t>
      </w:r>
      <w:r>
        <w:rPr>
          <w:rFonts w:ascii="仿宋" w:hAnsi="仿宋" w:eastAsia="仿宋"/>
          <w:lang w:eastAsia="zh-CN"/>
        </w:rPr>
        <w:t>施工图</w:t>
      </w:r>
      <w:r>
        <w:rPr>
          <w:rFonts w:hint="eastAsia" w:ascii="仿宋" w:hAnsi="仿宋" w:eastAsia="仿宋"/>
          <w:lang w:eastAsia="zh-CN"/>
        </w:rPr>
        <w:t>审查机构审查，需要修改发包人要求的，发包人应重新提出发包人要求，通知承包人相应修改设计文件，并重新送审，承包人可根据第63条约定提出变更申请，由发包人承担增加的工程费或工程勘察费。</w:t>
      </w:r>
    </w:p>
    <w:p w14:paraId="1B327F66">
      <w:pPr>
        <w:widowControl w:val="0"/>
        <w:tabs>
          <w:tab w:val="left" w:pos="4970"/>
        </w:tabs>
        <w:spacing w:line="400" w:lineRule="exact"/>
        <w:ind w:left="1850" w:leftChars="771"/>
        <w:jc w:val="both"/>
        <w:rPr>
          <w:rFonts w:ascii="仿宋" w:hAnsi="仿宋" w:eastAsia="仿宋"/>
          <w:lang w:eastAsia="zh-CN"/>
        </w:rPr>
      </w:pPr>
      <w:r>
        <w:rPr>
          <w:rFonts w:hint="eastAsia" w:ascii="仿宋" w:hAnsi="仿宋" w:eastAsia="仿宋"/>
          <w:lang w:eastAsia="zh-CN"/>
        </w:rPr>
        <w:t xml:space="preserve">37.4.4 </w:t>
      </w:r>
      <w:r>
        <w:rPr>
          <w:rFonts w:ascii="仿宋" w:hAnsi="仿宋" w:eastAsia="仿宋"/>
          <w:lang w:eastAsia="zh-CN"/>
        </w:rPr>
        <w:t>因承包人原因造成</w:t>
      </w:r>
      <w:r>
        <w:rPr>
          <w:rFonts w:hint="eastAsia" w:ascii="仿宋" w:hAnsi="仿宋" w:eastAsia="仿宋"/>
          <w:lang w:eastAsia="zh-CN"/>
        </w:rPr>
        <w:t>勘察报告</w:t>
      </w:r>
      <w:r>
        <w:rPr>
          <w:rFonts w:ascii="仿宋" w:hAnsi="仿宋" w:eastAsia="仿宋"/>
          <w:lang w:eastAsia="zh-CN"/>
        </w:rPr>
        <w:t>存在遗漏、错误和不足的，承包人应</w:t>
      </w:r>
      <w:r>
        <w:rPr>
          <w:rFonts w:hint="eastAsia" w:ascii="仿宋" w:hAnsi="仿宋" w:eastAsia="仿宋"/>
          <w:lang w:eastAsia="zh-CN"/>
        </w:rPr>
        <w:t>补充、</w:t>
      </w:r>
      <w:r>
        <w:rPr>
          <w:rFonts w:ascii="仿宋" w:hAnsi="仿宋" w:eastAsia="仿宋"/>
          <w:lang w:eastAsia="zh-CN"/>
        </w:rPr>
        <w:t>修</w:t>
      </w:r>
      <w:r>
        <w:rPr>
          <w:rFonts w:hint="eastAsia" w:ascii="仿宋" w:hAnsi="仿宋" w:eastAsia="仿宋"/>
          <w:lang w:eastAsia="zh-CN"/>
        </w:rPr>
        <w:t>正</w:t>
      </w:r>
      <w:r>
        <w:rPr>
          <w:rFonts w:ascii="仿宋" w:hAnsi="仿宋" w:eastAsia="仿宋"/>
          <w:lang w:eastAsia="zh-CN"/>
        </w:rPr>
        <w:t>和完善</w:t>
      </w:r>
      <w:r>
        <w:rPr>
          <w:rFonts w:hint="eastAsia" w:ascii="仿宋" w:hAnsi="仿宋" w:eastAsia="仿宋"/>
          <w:lang w:eastAsia="zh-CN"/>
        </w:rPr>
        <w:t>，由此产生的费用由承包人承担</w:t>
      </w:r>
      <w:r>
        <w:rPr>
          <w:rFonts w:ascii="仿宋" w:hAnsi="仿宋" w:eastAsia="仿宋"/>
          <w:lang w:eastAsia="zh-CN"/>
        </w:rPr>
        <w:t>。</w:t>
      </w:r>
      <w:r>
        <w:rPr>
          <w:rFonts w:hint="eastAsia" w:ascii="仿宋" w:hAnsi="仿宋" w:eastAsia="仿宋"/>
          <w:lang w:eastAsia="zh-CN"/>
        </w:rPr>
        <w:t>因此对后续设计、采购、施工等造成的工期延误及费用增加由承包人承担。</w:t>
      </w:r>
    </w:p>
    <w:p w14:paraId="346607E2">
      <w:pPr>
        <w:spacing w:line="400" w:lineRule="exact"/>
        <w:ind w:left="1687" w:hanging="1687" w:hangingChars="700"/>
        <w:rPr>
          <w:rFonts w:ascii="仿宋" w:hAnsi="仿宋" w:eastAsia="仿宋" w:cs="仿宋"/>
          <w:lang w:eastAsia="zh-CN"/>
        </w:rPr>
      </w:pPr>
      <w:r>
        <w:rPr>
          <w:rFonts w:hint="eastAsia" w:ascii="仿宋" w:hAnsi="仿宋" w:eastAsia="仿宋" w:cs="仿宋"/>
          <w:b/>
          <w:bCs/>
          <w:lang w:eastAsia="zh-CN"/>
        </w:rPr>
        <w:t>37.5</w:t>
      </w:r>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2BB8F314">
      <w:pPr>
        <w:widowControl w:val="0"/>
        <w:tabs>
          <w:tab w:val="left" w:pos="4970"/>
        </w:tabs>
        <w:spacing w:line="400" w:lineRule="exact"/>
        <w:ind w:left="1850" w:leftChars="771"/>
        <w:jc w:val="both"/>
        <w:rPr>
          <w:rFonts w:ascii="仿宋" w:hAnsi="仿宋" w:eastAsia="仿宋" w:cs="仿宋"/>
          <w:lang w:eastAsia="zh-CN"/>
        </w:rPr>
      </w:pPr>
      <w:r>
        <w:rPr>
          <w:rFonts w:hint="eastAsia" w:ascii="仿宋" w:hAnsi="仿宋" w:eastAsia="仿宋" w:cs="仿宋"/>
          <w:b/>
          <w:bCs/>
        </w:rPr>
        <mc:AlternateContent>
          <mc:Choice Requires="wps">
            <w:drawing>
              <wp:anchor distT="0" distB="0" distL="114300" distR="114300" simplePos="0" relativeHeight="252006400" behindDoc="0" locked="0" layoutInCell="1" allowOverlap="1">
                <wp:simplePos x="0" y="0"/>
                <wp:positionH relativeFrom="column">
                  <wp:posOffset>-76200</wp:posOffset>
                </wp:positionH>
                <wp:positionV relativeFrom="paragraph">
                  <wp:posOffset>13970</wp:posOffset>
                </wp:positionV>
                <wp:extent cx="826135" cy="581025"/>
                <wp:effectExtent l="0" t="0" r="0" b="0"/>
                <wp:wrapNone/>
                <wp:docPr id="154" name="文本框 11"/>
                <wp:cNvGraphicFramePr/>
                <a:graphic xmlns:a="http://schemas.openxmlformats.org/drawingml/2006/main">
                  <a:graphicData uri="http://schemas.microsoft.com/office/word/2010/wordprocessingShape">
                    <wps:wsp>
                      <wps:cNvSpPr txBox="1"/>
                      <wps:spPr>
                        <a:xfrm>
                          <a:off x="0" y="0"/>
                          <a:ext cx="826135" cy="581025"/>
                        </a:xfrm>
                        <a:prstGeom prst="rect">
                          <a:avLst/>
                        </a:prstGeom>
                        <a:noFill/>
                        <a:ln w="12700">
                          <a:noFill/>
                        </a:ln>
                      </wps:spPr>
                      <wps:txbx>
                        <w:txbxContent>
                          <w:p w14:paraId="05AC92D7">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lang w:eastAsia="zh-CN"/>
                              </w:rPr>
                              <w:t>组织</w:t>
                            </w:r>
                            <w:r>
                              <w:rPr>
                                <w:rFonts w:hint="eastAsia" w:ascii="楷体_GB2312" w:hAnsi="宋体" w:eastAsia="楷体_GB2312" w:cs="楷体_GB2312"/>
                                <w:b/>
                                <w:bCs/>
                                <w:color w:val="000000"/>
                                <w:sz w:val="18"/>
                                <w:szCs w:val="18"/>
                              </w:rPr>
                              <w:t>设计与施工</w:t>
                            </w:r>
                          </w:p>
                        </w:txbxContent>
                      </wps:txbx>
                      <wps:bodyPr rot="0" vert="horz" wrap="square" lIns="91440" tIns="45720" rIns="91440" bIns="45720" anchor="t" anchorCtr="0"/>
                    </wps:wsp>
                  </a:graphicData>
                </a:graphic>
              </wp:anchor>
            </w:drawing>
          </mc:Choice>
          <mc:Fallback>
            <w:pict>
              <v:shape id="文本框 11" o:spid="_x0000_s1026" o:spt="202" type="#_x0000_t202" style="position:absolute;left:0pt;margin-left:-6pt;margin-top:1.1pt;height:45.75pt;width:65.05pt;z-index:252006400;mso-width-relative:page;mso-height-relative:page;" filled="f" stroked="f" coordsize="21600,21600" o:gfxdata="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5q2LX&#10;AAAACAEAAA8AAAAAAAAAAQAgAAAAIgAAAGRycy9kb3ducmV2LnhtbFBLAQIUABQAAAAIAIdO4kCs&#10;yWTd6AEAAL0DAAAOAAAAAAAAAAEAIAAAACYBAABkcnMvZTJvRG9jLnhtbFBLBQYAAAAABgAGAFkB&#10;AACABQAAAAA=&#10;">
                <v:fill on="f" focussize="0,0"/>
                <v:stroke on="f" weight="1pt"/>
                <v:imagedata o:title=""/>
                <o:lock v:ext="edit" aspectratio="f"/>
                <v:textbox>
                  <w:txbxContent>
                    <w:p w14:paraId="05AC92D7">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lang w:eastAsia="zh-CN"/>
                        </w:rPr>
                        <w:t>组织</w:t>
                      </w:r>
                      <w:r>
                        <w:rPr>
                          <w:rFonts w:hint="eastAsia" w:ascii="楷体_GB2312" w:hAnsi="宋体" w:eastAsia="楷体_GB2312" w:cs="楷体_GB2312"/>
                          <w:b/>
                          <w:bCs/>
                          <w:color w:val="000000"/>
                          <w:sz w:val="18"/>
                          <w:szCs w:val="18"/>
                        </w:rPr>
                        <w:t>设计与施工</w:t>
                      </w:r>
                    </w:p>
                  </w:txbxContent>
                </v:textbox>
              </v:shape>
            </w:pict>
          </mc:Fallback>
        </mc:AlternateContent>
      </w:r>
      <w:r>
        <w:rPr>
          <w:rFonts w:hint="eastAsia" w:ascii="仿宋" w:hAnsi="仿宋" w:eastAsia="仿宋" w:cs="仿宋"/>
          <w:lang w:eastAsia="zh-CN"/>
        </w:rPr>
        <w:t>承包人完成勘察阶段的工作并提交勘察报告后，应组织承包人员及施工人员开展相关工作，解释相关数据，并根据后续设计及施工需要补充勘察或修正勘察成果，因此增加的费用由承包人自行承担。</w:t>
      </w:r>
    </w:p>
    <w:p w14:paraId="241ABEBD">
      <w:pPr>
        <w:spacing w:line="400" w:lineRule="exact"/>
        <w:rPr>
          <w:rFonts w:ascii="仿宋" w:hAnsi="仿宋" w:eastAsia="仿宋" w:cs="仿宋"/>
          <w:lang w:eastAsia="zh-CN"/>
        </w:rPr>
      </w:pPr>
      <w:r>
        <w:rPr>
          <w:rFonts w:ascii="仿宋" w:hAnsi="仿宋" w:eastAsia="仿宋" w:cs="仿宋"/>
          <w:b/>
          <w:bCs/>
          <w:u w:val="single"/>
          <w:lang w:eastAsia="zh-CN"/>
        </w:rPr>
        <w:t xml:space="preserve">                                                                                     </w:t>
      </w:r>
    </w:p>
    <w:p w14:paraId="017ABBCB">
      <w:pPr>
        <w:pStyle w:val="4"/>
        <w:tabs>
          <w:tab w:val="left" w:pos="420"/>
        </w:tabs>
        <w:spacing w:before="0" w:after="0" w:line="400" w:lineRule="exact"/>
        <w:rPr>
          <w:rFonts w:ascii="仿宋" w:hAnsi="仿宋" w:eastAsia="仿宋" w:cs="仿宋"/>
          <w:bCs w:val="0"/>
          <w:sz w:val="24"/>
          <w:szCs w:val="24"/>
          <w:lang w:eastAsia="zh-CN"/>
        </w:rPr>
      </w:pPr>
      <w:bookmarkStart w:id="342" w:name="_Toc28311"/>
      <w:bookmarkStart w:id="343" w:name="_Toc194073146"/>
      <w:bookmarkStart w:id="344" w:name="_Toc26454"/>
      <w:bookmarkStart w:id="345" w:name="_Toc23314"/>
      <w:r>
        <w:rPr>
          <w:rFonts w:hint="eastAsia" w:ascii="仿宋" w:hAnsi="仿宋" w:eastAsia="仿宋" w:cs="仿宋"/>
          <w:bCs w:val="0"/>
          <w:sz w:val="24"/>
          <w:szCs w:val="24"/>
          <w:lang w:eastAsia="zh-CN"/>
        </w:rPr>
        <w:t>38  工程设计</w:t>
      </w:r>
      <w:bookmarkEnd w:id="342"/>
      <w:bookmarkEnd w:id="343"/>
      <w:bookmarkEnd w:id="344"/>
      <w:bookmarkEnd w:id="345"/>
    </w:p>
    <w:p w14:paraId="6800FA15">
      <w:pPr>
        <w:tabs>
          <w:tab w:val="left" w:pos="4970"/>
        </w:tabs>
        <w:spacing w:line="400" w:lineRule="exact"/>
        <w:rPr>
          <w:rFonts w:ascii="仿宋" w:hAnsi="仿宋" w:eastAsia="仿宋"/>
          <w:b/>
          <w:bCs/>
          <w:lang w:eastAsia="zh-CN"/>
        </w:rPr>
      </w:pPr>
      <w:r>
        <w:rPr>
          <w:b/>
          <w:bCs/>
        </w:rPr>
        <mc:AlternateContent>
          <mc:Choice Requires="wps">
            <w:drawing>
              <wp:anchor distT="0" distB="0" distL="114300" distR="114300" simplePos="0" relativeHeight="252007424" behindDoc="0" locked="0" layoutInCell="1" allowOverlap="1">
                <wp:simplePos x="0" y="0"/>
                <wp:positionH relativeFrom="column">
                  <wp:posOffset>-121920</wp:posOffset>
                </wp:positionH>
                <wp:positionV relativeFrom="paragraph">
                  <wp:posOffset>281305</wp:posOffset>
                </wp:positionV>
                <wp:extent cx="842645" cy="465455"/>
                <wp:effectExtent l="0" t="0" r="0" b="0"/>
                <wp:wrapNone/>
                <wp:docPr id="155" name="文本框 11"/>
                <wp:cNvGraphicFramePr/>
                <a:graphic xmlns:a="http://schemas.openxmlformats.org/drawingml/2006/main">
                  <a:graphicData uri="http://schemas.microsoft.com/office/word/2010/wordprocessingShape">
                    <wps:wsp>
                      <wps:cNvSpPr txBox="1"/>
                      <wps:spPr>
                        <a:xfrm>
                          <a:off x="0" y="0"/>
                          <a:ext cx="842645" cy="465455"/>
                        </a:xfrm>
                        <a:prstGeom prst="rect">
                          <a:avLst/>
                        </a:prstGeom>
                        <a:noFill/>
                        <a:ln w="12700">
                          <a:noFill/>
                        </a:ln>
                      </wps:spPr>
                      <wps:txbx>
                        <w:txbxContent>
                          <w:p w14:paraId="4FAC650D">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wps:txbx>
                      <wps:bodyPr rot="0" vert="horz" wrap="square" lIns="91440" tIns="45720" rIns="91440" bIns="45720" anchor="t" anchorCtr="0"/>
                    </wps:wsp>
                  </a:graphicData>
                </a:graphic>
              </wp:anchor>
            </w:drawing>
          </mc:Choice>
          <mc:Fallback>
            <w:pict>
              <v:shape id="文本框 11" o:spid="_x0000_s1026" o:spt="202" type="#_x0000_t202" style="position:absolute;left:0pt;margin-left:-9.6pt;margin-top:22.15pt;height:36.65pt;width:66.35pt;z-index:252007424;mso-width-relative:page;mso-height-relative:page;" filled="f" stroked="f" coordsize="21600,21600" o:gfxdata="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CScBR&#10;2AAAAAoBAAAPAAAAAAAAAAEAIAAAACIAAABkcnMvZG93bnJldi54bWxQSwECFAAUAAAACACHTuJA&#10;aKsaGOgBAAC9AwAADgAAAAAAAAABACAAAAAnAQAAZHJzL2Uyb0RvYy54bWxQSwUGAAAAAAYABgBZ&#10;AQAAgQUAAAAA&#10;">
                <v:fill on="f" focussize="0,0"/>
                <v:stroke on="f" weight="1pt"/>
                <v:imagedata o:title=""/>
                <o:lock v:ext="edit" aspectratio="f"/>
                <v:textbox>
                  <w:txbxContent>
                    <w:p w14:paraId="4FAC650D">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v:textbox>
              </v:shape>
            </w:pict>
          </mc:Fallback>
        </mc:AlternateContent>
      </w:r>
      <w:r>
        <w:rPr>
          <w:rFonts w:hint="eastAsia" w:ascii="仿宋" w:hAnsi="仿宋" w:eastAsia="仿宋"/>
          <w:b/>
          <w:bCs/>
          <w:lang w:eastAsia="zh-CN"/>
        </w:rPr>
        <w:t>38.1</w:t>
      </w:r>
    </w:p>
    <w:p w14:paraId="4DB195A2">
      <w:pPr>
        <w:widowControl w:val="0"/>
        <w:tabs>
          <w:tab w:val="left" w:pos="4970"/>
        </w:tabs>
        <w:spacing w:line="400" w:lineRule="exact"/>
        <w:ind w:left="1850" w:leftChars="771"/>
        <w:jc w:val="both"/>
        <w:rPr>
          <w:rFonts w:ascii="仿宋" w:hAnsi="仿宋" w:eastAsia="仿宋"/>
          <w:lang w:eastAsia="zh-CN"/>
        </w:rPr>
      </w:pPr>
      <w:r>
        <w:rPr>
          <w:rFonts w:hint="eastAsia" w:ascii="仿宋" w:hAnsi="仿宋" w:eastAsia="仿宋" w:cs="仿宋"/>
          <w:lang w:eastAsia="zh-CN"/>
        </w:rPr>
        <w:t>承包人在工程设计开始工作日期前，应对发包人的设计要求和所提供的项目基础资料、承包人自身完成的勘察报告或其他途径得到的现场资料的完备性和正确性进行核实，发现错漏应及时提请发包人补充完善。因发包人要求和所提供的资料存在错漏，但发包人未按承包人要求补充完善，导致工程存在缺陷或发生事故，责任由发包人承担。</w:t>
      </w:r>
    </w:p>
    <w:p w14:paraId="392F19F8">
      <w:pPr>
        <w:tabs>
          <w:tab w:val="left" w:pos="4970"/>
        </w:tabs>
        <w:spacing w:line="400" w:lineRule="exact"/>
        <w:rPr>
          <w:rFonts w:ascii="仿宋" w:hAnsi="仿宋" w:eastAsia="仿宋"/>
          <w:lang w:eastAsia="zh-CN"/>
        </w:rPr>
      </w:pPr>
      <w:r>
        <w:rPr>
          <w:rFonts w:hint="eastAsia" w:ascii="仿宋" w:hAnsi="仿宋" w:eastAsia="仿宋"/>
          <w:b/>
          <w:bCs/>
          <w:lang w:eastAsia="zh-CN"/>
        </w:rPr>
        <w:t>38.2</w:t>
      </w:r>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61AF0B06">
      <w:pPr>
        <w:widowControl w:val="0"/>
        <w:tabs>
          <w:tab w:val="left" w:pos="4970"/>
        </w:tabs>
        <w:spacing w:line="400" w:lineRule="exact"/>
        <w:ind w:left="1850" w:leftChars="771"/>
        <w:jc w:val="both"/>
        <w:rPr>
          <w:rFonts w:ascii="仿宋" w:hAnsi="仿宋" w:eastAsia="仿宋" w:cs="仿宋"/>
          <w:lang w:eastAsia="zh-CN"/>
        </w:rPr>
      </w:pPr>
      <w:r>
        <mc:AlternateContent>
          <mc:Choice Requires="wps">
            <w:drawing>
              <wp:anchor distT="0" distB="0" distL="114300" distR="114300" simplePos="0" relativeHeight="251973632" behindDoc="0" locked="0" layoutInCell="1" allowOverlap="1">
                <wp:simplePos x="0" y="0"/>
                <wp:positionH relativeFrom="column">
                  <wp:posOffset>-113665</wp:posOffset>
                </wp:positionH>
                <wp:positionV relativeFrom="paragraph">
                  <wp:posOffset>9525</wp:posOffset>
                </wp:positionV>
                <wp:extent cx="823595" cy="504825"/>
                <wp:effectExtent l="0" t="0" r="0" b="0"/>
                <wp:wrapNone/>
                <wp:docPr id="156" name="文本框 11"/>
                <wp:cNvGraphicFramePr/>
                <a:graphic xmlns:a="http://schemas.openxmlformats.org/drawingml/2006/main">
                  <a:graphicData uri="http://schemas.microsoft.com/office/word/2010/wordprocessingShape">
                    <wps:wsp>
                      <wps:cNvSpPr txBox="1"/>
                      <wps:spPr>
                        <a:xfrm>
                          <a:off x="0" y="0"/>
                          <a:ext cx="823595" cy="504825"/>
                        </a:xfrm>
                        <a:prstGeom prst="rect">
                          <a:avLst/>
                        </a:prstGeom>
                        <a:noFill/>
                        <a:ln w="12700">
                          <a:noFill/>
                        </a:ln>
                      </wps:spPr>
                      <wps:txbx>
                        <w:txbxContent>
                          <w:p w14:paraId="10B1B2E9">
                            <w:pPr>
                              <w:spacing w:line="240" w:lineRule="exact"/>
                              <w:rPr>
                                <w:rFonts w:ascii="宋体"/>
                                <w:sz w:val="18"/>
                                <w:szCs w:val="18"/>
                              </w:rPr>
                            </w:pPr>
                            <w:r>
                              <w:rPr>
                                <w:rFonts w:hint="eastAsia" w:ascii="楷体_GB2312" w:hAnsi="宋体" w:eastAsia="楷体_GB2312" w:cs="楷体_GB2312"/>
                                <w:b/>
                                <w:bCs/>
                                <w:color w:val="000000"/>
                                <w:sz w:val="18"/>
                                <w:szCs w:val="18"/>
                              </w:rPr>
                              <w:t>设计实施方案</w:t>
                            </w:r>
                          </w:p>
                        </w:txbxContent>
                      </wps:txbx>
                      <wps:bodyPr rot="0" vert="horz" wrap="square" lIns="91440" tIns="45720" rIns="91440" bIns="45720" anchor="t" anchorCtr="0"/>
                    </wps:wsp>
                  </a:graphicData>
                </a:graphic>
              </wp:anchor>
            </w:drawing>
          </mc:Choice>
          <mc:Fallback>
            <w:pict>
              <v:shape id="文本框 11" o:spid="_x0000_s1026" o:spt="202" type="#_x0000_t202" style="position:absolute;left:0pt;margin-left:-8.95pt;margin-top:0.75pt;height:39.75pt;width:64.85pt;z-index:251973632;mso-width-relative:page;mso-height-relative:page;" filled="f" stroked="f" coordsize="21600,21600" o:gfxdata="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y9HTS9UA&#10;AAAIAQAADwAAAAAAAAABACAAAAAiAAAAZHJzL2Rvd25yZXYueG1sUEsBAhQAFAAAAAgAh07iQCP7&#10;f+jpAQAAvQMAAA4AAAAAAAAAAQAgAAAAJAEAAGRycy9lMm9Eb2MueG1sUEsFBgAAAAAGAAYAWQEA&#10;AH8FAAAAAA==&#10;">
                <v:fill on="f" focussize="0,0"/>
                <v:stroke on="f" weight="1pt"/>
                <v:imagedata o:title=""/>
                <o:lock v:ext="edit" aspectratio="f"/>
                <v:textbox>
                  <w:txbxContent>
                    <w:p w14:paraId="10B1B2E9">
                      <w:pPr>
                        <w:spacing w:line="240" w:lineRule="exact"/>
                        <w:rPr>
                          <w:rFonts w:ascii="宋体"/>
                          <w:sz w:val="18"/>
                          <w:szCs w:val="18"/>
                        </w:rPr>
                      </w:pPr>
                      <w:r>
                        <w:rPr>
                          <w:rFonts w:hint="eastAsia" w:ascii="楷体_GB2312" w:hAnsi="宋体" w:eastAsia="楷体_GB2312" w:cs="楷体_GB2312"/>
                          <w:b/>
                          <w:bCs/>
                          <w:color w:val="000000"/>
                          <w:sz w:val="18"/>
                          <w:szCs w:val="18"/>
                        </w:rPr>
                        <w:t>设计实施方案</w:t>
                      </w:r>
                    </w:p>
                  </w:txbxContent>
                </v:textbox>
              </v:shape>
            </w:pict>
          </mc:Fallback>
        </mc:AlternateContent>
      </w:r>
      <w:r>
        <w:rPr>
          <w:rFonts w:hint="eastAsia" w:ascii="仿宋" w:hAnsi="仿宋" w:eastAsia="仿宋" w:cs="仿宋"/>
          <w:lang w:eastAsia="zh-CN"/>
        </w:rPr>
        <w:t>38.2.1承包人应在工程设计工作开始日期前，编制初步设计实施方案和（或）施工图设计实施方案，并按专用条款约定的方式、数量和时间报发包人审查或备案。发包人在收到承包人实施方案后，应通知设计顾问人对实施方案予以核实或审核，并在收到实施方案后的</w:t>
      </w:r>
      <w:r>
        <w:rPr>
          <w:rFonts w:ascii="仿宋" w:hAnsi="仿宋" w:eastAsia="仿宋" w:cs="仿宋"/>
          <w:lang w:eastAsia="zh-CN"/>
        </w:rPr>
        <w:t>14</w:t>
      </w:r>
      <w:r>
        <w:rPr>
          <w:rFonts w:hint="eastAsia" w:ascii="仿宋" w:hAnsi="仿宋" w:eastAsia="仿宋" w:cs="仿宋"/>
          <w:lang w:eastAsia="zh-CN"/>
        </w:rPr>
        <w:t>天内予以确定或提出修改意见，逾期不确认也不提出书面意见的，视为同意。</w:t>
      </w:r>
    </w:p>
    <w:p w14:paraId="6B89F0F8">
      <w:pPr>
        <w:widowControl w:val="0"/>
        <w:tabs>
          <w:tab w:val="left" w:pos="4970"/>
        </w:tabs>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38.2.2设计实施方案应包括项目基本情况、人员安排、工作进度、技术标准、工作量、质量保证体系以及需要发包人配合事项等。</w:t>
      </w:r>
    </w:p>
    <w:p w14:paraId="1D6AF9E9">
      <w:pPr>
        <w:tabs>
          <w:tab w:val="left" w:pos="4970"/>
        </w:tabs>
        <w:spacing w:line="400" w:lineRule="exact"/>
        <w:rPr>
          <w:rFonts w:ascii="仿宋" w:hAnsi="仿宋" w:eastAsia="仿宋"/>
          <w:lang w:eastAsia="zh-CN"/>
        </w:rPr>
      </w:pPr>
      <w:r>
        <w:rPr>
          <w:rFonts w:hint="eastAsia" w:ascii="仿宋" w:hAnsi="仿宋" w:eastAsia="仿宋"/>
          <w:b/>
          <w:bCs/>
          <w:lang w:eastAsia="zh-CN"/>
        </w:rPr>
        <w:t>38.3</w:t>
      </w:r>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1C11F9A5">
      <w:pPr>
        <w:widowControl w:val="0"/>
        <w:tabs>
          <w:tab w:val="left" w:pos="4970"/>
        </w:tabs>
        <w:spacing w:line="400" w:lineRule="exact"/>
        <w:ind w:left="1850" w:leftChars="771"/>
        <w:jc w:val="both"/>
        <w:rPr>
          <w:rFonts w:ascii="仿宋" w:hAnsi="仿宋" w:eastAsia="仿宋" w:cs="仿宋"/>
          <w:lang w:eastAsia="zh-CN"/>
        </w:rPr>
      </w:pPr>
      <w:r>
        <w:rPr>
          <w:rFonts w:hint="eastAsia" w:ascii="仿宋" w:hAnsi="仿宋" w:eastAsia="仿宋"/>
        </w:rPr>
        <mc:AlternateContent>
          <mc:Choice Requires="wps">
            <w:drawing>
              <wp:anchor distT="0" distB="0" distL="114300" distR="114300" simplePos="0" relativeHeight="252008448" behindDoc="0" locked="0" layoutInCell="1" allowOverlap="1">
                <wp:simplePos x="0" y="0"/>
                <wp:positionH relativeFrom="column">
                  <wp:posOffset>-101600</wp:posOffset>
                </wp:positionH>
                <wp:positionV relativeFrom="paragraph">
                  <wp:posOffset>18415</wp:posOffset>
                </wp:positionV>
                <wp:extent cx="765810" cy="541020"/>
                <wp:effectExtent l="0" t="0" r="0" b="0"/>
                <wp:wrapNone/>
                <wp:docPr id="157" name="文本框 11"/>
                <wp:cNvGraphicFramePr/>
                <a:graphic xmlns:a="http://schemas.openxmlformats.org/drawingml/2006/main">
                  <a:graphicData uri="http://schemas.microsoft.com/office/word/2010/wordprocessingShape">
                    <wps:wsp>
                      <wps:cNvSpPr txBox="1"/>
                      <wps:spPr>
                        <a:xfrm>
                          <a:off x="0" y="0"/>
                          <a:ext cx="765810" cy="541020"/>
                        </a:xfrm>
                        <a:prstGeom prst="rect">
                          <a:avLst/>
                        </a:prstGeom>
                        <a:noFill/>
                        <a:ln w="12700">
                          <a:noFill/>
                        </a:ln>
                      </wps:spPr>
                      <wps:txbx>
                        <w:txbxContent>
                          <w:p w14:paraId="67E0890A">
                            <w:pPr>
                              <w:spacing w:line="240" w:lineRule="exact"/>
                              <w:rPr>
                                <w:rFonts w:ascii="宋体"/>
                                <w:sz w:val="18"/>
                                <w:szCs w:val="18"/>
                              </w:rPr>
                            </w:pPr>
                            <w:r>
                              <w:rPr>
                                <w:rFonts w:hint="eastAsia" w:ascii="楷体_GB2312" w:hAnsi="宋体" w:eastAsia="楷体_GB2312" w:cs="楷体_GB2312"/>
                                <w:b/>
                                <w:bCs/>
                                <w:color w:val="000000"/>
                                <w:sz w:val="18"/>
                                <w:szCs w:val="18"/>
                              </w:rPr>
                              <w:t>设计实施</w:t>
                            </w:r>
                          </w:p>
                        </w:txbxContent>
                      </wps:txbx>
                      <wps:bodyPr rot="0" vert="horz" wrap="square" lIns="91440" tIns="45720" rIns="91440" bIns="45720" anchor="t" anchorCtr="0"/>
                    </wps:wsp>
                  </a:graphicData>
                </a:graphic>
              </wp:anchor>
            </w:drawing>
          </mc:Choice>
          <mc:Fallback>
            <w:pict>
              <v:shape id="文本框 11" o:spid="_x0000_s1026" o:spt="202" type="#_x0000_t202" style="position:absolute;left:0pt;margin-left:-8pt;margin-top:1.45pt;height:42.6pt;width:60.3pt;z-index:252008448;mso-width-relative:page;mso-height-relative:page;" filled="f" stroked="f" coordsize="21600,21600" o:gfxdata="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8QpVU&#10;1wAAAAgBAAAPAAAAAAAAAAEAIAAAACIAAABkcnMvZG93bnJldi54bWxQSwECFAAUAAAACACHTuJA&#10;AFdxSekBAAC9AwAADgAAAAAAAAABACAAAAAmAQAAZHJzL2Uyb0RvYy54bWxQSwUGAAAAAAYABgBZ&#10;AQAAgQUAAAAA&#10;">
                <v:fill on="f" focussize="0,0"/>
                <v:stroke on="f" weight="1pt"/>
                <v:imagedata o:title=""/>
                <o:lock v:ext="edit" aspectratio="f"/>
                <v:textbox>
                  <w:txbxContent>
                    <w:p w14:paraId="67E0890A">
                      <w:pPr>
                        <w:spacing w:line="240" w:lineRule="exact"/>
                        <w:rPr>
                          <w:rFonts w:ascii="宋体"/>
                          <w:sz w:val="18"/>
                          <w:szCs w:val="18"/>
                        </w:rPr>
                      </w:pPr>
                      <w:r>
                        <w:rPr>
                          <w:rFonts w:hint="eastAsia" w:ascii="楷体_GB2312" w:hAnsi="宋体" w:eastAsia="楷体_GB2312" w:cs="楷体_GB2312"/>
                          <w:b/>
                          <w:bCs/>
                          <w:color w:val="000000"/>
                          <w:sz w:val="18"/>
                          <w:szCs w:val="18"/>
                        </w:rPr>
                        <w:t>设计实施</w:t>
                      </w:r>
                    </w:p>
                  </w:txbxContent>
                </v:textbox>
              </v:shape>
            </w:pict>
          </mc:Fallback>
        </mc:AlternateContent>
      </w:r>
      <w:r>
        <w:rPr>
          <w:rFonts w:hint="eastAsia" w:ascii="仿宋" w:hAnsi="仿宋" w:eastAsia="仿宋" w:cs="仿宋"/>
          <w:lang w:eastAsia="zh-CN"/>
        </w:rPr>
        <w:t>38.3.1承包人应根据发包人审查批准或备案的设计实施方案、发包人要求、设计顾问人指示并遵守有关法律、技术标准进行初步设计和（或）施工图设计。</w:t>
      </w:r>
      <w:r>
        <w:rPr>
          <w:rFonts w:ascii="仿宋" w:hAnsi="仿宋" w:eastAsia="仿宋"/>
          <w:lang w:eastAsia="zh-CN"/>
        </w:rPr>
        <w:t>适用于发包人按单</w:t>
      </w:r>
      <w:r>
        <w:rPr>
          <w:rFonts w:hint="eastAsia" w:ascii="仿宋" w:hAnsi="仿宋" w:eastAsia="仿宋"/>
          <w:lang w:eastAsia="zh-CN"/>
        </w:rPr>
        <w:t>项</w:t>
      </w:r>
      <w:r>
        <w:rPr>
          <w:rFonts w:ascii="仿宋" w:hAnsi="仿宋" w:eastAsia="仿宋"/>
          <w:lang w:eastAsia="zh-CN"/>
        </w:rPr>
        <w:t>工程接收和（或）整个工程接收</w:t>
      </w:r>
      <w:r>
        <w:rPr>
          <w:rFonts w:hint="eastAsia" w:ascii="仿宋" w:hAnsi="仿宋" w:eastAsia="仿宋"/>
          <w:lang w:eastAsia="zh-CN"/>
        </w:rPr>
        <w:t>的标准和规范，由合同当事人在专用条款中约定</w:t>
      </w:r>
      <w:r>
        <w:rPr>
          <w:rFonts w:ascii="仿宋" w:hAnsi="仿宋" w:eastAsia="仿宋"/>
          <w:lang w:eastAsia="zh-CN"/>
        </w:rPr>
        <w:t>。</w:t>
      </w:r>
    </w:p>
    <w:p w14:paraId="4578E08F">
      <w:pPr>
        <w:widowControl w:val="0"/>
        <w:tabs>
          <w:tab w:val="left" w:pos="4970"/>
        </w:tabs>
        <w:spacing w:line="400" w:lineRule="exact"/>
        <w:ind w:left="1850" w:leftChars="771"/>
        <w:jc w:val="both"/>
        <w:rPr>
          <w:rFonts w:ascii="仿宋" w:hAnsi="仿宋" w:eastAsia="仿宋"/>
          <w:lang w:eastAsia="zh-CN"/>
        </w:rPr>
      </w:pPr>
      <w:r>
        <w:rPr>
          <w:rFonts w:hint="eastAsia" w:ascii="仿宋" w:hAnsi="仿宋" w:eastAsia="仿宋" w:cs="仿宋"/>
          <w:lang w:eastAsia="zh-CN"/>
        </w:rPr>
        <w:t>38.3.2</w:t>
      </w:r>
      <w:r>
        <w:rPr>
          <w:rFonts w:hint="eastAsia" w:ascii="仿宋" w:hAnsi="仿宋" w:eastAsia="仿宋"/>
          <w:lang w:eastAsia="zh-CN"/>
        </w:rPr>
        <w:t>承包人应按照现行有关工程建设标准规范中设计深度的规定，遵循限额设计原则开展工程设计。承包人的设计应做到功能合理、技术先进、质量可靠、施工安全、绿色环保、经济合理。</w:t>
      </w:r>
    </w:p>
    <w:p w14:paraId="621808C6">
      <w:pPr>
        <w:widowControl w:val="0"/>
        <w:tabs>
          <w:tab w:val="left" w:pos="4970"/>
        </w:tabs>
        <w:spacing w:line="400" w:lineRule="exact"/>
        <w:ind w:left="1850" w:leftChars="771"/>
        <w:jc w:val="both"/>
        <w:rPr>
          <w:rFonts w:ascii="仿宋" w:hAnsi="仿宋" w:eastAsia="仿宋"/>
          <w:lang w:eastAsia="zh-CN"/>
        </w:rPr>
      </w:pPr>
      <w:r>
        <w:rPr>
          <w:rFonts w:hint="eastAsia" w:ascii="仿宋" w:hAnsi="仿宋" w:eastAsia="仿宋"/>
          <w:lang w:eastAsia="zh-CN"/>
        </w:rPr>
        <w:t>38.3.3在</w:t>
      </w:r>
      <w:r>
        <w:rPr>
          <w:rFonts w:ascii="仿宋" w:hAnsi="仿宋" w:eastAsia="仿宋"/>
          <w:lang w:eastAsia="zh-CN"/>
        </w:rPr>
        <w:t>合同实施过程中国家颁布了新的标准或规范时，承包人应向发包人提交有关新标准、新规范的建议书。对其中的强制性标准、规范，承包人应严格遵守，发包人作为变更处理；对于非强制性的标准、规范，</w:t>
      </w:r>
      <w:r>
        <w:rPr>
          <w:rFonts w:hint="eastAsia" w:ascii="仿宋" w:hAnsi="仿宋" w:eastAsia="仿宋"/>
          <w:lang w:eastAsia="zh-CN"/>
        </w:rPr>
        <w:t>在结构超限审查、初步设计审查、施工图审查、工程验收等无风险的情况下，</w:t>
      </w:r>
      <w:r>
        <w:rPr>
          <w:rFonts w:ascii="仿宋" w:hAnsi="仿宋" w:eastAsia="仿宋"/>
          <w:lang w:eastAsia="zh-CN"/>
        </w:rPr>
        <w:t>发包人可决定采用或不采用，决定采用时，作为变更处理。</w:t>
      </w:r>
    </w:p>
    <w:p w14:paraId="01587332">
      <w:pPr>
        <w:widowControl w:val="0"/>
        <w:tabs>
          <w:tab w:val="left" w:pos="4970"/>
        </w:tabs>
        <w:spacing w:line="400" w:lineRule="exact"/>
        <w:ind w:left="1850" w:leftChars="771"/>
        <w:jc w:val="both"/>
        <w:rPr>
          <w:rFonts w:ascii="仿宋" w:hAnsi="仿宋" w:eastAsia="仿宋"/>
          <w:lang w:eastAsia="zh-CN"/>
        </w:rPr>
      </w:pPr>
      <w:r>
        <w:rPr>
          <w:rFonts w:hint="eastAsia" w:ascii="仿宋" w:hAnsi="仿宋" w:eastAsia="仿宋"/>
          <w:lang w:eastAsia="zh-CN"/>
        </w:rPr>
        <w:t>38.3.4 工程完工后需要购置设备及工器具以达到生产和运营能力的建筑物或构筑物，承包人的设计应满足其工艺流程、设备配置要求。需要</w:t>
      </w:r>
      <w:r>
        <w:rPr>
          <w:rFonts w:ascii="仿宋" w:hAnsi="仿宋" w:eastAsia="仿宋"/>
          <w:lang w:eastAsia="zh-CN"/>
        </w:rPr>
        <w:t>专利</w:t>
      </w:r>
      <w:r>
        <w:rPr>
          <w:rFonts w:hint="eastAsia" w:ascii="仿宋" w:hAnsi="仿宋" w:eastAsia="仿宋"/>
          <w:lang w:eastAsia="zh-CN"/>
        </w:rPr>
        <w:t>人、设备商</w:t>
      </w:r>
      <w:r>
        <w:rPr>
          <w:rFonts w:ascii="仿宋" w:hAnsi="仿宋" w:eastAsia="仿宋"/>
          <w:lang w:eastAsia="zh-CN"/>
        </w:rPr>
        <w:t>或发包人</w:t>
      </w:r>
      <w:r>
        <w:rPr>
          <w:rFonts w:hint="eastAsia" w:ascii="仿宋" w:hAnsi="仿宋" w:eastAsia="仿宋"/>
          <w:lang w:eastAsia="zh-CN"/>
        </w:rPr>
        <w:t>提供的相关资料，由双方在专用条款中约定。</w:t>
      </w:r>
    </w:p>
    <w:p w14:paraId="71E4B52D">
      <w:pPr>
        <w:widowControl w:val="0"/>
        <w:tabs>
          <w:tab w:val="left" w:pos="4970"/>
        </w:tabs>
        <w:spacing w:line="400" w:lineRule="exact"/>
        <w:ind w:left="1850" w:leftChars="771"/>
        <w:jc w:val="both"/>
        <w:rPr>
          <w:rFonts w:ascii="仿宋" w:hAnsi="仿宋" w:eastAsia="仿宋"/>
          <w:lang w:eastAsia="zh-CN"/>
        </w:rPr>
      </w:pPr>
      <w:r>
        <w:rPr>
          <w:rFonts w:hint="eastAsia" w:ascii="仿宋" w:hAnsi="仿宋" w:eastAsia="仿宋"/>
          <w:lang w:eastAsia="zh-CN"/>
        </w:rPr>
        <w:t>38.3.5 承包人应充分利用BIM技术进行正向设计</w:t>
      </w:r>
      <w:r>
        <w:rPr>
          <w:rFonts w:hint="eastAsia" w:ascii="仿宋" w:hAnsi="仿宋" w:eastAsia="仿宋" w:cs="仿宋"/>
          <w:lang w:eastAsia="zh-CN"/>
        </w:rPr>
        <w:t>或建模与出图同步完成的设计方式</w:t>
      </w:r>
      <w:r>
        <w:rPr>
          <w:rFonts w:hint="eastAsia" w:ascii="仿宋" w:hAnsi="仿宋" w:eastAsia="仿宋"/>
          <w:lang w:eastAsia="zh-CN"/>
        </w:rPr>
        <w:t>，通过使用建筑信息模型（BIM），优化设计成果。</w:t>
      </w:r>
    </w:p>
    <w:p w14:paraId="56D3A7FA">
      <w:pPr>
        <w:widowControl w:val="0"/>
        <w:tabs>
          <w:tab w:val="left" w:pos="4970"/>
        </w:tabs>
        <w:spacing w:line="400" w:lineRule="exact"/>
        <w:ind w:left="1850" w:leftChars="771"/>
        <w:jc w:val="both"/>
        <w:rPr>
          <w:rFonts w:ascii="仿宋" w:hAnsi="仿宋" w:eastAsia="仿宋"/>
          <w:lang w:eastAsia="zh-CN"/>
        </w:rPr>
      </w:pPr>
      <w:r>
        <w:rPr>
          <w:rFonts w:hint="eastAsia" w:ascii="仿宋" w:hAnsi="仿宋" w:eastAsia="仿宋"/>
          <w:lang w:eastAsia="zh-CN"/>
        </w:rPr>
        <w:t>38.3.6 设计过程中，承包人发现发包人提供的已立项批准或备案可研报告中的建设方案、工艺流程和（或）初步设计存在重大缺陷或需要优化，承包人应及时以书面形式向发包人及设计顾问人提出合理化建议及对工程投资费用或效益的影响程度。若合理化建议被采用，发包人作变更处理，因节约投资或产生预期效益显著，承包人可获得适当的奖励，具体在专用条款中约定。</w:t>
      </w:r>
    </w:p>
    <w:p w14:paraId="3DE8EFF9">
      <w:pPr>
        <w:tabs>
          <w:tab w:val="left" w:pos="4970"/>
        </w:tabs>
        <w:spacing w:line="400" w:lineRule="exact"/>
        <w:rPr>
          <w:rFonts w:ascii="仿宋" w:hAnsi="仿宋" w:eastAsia="仿宋"/>
          <w:b/>
          <w:bCs/>
          <w:lang w:eastAsia="zh-CN"/>
        </w:rPr>
      </w:pPr>
      <w:r>
        <mc:AlternateContent>
          <mc:Choice Requires="wps">
            <w:drawing>
              <wp:anchor distT="0" distB="0" distL="114300" distR="114300" simplePos="0" relativeHeight="252097536" behindDoc="0" locked="0" layoutInCell="1" allowOverlap="1">
                <wp:simplePos x="0" y="0"/>
                <wp:positionH relativeFrom="column">
                  <wp:posOffset>-102870</wp:posOffset>
                </wp:positionH>
                <wp:positionV relativeFrom="paragraph">
                  <wp:posOffset>278765</wp:posOffset>
                </wp:positionV>
                <wp:extent cx="813435" cy="617855"/>
                <wp:effectExtent l="0" t="0" r="0" b="0"/>
                <wp:wrapNone/>
                <wp:docPr id="158" name="文本框 12"/>
                <wp:cNvGraphicFramePr/>
                <a:graphic xmlns:a="http://schemas.openxmlformats.org/drawingml/2006/main">
                  <a:graphicData uri="http://schemas.microsoft.com/office/word/2010/wordprocessingShape">
                    <wps:wsp>
                      <wps:cNvSpPr txBox="1"/>
                      <wps:spPr>
                        <a:xfrm>
                          <a:off x="0" y="0"/>
                          <a:ext cx="813435" cy="617855"/>
                        </a:xfrm>
                        <a:prstGeom prst="rect">
                          <a:avLst/>
                        </a:prstGeom>
                        <a:noFill/>
                        <a:ln w="12700">
                          <a:noFill/>
                        </a:ln>
                      </wps:spPr>
                      <wps:txbx>
                        <w:txbxContent>
                          <w:p w14:paraId="52F912A1">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设计文件</w:t>
                            </w:r>
                          </w:p>
                        </w:txbxContent>
                      </wps:txbx>
                      <wps:bodyPr rot="0" vert="horz" wrap="square" lIns="91440" tIns="45720" rIns="91440" bIns="45720" anchor="t" anchorCtr="0"/>
                    </wps:wsp>
                  </a:graphicData>
                </a:graphic>
              </wp:anchor>
            </w:drawing>
          </mc:Choice>
          <mc:Fallback>
            <w:pict>
              <v:shape id="文本框 12" o:spid="_x0000_s1026" o:spt="202" type="#_x0000_t202" style="position:absolute;left:0pt;margin-left:-8.1pt;margin-top:21.95pt;height:48.65pt;width:64.05pt;z-index:252097536;mso-width-relative:page;mso-height-relative:page;" filled="f" stroked="f" coordsize="21600,21600" o:gfxdata="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y5wT&#10;gNcAAAAKAQAADwAAAAAAAAABACAAAAAiAAAAZHJzL2Rvd25yZXYueG1sUEsBAhQAFAAAAAgAh07i&#10;QLVvIXnqAQAAvQMAAA4AAAAAAAAAAQAgAAAAJgEAAGRycy9lMm9Eb2MueG1sUEsFBgAAAAAGAAYA&#10;WQEAAIIFAAAAAA==&#10;">
                <v:fill on="f" focussize="0,0"/>
                <v:stroke on="f" weight="1pt"/>
                <v:imagedata o:title=""/>
                <o:lock v:ext="edit" aspectratio="f"/>
                <v:textbox>
                  <w:txbxContent>
                    <w:p w14:paraId="52F912A1">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设计文件</w:t>
                      </w:r>
                    </w:p>
                  </w:txbxContent>
                </v:textbox>
              </v:shape>
            </w:pict>
          </mc:Fallback>
        </mc:AlternateContent>
      </w:r>
      <w:r>
        <w:rPr>
          <w:rFonts w:hint="eastAsia" w:ascii="仿宋" w:hAnsi="仿宋" w:eastAsia="仿宋" w:cs="仿宋"/>
          <w:b/>
          <w:bCs/>
          <w:lang w:eastAsia="zh-CN"/>
        </w:rPr>
        <w:t>38.4</w:t>
      </w:r>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0590E9A9">
      <w:pPr>
        <w:widowControl w:val="0"/>
        <w:tabs>
          <w:tab w:val="left" w:pos="4970"/>
        </w:tabs>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38.4.1承包人向发包人提交设计文件的方式、数量和时间，由双方在专用条款中约定。发包人要求增加的设计文件，费用由发包人承担；承包人内部使用的设计文件，其费用由承包人自己承担。</w:t>
      </w:r>
    </w:p>
    <w:p w14:paraId="0DC70865">
      <w:pPr>
        <w:widowControl w:val="0"/>
        <w:tabs>
          <w:tab w:val="left" w:pos="4970"/>
        </w:tabs>
        <w:spacing w:line="400" w:lineRule="exact"/>
        <w:ind w:left="1850" w:leftChars="771"/>
        <w:jc w:val="both"/>
        <w:rPr>
          <w:rFonts w:ascii="仿宋" w:hAnsi="仿宋" w:eastAsia="仿宋"/>
          <w:lang w:eastAsia="zh-CN"/>
        </w:rPr>
      </w:pPr>
      <w:r>
        <w:rPr>
          <w:rFonts w:hint="eastAsia" w:ascii="仿宋" w:hAnsi="仿宋" w:eastAsia="仿宋" w:cs="仿宋"/>
          <w:lang w:eastAsia="zh-CN"/>
        </w:rPr>
        <w:t>38.4.2承包人完成初步设计或施工图设计工作并提交设计文件后，发包人和设计顾问人应及时组织评审或审查。发包人和设计顾问人应及时签收初步设计或施工图设计文件、确认初步设计或施工图设计工作完成时间，并按专用条款约定支付工程设计费。</w:t>
      </w:r>
    </w:p>
    <w:p w14:paraId="48A16501">
      <w:pPr>
        <w:widowControl w:val="0"/>
        <w:tabs>
          <w:tab w:val="left" w:pos="4970"/>
        </w:tabs>
        <w:spacing w:line="400" w:lineRule="exact"/>
        <w:ind w:left="1850" w:leftChars="771"/>
        <w:jc w:val="both"/>
        <w:rPr>
          <w:rFonts w:ascii="仿宋" w:hAnsi="仿宋" w:eastAsia="仿宋"/>
          <w:lang w:eastAsia="zh-CN"/>
        </w:rPr>
      </w:pPr>
      <w:r>
        <w:rPr>
          <w:rFonts w:hint="eastAsia" w:ascii="仿宋" w:hAnsi="仿宋" w:eastAsia="仿宋"/>
          <w:lang w:eastAsia="zh-CN"/>
        </w:rPr>
        <w:t xml:space="preserve">38.4.3 </w:t>
      </w:r>
      <w:r>
        <w:rPr>
          <w:rFonts w:ascii="仿宋" w:hAnsi="仿宋" w:eastAsia="仿宋"/>
          <w:lang w:eastAsia="zh-CN"/>
        </w:rPr>
        <w:t>因承包人原因，造成</w:t>
      </w:r>
      <w:r>
        <w:rPr>
          <w:rFonts w:hint="eastAsia" w:ascii="仿宋" w:hAnsi="仿宋" w:eastAsia="仿宋"/>
          <w:lang w:eastAsia="zh-CN"/>
        </w:rPr>
        <w:t>初步</w:t>
      </w:r>
      <w:r>
        <w:rPr>
          <w:rFonts w:ascii="仿宋" w:hAnsi="仿宋" w:eastAsia="仿宋"/>
          <w:lang w:eastAsia="zh-CN"/>
        </w:rPr>
        <w:t>设计文件</w:t>
      </w:r>
      <w:r>
        <w:rPr>
          <w:rFonts w:hint="eastAsia" w:ascii="仿宋" w:hAnsi="仿宋" w:eastAsia="仿宋"/>
          <w:lang w:eastAsia="zh-CN"/>
        </w:rPr>
        <w:t>和（或）施工图</w:t>
      </w:r>
      <w:r>
        <w:rPr>
          <w:rFonts w:ascii="仿宋" w:hAnsi="仿宋" w:eastAsia="仿宋"/>
          <w:lang w:eastAsia="zh-CN"/>
        </w:rPr>
        <w:t>存在遗漏、错误和不足的，承包人应</w:t>
      </w:r>
      <w:r>
        <w:rPr>
          <w:rFonts w:hint="eastAsia" w:ascii="仿宋" w:hAnsi="仿宋" w:eastAsia="仿宋"/>
          <w:lang w:eastAsia="zh-CN"/>
        </w:rPr>
        <w:t>补充、</w:t>
      </w:r>
      <w:r>
        <w:rPr>
          <w:rFonts w:ascii="仿宋" w:hAnsi="仿宋" w:eastAsia="仿宋"/>
          <w:lang w:eastAsia="zh-CN"/>
        </w:rPr>
        <w:t>修</w:t>
      </w:r>
      <w:r>
        <w:rPr>
          <w:rFonts w:hint="eastAsia" w:ascii="仿宋" w:hAnsi="仿宋" w:eastAsia="仿宋"/>
          <w:lang w:eastAsia="zh-CN"/>
        </w:rPr>
        <w:t>正</w:t>
      </w:r>
      <w:r>
        <w:rPr>
          <w:rFonts w:ascii="仿宋" w:hAnsi="仿宋" w:eastAsia="仿宋"/>
          <w:lang w:eastAsia="zh-CN"/>
        </w:rPr>
        <w:t>和完善</w:t>
      </w:r>
      <w:r>
        <w:rPr>
          <w:rFonts w:hint="eastAsia" w:ascii="仿宋" w:hAnsi="仿宋" w:eastAsia="仿宋"/>
          <w:lang w:eastAsia="zh-CN"/>
        </w:rPr>
        <w:t>，由此产生的费用由承包人承担</w:t>
      </w:r>
      <w:r>
        <w:rPr>
          <w:rFonts w:ascii="仿宋" w:hAnsi="仿宋" w:eastAsia="仿宋"/>
          <w:lang w:eastAsia="zh-CN"/>
        </w:rPr>
        <w:t>。</w:t>
      </w:r>
      <w:r>
        <w:rPr>
          <w:rFonts w:hint="eastAsia" w:ascii="仿宋" w:hAnsi="仿宋" w:eastAsia="仿宋"/>
          <w:lang w:eastAsia="zh-CN"/>
        </w:rPr>
        <w:t>因此对后续设计、采购、施工等造成的工期延误及费用增加由承包人承担。</w:t>
      </w:r>
    </w:p>
    <w:p w14:paraId="23493708">
      <w:pPr>
        <w:tabs>
          <w:tab w:val="left" w:pos="4970"/>
        </w:tabs>
        <w:spacing w:line="400" w:lineRule="exact"/>
        <w:rPr>
          <w:rFonts w:ascii="仿宋" w:hAnsi="仿宋" w:eastAsia="仿宋"/>
          <w:b/>
          <w:bCs/>
          <w:lang w:eastAsia="zh-CN"/>
        </w:rPr>
      </w:pPr>
      <w:r>
        <mc:AlternateContent>
          <mc:Choice Requires="wps">
            <w:drawing>
              <wp:anchor distT="0" distB="0" distL="114300" distR="114300" simplePos="0" relativeHeight="252009472" behindDoc="0" locked="0" layoutInCell="1" allowOverlap="1">
                <wp:simplePos x="0" y="0"/>
                <wp:positionH relativeFrom="column">
                  <wp:posOffset>-102870</wp:posOffset>
                </wp:positionH>
                <wp:positionV relativeFrom="paragraph">
                  <wp:posOffset>278765</wp:posOffset>
                </wp:positionV>
                <wp:extent cx="871220" cy="828675"/>
                <wp:effectExtent l="0" t="0" r="0" b="0"/>
                <wp:wrapNone/>
                <wp:docPr id="159" name="文本框 12"/>
                <wp:cNvGraphicFramePr/>
                <a:graphic xmlns:a="http://schemas.openxmlformats.org/drawingml/2006/main">
                  <a:graphicData uri="http://schemas.microsoft.com/office/word/2010/wordprocessingShape">
                    <wps:wsp>
                      <wps:cNvSpPr txBox="1"/>
                      <wps:spPr>
                        <a:xfrm>
                          <a:off x="0" y="0"/>
                          <a:ext cx="871220" cy="828675"/>
                        </a:xfrm>
                        <a:prstGeom prst="rect">
                          <a:avLst/>
                        </a:prstGeom>
                        <a:noFill/>
                        <a:ln w="12700">
                          <a:noFill/>
                        </a:ln>
                      </wps:spPr>
                      <wps:txbx>
                        <w:txbxContent>
                          <w:p w14:paraId="63DB57B2">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 xml:space="preserve">装配式建筑设计的一般要求 </w:t>
                            </w:r>
                          </w:p>
                        </w:txbxContent>
                      </wps:txbx>
                      <wps:bodyPr rot="0" vert="horz" wrap="square" lIns="91440" tIns="45720" rIns="91440" bIns="45720" anchor="t" anchorCtr="0"/>
                    </wps:wsp>
                  </a:graphicData>
                </a:graphic>
              </wp:anchor>
            </w:drawing>
          </mc:Choice>
          <mc:Fallback>
            <w:pict>
              <v:shape id="文本框 12" o:spid="_x0000_s1026" o:spt="202" type="#_x0000_t202" style="position:absolute;left:0pt;margin-left:-8.1pt;margin-top:21.95pt;height:65.25pt;width:68.6pt;z-index:252009472;mso-width-relative:page;mso-height-relative:page;" filled="f" stroked="f" coordsize="21600,21600" o:gfxdata="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J9eAF&#10;2AAAAAoBAAAPAAAAAAAAAAEAIAAAACIAAABkcnMvZG93bnJldi54bWxQSwECFAAUAAAACACHTuJA&#10;az01++gBAAC9AwAADgAAAAAAAAABACAAAAAnAQAAZHJzL2Uyb0RvYy54bWxQSwUGAAAAAAYABgBZ&#10;AQAAgQUAAAAA&#10;">
                <v:fill on="f" focussize="0,0"/>
                <v:stroke on="f" weight="1pt"/>
                <v:imagedata o:title=""/>
                <o:lock v:ext="edit" aspectratio="f"/>
                <v:textbox>
                  <w:txbxContent>
                    <w:p w14:paraId="63DB57B2">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 xml:space="preserve">装配式建筑设计的一般要求 </w:t>
                      </w:r>
                    </w:p>
                  </w:txbxContent>
                </v:textbox>
              </v:shape>
            </w:pict>
          </mc:Fallback>
        </mc:AlternateContent>
      </w:r>
      <w:r>
        <w:rPr>
          <w:rFonts w:hint="eastAsia" w:ascii="仿宋" w:hAnsi="仿宋" w:eastAsia="仿宋" w:cs="仿宋"/>
          <w:b/>
          <w:bCs/>
          <w:lang w:eastAsia="zh-CN"/>
        </w:rPr>
        <w:t>38.5</w:t>
      </w:r>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3668D3E0">
      <w:pPr>
        <w:widowControl w:val="0"/>
        <w:tabs>
          <w:tab w:val="left" w:pos="4970"/>
        </w:tabs>
        <w:spacing w:line="400" w:lineRule="exact"/>
        <w:ind w:left="1850" w:leftChars="771"/>
        <w:jc w:val="both"/>
        <w:rPr>
          <w:rFonts w:ascii="仿宋" w:hAnsi="仿宋" w:eastAsia="仿宋"/>
          <w:lang w:eastAsia="zh-CN"/>
        </w:rPr>
      </w:pPr>
      <w:r>
        <w:rPr>
          <w:rFonts w:hint="eastAsia" w:ascii="仿宋" w:hAnsi="仿宋" w:eastAsia="仿宋"/>
          <w:lang w:eastAsia="zh-CN"/>
        </w:rPr>
        <w:t>38.5.1发包人要求采用装配式建筑的，承包人应本着工厂化、标准化、模块化、集成化、体系化、绿色环保、经济合理等原则，遵守国家、广东省及广州市有关装配式技术标准与规范进行设计。具体采用的相关技术标准、规范、要求和装配率评价选用标准、各装配式单体工程名称及其装配率（或评价等级）在专用条款中约定。</w:t>
      </w:r>
    </w:p>
    <w:p w14:paraId="48E34D8D">
      <w:pPr>
        <w:widowControl w:val="0"/>
        <w:tabs>
          <w:tab w:val="left" w:pos="4970"/>
        </w:tabs>
        <w:spacing w:line="400" w:lineRule="exact"/>
        <w:ind w:left="1850" w:leftChars="771"/>
        <w:jc w:val="both"/>
        <w:rPr>
          <w:rFonts w:ascii="仿宋" w:hAnsi="仿宋" w:eastAsia="仿宋"/>
          <w:lang w:eastAsia="zh-CN"/>
        </w:rPr>
      </w:pPr>
      <w:r>
        <w:rPr>
          <w:rFonts w:hint="eastAsia" w:ascii="仿宋" w:hAnsi="仿宋" w:eastAsia="仿宋"/>
          <w:lang w:eastAsia="zh-CN"/>
        </w:rPr>
        <w:t>38.5.2承包人应任命本单位专业人员担任承包人设计代表（承包人为联合体时，应由具有符合项目规模要求的设计单位委派专业人员担任），统筹装配式构件的设计、生产、运输、吊装和拼接，加强协同管理，并建立基于建筑信息模型（BIM）的装配式构件生产管理信息系统，对构件进行编码管理，保证工程质量。</w:t>
      </w:r>
    </w:p>
    <w:p w14:paraId="441C59F3">
      <w:pPr>
        <w:tabs>
          <w:tab w:val="left" w:pos="4970"/>
        </w:tabs>
        <w:spacing w:line="400" w:lineRule="exact"/>
        <w:rPr>
          <w:rFonts w:ascii="仿宋" w:hAnsi="仿宋" w:eastAsia="仿宋"/>
          <w:b/>
          <w:bCs/>
          <w:lang w:eastAsia="zh-CN"/>
        </w:rPr>
      </w:pPr>
      <w:r>
        <mc:AlternateContent>
          <mc:Choice Requires="wps">
            <w:drawing>
              <wp:anchor distT="0" distB="0" distL="114300" distR="114300" simplePos="0" relativeHeight="252010496" behindDoc="0" locked="0" layoutInCell="1" allowOverlap="1">
                <wp:simplePos x="0" y="0"/>
                <wp:positionH relativeFrom="column">
                  <wp:posOffset>-102870</wp:posOffset>
                </wp:positionH>
                <wp:positionV relativeFrom="paragraph">
                  <wp:posOffset>278765</wp:posOffset>
                </wp:positionV>
                <wp:extent cx="765810" cy="408305"/>
                <wp:effectExtent l="0" t="0" r="0" b="0"/>
                <wp:wrapNone/>
                <wp:docPr id="160" name="文本框 12"/>
                <wp:cNvGraphicFramePr/>
                <a:graphic xmlns:a="http://schemas.openxmlformats.org/drawingml/2006/main">
                  <a:graphicData uri="http://schemas.microsoft.com/office/word/2010/wordprocessingShape">
                    <wps:wsp>
                      <wps:cNvSpPr txBox="1"/>
                      <wps:spPr>
                        <a:xfrm>
                          <a:off x="0" y="0"/>
                          <a:ext cx="765810" cy="408305"/>
                        </a:xfrm>
                        <a:prstGeom prst="rect">
                          <a:avLst/>
                        </a:prstGeom>
                        <a:noFill/>
                        <a:ln w="12700">
                          <a:noFill/>
                        </a:ln>
                      </wps:spPr>
                      <wps:txbx>
                        <w:txbxContent>
                          <w:p w14:paraId="7F00BCF9">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设计审查</w:t>
                            </w:r>
                          </w:p>
                        </w:txbxContent>
                      </wps:txbx>
                      <wps:bodyPr rot="0" vert="horz" wrap="square" lIns="91440" tIns="45720" rIns="91440" bIns="45720" anchor="t" anchorCtr="0"/>
                    </wps:wsp>
                  </a:graphicData>
                </a:graphic>
              </wp:anchor>
            </w:drawing>
          </mc:Choice>
          <mc:Fallback>
            <w:pict>
              <v:shape id="文本框 12" o:spid="_x0000_s1026" o:spt="202" type="#_x0000_t202" style="position:absolute;left:0pt;margin-left:-8.1pt;margin-top:21.95pt;height:32.15pt;width:60.3pt;z-index:252010496;mso-width-relative:page;mso-height-relative:page;" filled="f" stroked="f" coordsize="21600,21600" o:gfxdata="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4zJJo1wAA&#10;AAoBAAAPAAAAAAAAAAEAIAAAACIAAABkcnMvZG93bnJldi54bWxQSwECFAAUAAAACACHTuJA/KVq&#10;AuYBAAC9AwAADgAAAAAAAAABACAAAAAmAQAAZHJzL2Uyb0RvYy54bWxQSwUGAAAAAAYABgBZAQAA&#10;fgUAAAAA&#10;">
                <v:fill on="f" focussize="0,0"/>
                <v:stroke on="f" weight="1pt"/>
                <v:imagedata o:title=""/>
                <o:lock v:ext="edit" aspectratio="f"/>
                <v:textbox>
                  <w:txbxContent>
                    <w:p w14:paraId="7F00BCF9">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设计审查</w:t>
                      </w:r>
                    </w:p>
                  </w:txbxContent>
                </v:textbox>
              </v:shape>
            </w:pict>
          </mc:Fallback>
        </mc:AlternateContent>
      </w:r>
      <w:r>
        <w:rPr>
          <w:rFonts w:hint="eastAsia" w:ascii="仿宋" w:hAnsi="仿宋" w:eastAsia="仿宋" w:cs="仿宋"/>
          <w:b/>
          <w:bCs/>
          <w:lang w:eastAsia="zh-CN"/>
        </w:rPr>
        <w:t>38.6</w:t>
      </w:r>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512DB6EA">
      <w:pPr>
        <w:widowControl w:val="0"/>
        <w:tabs>
          <w:tab w:val="left" w:pos="4970"/>
        </w:tabs>
        <w:spacing w:line="400" w:lineRule="exact"/>
        <w:ind w:left="1850" w:leftChars="771"/>
        <w:jc w:val="both"/>
        <w:rPr>
          <w:rFonts w:ascii="仿宋" w:hAnsi="仿宋" w:eastAsia="仿宋"/>
          <w:lang w:eastAsia="zh-CN"/>
        </w:rPr>
      </w:pPr>
      <w:r>
        <w:rPr>
          <w:rFonts w:hint="eastAsia" w:ascii="仿宋" w:hAnsi="仿宋" w:eastAsia="仿宋"/>
          <w:lang w:eastAsia="zh-CN"/>
        </w:rPr>
        <w:t>38.6.1发包人审查</w:t>
      </w:r>
    </w:p>
    <w:p w14:paraId="0F7E637E">
      <w:pPr>
        <w:widowControl w:val="0"/>
        <w:tabs>
          <w:tab w:val="left" w:pos="4970"/>
        </w:tabs>
        <w:spacing w:line="400" w:lineRule="exact"/>
        <w:ind w:left="1850" w:leftChars="771"/>
        <w:jc w:val="both"/>
        <w:rPr>
          <w:rFonts w:ascii="仿宋" w:hAnsi="仿宋" w:eastAsia="仿宋"/>
          <w:lang w:eastAsia="zh-CN"/>
        </w:rPr>
      </w:pPr>
      <w:r>
        <w:rPr>
          <w:rFonts w:hint="eastAsia" w:ascii="仿宋" w:hAnsi="仿宋" w:eastAsia="仿宋"/>
          <w:lang w:eastAsia="zh-CN"/>
        </w:rPr>
        <w:t>38.6.1.1承包人的初步设计文件和（或）施工图应报发包人审查同意。审查的范围和内容在发包人要求中明确，审查标准应符合有关法律、技术标准和发包人要求。涉及重大设计技术问题的，承包人应及时向发包人提出书面审查申请。</w:t>
      </w:r>
    </w:p>
    <w:p w14:paraId="2BFF5EBB">
      <w:pPr>
        <w:widowControl w:val="0"/>
        <w:tabs>
          <w:tab w:val="left" w:pos="4970"/>
        </w:tabs>
        <w:spacing w:line="400" w:lineRule="exact"/>
        <w:ind w:left="1850" w:leftChars="771"/>
        <w:jc w:val="both"/>
        <w:rPr>
          <w:rFonts w:ascii="仿宋" w:hAnsi="仿宋" w:eastAsia="仿宋"/>
          <w:lang w:eastAsia="zh-CN"/>
        </w:rPr>
      </w:pPr>
      <w:r>
        <w:rPr>
          <w:rFonts w:hint="eastAsia" w:ascii="仿宋" w:hAnsi="仿宋" w:eastAsia="仿宋"/>
          <w:lang w:eastAsia="zh-CN"/>
        </w:rPr>
        <w:t>38.6.1.2除专用条款另有约定外，自发包人收到承包人的设计文件以及承包人的书面通知之日起，</w:t>
      </w:r>
      <w:r>
        <w:rPr>
          <w:rFonts w:hint="eastAsia" w:ascii="仿宋" w:hAnsi="仿宋" w:eastAsia="仿宋" w:cs="仿宋"/>
          <w:lang w:eastAsia="zh-CN"/>
        </w:rPr>
        <w:t>应及时通知设计顾问人对设计文件予以核实或审核并完成发包人审查，</w:t>
      </w:r>
      <w:r>
        <w:rPr>
          <w:rFonts w:hint="eastAsia" w:ascii="仿宋" w:hAnsi="仿宋" w:eastAsia="仿宋"/>
          <w:lang w:eastAsia="zh-CN"/>
        </w:rPr>
        <w:t>发包人对承包人的设计文件审查期不超过21天。</w:t>
      </w:r>
    </w:p>
    <w:p w14:paraId="5424CE92">
      <w:pPr>
        <w:widowControl w:val="0"/>
        <w:tabs>
          <w:tab w:val="left" w:pos="4970"/>
        </w:tabs>
        <w:spacing w:line="400" w:lineRule="exact"/>
        <w:ind w:left="1850" w:leftChars="771"/>
        <w:jc w:val="both"/>
        <w:rPr>
          <w:rFonts w:ascii="仿宋" w:hAnsi="仿宋" w:eastAsia="仿宋"/>
          <w:lang w:eastAsia="zh-CN"/>
        </w:rPr>
      </w:pPr>
      <w:r>
        <w:rPr>
          <w:rFonts w:hint="eastAsia" w:ascii="仿宋" w:hAnsi="仿宋" w:eastAsia="仿宋"/>
          <w:lang w:eastAsia="zh-CN"/>
        </w:rPr>
        <w:t>38.6.1.3发包人经审查不同意承包人的设计文件的，应以书面形式通知承包人，并说明不符合合同约定的具体内容。承包人应对设计文件修正完善后重新送审，审查期重新起算。如果发包人的审查意见超出或更改了发包人的要求，承包人可根据第63条约定提出变更申请，由发包人承担增加的工程费或工程设计费。</w:t>
      </w:r>
    </w:p>
    <w:p w14:paraId="2B4B14DF">
      <w:pPr>
        <w:widowControl w:val="0"/>
        <w:tabs>
          <w:tab w:val="left" w:pos="4970"/>
        </w:tabs>
        <w:spacing w:line="400" w:lineRule="exact"/>
        <w:ind w:left="1850" w:leftChars="771"/>
        <w:jc w:val="both"/>
        <w:rPr>
          <w:rFonts w:ascii="仿宋" w:hAnsi="仿宋" w:eastAsia="仿宋"/>
          <w:lang w:eastAsia="zh-CN"/>
        </w:rPr>
      </w:pPr>
      <w:r>
        <w:rPr>
          <w:rFonts w:hint="eastAsia" w:ascii="仿宋" w:hAnsi="仿宋" w:eastAsia="仿宋"/>
          <w:lang w:eastAsia="zh-CN"/>
        </w:rPr>
        <w:t>38.6.1.4发包人经审查同意承包人的设计文件的，应以书面形式通知承包人。合同约定的审查期满，发包人没有做出审查结论也没有提出异议的，视为承包人送审的设计文件已获发包人同意。</w:t>
      </w:r>
    </w:p>
    <w:p w14:paraId="42E389FE">
      <w:pPr>
        <w:widowControl w:val="0"/>
        <w:tabs>
          <w:tab w:val="left" w:pos="4970"/>
        </w:tabs>
        <w:spacing w:line="400" w:lineRule="exact"/>
        <w:ind w:left="1850" w:leftChars="771"/>
        <w:jc w:val="both"/>
        <w:rPr>
          <w:rFonts w:ascii="仿宋" w:hAnsi="仿宋" w:eastAsia="仿宋"/>
          <w:lang w:eastAsia="zh-CN"/>
        </w:rPr>
      </w:pPr>
      <w:r>
        <w:rPr>
          <w:rFonts w:hint="eastAsia" w:ascii="仿宋" w:hAnsi="仿宋" w:eastAsia="仿宋"/>
          <w:lang w:eastAsia="zh-CN"/>
        </w:rPr>
        <w:t>38.6.1.5 承包人的设计文件不需要政府有关部门审查或批准的，承包人应依据发包人审查同意的初步设计进行施工图设计，或依据发包人审查同意的施工图组织施工。</w:t>
      </w:r>
    </w:p>
    <w:p w14:paraId="26FED67A">
      <w:pPr>
        <w:widowControl w:val="0"/>
        <w:tabs>
          <w:tab w:val="left" w:pos="4970"/>
        </w:tabs>
        <w:spacing w:line="400" w:lineRule="exact"/>
        <w:ind w:left="1850" w:leftChars="771"/>
        <w:jc w:val="both"/>
        <w:rPr>
          <w:rFonts w:ascii="仿宋" w:hAnsi="仿宋" w:eastAsia="仿宋"/>
          <w:lang w:eastAsia="zh-CN"/>
        </w:rPr>
      </w:pPr>
      <w:r>
        <w:rPr>
          <w:rFonts w:hint="eastAsia" w:ascii="仿宋" w:hAnsi="仿宋" w:eastAsia="仿宋"/>
          <w:lang w:eastAsia="zh-CN"/>
        </w:rPr>
        <w:t>38.6.2政府部门审查或批准</w:t>
      </w:r>
    </w:p>
    <w:p w14:paraId="78A911C4">
      <w:pPr>
        <w:widowControl w:val="0"/>
        <w:tabs>
          <w:tab w:val="left" w:pos="4970"/>
        </w:tabs>
        <w:spacing w:line="400" w:lineRule="exact"/>
        <w:ind w:left="1850" w:leftChars="771"/>
        <w:jc w:val="both"/>
        <w:rPr>
          <w:rFonts w:ascii="仿宋" w:hAnsi="仿宋" w:eastAsia="仿宋"/>
          <w:lang w:eastAsia="zh-CN"/>
        </w:rPr>
      </w:pPr>
      <w:r>
        <w:rPr>
          <w:rFonts w:hint="eastAsia" w:ascii="仿宋" w:hAnsi="仿宋" w:eastAsia="仿宋"/>
          <w:lang w:eastAsia="zh-CN"/>
        </w:rPr>
        <w:t>38.6.2.1 承包人的初步设计文件和（或）施工图需政府有关部门或施工图审查机构审查或批准的，发包人应在审查同意后7天内，向政府有关部门或施工图审查机构报送设计文件，承包人应</w:t>
      </w:r>
      <w:r>
        <w:rPr>
          <w:rFonts w:ascii="仿宋" w:hAnsi="仿宋" w:eastAsia="仿宋"/>
          <w:lang w:eastAsia="zh-CN"/>
        </w:rPr>
        <w:t>予以</w:t>
      </w:r>
      <w:r>
        <w:rPr>
          <w:rFonts w:hint="eastAsia" w:ascii="仿宋" w:hAnsi="仿宋" w:eastAsia="仿宋"/>
          <w:lang w:eastAsia="zh-CN"/>
        </w:rPr>
        <w:t>协助。</w:t>
      </w:r>
    </w:p>
    <w:p w14:paraId="7AE04755">
      <w:pPr>
        <w:widowControl w:val="0"/>
        <w:tabs>
          <w:tab w:val="left" w:pos="4970"/>
        </w:tabs>
        <w:spacing w:line="400" w:lineRule="exact"/>
        <w:ind w:left="1850" w:leftChars="771"/>
        <w:jc w:val="both"/>
        <w:rPr>
          <w:rFonts w:ascii="仿宋" w:hAnsi="仿宋" w:eastAsia="仿宋"/>
          <w:lang w:eastAsia="zh-CN"/>
        </w:rPr>
      </w:pPr>
      <w:r>
        <w:rPr>
          <w:rFonts w:hint="eastAsia" w:ascii="仿宋" w:hAnsi="仿宋" w:eastAsia="仿宋"/>
          <w:lang w:eastAsia="zh-CN"/>
        </w:rPr>
        <w:t>38.6.2.2</w:t>
      </w:r>
      <w:r>
        <w:rPr>
          <w:rFonts w:ascii="仿宋" w:hAnsi="仿宋" w:eastAsia="仿宋"/>
          <w:lang w:eastAsia="zh-CN"/>
        </w:rPr>
        <w:t>发包人</w:t>
      </w:r>
      <w:r>
        <w:rPr>
          <w:rFonts w:hint="eastAsia" w:ascii="仿宋" w:hAnsi="仿宋" w:eastAsia="仿宋"/>
          <w:lang w:eastAsia="zh-CN"/>
        </w:rPr>
        <w:t>应</w:t>
      </w:r>
      <w:r>
        <w:rPr>
          <w:rFonts w:ascii="仿宋" w:hAnsi="仿宋" w:eastAsia="仿宋"/>
          <w:lang w:eastAsia="zh-CN"/>
        </w:rPr>
        <w:t>向承包人提供</w:t>
      </w:r>
      <w:r>
        <w:rPr>
          <w:rFonts w:hint="eastAsia" w:ascii="仿宋" w:hAnsi="仿宋" w:eastAsia="仿宋"/>
          <w:lang w:eastAsia="zh-CN"/>
        </w:rPr>
        <w:t>政府有关部门或施工图审查机构</w:t>
      </w:r>
      <w:r>
        <w:rPr>
          <w:rFonts w:ascii="仿宋" w:hAnsi="仿宋" w:eastAsia="仿宋"/>
          <w:lang w:eastAsia="zh-CN"/>
        </w:rPr>
        <w:t>的批准文件和</w:t>
      </w:r>
      <w:r>
        <w:rPr>
          <w:rFonts w:hint="eastAsia" w:ascii="仿宋" w:hAnsi="仿宋" w:eastAsia="仿宋"/>
          <w:lang w:eastAsia="zh-CN"/>
        </w:rPr>
        <w:t>审查意见。</w:t>
      </w:r>
      <w:r>
        <w:rPr>
          <w:rFonts w:ascii="仿宋" w:hAnsi="仿宋" w:eastAsia="仿宋"/>
          <w:lang w:eastAsia="zh-CN"/>
        </w:rPr>
        <w:t>承包人</w:t>
      </w:r>
      <w:r>
        <w:rPr>
          <w:rFonts w:hint="eastAsia" w:ascii="仿宋" w:hAnsi="仿宋" w:eastAsia="仿宋"/>
          <w:lang w:eastAsia="zh-CN"/>
        </w:rPr>
        <w:t>应按照相关审查批准文件对设计文件进行补充、修改和完善。</w:t>
      </w:r>
    </w:p>
    <w:p w14:paraId="555DD261">
      <w:pPr>
        <w:widowControl w:val="0"/>
        <w:tabs>
          <w:tab w:val="left" w:pos="4970"/>
        </w:tabs>
        <w:spacing w:line="400" w:lineRule="exact"/>
        <w:ind w:left="1850" w:leftChars="771"/>
        <w:jc w:val="both"/>
        <w:rPr>
          <w:rFonts w:ascii="仿宋" w:hAnsi="仿宋" w:eastAsia="仿宋"/>
          <w:lang w:eastAsia="zh-CN"/>
        </w:rPr>
      </w:pPr>
      <w:r>
        <w:rPr>
          <w:rFonts w:hint="eastAsia" w:ascii="仿宋" w:hAnsi="仿宋" w:eastAsia="仿宋"/>
          <w:lang w:eastAsia="zh-CN"/>
        </w:rPr>
        <w:t>38.6.2.3经政府有关部门或</w:t>
      </w:r>
      <w:r>
        <w:rPr>
          <w:rFonts w:ascii="仿宋" w:hAnsi="仿宋" w:eastAsia="仿宋"/>
          <w:lang w:eastAsia="zh-CN"/>
        </w:rPr>
        <w:t>施工图</w:t>
      </w:r>
      <w:r>
        <w:rPr>
          <w:rFonts w:hint="eastAsia" w:ascii="仿宋" w:hAnsi="仿宋" w:eastAsia="仿宋"/>
          <w:lang w:eastAsia="zh-CN"/>
        </w:rPr>
        <w:t>审查机构审查，需要修改发包人要求的，发包人应重新提出发包人要求，通知承包人相应修改设计文件，并重新送审，承包人可根据第63条约定提出变更申请，由发包人承担增加的工程费或工程设计费。</w:t>
      </w:r>
    </w:p>
    <w:p w14:paraId="644A23D3">
      <w:pPr>
        <w:widowControl w:val="0"/>
        <w:tabs>
          <w:tab w:val="left" w:pos="4970"/>
        </w:tabs>
        <w:spacing w:line="400" w:lineRule="exact"/>
        <w:ind w:left="1850" w:leftChars="771"/>
        <w:jc w:val="both"/>
        <w:rPr>
          <w:rFonts w:ascii="仿宋" w:hAnsi="仿宋" w:eastAsia="仿宋"/>
          <w:lang w:eastAsia="zh-CN"/>
        </w:rPr>
      </w:pPr>
      <w:r>
        <w:rPr>
          <w:rFonts w:hint="eastAsia" w:ascii="仿宋" w:hAnsi="仿宋" w:eastAsia="仿宋"/>
          <w:lang w:eastAsia="zh-CN"/>
        </w:rPr>
        <w:t>38.6.3 审查会议</w:t>
      </w:r>
    </w:p>
    <w:p w14:paraId="4C5F9348">
      <w:pPr>
        <w:widowControl w:val="0"/>
        <w:tabs>
          <w:tab w:val="left" w:pos="4970"/>
        </w:tabs>
        <w:spacing w:line="400" w:lineRule="exact"/>
        <w:ind w:left="1850" w:leftChars="771"/>
        <w:jc w:val="both"/>
        <w:rPr>
          <w:rFonts w:ascii="仿宋" w:hAnsi="仿宋" w:eastAsia="仿宋"/>
          <w:lang w:eastAsia="zh-CN"/>
        </w:rPr>
      </w:pPr>
      <w:r>
        <w:rPr>
          <w:rFonts w:hint="eastAsia" w:ascii="仿宋" w:hAnsi="仿宋" w:eastAsia="仿宋"/>
          <w:lang w:eastAsia="zh-CN"/>
        </w:rPr>
        <w:t>38.6.3.1 承包人向发包人送审初步设计文件和（或）施工图前，应组织相关专家对设计文件进行评审，通知</w:t>
      </w:r>
      <w:r>
        <w:rPr>
          <w:rFonts w:ascii="仿宋" w:hAnsi="仿宋" w:eastAsia="仿宋"/>
          <w:lang w:eastAsia="zh-CN"/>
        </w:rPr>
        <w:t>发包</w:t>
      </w:r>
      <w:r>
        <w:rPr>
          <w:rFonts w:hint="eastAsia" w:ascii="仿宋" w:hAnsi="仿宋" w:eastAsia="仿宋"/>
          <w:lang w:eastAsia="zh-CN"/>
        </w:rPr>
        <w:t>人及设计顾问人、监理人、造价咨询人等相关方参加，根据专家评审意见修正设计文件，相关会议及评审费用由承包人自行承担。</w:t>
      </w:r>
    </w:p>
    <w:p w14:paraId="2009795D">
      <w:pPr>
        <w:widowControl w:val="0"/>
        <w:tabs>
          <w:tab w:val="left" w:pos="4970"/>
        </w:tabs>
        <w:spacing w:line="400" w:lineRule="exact"/>
        <w:ind w:left="1850" w:leftChars="771"/>
        <w:jc w:val="both"/>
        <w:rPr>
          <w:rFonts w:ascii="仿宋" w:hAnsi="仿宋" w:eastAsia="仿宋"/>
          <w:lang w:eastAsia="zh-CN"/>
        </w:rPr>
      </w:pPr>
      <w:r>
        <w:rPr>
          <w:rFonts w:hint="eastAsia" w:ascii="仿宋" w:hAnsi="仿宋" w:eastAsia="仿宋"/>
          <w:lang w:eastAsia="zh-CN"/>
        </w:rPr>
        <w:t>38.6.3.2发包人需要组织审查会议的，审查会议的审查形式和时间安排应在专用条款中约定，相关会议费用及评审费用由发包人承担。</w:t>
      </w:r>
      <w:r>
        <w:rPr>
          <w:rFonts w:ascii="仿宋" w:hAnsi="仿宋" w:eastAsia="仿宋"/>
          <w:lang w:eastAsia="zh-CN"/>
        </w:rPr>
        <w:t>承包人</w:t>
      </w:r>
      <w:r>
        <w:rPr>
          <w:rFonts w:hint="eastAsia" w:ascii="仿宋" w:hAnsi="仿宋" w:eastAsia="仿宋"/>
          <w:lang w:eastAsia="zh-CN"/>
        </w:rPr>
        <w:t>应</w:t>
      </w:r>
      <w:r>
        <w:rPr>
          <w:rFonts w:ascii="仿宋" w:hAnsi="仿宋" w:eastAsia="仿宋"/>
          <w:lang w:eastAsia="zh-CN"/>
        </w:rPr>
        <w:t>协助发包人组织设计审查会议</w:t>
      </w:r>
      <w:r>
        <w:rPr>
          <w:rFonts w:hint="eastAsia" w:ascii="仿宋" w:hAnsi="仿宋" w:eastAsia="仿宋"/>
          <w:lang w:eastAsia="zh-CN"/>
        </w:rPr>
        <w:t>，</w:t>
      </w:r>
      <w:r>
        <w:rPr>
          <w:rFonts w:ascii="仿宋" w:hAnsi="仿宋" w:eastAsia="仿宋"/>
          <w:lang w:eastAsia="zh-CN"/>
        </w:rPr>
        <w:t>向审查</w:t>
      </w:r>
      <w:r>
        <w:rPr>
          <w:rFonts w:hint="eastAsia" w:ascii="仿宋" w:hAnsi="仿宋" w:eastAsia="仿宋"/>
          <w:lang w:eastAsia="zh-CN"/>
        </w:rPr>
        <w:t>人员</w:t>
      </w:r>
      <w:r>
        <w:rPr>
          <w:rFonts w:ascii="仿宋" w:hAnsi="仿宋" w:eastAsia="仿宋"/>
          <w:lang w:eastAsia="zh-CN"/>
        </w:rPr>
        <w:t>介绍、解答、解释其设计文件，并提供</w:t>
      </w:r>
      <w:r>
        <w:rPr>
          <w:rFonts w:hint="eastAsia" w:ascii="仿宋" w:hAnsi="仿宋" w:eastAsia="仿宋"/>
          <w:lang w:eastAsia="zh-CN"/>
        </w:rPr>
        <w:t>有关补充</w:t>
      </w:r>
      <w:r>
        <w:rPr>
          <w:rFonts w:ascii="仿宋" w:hAnsi="仿宋" w:eastAsia="仿宋"/>
          <w:lang w:eastAsia="zh-CN"/>
        </w:rPr>
        <w:t>资料。</w:t>
      </w:r>
    </w:p>
    <w:p w14:paraId="74EDF1AC">
      <w:pPr>
        <w:widowControl w:val="0"/>
        <w:tabs>
          <w:tab w:val="left" w:pos="4970"/>
        </w:tabs>
        <w:spacing w:line="400" w:lineRule="exact"/>
        <w:ind w:left="1850" w:leftChars="771"/>
        <w:jc w:val="both"/>
        <w:rPr>
          <w:rFonts w:ascii="仿宋" w:hAnsi="仿宋" w:eastAsia="仿宋"/>
          <w:lang w:eastAsia="zh-CN"/>
        </w:rPr>
      </w:pPr>
      <w:r>
        <w:rPr>
          <w:rFonts w:hint="eastAsia" w:ascii="仿宋" w:hAnsi="仿宋" w:eastAsia="仿宋"/>
          <w:lang w:eastAsia="zh-CN"/>
        </w:rPr>
        <w:t>38.6.4审查延误</w:t>
      </w:r>
    </w:p>
    <w:p w14:paraId="69474298">
      <w:pPr>
        <w:widowControl w:val="0"/>
        <w:tabs>
          <w:tab w:val="left" w:pos="4970"/>
        </w:tabs>
        <w:spacing w:line="400" w:lineRule="exact"/>
        <w:ind w:left="1850" w:leftChars="771"/>
        <w:jc w:val="both"/>
        <w:rPr>
          <w:rFonts w:ascii="仿宋" w:hAnsi="仿宋" w:eastAsia="仿宋"/>
          <w:lang w:eastAsia="zh-CN"/>
        </w:rPr>
      </w:pPr>
      <w:r>
        <w:rPr>
          <w:rFonts w:hint="eastAsia" w:ascii="仿宋" w:hAnsi="仿宋" w:eastAsia="仿宋"/>
          <w:lang w:eastAsia="zh-CN"/>
        </w:rPr>
        <w:t>38.6.4.1</w:t>
      </w:r>
      <w:r>
        <w:rPr>
          <w:rFonts w:ascii="仿宋" w:hAnsi="仿宋" w:eastAsia="仿宋"/>
          <w:lang w:eastAsia="zh-CN"/>
        </w:rPr>
        <w:t>因承包人原因，未能按</w:t>
      </w:r>
      <w:r>
        <w:rPr>
          <w:rFonts w:hint="eastAsia" w:ascii="仿宋" w:hAnsi="仿宋" w:eastAsia="仿宋"/>
          <w:lang w:eastAsia="zh-CN"/>
        </w:rPr>
        <w:t>专用条款</w:t>
      </w:r>
      <w:r>
        <w:rPr>
          <w:rFonts w:ascii="仿宋" w:hAnsi="仿宋" w:eastAsia="仿宋"/>
          <w:lang w:eastAsia="zh-CN"/>
        </w:rPr>
        <w:t>约定的时间，向发包人提交</w:t>
      </w:r>
      <w:r>
        <w:rPr>
          <w:rFonts w:hint="eastAsia" w:ascii="仿宋" w:hAnsi="仿宋" w:eastAsia="仿宋"/>
          <w:lang w:eastAsia="zh-CN"/>
        </w:rPr>
        <w:t>初步设计文件和（或）施工图</w:t>
      </w:r>
      <w:r>
        <w:rPr>
          <w:rFonts w:ascii="仿宋" w:hAnsi="仿宋" w:eastAsia="仿宋"/>
          <w:lang w:eastAsia="zh-CN"/>
        </w:rPr>
        <w:t>设计阶段的完整设计文件，致使相</w:t>
      </w:r>
      <w:r>
        <w:rPr>
          <w:rFonts w:hint="eastAsia" w:ascii="仿宋" w:hAnsi="仿宋" w:eastAsia="仿宋"/>
          <w:lang w:eastAsia="zh-CN"/>
        </w:rPr>
        <w:t>应</w:t>
      </w:r>
      <w:r>
        <w:rPr>
          <w:rFonts w:ascii="仿宋" w:hAnsi="仿宋" w:eastAsia="仿宋"/>
          <w:lang w:eastAsia="zh-CN"/>
        </w:rPr>
        <w:t>设计阶段的</w:t>
      </w:r>
      <w:r>
        <w:rPr>
          <w:rFonts w:hint="eastAsia" w:ascii="仿宋" w:hAnsi="仿宋" w:eastAsia="仿宋"/>
          <w:lang w:eastAsia="zh-CN"/>
        </w:rPr>
        <w:t>设计审查</w:t>
      </w:r>
      <w:r>
        <w:rPr>
          <w:rFonts w:ascii="仿宋" w:hAnsi="仿宋" w:eastAsia="仿宋"/>
          <w:lang w:eastAsia="zh-CN"/>
        </w:rPr>
        <w:t>无法进行或无法按期进行，造成的</w:t>
      </w:r>
      <w:r>
        <w:rPr>
          <w:rFonts w:hint="eastAsia" w:ascii="仿宋" w:hAnsi="仿宋" w:eastAsia="仿宋"/>
          <w:lang w:eastAsia="zh-CN"/>
        </w:rPr>
        <w:t>设计工期延长</w:t>
      </w:r>
      <w:r>
        <w:rPr>
          <w:rFonts w:ascii="仿宋" w:hAnsi="仿宋" w:eastAsia="仿宋"/>
          <w:lang w:eastAsia="zh-CN"/>
        </w:rPr>
        <w:t>、</w:t>
      </w:r>
      <w:r>
        <w:rPr>
          <w:rFonts w:hint="eastAsia" w:ascii="仿宋" w:hAnsi="仿宋" w:eastAsia="仿宋"/>
          <w:lang w:eastAsia="zh-CN"/>
        </w:rPr>
        <w:t>后续设计施工延误</w:t>
      </w:r>
      <w:r>
        <w:rPr>
          <w:rFonts w:ascii="仿宋" w:hAnsi="仿宋" w:eastAsia="仿宋"/>
          <w:lang w:eastAsia="zh-CN"/>
        </w:rPr>
        <w:t>及</w:t>
      </w:r>
      <w:r>
        <w:rPr>
          <w:rFonts w:hint="eastAsia" w:ascii="仿宋" w:hAnsi="仿宋" w:eastAsia="仿宋"/>
          <w:lang w:eastAsia="zh-CN"/>
        </w:rPr>
        <w:t>费用增加</w:t>
      </w:r>
      <w:r>
        <w:rPr>
          <w:rFonts w:ascii="仿宋" w:hAnsi="仿宋" w:eastAsia="仿宋"/>
          <w:lang w:eastAsia="zh-CN"/>
        </w:rPr>
        <w:t>，</w:t>
      </w:r>
      <w:r>
        <w:rPr>
          <w:rFonts w:hint="eastAsia" w:ascii="仿宋" w:hAnsi="仿宋" w:eastAsia="仿宋"/>
          <w:lang w:eastAsia="zh-CN"/>
        </w:rPr>
        <w:t>责任</w:t>
      </w:r>
      <w:r>
        <w:rPr>
          <w:rFonts w:ascii="仿宋" w:hAnsi="仿宋" w:eastAsia="仿宋"/>
          <w:lang w:eastAsia="zh-CN"/>
        </w:rPr>
        <w:t>由承包人承担。</w:t>
      </w:r>
    </w:p>
    <w:p w14:paraId="2035A9F3">
      <w:pPr>
        <w:widowControl w:val="0"/>
        <w:tabs>
          <w:tab w:val="left" w:pos="4970"/>
        </w:tabs>
        <w:spacing w:line="400" w:lineRule="exact"/>
        <w:ind w:left="1850" w:leftChars="771"/>
        <w:jc w:val="both"/>
        <w:rPr>
          <w:rFonts w:ascii="仿宋" w:hAnsi="仿宋" w:eastAsia="仿宋"/>
          <w:lang w:eastAsia="zh-CN"/>
        </w:rPr>
      </w:pPr>
      <w:r>
        <w:rPr>
          <w:rFonts w:hint="eastAsia" w:ascii="仿宋" w:hAnsi="仿宋" w:eastAsia="仿宋"/>
          <w:lang w:eastAsia="zh-CN"/>
        </w:rPr>
        <w:t>38.6.4.2因发包人原因导致设计文件审查</w:t>
      </w:r>
      <w:r>
        <w:rPr>
          <w:rFonts w:ascii="仿宋" w:hAnsi="仿宋" w:eastAsia="仿宋"/>
          <w:lang w:eastAsia="zh-CN"/>
        </w:rPr>
        <w:t>无法进行或无法按期进行，造成的</w:t>
      </w:r>
      <w:r>
        <w:rPr>
          <w:rFonts w:hint="eastAsia" w:ascii="仿宋" w:hAnsi="仿宋" w:eastAsia="仿宋"/>
          <w:lang w:eastAsia="zh-CN"/>
        </w:rPr>
        <w:t>设计工期延长及费用增加</w:t>
      </w:r>
      <w:r>
        <w:rPr>
          <w:rFonts w:ascii="仿宋" w:hAnsi="仿宋" w:eastAsia="仿宋"/>
          <w:lang w:eastAsia="zh-CN"/>
        </w:rPr>
        <w:t>，</w:t>
      </w:r>
      <w:r>
        <w:rPr>
          <w:rFonts w:hint="eastAsia" w:ascii="仿宋" w:hAnsi="仿宋" w:eastAsia="仿宋"/>
          <w:lang w:eastAsia="zh-CN"/>
        </w:rPr>
        <w:t>责任</w:t>
      </w:r>
      <w:r>
        <w:rPr>
          <w:rFonts w:ascii="仿宋" w:hAnsi="仿宋" w:eastAsia="仿宋"/>
          <w:lang w:eastAsia="zh-CN"/>
        </w:rPr>
        <w:t>由</w:t>
      </w:r>
      <w:r>
        <w:rPr>
          <w:rFonts w:hint="eastAsia" w:ascii="仿宋" w:hAnsi="仿宋" w:eastAsia="仿宋"/>
          <w:lang w:eastAsia="zh-CN"/>
        </w:rPr>
        <w:t>发</w:t>
      </w:r>
      <w:r>
        <w:rPr>
          <w:rFonts w:ascii="仿宋" w:hAnsi="仿宋" w:eastAsia="仿宋"/>
          <w:lang w:eastAsia="zh-CN"/>
        </w:rPr>
        <w:t>包人承担。</w:t>
      </w:r>
    </w:p>
    <w:p w14:paraId="39EE8215">
      <w:pPr>
        <w:widowControl w:val="0"/>
        <w:tabs>
          <w:tab w:val="left" w:pos="4970"/>
        </w:tabs>
        <w:spacing w:line="400" w:lineRule="exact"/>
        <w:ind w:left="1850" w:leftChars="771"/>
        <w:jc w:val="both"/>
        <w:rPr>
          <w:rFonts w:ascii="仿宋" w:hAnsi="仿宋" w:eastAsia="仿宋"/>
          <w:lang w:eastAsia="zh-CN"/>
        </w:rPr>
      </w:pPr>
      <w:r>
        <w:rPr>
          <w:rFonts w:hint="eastAsia" w:ascii="仿宋" w:hAnsi="仿宋" w:eastAsia="仿宋"/>
          <w:lang w:eastAsia="zh-CN"/>
        </w:rPr>
        <w:t>38.6.5审查责任的免除</w:t>
      </w:r>
    </w:p>
    <w:p w14:paraId="37170ABB">
      <w:pPr>
        <w:widowControl w:val="0"/>
        <w:tabs>
          <w:tab w:val="left" w:pos="4970"/>
        </w:tabs>
        <w:spacing w:line="400" w:lineRule="exact"/>
        <w:ind w:left="1850" w:leftChars="771"/>
        <w:jc w:val="both"/>
        <w:rPr>
          <w:rFonts w:ascii="仿宋" w:hAnsi="仿宋" w:eastAsia="仿宋"/>
          <w:lang w:eastAsia="zh-CN"/>
        </w:rPr>
      </w:pPr>
      <w:r>
        <w:rPr>
          <w:rFonts w:hint="eastAsia" w:ascii="仿宋" w:hAnsi="仿宋" w:eastAsia="仿宋"/>
          <w:lang w:eastAsia="zh-CN"/>
        </w:rPr>
        <w:t>设计文件的审查，</w:t>
      </w:r>
      <w:r>
        <w:rPr>
          <w:rFonts w:ascii="仿宋" w:hAnsi="仿宋" w:eastAsia="仿宋"/>
          <w:lang w:eastAsia="zh-CN"/>
        </w:rPr>
        <w:t>不减轻或免除承包人</w:t>
      </w:r>
      <w:r>
        <w:rPr>
          <w:rFonts w:hint="eastAsia" w:ascii="仿宋" w:hAnsi="仿宋" w:eastAsia="仿宋"/>
          <w:lang w:eastAsia="zh-CN"/>
        </w:rPr>
        <w:t>依据法律规定与</w:t>
      </w:r>
      <w:r>
        <w:rPr>
          <w:rFonts w:ascii="仿宋" w:hAnsi="仿宋" w:eastAsia="仿宋"/>
          <w:lang w:eastAsia="zh-CN"/>
        </w:rPr>
        <w:t>合同</w:t>
      </w:r>
      <w:r>
        <w:rPr>
          <w:rFonts w:hint="eastAsia" w:ascii="仿宋" w:hAnsi="仿宋" w:eastAsia="仿宋"/>
          <w:lang w:eastAsia="zh-CN"/>
        </w:rPr>
        <w:t>约定应当承担的责任。</w:t>
      </w:r>
    </w:p>
    <w:p w14:paraId="1DB6E09E">
      <w:pPr>
        <w:spacing w:line="400" w:lineRule="exact"/>
        <w:ind w:left="1687" w:hanging="1687" w:hangingChars="700"/>
        <w:rPr>
          <w:rFonts w:ascii="仿宋" w:hAnsi="仿宋" w:eastAsia="仿宋" w:cs="仿宋"/>
          <w:lang w:eastAsia="zh-CN"/>
        </w:rPr>
      </w:pPr>
      <w:r>
        <w:rPr>
          <w:rFonts w:hint="eastAsia" w:ascii="仿宋" w:hAnsi="仿宋" w:eastAsia="仿宋" w:cs="仿宋"/>
          <w:b/>
          <w:bCs/>
          <w:lang w:eastAsia="zh-CN"/>
        </w:rPr>
        <w:t>38.7</w:t>
      </w:r>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290D62D2">
      <w:pPr>
        <w:widowControl w:val="0"/>
        <w:spacing w:line="400" w:lineRule="exact"/>
        <w:ind w:left="1850" w:leftChars="771"/>
        <w:jc w:val="both"/>
        <w:rPr>
          <w:rFonts w:ascii="仿宋" w:hAnsi="仿宋" w:eastAsia="仿宋" w:cs="仿宋"/>
          <w:lang w:eastAsia="zh-CN"/>
        </w:rPr>
      </w:pPr>
      <w:r>
        <w:rPr>
          <w:rFonts w:hint="eastAsia" w:ascii="仿宋" w:hAnsi="仿宋" w:eastAsia="仿宋" w:cs="仿宋"/>
          <w:b/>
          <w:bCs/>
        </w:rPr>
        <mc:AlternateContent>
          <mc:Choice Requires="wps">
            <w:drawing>
              <wp:anchor distT="0" distB="0" distL="114300" distR="114300" simplePos="0" relativeHeight="252100608" behindDoc="0" locked="0" layoutInCell="1" allowOverlap="1">
                <wp:simplePos x="0" y="0"/>
                <wp:positionH relativeFrom="column">
                  <wp:posOffset>-9525</wp:posOffset>
                </wp:positionH>
                <wp:positionV relativeFrom="paragraph">
                  <wp:posOffset>88265</wp:posOffset>
                </wp:positionV>
                <wp:extent cx="759460" cy="426085"/>
                <wp:effectExtent l="0" t="0" r="0" b="0"/>
                <wp:wrapNone/>
                <wp:docPr id="161" name="文本框 11"/>
                <wp:cNvGraphicFramePr/>
                <a:graphic xmlns:a="http://schemas.openxmlformats.org/drawingml/2006/main">
                  <a:graphicData uri="http://schemas.microsoft.com/office/word/2010/wordprocessingShape">
                    <wps:wsp>
                      <wps:cNvSpPr txBox="1"/>
                      <wps:spPr>
                        <a:xfrm>
                          <a:off x="0" y="0"/>
                          <a:ext cx="759460" cy="426085"/>
                        </a:xfrm>
                        <a:prstGeom prst="rect">
                          <a:avLst/>
                        </a:prstGeom>
                        <a:noFill/>
                        <a:ln w="12700">
                          <a:noFill/>
                        </a:ln>
                      </wps:spPr>
                      <wps:txbx>
                        <w:txbxContent>
                          <w:p w14:paraId="622A845A">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配合采购与施工</w:t>
                            </w:r>
                          </w:p>
                        </w:txbxContent>
                      </wps:txbx>
                      <wps:bodyPr rot="0" vert="horz" wrap="square" lIns="91440" tIns="45720" rIns="91440" bIns="45720" anchor="t" anchorCtr="0"/>
                    </wps:wsp>
                  </a:graphicData>
                </a:graphic>
              </wp:anchor>
            </w:drawing>
          </mc:Choice>
          <mc:Fallback>
            <w:pict>
              <v:shape id="文本框 11" o:spid="_x0000_s1026" o:spt="202" type="#_x0000_t202" style="position:absolute;left:0pt;margin-left:-0.75pt;margin-top:6.95pt;height:33.55pt;width:59.8pt;z-index:252100608;mso-width-relative:page;mso-height-relative:page;" filled="f" stroked="f" coordsize="21600,21600" o:gfxdata="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PtSdLtYA&#10;AAAIAQAADwAAAAAAAAABACAAAAAiAAAAZHJzL2Rvd25yZXYueG1sUEsBAhQAFAAAAAgAh07iQHml&#10;nOHoAQAAvQMAAA4AAAAAAAAAAQAgAAAAJQEAAGRycy9lMm9Eb2MueG1sUEsFBgAAAAAGAAYAWQEA&#10;AH8FAAAAAA==&#10;">
                <v:fill on="f" focussize="0,0"/>
                <v:stroke on="f" weight="1pt"/>
                <v:imagedata o:title=""/>
                <o:lock v:ext="edit" aspectratio="f"/>
                <v:textbox>
                  <w:txbxContent>
                    <w:p w14:paraId="622A845A">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配合采购与施工</w:t>
                      </w:r>
                    </w:p>
                  </w:txbxContent>
                </v:textbox>
              </v:shape>
            </w:pict>
          </mc:Fallback>
        </mc:AlternateContent>
      </w:r>
      <w:r>
        <w:rPr>
          <w:rFonts w:hint="eastAsia" w:ascii="仿宋" w:hAnsi="仿宋" w:eastAsia="仿宋" w:cs="仿宋"/>
          <w:lang w:eastAsia="zh-CN"/>
        </w:rPr>
        <w:t>承包人完成施工图设计阶段的工作并提交施工图后，承包人员应配合设备及工器具购置人员及施工人员开展相关工作，进行技术交底，解释相关数据，解决施工中设计技术问题，合理进行设计变更，因此增加的费用由承包人自行承担。</w:t>
      </w:r>
    </w:p>
    <w:p w14:paraId="7C149979">
      <w:pPr>
        <w:spacing w:line="400" w:lineRule="exact"/>
        <w:rPr>
          <w:rFonts w:ascii="仿宋" w:hAnsi="仿宋" w:eastAsia="仿宋" w:cs="仿宋"/>
          <w:lang w:eastAsia="zh-CN"/>
        </w:rPr>
      </w:pPr>
      <w:r>
        <w:rPr>
          <w:rFonts w:ascii="仿宋" w:hAnsi="仿宋" w:eastAsia="仿宋" w:cs="仿宋"/>
          <w:b/>
          <w:bCs/>
          <w:u w:val="single"/>
          <w:lang w:eastAsia="zh-CN"/>
        </w:rPr>
        <w:t xml:space="preserve">                                                                                     </w:t>
      </w:r>
    </w:p>
    <w:p w14:paraId="2E907725">
      <w:pPr>
        <w:pStyle w:val="4"/>
        <w:tabs>
          <w:tab w:val="left" w:pos="420"/>
        </w:tabs>
        <w:spacing w:before="0" w:after="0" w:line="400" w:lineRule="exact"/>
        <w:rPr>
          <w:rFonts w:ascii="仿宋" w:hAnsi="仿宋" w:eastAsia="仿宋" w:cs="仿宋"/>
          <w:bCs w:val="0"/>
          <w:sz w:val="24"/>
          <w:szCs w:val="24"/>
          <w:lang w:eastAsia="zh-CN"/>
        </w:rPr>
      </w:pPr>
      <w:bookmarkStart w:id="346" w:name="_Toc194073147"/>
      <w:bookmarkStart w:id="347" w:name="_Toc32145"/>
      <w:bookmarkStart w:id="348" w:name="_Toc9357"/>
      <w:bookmarkStart w:id="349" w:name="_Toc14681"/>
      <w:r>
        <w:rPr>
          <w:rFonts w:hint="eastAsia" w:ascii="仿宋" w:hAnsi="仿宋" w:eastAsia="仿宋" w:cs="仿宋"/>
          <w:bCs w:val="0"/>
          <w:sz w:val="24"/>
          <w:szCs w:val="24"/>
          <w:lang w:eastAsia="zh-CN"/>
        </w:rPr>
        <w:t>39  BIM技术应用</w:t>
      </w:r>
      <w:bookmarkEnd w:id="346"/>
      <w:bookmarkEnd w:id="347"/>
      <w:bookmarkEnd w:id="348"/>
      <w:bookmarkEnd w:id="349"/>
    </w:p>
    <w:p w14:paraId="2FE78A30">
      <w:pPr>
        <w:tabs>
          <w:tab w:val="left" w:pos="4970"/>
        </w:tabs>
        <w:spacing w:line="400" w:lineRule="exact"/>
        <w:rPr>
          <w:rFonts w:ascii="仿宋" w:hAnsi="仿宋" w:eastAsia="仿宋"/>
          <w:b/>
          <w:bCs/>
          <w:lang w:eastAsia="zh-CN"/>
        </w:rPr>
      </w:pPr>
      <w:r>
        <w:rPr>
          <w:b/>
          <w:bCs/>
        </w:rPr>
        <mc:AlternateContent>
          <mc:Choice Requires="wps">
            <w:drawing>
              <wp:anchor distT="0" distB="0" distL="114300" distR="114300" simplePos="0" relativeHeight="252083200" behindDoc="0" locked="0" layoutInCell="1" allowOverlap="1">
                <wp:simplePos x="0" y="0"/>
                <wp:positionH relativeFrom="column">
                  <wp:posOffset>-121920</wp:posOffset>
                </wp:positionH>
                <wp:positionV relativeFrom="paragraph">
                  <wp:posOffset>281305</wp:posOffset>
                </wp:positionV>
                <wp:extent cx="899795" cy="617855"/>
                <wp:effectExtent l="0" t="0" r="0" b="0"/>
                <wp:wrapNone/>
                <wp:docPr id="162" name="文本框 11"/>
                <wp:cNvGraphicFramePr/>
                <a:graphic xmlns:a="http://schemas.openxmlformats.org/drawingml/2006/main">
                  <a:graphicData uri="http://schemas.microsoft.com/office/word/2010/wordprocessingShape">
                    <wps:wsp>
                      <wps:cNvSpPr txBox="1"/>
                      <wps:spPr>
                        <a:xfrm>
                          <a:off x="0" y="0"/>
                          <a:ext cx="899795" cy="617855"/>
                        </a:xfrm>
                        <a:prstGeom prst="rect">
                          <a:avLst/>
                        </a:prstGeom>
                        <a:noFill/>
                        <a:ln w="12700">
                          <a:noFill/>
                        </a:ln>
                      </wps:spPr>
                      <wps:txbx>
                        <w:txbxContent>
                          <w:p w14:paraId="16498DD8">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wps:txbx>
                      <wps:bodyPr rot="0" vert="horz" wrap="square" lIns="91440" tIns="45720" rIns="91440" bIns="45720" anchor="t" anchorCtr="0"/>
                    </wps:wsp>
                  </a:graphicData>
                </a:graphic>
              </wp:anchor>
            </w:drawing>
          </mc:Choice>
          <mc:Fallback>
            <w:pict>
              <v:shape id="文本框 11" o:spid="_x0000_s1026" o:spt="202" type="#_x0000_t202" style="position:absolute;left:0pt;margin-left:-9.6pt;margin-top:22.15pt;height:48.65pt;width:70.85pt;z-index:252083200;mso-width-relative:page;mso-height-relative:page;" filled="f" stroked="f" coordsize="21600,21600" o:gfxdata="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Or2Z/&#10;2AAAAAoBAAAPAAAAAAAAAAEAIAAAACIAAABkcnMvZG93bnJldi54bWxQSwECFAAUAAAACACHTuJA&#10;GYFP4+gBAAC9AwAADgAAAAAAAAABACAAAAAnAQAAZHJzL2Uyb0RvYy54bWxQSwUGAAAAAAYABgBZ&#10;AQAAgQUAAAAA&#10;">
                <v:fill on="f" focussize="0,0"/>
                <v:stroke on="f" weight="1pt"/>
                <v:imagedata o:title=""/>
                <o:lock v:ext="edit" aspectratio="f"/>
                <v:textbox>
                  <w:txbxContent>
                    <w:p w14:paraId="16498DD8">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v:textbox>
              </v:shape>
            </w:pict>
          </mc:Fallback>
        </mc:AlternateContent>
      </w:r>
      <w:r>
        <w:rPr>
          <w:rFonts w:hint="eastAsia" w:ascii="仿宋" w:hAnsi="仿宋" w:eastAsia="仿宋"/>
          <w:b/>
          <w:bCs/>
          <w:lang w:eastAsia="zh-CN"/>
        </w:rPr>
        <w:t>39.1</w:t>
      </w:r>
    </w:p>
    <w:p w14:paraId="505B1837">
      <w:pPr>
        <w:widowControl w:val="0"/>
        <w:tabs>
          <w:tab w:val="left" w:pos="1320"/>
        </w:tabs>
        <w:spacing w:line="400" w:lineRule="exact"/>
        <w:ind w:left="1850" w:leftChars="771"/>
        <w:jc w:val="both"/>
        <w:rPr>
          <w:rFonts w:ascii="仿宋" w:hAnsi="仿宋" w:eastAsia="仿宋"/>
          <w:lang w:eastAsia="zh-CN"/>
        </w:rPr>
      </w:pPr>
      <w:r>
        <w:rPr>
          <w:rFonts w:hint="eastAsia" w:ascii="仿宋" w:hAnsi="仿宋" w:eastAsia="仿宋" w:cs="仿宋"/>
          <w:lang w:eastAsia="zh-CN"/>
        </w:rPr>
        <w:t>承包人在BIM技术应用工作开始日期前，应对发包人的BIM技术应用要求和所提供的项目基础资料的完备性和正确性进行核实，发现错漏应及时提请发包人补充完善。因发包人要求和所提供的资料存在错漏，但发包人未按承包人要求补充完善，导致工程存在缺陷或发生事故，责任由发包人承担。但本合同第5条、第6条以及专用条款另有约定的除外。</w:t>
      </w:r>
    </w:p>
    <w:p w14:paraId="1544868C">
      <w:pPr>
        <w:widowControl w:val="0"/>
        <w:tabs>
          <w:tab w:val="left" w:pos="4970"/>
        </w:tabs>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承包人因自身完成的勘察报告、设计文件或其他途径得到的资料存在错漏，导致BIM技术工作延误、成果错误及费用增加，责任由承包人承担。</w:t>
      </w:r>
    </w:p>
    <w:p w14:paraId="03CFBF8F">
      <w:pPr>
        <w:tabs>
          <w:tab w:val="left" w:pos="4970"/>
        </w:tabs>
        <w:spacing w:line="400" w:lineRule="exact"/>
        <w:rPr>
          <w:rFonts w:ascii="仿宋" w:hAnsi="仿宋" w:eastAsia="仿宋"/>
          <w:lang w:eastAsia="zh-CN"/>
        </w:rPr>
      </w:pPr>
      <w:r>
        <w:rPr>
          <w:rFonts w:hint="eastAsia" w:ascii="仿宋" w:hAnsi="仿宋" w:eastAsia="仿宋"/>
          <w:b/>
          <w:bCs/>
          <w:lang w:eastAsia="zh-CN"/>
        </w:rPr>
        <w:t>39.2</w:t>
      </w:r>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299FE90E">
      <w:pPr>
        <w:widowControl w:val="0"/>
        <w:spacing w:line="400" w:lineRule="exact"/>
        <w:ind w:left="1850" w:leftChars="771"/>
        <w:jc w:val="both"/>
        <w:rPr>
          <w:rFonts w:ascii="仿宋" w:hAnsi="仿宋" w:eastAsia="仿宋" w:cs="仿宋"/>
          <w:lang w:eastAsia="zh-CN"/>
        </w:rPr>
      </w:pPr>
      <w:r>
        <mc:AlternateContent>
          <mc:Choice Requires="wps">
            <w:drawing>
              <wp:anchor distT="0" distB="0" distL="114300" distR="114300" simplePos="0" relativeHeight="252082176" behindDoc="0" locked="0" layoutInCell="1" allowOverlap="1">
                <wp:simplePos x="0" y="0"/>
                <wp:positionH relativeFrom="column">
                  <wp:posOffset>-113665</wp:posOffset>
                </wp:positionH>
                <wp:positionV relativeFrom="paragraph">
                  <wp:posOffset>9525</wp:posOffset>
                </wp:positionV>
                <wp:extent cx="833120" cy="466090"/>
                <wp:effectExtent l="0" t="0" r="0" b="0"/>
                <wp:wrapNone/>
                <wp:docPr id="163" name="文本框 11"/>
                <wp:cNvGraphicFramePr/>
                <a:graphic xmlns:a="http://schemas.openxmlformats.org/drawingml/2006/main">
                  <a:graphicData uri="http://schemas.microsoft.com/office/word/2010/wordprocessingShape">
                    <wps:wsp>
                      <wps:cNvSpPr txBox="1"/>
                      <wps:spPr>
                        <a:xfrm>
                          <a:off x="0" y="0"/>
                          <a:ext cx="833120" cy="466090"/>
                        </a:xfrm>
                        <a:prstGeom prst="rect">
                          <a:avLst/>
                        </a:prstGeom>
                        <a:noFill/>
                        <a:ln w="12700">
                          <a:noFill/>
                        </a:ln>
                      </wps:spPr>
                      <wps:txbx>
                        <w:txbxContent>
                          <w:p w14:paraId="15EC5551">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BIM技术应用工作方案</w:t>
                            </w:r>
                          </w:p>
                        </w:txbxContent>
                      </wps:txbx>
                      <wps:bodyPr rot="0" vert="horz" wrap="square" lIns="91440" tIns="45720" rIns="91440" bIns="45720" anchor="t" anchorCtr="0"/>
                    </wps:wsp>
                  </a:graphicData>
                </a:graphic>
              </wp:anchor>
            </w:drawing>
          </mc:Choice>
          <mc:Fallback>
            <w:pict>
              <v:shape id="文本框 11" o:spid="_x0000_s1026" o:spt="202" type="#_x0000_t202" style="position:absolute;left:0pt;margin-left:-8.95pt;margin-top:0.75pt;height:36.7pt;width:65.6pt;z-index:252082176;mso-width-relative:page;mso-height-relative:page;" filled="f" stroked="f" coordsize="21600,21600" o:gfxdata="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UEnKA&#10;1gAAAAgBAAAPAAAAAAAAAAEAIAAAACIAAABkcnMvZG93bnJldi54bWxQSwECFAAUAAAACACHTuJA&#10;whDDPeoBAAC9AwAADgAAAAAAAAABACAAAAAlAQAAZHJzL2Uyb0RvYy54bWxQSwUGAAAAAAYABgBZ&#10;AQAAgQUAAAAA&#10;">
                <v:fill on="f" focussize="0,0"/>
                <v:stroke on="f" weight="1pt"/>
                <v:imagedata o:title=""/>
                <o:lock v:ext="edit" aspectratio="f"/>
                <v:textbox>
                  <w:txbxContent>
                    <w:p w14:paraId="15EC5551">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BIM技术应用工作方案</w:t>
                      </w:r>
                    </w:p>
                  </w:txbxContent>
                </v:textbox>
              </v:shape>
            </w:pict>
          </mc:Fallback>
        </mc:AlternateContent>
      </w:r>
      <w:r>
        <w:rPr>
          <w:rFonts w:hint="eastAsia" w:ascii="仿宋" w:hAnsi="仿宋" w:eastAsia="仿宋" w:cs="仿宋"/>
          <w:lang w:eastAsia="zh-CN"/>
        </w:rPr>
        <w:t>39.2.1承包人应在BIM技术应用工作开始日期前，编制BIM技术应用工作方案，并按专用条款约定的方式和时间报发包人审查或备案。</w:t>
      </w:r>
    </w:p>
    <w:p w14:paraId="452872B4">
      <w:pPr>
        <w:widowControl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39.2.2 BIM技术应用工作方案应包括项目基本情况、人员安排、工作进度、技术标准、工作量、质量保证体系以及需要发包人配合事项等。</w:t>
      </w:r>
    </w:p>
    <w:p w14:paraId="545312A7">
      <w:pPr>
        <w:tabs>
          <w:tab w:val="left" w:pos="4970"/>
        </w:tabs>
        <w:spacing w:line="400" w:lineRule="exact"/>
        <w:rPr>
          <w:rFonts w:ascii="仿宋" w:hAnsi="仿宋" w:eastAsia="仿宋"/>
          <w:lang w:eastAsia="zh-CN"/>
        </w:rPr>
      </w:pPr>
      <w:r>
        <w:rPr>
          <w:rFonts w:hint="eastAsia" w:ascii="仿宋" w:hAnsi="仿宋" w:eastAsia="仿宋"/>
          <w:b/>
          <w:bCs/>
          <w:lang w:eastAsia="zh-CN"/>
        </w:rPr>
        <w:t>39.3</w:t>
      </w:r>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2215C640">
      <w:pPr>
        <w:widowControl w:val="0"/>
        <w:spacing w:line="400" w:lineRule="exact"/>
        <w:ind w:left="1850" w:leftChars="771"/>
        <w:jc w:val="both"/>
        <w:rPr>
          <w:rFonts w:ascii="仿宋" w:hAnsi="仿宋" w:eastAsia="仿宋" w:cs="仿宋"/>
          <w:lang w:eastAsia="zh-CN"/>
        </w:rPr>
      </w:pPr>
      <w:r>
        <w:rPr>
          <w:rFonts w:hint="eastAsia" w:ascii="仿宋" w:hAnsi="仿宋" w:eastAsia="仿宋"/>
        </w:rPr>
        <mc:AlternateContent>
          <mc:Choice Requires="wps">
            <w:drawing>
              <wp:anchor distT="0" distB="0" distL="114300" distR="114300" simplePos="0" relativeHeight="252084224" behindDoc="0" locked="0" layoutInCell="1" allowOverlap="1">
                <wp:simplePos x="0" y="0"/>
                <wp:positionH relativeFrom="column">
                  <wp:posOffset>-101600</wp:posOffset>
                </wp:positionH>
                <wp:positionV relativeFrom="paragraph">
                  <wp:posOffset>18415</wp:posOffset>
                </wp:positionV>
                <wp:extent cx="832485" cy="598170"/>
                <wp:effectExtent l="0" t="0" r="0" b="0"/>
                <wp:wrapNone/>
                <wp:docPr id="164" name="文本框 11"/>
                <wp:cNvGraphicFramePr/>
                <a:graphic xmlns:a="http://schemas.openxmlformats.org/drawingml/2006/main">
                  <a:graphicData uri="http://schemas.microsoft.com/office/word/2010/wordprocessingShape">
                    <wps:wsp>
                      <wps:cNvSpPr txBox="1"/>
                      <wps:spPr>
                        <a:xfrm>
                          <a:off x="0" y="0"/>
                          <a:ext cx="832485" cy="598170"/>
                        </a:xfrm>
                        <a:prstGeom prst="rect">
                          <a:avLst/>
                        </a:prstGeom>
                        <a:noFill/>
                        <a:ln w="12700">
                          <a:noFill/>
                        </a:ln>
                      </wps:spPr>
                      <wps:txbx>
                        <w:txbxContent>
                          <w:p w14:paraId="2518F383">
                            <w:pPr>
                              <w:spacing w:line="240" w:lineRule="exact"/>
                              <w:rPr>
                                <w:rFonts w:ascii="宋体"/>
                                <w:sz w:val="18"/>
                                <w:szCs w:val="18"/>
                              </w:rPr>
                            </w:pPr>
                            <w:r>
                              <w:rPr>
                                <w:rFonts w:hint="eastAsia" w:ascii="楷体_GB2312" w:hAnsi="宋体" w:eastAsia="楷体_GB2312" w:cs="楷体_GB2312"/>
                                <w:b/>
                                <w:bCs/>
                                <w:color w:val="000000"/>
                                <w:sz w:val="18"/>
                                <w:szCs w:val="18"/>
                              </w:rPr>
                              <w:t>BIM技术应用</w:t>
                            </w:r>
                          </w:p>
                        </w:txbxContent>
                      </wps:txbx>
                      <wps:bodyPr rot="0" vert="horz" wrap="square" lIns="91440" tIns="45720" rIns="91440" bIns="45720" anchor="t" anchorCtr="0"/>
                    </wps:wsp>
                  </a:graphicData>
                </a:graphic>
              </wp:anchor>
            </w:drawing>
          </mc:Choice>
          <mc:Fallback>
            <w:pict>
              <v:shape id="文本框 11" o:spid="_x0000_s1026" o:spt="202" type="#_x0000_t202" style="position:absolute;left:0pt;margin-left:-8pt;margin-top:1.45pt;height:47.1pt;width:65.55pt;z-index:252084224;mso-width-relative:page;mso-height-relative:page;" filled="f" stroked="f" coordsize="21600,21600" o:gfxdata="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807cH&#10;1wAAAAgBAAAPAAAAAAAAAAEAIAAAACIAAABkcnMvZG93bnJldi54bWxQSwECFAAUAAAACACHTuJA&#10;akgsuOkBAAC9AwAADgAAAAAAAAABACAAAAAmAQAAZHJzL2Uyb0RvYy54bWxQSwUGAAAAAAYABgBZ&#10;AQAAgQUAAAAA&#10;">
                <v:fill on="f" focussize="0,0"/>
                <v:stroke on="f" weight="1pt"/>
                <v:imagedata o:title=""/>
                <o:lock v:ext="edit" aspectratio="f"/>
                <v:textbox>
                  <w:txbxContent>
                    <w:p w14:paraId="2518F383">
                      <w:pPr>
                        <w:spacing w:line="240" w:lineRule="exact"/>
                        <w:rPr>
                          <w:rFonts w:ascii="宋体"/>
                          <w:sz w:val="18"/>
                          <w:szCs w:val="18"/>
                        </w:rPr>
                      </w:pPr>
                      <w:r>
                        <w:rPr>
                          <w:rFonts w:hint="eastAsia" w:ascii="楷体_GB2312" w:hAnsi="宋体" w:eastAsia="楷体_GB2312" w:cs="楷体_GB2312"/>
                          <w:b/>
                          <w:bCs/>
                          <w:color w:val="000000"/>
                          <w:sz w:val="18"/>
                          <w:szCs w:val="18"/>
                        </w:rPr>
                        <w:t>BIM技术应用</w:t>
                      </w:r>
                    </w:p>
                  </w:txbxContent>
                </v:textbox>
              </v:shape>
            </w:pict>
          </mc:Fallback>
        </mc:AlternateContent>
      </w:r>
      <w:r>
        <w:rPr>
          <w:rFonts w:hint="eastAsia" w:ascii="仿宋" w:hAnsi="仿宋" w:eastAsia="仿宋" w:cs="仿宋"/>
          <w:lang w:eastAsia="zh-CN"/>
        </w:rPr>
        <w:t>39.3.1承包人应根据发包人审查批准或备案的BIM技术应用工作方案、发包人要求并依据有关技术标准开展BIM技术应用。具体应用内容和要求，由合同双方在专用条款和发包人要求中约定。</w:t>
      </w:r>
    </w:p>
    <w:p w14:paraId="767D53C1">
      <w:pPr>
        <w:widowControl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39.3.2勘察阶段，承包人应采用BIM技术建立与相关勘察图纸配套的建筑信息模型（BIM）。</w:t>
      </w:r>
    </w:p>
    <w:p w14:paraId="73DC3EB1">
      <w:pPr>
        <w:widowControl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39.3.3在初步设计阶段，承包人应采用BIM技术进行正向设计或建模与出图同步完成的设计方式，建立本工程的建筑信息模型（BIM）并出具初步设计文件。</w:t>
      </w:r>
    </w:p>
    <w:p w14:paraId="4F05A03C">
      <w:pPr>
        <w:widowControl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39.3.4在施工图设计阶段，承包人应根据初步设计文件采用传统设计方法与BIM技术相结合，建立本工程的建筑信息模型（BIM）；或根据初步设计阶段建立的建筑信息模型（BIM）和初步设计文件，通过正向设计或建模与出图同步完成的设计方式，深化完善建筑信息模型（BIM）并出具施工图。建筑信息模型（BIM）技术应用的模型精细度、几何表达精度和信息深度要求应符合国家、广东省和广州市发布的有关建筑信息模型应用规范与标准。</w:t>
      </w:r>
    </w:p>
    <w:p w14:paraId="715A77A1">
      <w:pPr>
        <w:widowControl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39.3.5施工阶段，承包人应采用BIM技术编制施工方案和绿色安全防护措施，优化施工工艺流程，建立BIM信息管理平台，统筹协调施工进度。</w:t>
      </w:r>
    </w:p>
    <w:p w14:paraId="6BF3386B">
      <w:pPr>
        <w:widowControl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39.3.6竣工验收阶段，承包人应在施工图与建筑信息模型（BIM）的基础上，结合设计变更、签证、管线碰撞检查等资料，采用正向设计或建模与出图同步完成的设计方式修改、完善建筑信息模型（BIM）、出具竣工图，并配合政府行政主管部门的要求，采用建筑信息模型（BIM）进行竣工验收备案。</w:t>
      </w:r>
    </w:p>
    <w:p w14:paraId="6DBA115B">
      <w:pPr>
        <w:widowControl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39.3.7运维阶段（如果有），承包人应按发包人要求和专用条款的约定，建立运营维护所需要的建筑信息模型（BIM）。</w:t>
      </w:r>
    </w:p>
    <w:p w14:paraId="3CBE7A39">
      <w:pPr>
        <w:widowControl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39.3.8承包人宜应用BIM技术方法，进行工程计量、计价，编制本项目工程的概算、施工图预算、竣工结算等造价文件，并配合发包人及造价咨询人的审核。</w:t>
      </w:r>
    </w:p>
    <w:p w14:paraId="3FDF3B00">
      <w:pPr>
        <w:widowControl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39.3.9承包人应协助发包人建立基于BIM技术的项目信息管理平台，为发包人及设计顾问人、监理人、造价咨询人等相关方正确使用建筑信息模型（BIM）开展相关工程技术、质量、安全、绿色环保、建材集中采购、进度与造价管理工作提供必要的指导和协助。</w:t>
      </w:r>
    </w:p>
    <w:p w14:paraId="25A5DF19">
      <w:pPr>
        <w:widowControl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39.3.10发包人、政府有关部门、施工图审查机构对设计文件审查有BIM技术应用要求的，承包人应予以配合执行。</w:t>
      </w:r>
    </w:p>
    <w:p w14:paraId="4773501D">
      <w:pPr>
        <w:tabs>
          <w:tab w:val="left" w:pos="4970"/>
        </w:tabs>
        <w:spacing w:line="400" w:lineRule="exact"/>
        <w:rPr>
          <w:rFonts w:ascii="仿宋" w:hAnsi="仿宋" w:eastAsia="仿宋"/>
          <w:b/>
          <w:bCs/>
          <w:lang w:eastAsia="zh-CN"/>
        </w:rPr>
      </w:pPr>
      <w:r>
        <mc:AlternateContent>
          <mc:Choice Requires="wps">
            <w:drawing>
              <wp:anchor distT="0" distB="0" distL="114300" distR="114300" simplePos="0" relativeHeight="252098560" behindDoc="0" locked="0" layoutInCell="1" allowOverlap="1">
                <wp:simplePos x="0" y="0"/>
                <wp:positionH relativeFrom="column">
                  <wp:posOffset>-102870</wp:posOffset>
                </wp:positionH>
                <wp:positionV relativeFrom="paragraph">
                  <wp:posOffset>278765</wp:posOffset>
                </wp:positionV>
                <wp:extent cx="794385" cy="541020"/>
                <wp:effectExtent l="0" t="0" r="0" b="0"/>
                <wp:wrapNone/>
                <wp:docPr id="165" name="文本框 12"/>
                <wp:cNvGraphicFramePr/>
                <a:graphic xmlns:a="http://schemas.openxmlformats.org/drawingml/2006/main">
                  <a:graphicData uri="http://schemas.microsoft.com/office/word/2010/wordprocessingShape">
                    <wps:wsp>
                      <wps:cNvSpPr txBox="1"/>
                      <wps:spPr>
                        <a:xfrm>
                          <a:off x="0" y="0"/>
                          <a:ext cx="794385" cy="541020"/>
                        </a:xfrm>
                        <a:prstGeom prst="rect">
                          <a:avLst/>
                        </a:prstGeom>
                        <a:noFill/>
                        <a:ln w="12700">
                          <a:noFill/>
                        </a:ln>
                      </wps:spPr>
                      <wps:txbx>
                        <w:txbxContent>
                          <w:p w14:paraId="77DAE807">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建筑信息模型（BIM）及应用成果</w:t>
                            </w:r>
                          </w:p>
                        </w:txbxContent>
                      </wps:txbx>
                      <wps:bodyPr rot="0" vert="horz" wrap="square" lIns="91440" tIns="45720" rIns="91440" bIns="45720" anchor="t" anchorCtr="0"/>
                    </wps:wsp>
                  </a:graphicData>
                </a:graphic>
              </wp:anchor>
            </w:drawing>
          </mc:Choice>
          <mc:Fallback>
            <w:pict>
              <v:shape id="文本框 12" o:spid="_x0000_s1026" o:spt="202" type="#_x0000_t202" style="position:absolute;left:0pt;margin-left:-8.1pt;margin-top:21.95pt;height:42.6pt;width:62.55pt;z-index:252098560;mso-width-relative:page;mso-height-relative:page;" filled="f" stroked="f" coordsize="21600,21600" o:gfxdata="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g2&#10;GLnYAAAACgEAAA8AAAAAAAAAAQAgAAAAIgAAAGRycy9kb3ducmV2LnhtbFBLAQIUABQAAAAIAIdO&#10;4kAwUBYC6gEAAL0DAAAOAAAAAAAAAAEAIAAAACcBAABkcnMvZTJvRG9jLnhtbFBLBQYAAAAABgAG&#10;AFkBAACDBQAAAAA=&#10;">
                <v:fill on="f" focussize="0,0"/>
                <v:stroke on="f" weight="1pt"/>
                <v:imagedata o:title=""/>
                <o:lock v:ext="edit" aspectratio="f"/>
                <v:textbox>
                  <w:txbxContent>
                    <w:p w14:paraId="77DAE807">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建筑信息模型（BIM）及应用成果</w:t>
                      </w:r>
                    </w:p>
                  </w:txbxContent>
                </v:textbox>
              </v:shape>
            </w:pict>
          </mc:Fallback>
        </mc:AlternateContent>
      </w:r>
      <w:r>
        <w:rPr>
          <w:rFonts w:hint="eastAsia" w:ascii="仿宋" w:hAnsi="仿宋" w:eastAsia="仿宋" w:cs="仿宋"/>
          <w:b/>
          <w:bCs/>
          <w:lang w:eastAsia="zh-CN"/>
        </w:rPr>
        <w:t>39.4</w:t>
      </w:r>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17843A22">
      <w:pPr>
        <w:widowControl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39.4.1承包人向发包人提交建筑信息模型（BIM）及有关应用成果的方式和时间，由双方在专用条款中约定。发包人要求增加的服务内容和成果，费用由发包人承担；承包人内部使用建筑信息模型（BIM）或增加工作量，其费用由承包人自己承担。</w:t>
      </w:r>
    </w:p>
    <w:p w14:paraId="1258A3EB">
      <w:pPr>
        <w:widowControl w:val="0"/>
        <w:spacing w:line="400" w:lineRule="exact"/>
        <w:ind w:left="1850" w:leftChars="771"/>
        <w:jc w:val="both"/>
        <w:rPr>
          <w:rFonts w:ascii="仿宋" w:hAnsi="仿宋" w:eastAsia="仿宋"/>
          <w:lang w:eastAsia="zh-CN"/>
        </w:rPr>
      </w:pPr>
      <w:r>
        <w:rPr>
          <w:rFonts w:hint="eastAsia" w:ascii="仿宋" w:hAnsi="仿宋" w:eastAsia="仿宋" w:cs="仿宋"/>
          <w:lang w:eastAsia="zh-CN"/>
        </w:rPr>
        <w:t>39.4.2承包人完成各阶段的建筑信息模型（BIM）及有关应用成果后，发包人应及时组织评审或审查，审查内容和标准在发包人要求中明确。发包人应及时签收建筑信息模型（BIM）及有关应用成果、确认相应工作完成时间，并按专用条款约定计付BIM技术应用费。</w:t>
      </w:r>
    </w:p>
    <w:p w14:paraId="78059A13">
      <w:pPr>
        <w:widowControl w:val="0"/>
        <w:spacing w:line="400" w:lineRule="exact"/>
        <w:ind w:left="1850" w:leftChars="771"/>
        <w:jc w:val="both"/>
        <w:rPr>
          <w:rFonts w:ascii="仿宋" w:hAnsi="仿宋" w:eastAsia="仿宋"/>
          <w:lang w:eastAsia="zh-CN"/>
        </w:rPr>
      </w:pPr>
      <w:r>
        <w:rPr>
          <w:rFonts w:hint="eastAsia" w:ascii="仿宋" w:hAnsi="仿宋" w:eastAsia="仿宋"/>
          <w:lang w:eastAsia="zh-CN"/>
        </w:rPr>
        <w:t xml:space="preserve">39.4.3 </w:t>
      </w:r>
      <w:r>
        <w:rPr>
          <w:rFonts w:ascii="仿宋" w:hAnsi="仿宋" w:eastAsia="仿宋"/>
          <w:lang w:eastAsia="zh-CN"/>
        </w:rPr>
        <w:t>因承包人原因，造成</w:t>
      </w:r>
      <w:r>
        <w:rPr>
          <w:rFonts w:hint="eastAsia" w:ascii="仿宋" w:hAnsi="仿宋" w:eastAsia="仿宋"/>
          <w:lang w:eastAsia="zh-CN"/>
        </w:rPr>
        <w:t>各阶段BIM模型及有关应用成果</w:t>
      </w:r>
      <w:r>
        <w:rPr>
          <w:rFonts w:ascii="仿宋" w:hAnsi="仿宋" w:eastAsia="仿宋"/>
          <w:lang w:eastAsia="zh-CN"/>
        </w:rPr>
        <w:t>存在遗漏、错误的，承包人应</w:t>
      </w:r>
      <w:r>
        <w:rPr>
          <w:rFonts w:hint="eastAsia" w:ascii="仿宋" w:hAnsi="仿宋" w:eastAsia="仿宋"/>
          <w:lang w:eastAsia="zh-CN"/>
        </w:rPr>
        <w:t>补充、</w:t>
      </w:r>
      <w:r>
        <w:rPr>
          <w:rFonts w:ascii="仿宋" w:hAnsi="仿宋" w:eastAsia="仿宋"/>
          <w:lang w:eastAsia="zh-CN"/>
        </w:rPr>
        <w:t>修</w:t>
      </w:r>
      <w:r>
        <w:rPr>
          <w:rFonts w:hint="eastAsia" w:ascii="仿宋" w:hAnsi="仿宋" w:eastAsia="仿宋"/>
          <w:lang w:eastAsia="zh-CN"/>
        </w:rPr>
        <w:t>正</w:t>
      </w:r>
      <w:r>
        <w:rPr>
          <w:rFonts w:ascii="仿宋" w:hAnsi="仿宋" w:eastAsia="仿宋"/>
          <w:lang w:eastAsia="zh-CN"/>
        </w:rPr>
        <w:t>和完善</w:t>
      </w:r>
      <w:r>
        <w:rPr>
          <w:rFonts w:hint="eastAsia" w:ascii="仿宋" w:hAnsi="仿宋" w:eastAsia="仿宋"/>
          <w:lang w:eastAsia="zh-CN"/>
        </w:rPr>
        <w:t>，由此产生的费用由承包人承担</w:t>
      </w:r>
      <w:r>
        <w:rPr>
          <w:rFonts w:ascii="仿宋" w:hAnsi="仿宋" w:eastAsia="仿宋"/>
          <w:lang w:eastAsia="zh-CN"/>
        </w:rPr>
        <w:t>。</w:t>
      </w:r>
      <w:r>
        <w:rPr>
          <w:rFonts w:hint="eastAsia" w:ascii="仿宋" w:hAnsi="仿宋" w:eastAsia="仿宋"/>
          <w:lang w:eastAsia="zh-CN"/>
        </w:rPr>
        <w:t>因此对相关设计、采购、施工等造成的工期延误及费用增加由承包人承担。</w:t>
      </w:r>
    </w:p>
    <w:p w14:paraId="579B2C2E">
      <w:pPr>
        <w:tabs>
          <w:tab w:val="left" w:pos="4970"/>
        </w:tabs>
        <w:spacing w:line="400" w:lineRule="exact"/>
        <w:rPr>
          <w:rFonts w:ascii="仿宋" w:hAnsi="仿宋" w:eastAsia="仿宋"/>
          <w:b/>
          <w:bCs/>
          <w:lang w:eastAsia="zh-CN"/>
        </w:rPr>
      </w:pPr>
      <w:r>
        <mc:AlternateContent>
          <mc:Choice Requires="wps">
            <w:drawing>
              <wp:anchor distT="0" distB="0" distL="114300" distR="114300" simplePos="0" relativeHeight="252099584" behindDoc="0" locked="0" layoutInCell="1" allowOverlap="1">
                <wp:simplePos x="0" y="0"/>
                <wp:positionH relativeFrom="column">
                  <wp:posOffset>-102870</wp:posOffset>
                </wp:positionH>
                <wp:positionV relativeFrom="paragraph">
                  <wp:posOffset>278765</wp:posOffset>
                </wp:positionV>
                <wp:extent cx="785495" cy="493395"/>
                <wp:effectExtent l="0" t="0" r="0" b="0"/>
                <wp:wrapNone/>
                <wp:docPr id="166" name="文本框 12"/>
                <wp:cNvGraphicFramePr/>
                <a:graphic xmlns:a="http://schemas.openxmlformats.org/drawingml/2006/main">
                  <a:graphicData uri="http://schemas.microsoft.com/office/word/2010/wordprocessingShape">
                    <wps:wsp>
                      <wps:cNvSpPr txBox="1"/>
                      <wps:spPr>
                        <a:xfrm>
                          <a:off x="0" y="0"/>
                          <a:ext cx="785495" cy="493395"/>
                        </a:xfrm>
                        <a:prstGeom prst="rect">
                          <a:avLst/>
                        </a:prstGeom>
                        <a:noFill/>
                        <a:ln w="12700">
                          <a:noFill/>
                        </a:ln>
                      </wps:spPr>
                      <wps:txbx>
                        <w:txbxContent>
                          <w:p w14:paraId="676BBCA0">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建筑信息模型（BIM）审查</w:t>
                            </w:r>
                          </w:p>
                        </w:txbxContent>
                      </wps:txbx>
                      <wps:bodyPr rot="0" vert="horz" wrap="square" lIns="91440" tIns="45720" rIns="91440" bIns="45720" anchor="t" anchorCtr="0"/>
                    </wps:wsp>
                  </a:graphicData>
                </a:graphic>
              </wp:anchor>
            </w:drawing>
          </mc:Choice>
          <mc:Fallback>
            <w:pict>
              <v:shape id="文本框 12" o:spid="_x0000_s1026" o:spt="202" type="#_x0000_t202" style="position:absolute;left:0pt;margin-left:-8.1pt;margin-top:21.95pt;height:38.85pt;width:61.85pt;z-index:252099584;mso-width-relative:page;mso-height-relative:page;" filled="f" stroked="f" coordsize="21600,21600" o:gfxdata="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K7&#10;PznYAAAACgEAAA8AAAAAAAAAAQAgAAAAIgAAAGRycy9kb3ducmV2LnhtbFBLAQIUABQAAAAIAIdO&#10;4kBpltsP6gEAAL0DAAAOAAAAAAAAAAEAIAAAACcBAABkcnMvZTJvRG9jLnhtbFBLBQYAAAAABgAG&#10;AFkBAACDBQAAAAA=&#10;">
                <v:fill on="f" focussize="0,0"/>
                <v:stroke on="f" weight="1pt"/>
                <v:imagedata o:title=""/>
                <o:lock v:ext="edit" aspectratio="f"/>
                <v:textbox>
                  <w:txbxContent>
                    <w:p w14:paraId="676BBCA0">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建筑信息模型（BIM）审查</w:t>
                      </w:r>
                    </w:p>
                  </w:txbxContent>
                </v:textbox>
              </v:shape>
            </w:pict>
          </mc:Fallback>
        </mc:AlternateContent>
      </w:r>
      <w:r>
        <w:rPr>
          <w:rFonts w:hint="eastAsia" w:ascii="仿宋" w:hAnsi="仿宋" w:eastAsia="仿宋" w:cs="仿宋"/>
          <w:b/>
          <w:bCs/>
          <w:lang w:eastAsia="zh-CN"/>
        </w:rPr>
        <w:t>39.5</w:t>
      </w:r>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507BC2B6">
      <w:pPr>
        <w:widowControl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发包人及政府有关部门基于设计文件审查需要承包人提供建筑信息模型（BIM）的，相关审查按第38.6款约定执行。</w:t>
      </w:r>
    </w:p>
    <w:p w14:paraId="0263EE82">
      <w:pPr>
        <w:tabs>
          <w:tab w:val="left" w:pos="4970"/>
        </w:tabs>
        <w:spacing w:line="400" w:lineRule="exact"/>
        <w:rPr>
          <w:rFonts w:ascii="仿宋" w:hAnsi="仿宋" w:eastAsia="仿宋"/>
          <w:b/>
          <w:bCs/>
          <w:lang w:eastAsia="zh-CN"/>
        </w:rPr>
      </w:pPr>
      <w:r>
        <mc:AlternateContent>
          <mc:Choice Requires="wps">
            <w:drawing>
              <wp:anchor distT="0" distB="0" distL="114300" distR="114300" simplePos="0" relativeHeight="252113920" behindDoc="0" locked="0" layoutInCell="1" allowOverlap="1">
                <wp:simplePos x="0" y="0"/>
                <wp:positionH relativeFrom="column">
                  <wp:posOffset>-102870</wp:posOffset>
                </wp:positionH>
                <wp:positionV relativeFrom="paragraph">
                  <wp:posOffset>278765</wp:posOffset>
                </wp:positionV>
                <wp:extent cx="813435" cy="569595"/>
                <wp:effectExtent l="0" t="0" r="0" b="0"/>
                <wp:wrapNone/>
                <wp:docPr id="167" name="文本框 12"/>
                <wp:cNvGraphicFramePr/>
                <a:graphic xmlns:a="http://schemas.openxmlformats.org/drawingml/2006/main">
                  <a:graphicData uri="http://schemas.microsoft.com/office/word/2010/wordprocessingShape">
                    <wps:wsp>
                      <wps:cNvSpPr txBox="1"/>
                      <wps:spPr>
                        <a:xfrm>
                          <a:off x="0" y="0"/>
                          <a:ext cx="813435" cy="569595"/>
                        </a:xfrm>
                        <a:prstGeom prst="rect">
                          <a:avLst/>
                        </a:prstGeom>
                        <a:noFill/>
                        <a:ln w="12700">
                          <a:noFill/>
                        </a:ln>
                      </wps:spPr>
                      <wps:txbx>
                        <w:txbxContent>
                          <w:p w14:paraId="345BBA39">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建筑信息模型（BIM）交付标准</w:t>
                            </w:r>
                          </w:p>
                        </w:txbxContent>
                      </wps:txbx>
                      <wps:bodyPr rot="0" vert="horz" wrap="square" lIns="91440" tIns="45720" rIns="91440" bIns="45720" anchor="t" anchorCtr="0"/>
                    </wps:wsp>
                  </a:graphicData>
                </a:graphic>
              </wp:anchor>
            </w:drawing>
          </mc:Choice>
          <mc:Fallback>
            <w:pict>
              <v:shape id="文本框 12" o:spid="_x0000_s1026" o:spt="202" type="#_x0000_t202" style="position:absolute;left:0pt;margin-left:-8.1pt;margin-top:21.95pt;height:44.85pt;width:64.05pt;z-index:252113920;mso-width-relative:page;mso-height-relative:page;" filled="f" stroked="f" coordsize="21600,21600" o:gfxdata="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1h&#10;UsrYAAAACgEAAA8AAAAAAAAAAQAgAAAAIgAAAGRycy9kb3ducmV2LnhtbFBLAQIUABQAAAAIAIdO&#10;4kABZRTo6gEAAL0DAAAOAAAAAAAAAAEAIAAAACcBAABkcnMvZTJvRG9jLnhtbFBLBQYAAAAABgAG&#10;AFkBAACDBQAAAAA=&#10;">
                <v:fill on="f" focussize="0,0"/>
                <v:stroke on="f" weight="1pt"/>
                <v:imagedata o:title=""/>
                <o:lock v:ext="edit" aspectratio="f"/>
                <v:textbox>
                  <w:txbxContent>
                    <w:p w14:paraId="345BBA39">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建筑信息模型（BIM）交付标准</w:t>
                      </w:r>
                    </w:p>
                  </w:txbxContent>
                </v:textbox>
              </v:shape>
            </w:pict>
          </mc:Fallback>
        </mc:AlternateContent>
      </w:r>
      <w:r>
        <w:rPr>
          <w:rFonts w:hint="eastAsia" w:ascii="仿宋" w:hAnsi="仿宋" w:eastAsia="仿宋" w:cs="仿宋"/>
          <w:b/>
          <w:bCs/>
          <w:lang w:eastAsia="zh-CN"/>
        </w:rPr>
        <w:t>39.6</w:t>
      </w:r>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4D83E0E9">
      <w:pPr>
        <w:widowControl w:val="0"/>
        <w:spacing w:line="400" w:lineRule="exact"/>
        <w:ind w:left="1850" w:leftChars="771"/>
        <w:jc w:val="both"/>
        <w:rPr>
          <w:rFonts w:ascii="仿宋" w:hAnsi="仿宋" w:eastAsia="仿宋"/>
          <w:lang w:eastAsia="zh-CN"/>
        </w:rPr>
      </w:pPr>
      <w:r>
        <w:rPr>
          <w:rFonts w:hint="eastAsia" w:ascii="仿宋" w:hAnsi="仿宋" w:eastAsia="仿宋"/>
          <w:lang w:eastAsia="zh-CN"/>
        </w:rPr>
        <w:t>BIM技术应用各阶段的建筑信息模（BIM）交付，应符合国家、行业及省市现行有关标准。具体交付标准要求在专用条款中约定。</w:t>
      </w:r>
    </w:p>
    <w:p w14:paraId="40C6B692">
      <w:pPr>
        <w:tabs>
          <w:tab w:val="left" w:pos="1620"/>
        </w:tabs>
        <w:spacing w:line="400" w:lineRule="exact"/>
        <w:rPr>
          <w:rFonts w:ascii="仿宋" w:hAnsi="仿宋" w:eastAsia="仿宋" w:cs="仿宋"/>
          <w:b/>
          <w:bCs/>
          <w:u w:val="single"/>
          <w:lang w:eastAsia="zh-CN"/>
        </w:rPr>
      </w:pPr>
      <w:r>
        <w:rPr>
          <w:rFonts w:ascii="仿宋" w:hAnsi="仿宋" w:eastAsia="仿宋" w:cs="仿宋"/>
          <w:b/>
          <w:bCs/>
          <w:u w:val="single"/>
          <w:lang w:eastAsia="zh-CN"/>
        </w:rPr>
        <w:t xml:space="preserve">                                                                                     </w:t>
      </w:r>
    </w:p>
    <w:p w14:paraId="7349A7E8">
      <w:pPr>
        <w:pStyle w:val="22"/>
        <w:adjustRightInd w:val="0"/>
        <w:snapToGrid w:val="0"/>
        <w:spacing w:line="400" w:lineRule="exact"/>
        <w:ind w:right="-238"/>
        <w:jc w:val="center"/>
        <w:outlineLvl w:val="1"/>
        <w:rPr>
          <w:rFonts w:ascii="仿宋" w:hAnsi="仿宋" w:eastAsia="仿宋"/>
          <w:b/>
          <w:bCs/>
          <w:sz w:val="24"/>
          <w:szCs w:val="24"/>
          <w:lang w:eastAsia="zh-CN"/>
        </w:rPr>
      </w:pPr>
      <w:bookmarkStart w:id="350" w:name="_Toc194073148"/>
      <w:bookmarkStart w:id="351" w:name="_Toc14663"/>
      <w:bookmarkStart w:id="352" w:name="_Toc18937"/>
      <w:bookmarkStart w:id="353" w:name="_Toc24573"/>
      <w:r>
        <w:rPr>
          <w:rFonts w:hint="eastAsia" w:ascii="仿宋" w:hAnsi="仿宋" w:eastAsia="仿宋" w:cs="仿宋"/>
          <w:b/>
          <w:bCs/>
          <w:sz w:val="24"/>
          <w:szCs w:val="24"/>
          <w:lang w:eastAsia="zh-CN"/>
        </w:rPr>
        <w:t>五、工</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期</w:t>
      </w:r>
      <w:bookmarkEnd w:id="350"/>
      <w:bookmarkEnd w:id="351"/>
      <w:bookmarkEnd w:id="352"/>
      <w:bookmarkEnd w:id="353"/>
    </w:p>
    <w:p w14:paraId="24E4A5E1">
      <w:pPr>
        <w:pStyle w:val="4"/>
        <w:tabs>
          <w:tab w:val="left" w:pos="420"/>
        </w:tabs>
        <w:spacing w:before="0" w:after="0" w:line="400" w:lineRule="exact"/>
        <w:rPr>
          <w:rFonts w:ascii="仿宋" w:hAnsi="仿宋" w:eastAsia="仿宋" w:cs="仿宋"/>
          <w:sz w:val="24"/>
          <w:szCs w:val="24"/>
          <w:lang w:eastAsia="zh-CN"/>
        </w:rPr>
      </w:pPr>
      <w:bookmarkStart w:id="354" w:name="_Toc1973"/>
      <w:bookmarkStart w:id="355" w:name="_Toc194073149"/>
      <w:bookmarkStart w:id="356" w:name="_Toc32355"/>
      <w:bookmarkStart w:id="357" w:name="_Toc7963"/>
      <w:r>
        <w:rPr>
          <w:rFonts w:hint="eastAsia" w:ascii="仿宋" w:hAnsi="仿宋" w:eastAsia="仿宋" w:cs="仿宋"/>
          <w:bCs w:val="0"/>
          <w:sz w:val="24"/>
          <w:szCs w:val="24"/>
          <w:lang w:eastAsia="zh-CN"/>
        </w:rPr>
        <w:t>40</w:t>
      </w:r>
      <w:r>
        <w:rPr>
          <w:rFonts w:ascii="仿宋" w:hAnsi="仿宋" w:eastAsia="仿宋" w:cs="仿宋"/>
          <w:bCs w:val="0"/>
          <w:sz w:val="24"/>
          <w:szCs w:val="24"/>
          <w:lang w:eastAsia="zh-CN"/>
        </w:rPr>
        <w:t xml:space="preserve">  </w:t>
      </w:r>
      <w:r>
        <w:rPr>
          <w:rFonts w:hint="eastAsia" w:ascii="仿宋" w:hAnsi="仿宋" w:eastAsia="仿宋" w:cs="仿宋"/>
          <w:sz w:val="24"/>
          <w:szCs w:val="24"/>
          <w:lang w:eastAsia="zh-CN"/>
        </w:rPr>
        <w:t>进度计划和报告</w:t>
      </w:r>
      <w:bookmarkEnd w:id="354"/>
      <w:bookmarkEnd w:id="355"/>
      <w:bookmarkEnd w:id="356"/>
      <w:bookmarkEnd w:id="357"/>
    </w:p>
    <w:p w14:paraId="52C03676">
      <w:pPr>
        <w:pStyle w:val="22"/>
        <w:tabs>
          <w:tab w:val="left" w:pos="1620"/>
        </w:tabs>
        <w:adjustRightInd w:val="0"/>
        <w:snapToGrid w:val="0"/>
        <w:spacing w:line="400" w:lineRule="exact"/>
        <w:rPr>
          <w:rFonts w:ascii="仿宋" w:hAnsi="仿宋" w:eastAsia="仿宋" w:cs="仿宋"/>
          <w:b/>
          <w:bCs/>
          <w:sz w:val="24"/>
          <w:szCs w:val="24"/>
          <w:lang w:eastAsia="zh-CN"/>
        </w:rPr>
      </w:pPr>
      <w:r>
        <w:rPr>
          <w:rFonts w:ascii="仿宋" w:hAnsi="仿宋" w:eastAsia="仿宋" w:cs="仿宋"/>
          <w:b/>
          <w:bCs/>
          <w:sz w:val="24"/>
          <w:szCs w:val="24"/>
        </w:rPr>
        <mc:AlternateContent>
          <mc:Choice Requires="wps">
            <w:drawing>
              <wp:anchor distT="0" distB="0" distL="114300" distR="114300" simplePos="0" relativeHeight="252011520" behindDoc="0" locked="0" layoutInCell="1" allowOverlap="1">
                <wp:simplePos x="0" y="0"/>
                <wp:positionH relativeFrom="column">
                  <wp:posOffset>-114300</wp:posOffset>
                </wp:positionH>
                <wp:positionV relativeFrom="paragraph">
                  <wp:posOffset>283845</wp:posOffset>
                </wp:positionV>
                <wp:extent cx="775970" cy="478155"/>
                <wp:effectExtent l="0" t="0" r="0" b="0"/>
                <wp:wrapNone/>
                <wp:docPr id="168" name="文本框 817"/>
                <wp:cNvGraphicFramePr/>
                <a:graphic xmlns:a="http://schemas.openxmlformats.org/drawingml/2006/main">
                  <a:graphicData uri="http://schemas.microsoft.com/office/word/2010/wordprocessingShape">
                    <wps:wsp>
                      <wps:cNvSpPr txBox="1"/>
                      <wps:spPr>
                        <a:xfrm>
                          <a:off x="0" y="0"/>
                          <a:ext cx="775970" cy="478155"/>
                        </a:xfrm>
                        <a:prstGeom prst="rect">
                          <a:avLst/>
                        </a:prstGeom>
                        <a:noFill/>
                        <a:ln w="12700">
                          <a:noFill/>
                        </a:ln>
                      </wps:spPr>
                      <wps:txbx>
                        <w:txbxContent>
                          <w:p w14:paraId="4CB7DC5C">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txbxContent>
                      </wps:txbx>
                      <wps:bodyPr rot="0" vert="horz" wrap="square" lIns="91440" tIns="45720" rIns="91440" bIns="45720" anchor="t" anchorCtr="0"/>
                    </wps:wsp>
                  </a:graphicData>
                </a:graphic>
              </wp:anchor>
            </w:drawing>
          </mc:Choice>
          <mc:Fallback>
            <w:pict>
              <v:shape id="文本框 817" o:spid="_x0000_s1026" o:spt="202" type="#_x0000_t202" style="position:absolute;left:0pt;margin-left:-9pt;margin-top:22.35pt;height:37.65pt;width:61.1pt;z-index:252011520;mso-width-relative:page;mso-height-relative:page;" filled="f" stroked="f" coordsize="21600,21600" o:gfxdata="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8uSO&#10;EdcAAAAKAQAADwAAAAAAAAABACAAAAAiAAAAZHJzL2Rvd25yZXYueG1sUEsBAhQAFAAAAAgAh07i&#10;QAlqCNHqAQAAvgMAAA4AAAAAAAAAAQAgAAAAJgEAAGRycy9lMm9Eb2MueG1sUEsFBgAAAAAGAAYA&#10;WQEAAIIFAAAAAA==&#10;">
                <v:fill on="f" focussize="0,0"/>
                <v:stroke on="f" weight="1pt"/>
                <v:imagedata o:title=""/>
                <o:lock v:ext="edit" aspectratio="f"/>
                <v:textbox>
                  <w:txbxContent>
                    <w:p w14:paraId="4CB7DC5C">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txbxContent>
                </v:textbox>
              </v:shape>
            </w:pict>
          </mc:Fallback>
        </mc:AlternateContent>
      </w:r>
      <w:r>
        <w:rPr>
          <w:rFonts w:hint="eastAsia" w:ascii="仿宋" w:hAnsi="仿宋" w:eastAsia="仿宋" w:cs="仿宋"/>
          <w:b/>
          <w:bCs/>
          <w:sz w:val="24"/>
          <w:szCs w:val="24"/>
          <w:lang w:eastAsia="zh-CN"/>
        </w:rPr>
        <w:t>40</w:t>
      </w:r>
      <w:r>
        <w:rPr>
          <w:rFonts w:ascii="仿宋" w:hAnsi="仿宋" w:eastAsia="仿宋" w:cs="仿宋"/>
          <w:b/>
          <w:bCs/>
          <w:sz w:val="24"/>
          <w:szCs w:val="24"/>
          <w:lang w:eastAsia="zh-CN"/>
        </w:rPr>
        <w:t>.1</w:t>
      </w:r>
    </w:p>
    <w:p w14:paraId="106E1568">
      <w:pPr>
        <w:widowControl w:val="0"/>
        <w:spacing w:line="400" w:lineRule="exact"/>
        <w:ind w:left="1850" w:leftChars="771"/>
        <w:jc w:val="both"/>
        <w:rPr>
          <w:rFonts w:ascii="仿宋" w:hAnsi="仿宋" w:eastAsia="仿宋"/>
          <w:lang w:eastAsia="zh-CN"/>
        </w:rPr>
      </w:pPr>
      <w:r>
        <w:rPr>
          <w:rFonts w:hint="eastAsia" w:ascii="仿宋" w:hAnsi="仿宋" w:eastAsia="仿宋" w:cs="仿宋"/>
          <w:lang w:eastAsia="zh-CN"/>
        </w:rPr>
        <w:t>承包人应在本合同生效后的14天内，向发包人提交一式三份（或约定其他的份数）工程进度计划，包括勘察工作计划（如果有）、初步设计和（或）施工图设计工作计划、BIM技术应用工作计划、设备及工器具购置工作计划（如果有）、施工组织设计和施工进度计划。发包人、设计顾问人或监理人应在收到工程进度计划后的21天内予以确认或提出修改意见，逾期不确认也不提出书面意见的，视为同意。工程进度计划，应对合同工程的总承包范围内的全部工作内容，提出总体上的勘察方法、设计方法、施工方法、施工安排、作业顺序和时间表。合同约定有单项工程的，承包人还应编制单项工程进度计划。</w:t>
      </w:r>
    </w:p>
    <w:p w14:paraId="724D03C0">
      <w:pPr>
        <w:pStyle w:val="22"/>
        <w:tabs>
          <w:tab w:val="left" w:pos="1620"/>
        </w:tabs>
        <w:adjustRightInd w:val="0"/>
        <w:snapToGrid w:val="0"/>
        <w:spacing w:line="400" w:lineRule="exact"/>
        <w:rPr>
          <w:rFonts w:ascii="仿宋" w:hAnsi="仿宋" w:eastAsia="仿宋" w:cs="仿宋"/>
          <w:b/>
          <w:bCs/>
          <w:sz w:val="24"/>
          <w:szCs w:val="24"/>
          <w:u w:val="dotted"/>
          <w:lang w:eastAsia="zh-CN"/>
        </w:rPr>
      </w:pPr>
      <w:r>
        <w:rPr>
          <w:rFonts w:ascii="仿宋" w:hAnsi="仿宋" w:eastAsia="仿宋" w:cs="仿宋"/>
          <w:b/>
          <w:bCs/>
          <w:sz w:val="24"/>
          <w:szCs w:val="24"/>
        </w:rPr>
        <mc:AlternateContent>
          <mc:Choice Requires="wps">
            <w:drawing>
              <wp:anchor distT="0" distB="0" distL="114300" distR="114300" simplePos="0" relativeHeight="252012544" behindDoc="0" locked="0" layoutInCell="1" allowOverlap="1">
                <wp:simplePos x="0" y="0"/>
                <wp:positionH relativeFrom="column">
                  <wp:posOffset>-114300</wp:posOffset>
                </wp:positionH>
                <wp:positionV relativeFrom="paragraph">
                  <wp:posOffset>281305</wp:posOffset>
                </wp:positionV>
                <wp:extent cx="775970" cy="554355"/>
                <wp:effectExtent l="0" t="0" r="0" b="0"/>
                <wp:wrapNone/>
                <wp:docPr id="169" name="文本框 818"/>
                <wp:cNvGraphicFramePr/>
                <a:graphic xmlns:a="http://schemas.openxmlformats.org/drawingml/2006/main">
                  <a:graphicData uri="http://schemas.microsoft.com/office/word/2010/wordprocessingShape">
                    <wps:wsp>
                      <wps:cNvSpPr txBox="1"/>
                      <wps:spPr>
                        <a:xfrm>
                          <a:off x="0" y="0"/>
                          <a:ext cx="775970" cy="554355"/>
                        </a:xfrm>
                        <a:prstGeom prst="rect">
                          <a:avLst/>
                        </a:prstGeom>
                        <a:noFill/>
                        <a:ln w="12700">
                          <a:noFill/>
                        </a:ln>
                      </wps:spPr>
                      <wps:txbx>
                        <w:txbxContent>
                          <w:p w14:paraId="55025C6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txbxContent>
                      </wps:txbx>
                      <wps:bodyPr rot="0" vert="horz" wrap="square" lIns="91440" tIns="45720" rIns="91440" bIns="45720" anchor="t" anchorCtr="0"/>
                    </wps:wsp>
                  </a:graphicData>
                </a:graphic>
              </wp:anchor>
            </w:drawing>
          </mc:Choice>
          <mc:Fallback>
            <w:pict>
              <v:shape id="文本框 818" o:spid="_x0000_s1026" o:spt="202" type="#_x0000_t202" style="position:absolute;left:0pt;margin-left:-9pt;margin-top:22.15pt;height:43.65pt;width:61.1pt;z-index:252012544;mso-width-relative:page;mso-height-relative:page;" filled="f" stroked="f" coordsize="21600,21600" o:gfxdata="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G&#10;AbwY2QAAAAoBAAAPAAAAAAAAAAEAIAAAACIAAABkcnMvZG93bnJldi54bWxQSwECFAAUAAAACACH&#10;TuJA0u5zqeoBAAC+AwAADgAAAAAAAAABACAAAAAoAQAAZHJzL2Uyb0RvYy54bWxQSwUGAAAAAAYA&#10;BgBZAQAAhAUAAAAA&#10;">
                <v:fill on="f" focussize="0,0"/>
                <v:stroke on="f" weight="1pt"/>
                <v:imagedata o:title=""/>
                <o:lock v:ext="edit" aspectratio="f"/>
                <v:textbox>
                  <w:txbxContent>
                    <w:p w14:paraId="55025C6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txbxContent>
                </v:textbox>
              </v:shape>
            </w:pict>
          </mc:Fallback>
        </mc:AlternateContent>
      </w:r>
      <w:r>
        <w:rPr>
          <w:rFonts w:hint="eastAsia" w:ascii="仿宋" w:hAnsi="仿宋" w:eastAsia="仿宋" w:cs="仿宋"/>
          <w:b/>
          <w:bCs/>
          <w:sz w:val="24"/>
          <w:szCs w:val="24"/>
          <w:lang w:eastAsia="zh-CN"/>
        </w:rPr>
        <w:t>40</w:t>
      </w:r>
      <w:r>
        <w:rPr>
          <w:rFonts w:ascii="仿宋" w:hAnsi="仿宋" w:eastAsia="仿宋" w:cs="仿宋"/>
          <w:b/>
          <w:bCs/>
          <w:sz w:val="24"/>
          <w:szCs w:val="24"/>
          <w:lang w:eastAsia="zh-CN"/>
        </w:rPr>
        <w:t xml:space="preserve">.2   </w:t>
      </w:r>
      <w:r>
        <w:rPr>
          <w:rFonts w:ascii="仿宋" w:hAnsi="仿宋" w:eastAsia="仿宋" w:cs="仿宋"/>
          <w:b/>
          <w:bCs/>
          <w:sz w:val="24"/>
          <w:szCs w:val="24"/>
          <w:u w:val="dotted"/>
          <w:lang w:eastAsia="zh-CN"/>
        </w:rPr>
        <w:t xml:space="preserve">                                            </w:t>
      </w:r>
      <w:r>
        <w:rPr>
          <w:rFonts w:hint="eastAsia" w:ascii="仿宋" w:hAnsi="仿宋" w:eastAsia="仿宋" w:cs="仿宋"/>
          <w:b/>
          <w:bCs/>
          <w:sz w:val="24"/>
          <w:szCs w:val="24"/>
          <w:u w:val="dotted"/>
          <w:lang w:eastAsia="zh-CN"/>
        </w:rPr>
        <w:t xml:space="preserve">      </w:t>
      </w:r>
      <w:r>
        <w:rPr>
          <w:rFonts w:ascii="仿宋" w:hAnsi="仿宋" w:eastAsia="仿宋" w:cs="仿宋"/>
          <w:b/>
          <w:bCs/>
          <w:sz w:val="24"/>
          <w:szCs w:val="24"/>
          <w:u w:val="dotted"/>
          <w:lang w:eastAsia="zh-CN"/>
        </w:rPr>
        <w:t xml:space="preserve">                           </w:t>
      </w:r>
    </w:p>
    <w:p w14:paraId="591D8653">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承包人应按照经设计顾问人或监理人确认并由其报发包人批准的进度计划组织勘察（如果有）、</w:t>
      </w:r>
      <w:r>
        <w:rPr>
          <w:rFonts w:hint="eastAsia" w:ascii="仿宋" w:hAnsi="仿宋" w:eastAsia="仿宋"/>
          <w:sz w:val="24"/>
          <w:szCs w:val="24"/>
          <w:lang w:eastAsia="zh-CN"/>
        </w:rPr>
        <w:t>初步设计和（或）施工图</w:t>
      </w:r>
      <w:r>
        <w:rPr>
          <w:rFonts w:hint="eastAsia" w:ascii="仿宋" w:hAnsi="仿宋" w:eastAsia="仿宋" w:cs="仿宋"/>
          <w:sz w:val="24"/>
          <w:szCs w:val="24"/>
          <w:lang w:eastAsia="zh-CN"/>
        </w:rPr>
        <w:t>设计、BIM技术应用、设备及工器具购置（如果有）、施工，接受监理人、设计顾问人对工程进度的监督和检查。</w:t>
      </w:r>
    </w:p>
    <w:p w14:paraId="003299A2">
      <w:pPr>
        <w:pStyle w:val="22"/>
        <w:tabs>
          <w:tab w:val="left" w:pos="1620"/>
        </w:tabs>
        <w:adjustRightInd w:val="0"/>
        <w:snapToGrid w:val="0"/>
        <w:spacing w:line="400" w:lineRule="exact"/>
        <w:rPr>
          <w:rFonts w:ascii="仿宋" w:hAnsi="仿宋" w:eastAsia="仿宋" w:cs="仿宋"/>
          <w:b/>
          <w:bCs/>
          <w:sz w:val="24"/>
          <w:szCs w:val="24"/>
          <w:u w:val="dotted"/>
          <w:lang w:eastAsia="zh-CN"/>
        </w:rPr>
      </w:pPr>
      <w:r>
        <w:rPr>
          <w:rFonts w:ascii="仿宋" w:hAnsi="仿宋" w:eastAsia="仿宋" w:cs="仿宋"/>
          <w:b/>
          <w:bCs/>
          <w:sz w:val="24"/>
          <w:szCs w:val="24"/>
        </w:rPr>
        <mc:AlternateContent>
          <mc:Choice Requires="wps">
            <w:drawing>
              <wp:anchor distT="0" distB="0" distL="114300" distR="114300" simplePos="0" relativeHeight="252013568" behindDoc="0" locked="0" layoutInCell="1" allowOverlap="1">
                <wp:simplePos x="0" y="0"/>
                <wp:positionH relativeFrom="column">
                  <wp:posOffset>-114300</wp:posOffset>
                </wp:positionH>
                <wp:positionV relativeFrom="paragraph">
                  <wp:posOffset>265430</wp:posOffset>
                </wp:positionV>
                <wp:extent cx="851535" cy="673735"/>
                <wp:effectExtent l="0" t="0" r="0" b="0"/>
                <wp:wrapNone/>
                <wp:docPr id="170" name="文本框 819"/>
                <wp:cNvGraphicFramePr/>
                <a:graphic xmlns:a="http://schemas.openxmlformats.org/drawingml/2006/main">
                  <a:graphicData uri="http://schemas.microsoft.com/office/word/2010/wordprocessingShape">
                    <wps:wsp>
                      <wps:cNvSpPr txBox="1"/>
                      <wps:spPr>
                        <a:xfrm>
                          <a:off x="0" y="0"/>
                          <a:ext cx="851535" cy="673735"/>
                        </a:xfrm>
                        <a:prstGeom prst="rect">
                          <a:avLst/>
                        </a:prstGeom>
                        <a:noFill/>
                        <a:ln w="12700">
                          <a:noFill/>
                        </a:ln>
                      </wps:spPr>
                      <wps:txbx>
                        <w:txbxContent>
                          <w:p w14:paraId="54FDFD0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提交工程进度报告和修订进度计划</w:t>
                            </w:r>
                          </w:p>
                        </w:txbxContent>
                      </wps:txbx>
                      <wps:bodyPr rot="0" vert="horz" wrap="square" lIns="91440" tIns="45720" rIns="91440" bIns="45720" anchor="t" anchorCtr="0"/>
                    </wps:wsp>
                  </a:graphicData>
                </a:graphic>
              </wp:anchor>
            </w:drawing>
          </mc:Choice>
          <mc:Fallback>
            <w:pict>
              <v:shape id="文本框 819" o:spid="_x0000_s1026" o:spt="202" type="#_x0000_t202" style="position:absolute;left:0pt;margin-left:-9pt;margin-top:20.9pt;height:53.05pt;width:67.05pt;z-index:252013568;mso-width-relative:page;mso-height-relative:page;" filled="f" stroked="f" coordsize="21600,21600" o:gfxdata="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FUip&#10;HtgAAAAKAQAADwAAAAAAAAABACAAAAAiAAAAZHJzL2Rvd25yZXYueG1sUEsBAhQAFAAAAAgAh07i&#10;QN4OjN3pAQAAvgMAAA4AAAAAAAAAAQAgAAAAJwEAAGRycy9lMm9Eb2MueG1sUEsFBgAAAAAGAAYA&#10;WQEAAIIFAAAAAA==&#10;">
                <v:fill on="f" focussize="0,0"/>
                <v:stroke on="f" weight="1pt"/>
                <v:imagedata o:title=""/>
                <o:lock v:ext="edit" aspectratio="f"/>
                <v:textbox>
                  <w:txbxContent>
                    <w:p w14:paraId="54FDFD0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提交工程进度报告和修订进度计划</w:t>
                      </w:r>
                    </w:p>
                  </w:txbxContent>
                </v:textbox>
              </v:shape>
            </w:pict>
          </mc:Fallback>
        </mc:AlternateContent>
      </w:r>
      <w:r>
        <w:rPr>
          <w:rFonts w:hint="eastAsia" w:ascii="仿宋" w:hAnsi="仿宋" w:eastAsia="仿宋" w:cs="仿宋"/>
          <w:b/>
          <w:bCs/>
          <w:sz w:val="24"/>
          <w:szCs w:val="24"/>
          <w:lang w:eastAsia="zh-CN"/>
        </w:rPr>
        <w:t>40</w:t>
      </w:r>
      <w:r>
        <w:rPr>
          <w:rFonts w:ascii="仿宋" w:hAnsi="仿宋" w:eastAsia="仿宋" w:cs="仿宋"/>
          <w:b/>
          <w:bCs/>
          <w:sz w:val="24"/>
          <w:szCs w:val="24"/>
          <w:lang w:eastAsia="zh-CN"/>
        </w:rPr>
        <w:t xml:space="preserve">.3     </w:t>
      </w:r>
      <w:r>
        <w:rPr>
          <w:rFonts w:ascii="仿宋" w:hAnsi="仿宋" w:eastAsia="仿宋" w:cs="仿宋"/>
          <w:b/>
          <w:bCs/>
          <w:sz w:val="24"/>
          <w:szCs w:val="24"/>
          <w:u w:val="dotted"/>
          <w:lang w:eastAsia="zh-CN"/>
        </w:rPr>
        <w:t xml:space="preserve">                                                                            </w:t>
      </w:r>
    </w:p>
    <w:p w14:paraId="6D871533">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除专用条款另有约定外，承包人应编制每月工程进度报告，同时每季度对进度计划修订一次，并在每月或季结束后的</w:t>
      </w:r>
      <w:r>
        <w:rPr>
          <w:rFonts w:ascii="仿宋" w:hAnsi="仿宋" w:eastAsia="仿宋" w:cs="仿宋"/>
          <w:sz w:val="24"/>
          <w:szCs w:val="24"/>
          <w:lang w:eastAsia="zh-CN"/>
        </w:rPr>
        <w:t>7</w:t>
      </w:r>
      <w:r>
        <w:rPr>
          <w:rFonts w:hint="eastAsia" w:ascii="仿宋" w:hAnsi="仿宋" w:eastAsia="仿宋" w:cs="仿宋"/>
          <w:sz w:val="24"/>
          <w:szCs w:val="24"/>
          <w:lang w:eastAsia="zh-CN"/>
        </w:rPr>
        <w:t>天内向发包人、设计顾问人或监理人提交上述报告和修订计划一式两份。月进度报告的内容至少应包括：</w:t>
      </w:r>
    </w:p>
    <w:p w14:paraId="3FCBC456">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1</w:t>
      </w:r>
      <w:r>
        <w:rPr>
          <w:rFonts w:hint="eastAsia" w:ascii="仿宋" w:hAnsi="仿宋" w:eastAsia="仿宋" w:cs="仿宋"/>
          <w:sz w:val="24"/>
          <w:szCs w:val="24"/>
          <w:lang w:eastAsia="zh-CN"/>
        </w:rPr>
        <w:t>）勘察作业进展情况的图表和说明；</w:t>
      </w:r>
    </w:p>
    <w:p w14:paraId="3D501FB1">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（2）设计工作进展情况的图表和说明；</w:t>
      </w:r>
    </w:p>
    <w:p w14:paraId="1F4969F6">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（3）BIM技术应用工作进展情况的图表和说明；</w:t>
      </w:r>
    </w:p>
    <w:p w14:paraId="1915406E">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（4）施工、安装、试验以及分包人工作等进展情况的图表和说明；</w:t>
      </w:r>
    </w:p>
    <w:p w14:paraId="66BEC8C2">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（5）工程材料、工程设备的采购和制造商名称、地点以及进入现场情况；</w:t>
      </w:r>
    </w:p>
    <w:p w14:paraId="45E5B3DE">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（6）装配式构件的生产商名称、地点及采购、运输及进入现场情况；</w:t>
      </w:r>
    </w:p>
    <w:p w14:paraId="0C52AB18">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（7）设备及工器具购置工作进展情况的图表和说明；</w:t>
      </w:r>
    </w:p>
    <w:p w14:paraId="76D56C3A">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（8）索赔情况和安全统计；</w:t>
      </w:r>
    </w:p>
    <w:p w14:paraId="100849EC">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（9）实际进度与计划进度的对比，以及为消除延误正在或准备采取的措施。</w:t>
      </w:r>
    </w:p>
    <w:p w14:paraId="0E1C9091">
      <w:pPr>
        <w:pStyle w:val="22"/>
        <w:tabs>
          <w:tab w:val="left" w:pos="1620"/>
        </w:tabs>
        <w:adjustRightInd w:val="0"/>
        <w:snapToGrid w:val="0"/>
        <w:spacing w:line="400" w:lineRule="exact"/>
        <w:rPr>
          <w:rFonts w:ascii="仿宋" w:hAnsi="仿宋" w:eastAsia="仿宋" w:cs="仿宋"/>
          <w:sz w:val="24"/>
          <w:szCs w:val="24"/>
          <w:u w:val="dotted"/>
          <w:lang w:eastAsia="zh-CN"/>
        </w:rPr>
      </w:pPr>
      <w:r>
        <w:rPr>
          <w:rFonts w:hint="eastAsia" w:ascii="仿宋" w:hAnsi="仿宋" w:eastAsia="仿宋" w:cs="仿宋"/>
          <w:b/>
          <w:bCs/>
          <w:sz w:val="24"/>
          <w:szCs w:val="24"/>
          <w:lang w:eastAsia="zh-CN"/>
        </w:rPr>
        <w:t>40</w:t>
      </w:r>
      <w:r>
        <w:rPr>
          <w:rFonts w:ascii="仿宋" w:hAnsi="仿宋" w:eastAsia="仿宋" w:cs="仿宋"/>
          <w:b/>
          <w:bCs/>
          <w:sz w:val="24"/>
          <w:szCs w:val="24"/>
          <w:lang w:eastAsia="zh-CN"/>
        </w:rPr>
        <w:t xml:space="preserve">.4   </w:t>
      </w:r>
      <w:r>
        <w:rPr>
          <w:rFonts w:ascii="仿宋" w:hAnsi="仿宋" w:eastAsia="仿宋" w:cs="仿宋"/>
          <w:sz w:val="24"/>
          <w:szCs w:val="24"/>
          <w:u w:val="dotted"/>
          <w:lang w:eastAsia="zh-CN"/>
        </w:rPr>
        <w:t xml:space="preserve">                                                                              </w:t>
      </w:r>
    </w:p>
    <w:p w14:paraId="52E536C8">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ascii="仿宋" w:hAnsi="仿宋" w:eastAsia="仿宋" w:cs="仿宋"/>
          <w:b/>
          <w:bCs/>
          <w:sz w:val="24"/>
          <w:szCs w:val="24"/>
        </w:rPr>
        <mc:AlternateContent>
          <mc:Choice Requires="wps">
            <w:drawing>
              <wp:anchor distT="0" distB="0" distL="114300" distR="114300" simplePos="0" relativeHeight="252014592" behindDoc="0" locked="0" layoutInCell="1" allowOverlap="1">
                <wp:simplePos x="0" y="0"/>
                <wp:positionH relativeFrom="column">
                  <wp:posOffset>-114300</wp:posOffset>
                </wp:positionH>
                <wp:positionV relativeFrom="paragraph">
                  <wp:posOffset>41910</wp:posOffset>
                </wp:positionV>
                <wp:extent cx="832485" cy="728980"/>
                <wp:effectExtent l="0" t="0" r="0" b="0"/>
                <wp:wrapNone/>
                <wp:docPr id="171" name="文本框 820"/>
                <wp:cNvGraphicFramePr/>
                <a:graphic xmlns:a="http://schemas.openxmlformats.org/drawingml/2006/main">
                  <a:graphicData uri="http://schemas.microsoft.com/office/word/2010/wordprocessingShape">
                    <wps:wsp>
                      <wps:cNvSpPr txBox="1"/>
                      <wps:spPr>
                        <a:xfrm>
                          <a:off x="0" y="0"/>
                          <a:ext cx="832485" cy="728980"/>
                        </a:xfrm>
                        <a:prstGeom prst="rect">
                          <a:avLst/>
                        </a:prstGeom>
                        <a:noFill/>
                        <a:ln w="12700">
                          <a:noFill/>
                        </a:ln>
                      </wps:spPr>
                      <wps:txbx>
                        <w:txbxContent>
                          <w:p w14:paraId="34E17A0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实际进度与进度计划不符时的处理</w:t>
                            </w:r>
                          </w:p>
                        </w:txbxContent>
                      </wps:txbx>
                      <wps:bodyPr rot="0" vert="horz" wrap="square" lIns="91440" tIns="45720" rIns="91440" bIns="45720" anchor="t" anchorCtr="0"/>
                    </wps:wsp>
                  </a:graphicData>
                </a:graphic>
              </wp:anchor>
            </w:drawing>
          </mc:Choice>
          <mc:Fallback>
            <w:pict>
              <v:shape id="文本框 820" o:spid="_x0000_s1026" o:spt="202" type="#_x0000_t202" style="position:absolute;left:0pt;margin-left:-9pt;margin-top:3.3pt;height:57.4pt;width:65.55pt;z-index:252014592;mso-width-relative:page;mso-height-relative:page;" filled="f" stroked="f" coordsize="21600,21600" o:gfxdata="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79AK&#10;q9cAAAAJAQAADwAAAAAAAAABACAAAAAiAAAAZHJzL2Rvd25yZXYueG1sUEsBAhQAFAAAAAgAh07i&#10;QCyj1NLqAQAAvgMAAA4AAAAAAAAAAQAgAAAAJgEAAGRycy9lMm9Eb2MueG1sUEsFBgAAAAAGAAYA&#10;WQEAAIIFAAAAAA==&#10;">
                <v:fill on="f" focussize="0,0"/>
                <v:stroke on="f" weight="1pt"/>
                <v:imagedata o:title=""/>
                <o:lock v:ext="edit" aspectratio="f"/>
                <v:textbox>
                  <w:txbxContent>
                    <w:p w14:paraId="34E17A0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实际进度与进度计划不符时的处理</w:t>
                      </w:r>
                    </w:p>
                  </w:txbxContent>
                </v:textbox>
              </v:shape>
            </w:pict>
          </mc:Fallback>
        </mc:AlternateContent>
      </w:r>
      <w:r>
        <w:rPr>
          <w:rFonts w:hint="eastAsia" w:ascii="仿宋" w:hAnsi="仿宋" w:eastAsia="仿宋" w:cs="仿宋"/>
          <w:sz w:val="24"/>
          <w:szCs w:val="24"/>
          <w:lang w:eastAsia="zh-CN"/>
        </w:rPr>
        <w:t>如果发包人、设计顾问人或监理人指出承包人的实际进度和经确认的计划进度不符时，承包人应按照发包人或设计顾问人或监理人的要求提出改进措施，经发包人或设计顾问人或监理人确认后执行。因承包人的原因导致实际进度迟于计划进度的，承包人不但无权就改进措施要求发包人增加任何费用，而且应按照第76</w:t>
      </w:r>
      <w:r>
        <w:rPr>
          <w:rFonts w:ascii="仿宋" w:hAnsi="仿宋" w:eastAsia="仿宋" w:cs="仿宋"/>
          <w:sz w:val="24"/>
          <w:szCs w:val="24"/>
          <w:lang w:eastAsia="zh-CN"/>
        </w:rPr>
        <w:t>.2</w:t>
      </w:r>
      <w:r>
        <w:rPr>
          <w:rFonts w:hint="eastAsia" w:ascii="仿宋" w:hAnsi="仿宋" w:eastAsia="仿宋" w:cs="仿宋"/>
          <w:sz w:val="24"/>
          <w:szCs w:val="24"/>
          <w:lang w:eastAsia="zh-CN"/>
        </w:rPr>
        <w:t>款约定向发包人支付由此产生的误期赔偿费。工程进度计划即使经发包人或设计顾问人或监理人确认，也不能免除承包人按照合同约定应承担的任何责任和应履行的任何义务。</w:t>
      </w:r>
    </w:p>
    <w:p w14:paraId="1DBA7BB0">
      <w:pPr>
        <w:pStyle w:val="22"/>
        <w:adjustRightInd w:val="0"/>
        <w:snapToGrid w:val="0"/>
        <w:spacing w:line="400" w:lineRule="exact"/>
        <w:ind w:right="-238"/>
        <w:rPr>
          <w:rFonts w:ascii="仿宋" w:hAnsi="仿宋" w:eastAsia="仿宋"/>
          <w:b/>
          <w:bCs/>
          <w:sz w:val="24"/>
          <w:szCs w:val="24"/>
          <w:lang w:eastAsia="zh-CN"/>
        </w:rPr>
      </w:pPr>
      <w:r>
        <w:rPr>
          <w:rFonts w:ascii="仿宋" w:hAnsi="仿宋" w:eastAsia="仿宋" w:cs="仿宋"/>
          <w:b/>
          <w:bCs/>
          <w:sz w:val="24"/>
          <w:szCs w:val="24"/>
          <w:u w:val="single"/>
          <w:lang w:eastAsia="zh-CN"/>
        </w:rPr>
        <w:t xml:space="preserve">                                                                                    </w:t>
      </w:r>
    </w:p>
    <w:p w14:paraId="064F0971">
      <w:pPr>
        <w:pStyle w:val="4"/>
        <w:tabs>
          <w:tab w:val="left" w:pos="420"/>
        </w:tabs>
        <w:spacing w:before="0" w:after="0" w:line="400" w:lineRule="exact"/>
        <w:rPr>
          <w:rFonts w:ascii="仿宋" w:hAnsi="仿宋" w:eastAsia="仿宋" w:cs="仿宋"/>
          <w:bCs w:val="0"/>
          <w:sz w:val="24"/>
          <w:szCs w:val="24"/>
          <w:lang w:eastAsia="zh-CN"/>
        </w:rPr>
      </w:pPr>
      <w:bookmarkStart w:id="358" w:name="_Toc194073150"/>
      <w:bookmarkStart w:id="359" w:name="_Toc30901"/>
      <w:bookmarkStart w:id="360" w:name="_Toc11269"/>
      <w:bookmarkStart w:id="361" w:name="_Toc8784"/>
      <w:r>
        <w:rPr>
          <w:rFonts w:hint="eastAsia" w:ascii="仿宋" w:hAnsi="仿宋" w:eastAsia="仿宋" w:cs="仿宋"/>
          <w:bCs w:val="0"/>
          <w:sz w:val="24"/>
          <w:szCs w:val="24"/>
          <w:lang w:eastAsia="zh-CN"/>
        </w:rPr>
        <w:t>41</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开始工作或开工</w:t>
      </w:r>
      <w:bookmarkEnd w:id="358"/>
      <w:bookmarkEnd w:id="359"/>
      <w:bookmarkEnd w:id="360"/>
      <w:bookmarkEnd w:id="361"/>
    </w:p>
    <w:p w14:paraId="4FCFA05A">
      <w:pPr>
        <w:pStyle w:val="22"/>
        <w:tabs>
          <w:tab w:val="left" w:pos="1320"/>
        </w:tabs>
        <w:adjustRightInd w:val="0"/>
        <w:snapToGrid w:val="0"/>
        <w:spacing w:line="400" w:lineRule="exact"/>
        <w:ind w:right="3"/>
        <w:rPr>
          <w:rFonts w:ascii="仿宋" w:hAnsi="仿宋" w:eastAsia="仿宋" w:cs="仿宋"/>
          <w:b/>
          <w:bCs/>
          <w:sz w:val="24"/>
          <w:szCs w:val="24"/>
          <w:lang w:eastAsia="zh-CN"/>
        </w:rPr>
      </w:pPr>
      <w:r>
        <w:rPr>
          <w:rFonts w:ascii="仿宋" w:hAnsi="仿宋" w:eastAsia="仿宋" w:cs="仿宋"/>
          <w:b/>
          <w:bCs/>
          <w:sz w:val="24"/>
          <w:szCs w:val="24"/>
        </w:rPr>
        <mc:AlternateContent>
          <mc:Choice Requires="wps">
            <w:drawing>
              <wp:anchor distT="0" distB="0" distL="114300" distR="114300" simplePos="0" relativeHeight="252015616" behindDoc="0" locked="0" layoutInCell="1" allowOverlap="1">
                <wp:simplePos x="0" y="0"/>
                <wp:positionH relativeFrom="column">
                  <wp:posOffset>-114300</wp:posOffset>
                </wp:positionH>
                <wp:positionV relativeFrom="paragraph">
                  <wp:posOffset>247015</wp:posOffset>
                </wp:positionV>
                <wp:extent cx="779780" cy="520065"/>
                <wp:effectExtent l="0" t="0" r="0" b="0"/>
                <wp:wrapNone/>
                <wp:docPr id="172" name="文本框 821"/>
                <wp:cNvGraphicFramePr/>
                <a:graphic xmlns:a="http://schemas.openxmlformats.org/drawingml/2006/main">
                  <a:graphicData uri="http://schemas.microsoft.com/office/word/2010/wordprocessingShape">
                    <wps:wsp>
                      <wps:cNvSpPr txBox="1"/>
                      <wps:spPr>
                        <a:xfrm>
                          <a:off x="0" y="0"/>
                          <a:ext cx="779780" cy="520065"/>
                        </a:xfrm>
                        <a:prstGeom prst="rect">
                          <a:avLst/>
                        </a:prstGeom>
                        <a:noFill/>
                        <a:ln w="12700">
                          <a:noFill/>
                        </a:ln>
                      </wps:spPr>
                      <wps:txbx>
                        <w:txbxContent>
                          <w:p w14:paraId="2A3407D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开始工作或开工条件</w:t>
                            </w:r>
                          </w:p>
                        </w:txbxContent>
                      </wps:txbx>
                      <wps:bodyPr rot="0" vert="horz" wrap="square" lIns="91440" tIns="45720" rIns="91440" bIns="45720" anchor="t" anchorCtr="0"/>
                    </wps:wsp>
                  </a:graphicData>
                </a:graphic>
              </wp:anchor>
            </w:drawing>
          </mc:Choice>
          <mc:Fallback>
            <w:pict>
              <v:shape id="文本框 821" o:spid="_x0000_s1026" o:spt="202" type="#_x0000_t202" style="position:absolute;left:0pt;margin-left:-9pt;margin-top:19.45pt;height:40.95pt;width:61.4pt;z-index:252015616;mso-width-relative:page;mso-height-relative:page;" filled="f" stroked="f" coordsize="21600,21600" o:gfxdata="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gLkKDY&#10;AAAACgEAAA8AAAAAAAAAAQAgAAAAIgAAAGRycy9kb3ducmV2LnhtbFBLAQIUABQAAAAIAIdO4kAT&#10;cX3K5wEAAL4DAAAOAAAAAAAAAAEAIAAAACcBAABkcnMvZTJvRG9jLnhtbFBLBQYAAAAABgAGAFkB&#10;AACABQAAAAA=&#10;">
                <v:fill on="f" focussize="0,0"/>
                <v:stroke on="f" weight="1pt"/>
                <v:imagedata o:title=""/>
                <o:lock v:ext="edit" aspectratio="f"/>
                <v:textbox>
                  <w:txbxContent>
                    <w:p w14:paraId="2A3407D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开始工作或开工条件</w:t>
                      </w:r>
                    </w:p>
                  </w:txbxContent>
                </v:textbox>
              </v:shape>
            </w:pict>
          </mc:Fallback>
        </mc:AlternateContent>
      </w:r>
      <w:r>
        <w:rPr>
          <w:rFonts w:hint="eastAsia" w:ascii="仿宋" w:hAnsi="仿宋" w:eastAsia="仿宋" w:cs="仿宋"/>
          <w:b/>
          <w:bCs/>
          <w:sz w:val="24"/>
          <w:szCs w:val="24"/>
          <w:lang w:eastAsia="zh-CN"/>
        </w:rPr>
        <w:t>41</w:t>
      </w:r>
      <w:r>
        <w:rPr>
          <w:rFonts w:ascii="仿宋" w:hAnsi="仿宋" w:eastAsia="仿宋" w:cs="仿宋"/>
          <w:b/>
          <w:bCs/>
          <w:sz w:val="24"/>
          <w:szCs w:val="24"/>
          <w:lang w:eastAsia="zh-CN"/>
        </w:rPr>
        <w:t>.1</w:t>
      </w:r>
    </w:p>
    <w:p w14:paraId="1D3C9166">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41.1.1承包人开始勘察、设计、BIM技术应用、设备及工器具购置等工作前，应当具备法律规定的工程现场作业条件，并按照法律规定获得了开展工作所需的政府部门许可、批准或备案。</w:t>
      </w:r>
    </w:p>
    <w:p w14:paraId="51F3D1B1">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41.1.2工程开工必须具备法律规定的开工条件，并已经领取了施工许可证。发包人代表、设计顾问或监理人代表违反本条约定发出的开始工作指令或开工令无效，由发包人承担相应责任。</w:t>
      </w:r>
    </w:p>
    <w:p w14:paraId="5108EEB4">
      <w:pPr>
        <w:pStyle w:val="22"/>
        <w:tabs>
          <w:tab w:val="left" w:pos="1320"/>
        </w:tabs>
        <w:adjustRightInd w:val="0"/>
        <w:snapToGrid w:val="0"/>
        <w:spacing w:line="400" w:lineRule="exact"/>
        <w:ind w:right="3"/>
        <w:rPr>
          <w:rFonts w:ascii="仿宋" w:hAnsi="仿宋" w:eastAsia="仿宋" w:cs="仿宋"/>
          <w:b/>
          <w:bCs/>
          <w:sz w:val="24"/>
          <w:szCs w:val="24"/>
          <w:u w:val="dotted"/>
          <w:lang w:eastAsia="zh-CN"/>
        </w:rPr>
      </w:pPr>
      <w:r>
        <w:rPr>
          <w:rFonts w:ascii="仿宋" w:hAnsi="仿宋" w:eastAsia="仿宋" w:cs="仿宋"/>
          <w:b/>
          <w:bCs/>
          <w:sz w:val="24"/>
          <w:szCs w:val="24"/>
        </w:rPr>
        <mc:AlternateContent>
          <mc:Choice Requires="wps">
            <w:drawing>
              <wp:anchor distT="0" distB="0" distL="114300" distR="114300" simplePos="0" relativeHeight="252016640" behindDoc="0" locked="0" layoutInCell="1" allowOverlap="1">
                <wp:simplePos x="0" y="0"/>
                <wp:positionH relativeFrom="column">
                  <wp:posOffset>-114300</wp:posOffset>
                </wp:positionH>
                <wp:positionV relativeFrom="paragraph">
                  <wp:posOffset>242570</wp:posOffset>
                </wp:positionV>
                <wp:extent cx="826770" cy="638175"/>
                <wp:effectExtent l="0" t="0" r="0" b="0"/>
                <wp:wrapNone/>
                <wp:docPr id="173" name="文本框 822"/>
                <wp:cNvGraphicFramePr/>
                <a:graphic xmlns:a="http://schemas.openxmlformats.org/drawingml/2006/main">
                  <a:graphicData uri="http://schemas.microsoft.com/office/word/2010/wordprocessingShape">
                    <wps:wsp>
                      <wps:cNvSpPr txBox="1"/>
                      <wps:spPr>
                        <a:xfrm>
                          <a:off x="0" y="0"/>
                          <a:ext cx="826770" cy="638175"/>
                        </a:xfrm>
                        <a:prstGeom prst="rect">
                          <a:avLst/>
                        </a:prstGeom>
                        <a:noFill/>
                        <a:ln w="12700">
                          <a:noFill/>
                        </a:ln>
                      </wps:spPr>
                      <wps:txbx>
                        <w:txbxContent>
                          <w:p w14:paraId="0F67C21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开始工作或工程开工</w:t>
                            </w:r>
                          </w:p>
                        </w:txbxContent>
                      </wps:txbx>
                      <wps:bodyPr rot="0" vert="horz" wrap="square" lIns="91440" tIns="45720" rIns="91440" bIns="45720" anchor="t" anchorCtr="0"/>
                    </wps:wsp>
                  </a:graphicData>
                </a:graphic>
              </wp:anchor>
            </w:drawing>
          </mc:Choice>
          <mc:Fallback>
            <w:pict>
              <v:shape id="文本框 822" o:spid="_x0000_s1026" o:spt="202" type="#_x0000_t202" style="position:absolute;left:0pt;margin-left:-9pt;margin-top:19.1pt;height:50.25pt;width:65.1pt;z-index:252016640;mso-width-relative:page;mso-height-relative:page;" filled="f" stroked="f" coordsize="21600,21600" o:gfxdata="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3sM&#10;xNgAAAAKAQAADwAAAAAAAAABACAAAAAiAAAAZHJzL2Rvd25yZXYueG1sUEsBAhQAFAAAAAgAh07i&#10;QJkLh9zpAQAAvgMAAA4AAAAAAAAAAQAgAAAAJwEAAGRycy9lMm9Eb2MueG1sUEsFBgAAAAAGAAYA&#10;WQEAAIIFAAAAAA==&#10;">
                <v:fill on="f" focussize="0,0"/>
                <v:stroke on="f" weight="1pt"/>
                <v:imagedata o:title=""/>
                <o:lock v:ext="edit" aspectratio="f"/>
                <v:textbox>
                  <w:txbxContent>
                    <w:p w14:paraId="0F67C21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开始工作或工程开工</w:t>
                      </w:r>
                    </w:p>
                  </w:txbxContent>
                </v:textbox>
              </v:shape>
            </w:pict>
          </mc:Fallback>
        </mc:AlternateContent>
      </w:r>
      <w:r>
        <w:rPr>
          <w:rFonts w:hint="eastAsia" w:ascii="仿宋" w:hAnsi="仿宋" w:eastAsia="仿宋" w:cs="仿宋"/>
          <w:b/>
          <w:bCs/>
          <w:sz w:val="24"/>
          <w:szCs w:val="24"/>
          <w:lang w:eastAsia="zh-CN"/>
        </w:rPr>
        <w:t>41</w:t>
      </w:r>
      <w:r>
        <w:rPr>
          <w:rFonts w:ascii="仿宋" w:hAnsi="仿宋" w:eastAsia="仿宋" w:cs="仿宋"/>
          <w:b/>
          <w:bCs/>
          <w:sz w:val="24"/>
          <w:szCs w:val="24"/>
          <w:lang w:eastAsia="zh-CN"/>
        </w:rPr>
        <w:t xml:space="preserve">.2  </w:t>
      </w:r>
      <w:r>
        <w:rPr>
          <w:rFonts w:ascii="仿宋" w:hAnsi="仿宋" w:eastAsia="仿宋" w:cs="仿宋"/>
          <w:b/>
          <w:bCs/>
          <w:sz w:val="24"/>
          <w:szCs w:val="24"/>
          <w:u w:val="dotted"/>
          <w:lang w:eastAsia="zh-CN"/>
        </w:rPr>
        <w:t xml:space="preserve">                                                                               </w:t>
      </w:r>
    </w:p>
    <w:p w14:paraId="0CA55AFB">
      <w:pPr>
        <w:pStyle w:val="22"/>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41.2.1承包人应在具备工程现场作业条件或获得相关许可、批准或备案后的14天内，向发包人代表、设计顾问人或监理人代表提交开始工作的申请书，并附上表明已做好开始该项工作准备的有关资料。除专用条款另有约定外，发包人代表、设计顾问人或监理人代表应在收到承包人申请后的7天内报发包人批准后向承包人发出开始工作指令；承包人应在接到开始工作指令后的</w:t>
      </w:r>
      <w:r>
        <w:rPr>
          <w:rFonts w:ascii="仿宋" w:hAnsi="仿宋" w:eastAsia="仿宋" w:cs="仿宋"/>
          <w:sz w:val="24"/>
          <w:szCs w:val="24"/>
          <w:lang w:eastAsia="zh-CN"/>
        </w:rPr>
        <w:t>7</w:t>
      </w:r>
      <w:r>
        <w:rPr>
          <w:rFonts w:hint="eastAsia" w:ascii="仿宋" w:hAnsi="仿宋" w:eastAsia="仿宋" w:cs="仿宋"/>
          <w:sz w:val="24"/>
          <w:szCs w:val="24"/>
          <w:lang w:eastAsia="zh-CN"/>
        </w:rPr>
        <w:t>天内开始工作，并一直保持该项工作连续进行，直至其被改变为止。</w:t>
      </w:r>
    </w:p>
    <w:p w14:paraId="11EE020B">
      <w:pPr>
        <w:pStyle w:val="22"/>
        <w:adjustRightInd w:val="0"/>
        <w:snapToGrid w:val="0"/>
        <w:spacing w:line="400" w:lineRule="exact"/>
        <w:ind w:left="1850" w:leftChars="771" w:right="3"/>
        <w:rPr>
          <w:lang w:eastAsia="zh-CN"/>
        </w:rPr>
      </w:pPr>
      <w:r>
        <w:rPr>
          <w:rFonts w:hint="eastAsia" w:ascii="仿宋" w:hAnsi="仿宋" w:eastAsia="仿宋" w:cs="仿宋"/>
          <w:sz w:val="24"/>
          <w:szCs w:val="24"/>
          <w:lang w:eastAsia="zh-CN"/>
        </w:rPr>
        <w:t>41.2.2承包人应在本合同工程施工图审查批准或备案后的28天内，向发包人代表、设计顾问人代表或监理人代表提交开工申请书，并附上表明已做好开工准备的有关资料。除专用条款另有约定外，发包人代表或监理人代表应在本合同工程施工图审查批准或备案后的</w:t>
      </w:r>
      <w:r>
        <w:rPr>
          <w:rFonts w:ascii="仿宋" w:hAnsi="仿宋" w:eastAsia="仿宋" w:cs="仿宋"/>
          <w:sz w:val="24"/>
          <w:szCs w:val="24"/>
          <w:lang w:eastAsia="zh-CN"/>
        </w:rPr>
        <w:t>42</w:t>
      </w:r>
      <w:r>
        <w:rPr>
          <w:rFonts w:hint="eastAsia" w:ascii="仿宋" w:hAnsi="仿宋" w:eastAsia="仿宋" w:cs="仿宋"/>
          <w:sz w:val="24"/>
          <w:szCs w:val="24"/>
          <w:lang w:eastAsia="zh-CN"/>
        </w:rPr>
        <w:t>天内报发包人批准后向承包人发出开工令；承包人应在接到开工令后的</w:t>
      </w:r>
      <w:r>
        <w:rPr>
          <w:rFonts w:ascii="仿宋" w:hAnsi="仿宋" w:eastAsia="仿宋" w:cs="仿宋"/>
          <w:sz w:val="24"/>
          <w:szCs w:val="24"/>
          <w:lang w:eastAsia="zh-CN"/>
        </w:rPr>
        <w:t>7</w:t>
      </w:r>
      <w:r>
        <w:rPr>
          <w:rFonts w:hint="eastAsia" w:ascii="仿宋" w:hAnsi="仿宋" w:eastAsia="仿宋" w:cs="仿宋"/>
          <w:sz w:val="24"/>
          <w:szCs w:val="24"/>
          <w:lang w:eastAsia="zh-CN"/>
        </w:rPr>
        <w:t>天内开工，并一直保持合同工程连续均衡施工，直至其被改变为止。</w:t>
      </w:r>
    </w:p>
    <w:p w14:paraId="4DE52421">
      <w:pPr>
        <w:pStyle w:val="22"/>
        <w:tabs>
          <w:tab w:val="left" w:pos="1320"/>
        </w:tabs>
        <w:adjustRightInd w:val="0"/>
        <w:snapToGrid w:val="0"/>
        <w:spacing w:line="400" w:lineRule="exact"/>
        <w:ind w:right="3"/>
        <w:rPr>
          <w:rFonts w:ascii="仿宋" w:hAnsi="仿宋" w:eastAsia="仿宋"/>
          <w:b/>
          <w:bCs/>
          <w:sz w:val="24"/>
          <w:szCs w:val="24"/>
          <w:lang w:eastAsia="zh-CN"/>
        </w:rPr>
      </w:pPr>
      <w:r>
        <w:rPr>
          <w:rFonts w:ascii="仿宋" w:hAnsi="仿宋" w:eastAsia="仿宋" w:cs="仿宋"/>
          <w:b/>
          <w:bCs/>
          <w:sz w:val="24"/>
          <w:szCs w:val="24"/>
        </w:rPr>
        <mc:AlternateContent>
          <mc:Choice Requires="wps">
            <w:drawing>
              <wp:anchor distT="0" distB="0" distL="114300" distR="114300" simplePos="0" relativeHeight="252017664" behindDoc="0" locked="0" layoutInCell="1" allowOverlap="1">
                <wp:simplePos x="0" y="0"/>
                <wp:positionH relativeFrom="column">
                  <wp:posOffset>-114300</wp:posOffset>
                </wp:positionH>
                <wp:positionV relativeFrom="paragraph">
                  <wp:posOffset>269875</wp:posOffset>
                </wp:positionV>
                <wp:extent cx="861695" cy="1001395"/>
                <wp:effectExtent l="0" t="0" r="0" b="0"/>
                <wp:wrapNone/>
                <wp:docPr id="174" name="文本框 823"/>
                <wp:cNvGraphicFramePr/>
                <a:graphic xmlns:a="http://schemas.openxmlformats.org/drawingml/2006/main">
                  <a:graphicData uri="http://schemas.microsoft.com/office/word/2010/wordprocessingShape">
                    <wps:wsp>
                      <wps:cNvSpPr txBox="1"/>
                      <wps:spPr>
                        <a:xfrm>
                          <a:off x="0" y="0"/>
                          <a:ext cx="861695" cy="1001395"/>
                        </a:xfrm>
                        <a:prstGeom prst="rect">
                          <a:avLst/>
                        </a:prstGeom>
                        <a:noFill/>
                        <a:ln w="12700">
                          <a:noFill/>
                        </a:ln>
                      </wps:spPr>
                      <wps:txbx>
                        <w:txbxContent>
                          <w:p w14:paraId="4CEDE15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承包人未按时开始工作或开工的处理程序和责任</w:t>
                            </w:r>
                          </w:p>
                        </w:txbxContent>
                      </wps:txbx>
                      <wps:bodyPr rot="0" vert="horz" wrap="square" lIns="91440" tIns="45720" rIns="91440" bIns="45720" anchor="t" anchorCtr="0"/>
                    </wps:wsp>
                  </a:graphicData>
                </a:graphic>
              </wp:anchor>
            </w:drawing>
          </mc:Choice>
          <mc:Fallback>
            <w:pict>
              <v:shape id="文本框 823" o:spid="_x0000_s1026" o:spt="202" type="#_x0000_t202" style="position:absolute;left:0pt;margin-left:-9pt;margin-top:21.25pt;height:78.85pt;width:67.85pt;z-index:252017664;mso-width-relative:page;mso-height-relative:page;" filled="f" stroked="f" coordsize="21600,21600" o:gfxdata="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Ln&#10;zWfYAAAACgEAAA8AAAAAAAAAAQAgAAAAIgAAAGRycy9kb3ducmV2LnhtbFBLAQIUABQAAAAIAIdO&#10;4kDQdibW6gEAAL8DAAAOAAAAAAAAAAEAIAAAACcBAABkcnMvZTJvRG9jLnhtbFBLBQYAAAAABgAG&#10;AFkBAACDBQAAAAA=&#10;">
                <v:fill on="f" focussize="0,0"/>
                <v:stroke on="f" weight="1pt"/>
                <v:imagedata o:title=""/>
                <o:lock v:ext="edit" aspectratio="f"/>
                <v:textbox>
                  <w:txbxContent>
                    <w:p w14:paraId="4CEDE15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承包人未按时开始工作或开工的处理程序和责任</w:t>
                      </w:r>
                    </w:p>
                  </w:txbxContent>
                </v:textbox>
              </v:shape>
            </w:pict>
          </mc:Fallback>
        </mc:AlternateContent>
      </w:r>
      <w:r>
        <w:rPr>
          <w:rFonts w:hint="eastAsia" w:ascii="仿宋" w:hAnsi="仿宋" w:eastAsia="仿宋" w:cs="仿宋"/>
          <w:b/>
          <w:bCs/>
          <w:sz w:val="24"/>
          <w:szCs w:val="24"/>
          <w:lang w:eastAsia="zh-CN"/>
        </w:rPr>
        <w:t>41</w:t>
      </w:r>
      <w:r>
        <w:rPr>
          <w:rFonts w:ascii="仿宋" w:hAnsi="仿宋" w:eastAsia="仿宋" w:cs="仿宋"/>
          <w:b/>
          <w:bCs/>
          <w:sz w:val="24"/>
          <w:szCs w:val="24"/>
          <w:lang w:eastAsia="zh-CN"/>
        </w:rPr>
        <w:t xml:space="preserve">.3  </w:t>
      </w:r>
      <w:r>
        <w:rPr>
          <w:rFonts w:ascii="仿宋" w:hAnsi="仿宋" w:eastAsia="仿宋" w:cs="仿宋"/>
          <w:b/>
          <w:bCs/>
          <w:sz w:val="24"/>
          <w:szCs w:val="24"/>
          <w:u w:val="dotted"/>
          <w:lang w:eastAsia="zh-CN"/>
        </w:rPr>
        <w:t xml:space="preserve">                                   </w:t>
      </w:r>
      <w:r>
        <w:rPr>
          <w:rFonts w:hint="eastAsia" w:ascii="仿宋" w:hAnsi="仿宋" w:eastAsia="仿宋" w:cs="仿宋"/>
          <w:b/>
          <w:bCs/>
          <w:sz w:val="24"/>
          <w:szCs w:val="24"/>
          <w:u w:val="dotted"/>
          <w:lang w:eastAsia="zh-CN"/>
        </w:rPr>
        <w:t xml:space="preserve">      </w:t>
      </w:r>
      <w:r>
        <w:rPr>
          <w:rFonts w:ascii="仿宋" w:hAnsi="仿宋" w:eastAsia="仿宋" w:cs="仿宋"/>
          <w:b/>
          <w:bCs/>
          <w:sz w:val="24"/>
          <w:szCs w:val="24"/>
          <w:u w:val="dotted"/>
          <w:lang w:eastAsia="zh-CN"/>
        </w:rPr>
        <w:t xml:space="preserve">                                     </w:t>
      </w:r>
    </w:p>
    <w:p w14:paraId="6121451C">
      <w:pPr>
        <w:pStyle w:val="22"/>
        <w:adjustRightInd w:val="0"/>
        <w:snapToGrid w:val="0"/>
        <w:spacing w:line="400" w:lineRule="exact"/>
        <w:ind w:left="1850" w:leftChars="771" w:right="3"/>
        <w:rPr>
          <w:rFonts w:ascii="仿宋" w:hAnsi="仿宋" w:eastAsia="仿宋" w:cs="仿宋"/>
          <w:sz w:val="24"/>
          <w:szCs w:val="24"/>
          <w:lang w:eastAsia="zh-CN"/>
        </w:rPr>
      </w:pPr>
      <w:r>
        <w:rPr>
          <w:rFonts w:hint="eastAsia" w:ascii="仿宋" w:hAnsi="仿宋" w:eastAsia="仿宋" w:cs="仿宋"/>
          <w:sz w:val="24"/>
          <w:szCs w:val="24"/>
          <w:lang w:eastAsia="zh-CN"/>
        </w:rPr>
        <w:t>承包人未能按时开始某项工作或开工，应在接到开始工作指令或开工令后立即以书面形式向发包人代表、设计顾问人代表或监理人代表提出延期开始工作或开工的要求并说明理由。发包人代表、设计顾问人代表或监理人代表应当在接到延期开始工作或开工申请后的</w:t>
      </w:r>
      <w:r>
        <w:rPr>
          <w:rFonts w:ascii="仿宋" w:hAnsi="仿宋" w:eastAsia="仿宋" w:cs="仿宋"/>
          <w:sz w:val="24"/>
          <w:szCs w:val="24"/>
          <w:lang w:eastAsia="zh-CN"/>
        </w:rPr>
        <w:t>48</w:t>
      </w:r>
      <w:r>
        <w:rPr>
          <w:rFonts w:hint="eastAsia" w:ascii="仿宋" w:hAnsi="仿宋" w:eastAsia="仿宋" w:cs="仿宋"/>
          <w:sz w:val="24"/>
          <w:szCs w:val="24"/>
          <w:lang w:eastAsia="zh-CN"/>
        </w:rPr>
        <w:t>小时内书面予以答复，否则视为同意。承包人没有合理理由而延期开始工作或开工的，由此造成的损失和延误的工期由承包人承担。</w:t>
      </w:r>
    </w:p>
    <w:p w14:paraId="01B4A1EB">
      <w:pPr>
        <w:pStyle w:val="22"/>
        <w:tabs>
          <w:tab w:val="left" w:pos="1320"/>
        </w:tabs>
        <w:adjustRightInd w:val="0"/>
        <w:snapToGrid w:val="0"/>
        <w:spacing w:line="400" w:lineRule="exact"/>
        <w:ind w:right="3"/>
        <w:rPr>
          <w:rFonts w:ascii="仿宋" w:hAnsi="仿宋" w:eastAsia="仿宋" w:cs="仿宋"/>
          <w:sz w:val="24"/>
          <w:szCs w:val="24"/>
          <w:u w:val="dotted"/>
          <w:lang w:eastAsia="zh-CN"/>
        </w:rPr>
      </w:pPr>
      <w:r>
        <w:rPr>
          <w:rFonts w:hint="eastAsia" w:ascii="仿宋" w:hAnsi="仿宋" w:eastAsia="仿宋" w:cs="仿宋"/>
          <w:b/>
          <w:bCs/>
          <w:sz w:val="24"/>
          <w:szCs w:val="24"/>
        </w:rPr>
        <mc:AlternateContent>
          <mc:Choice Requires="wps">
            <w:drawing>
              <wp:anchor distT="0" distB="0" distL="114300" distR="114300" simplePos="0" relativeHeight="252018688" behindDoc="0" locked="0" layoutInCell="1" allowOverlap="1">
                <wp:simplePos x="0" y="0"/>
                <wp:positionH relativeFrom="column">
                  <wp:posOffset>-114300</wp:posOffset>
                </wp:positionH>
                <wp:positionV relativeFrom="paragraph">
                  <wp:posOffset>237490</wp:posOffset>
                </wp:positionV>
                <wp:extent cx="842645" cy="922020"/>
                <wp:effectExtent l="0" t="0" r="0" b="0"/>
                <wp:wrapNone/>
                <wp:docPr id="175" name="文本框 824"/>
                <wp:cNvGraphicFramePr/>
                <a:graphic xmlns:a="http://schemas.openxmlformats.org/drawingml/2006/main">
                  <a:graphicData uri="http://schemas.microsoft.com/office/word/2010/wordprocessingShape">
                    <wps:wsp>
                      <wps:cNvSpPr txBox="1"/>
                      <wps:spPr>
                        <a:xfrm>
                          <a:off x="0" y="0"/>
                          <a:ext cx="842645" cy="922020"/>
                        </a:xfrm>
                        <a:prstGeom prst="rect">
                          <a:avLst/>
                        </a:prstGeom>
                        <a:noFill/>
                        <a:ln w="12700">
                          <a:noFill/>
                        </a:ln>
                      </wps:spPr>
                      <wps:txbx>
                        <w:txbxContent>
                          <w:p w14:paraId="362FE2C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发包人推迟开始工作或开工的处理程序和责任</w:t>
                            </w:r>
                          </w:p>
                        </w:txbxContent>
                      </wps:txbx>
                      <wps:bodyPr rot="0" vert="horz" wrap="square" lIns="91440" tIns="45720" rIns="91440" bIns="45720" anchor="t" anchorCtr="0"/>
                    </wps:wsp>
                  </a:graphicData>
                </a:graphic>
              </wp:anchor>
            </w:drawing>
          </mc:Choice>
          <mc:Fallback>
            <w:pict>
              <v:shape id="文本框 824" o:spid="_x0000_s1026" o:spt="202" type="#_x0000_t202" style="position:absolute;left:0pt;margin-left:-9pt;margin-top:18.7pt;height:72.6pt;width:66.35pt;z-index:252018688;mso-width-relative:page;mso-height-relative:page;" filled="f" stroked="f" coordsize="21600,21600" o:gfxdata="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HnDvmdkAAAAKAQAADwAAAAAAAAABACAAAAAiAAAAZHJzL2Rvd25yZXYueG1sUEsBAhQAFAAAAAgA&#10;h07iQEddnwDrAQAAvgMAAA4AAAAAAAAAAQAgAAAAKAEAAGRycy9lMm9Eb2MueG1sUEsFBgAAAAAG&#10;AAYAWQEAAIUFAAAAAA==&#10;">
                <v:fill on="f" focussize="0,0"/>
                <v:stroke on="f" weight="1pt"/>
                <v:imagedata o:title=""/>
                <o:lock v:ext="edit" aspectratio="f"/>
                <v:textbox>
                  <w:txbxContent>
                    <w:p w14:paraId="362FE2C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发包人推迟开始工作或开工的处理程序和责任</w:t>
                      </w:r>
                    </w:p>
                  </w:txbxContent>
                </v:textbox>
              </v:shape>
            </w:pict>
          </mc:Fallback>
        </mc:AlternateContent>
      </w:r>
      <w:r>
        <w:rPr>
          <w:rFonts w:hint="eastAsia" w:ascii="仿宋" w:hAnsi="仿宋" w:eastAsia="仿宋" w:cs="仿宋"/>
          <w:b/>
          <w:bCs/>
          <w:sz w:val="24"/>
          <w:szCs w:val="24"/>
          <w:lang w:eastAsia="zh-CN"/>
        </w:rPr>
        <w:t xml:space="preserve">41.4 </w:t>
      </w:r>
      <w:r>
        <w:rPr>
          <w:rFonts w:ascii="仿宋" w:hAnsi="仿宋" w:eastAsia="仿宋" w:cs="仿宋"/>
          <w:sz w:val="24"/>
          <w:szCs w:val="24"/>
          <w:lang w:eastAsia="zh-CN"/>
        </w:rPr>
        <w:t xml:space="preserve"> </w:t>
      </w:r>
      <w:r>
        <w:rPr>
          <w:rFonts w:ascii="仿宋" w:hAnsi="仿宋" w:eastAsia="仿宋" w:cs="仿宋"/>
          <w:sz w:val="24"/>
          <w:szCs w:val="24"/>
          <w:u w:val="dotted"/>
          <w:lang w:eastAsia="zh-CN"/>
        </w:rPr>
        <w:t xml:space="preserve">                                               </w:t>
      </w:r>
      <w:r>
        <w:rPr>
          <w:rFonts w:hint="eastAsia" w:ascii="仿宋" w:hAnsi="仿宋" w:eastAsia="仿宋" w:cs="仿宋"/>
          <w:sz w:val="24"/>
          <w:szCs w:val="24"/>
          <w:u w:val="dotted"/>
          <w:lang w:eastAsia="zh-CN"/>
        </w:rPr>
        <w:t xml:space="preserve">        </w:t>
      </w:r>
      <w:r>
        <w:rPr>
          <w:rFonts w:ascii="仿宋" w:hAnsi="仿宋" w:eastAsia="仿宋" w:cs="仿宋"/>
          <w:sz w:val="24"/>
          <w:szCs w:val="24"/>
          <w:u w:val="dotted"/>
          <w:lang w:eastAsia="zh-CN"/>
        </w:rPr>
        <w:t xml:space="preserve">                         </w:t>
      </w:r>
    </w:p>
    <w:p w14:paraId="67823058">
      <w:pPr>
        <w:pStyle w:val="22"/>
        <w:adjustRightInd w:val="0"/>
        <w:snapToGrid w:val="0"/>
        <w:spacing w:line="400" w:lineRule="exact"/>
        <w:ind w:left="1850" w:leftChars="771" w:right="3"/>
        <w:rPr>
          <w:rFonts w:ascii="仿宋" w:hAnsi="仿宋" w:eastAsia="仿宋"/>
          <w:sz w:val="24"/>
          <w:szCs w:val="24"/>
          <w:lang w:eastAsia="zh-CN"/>
        </w:rPr>
      </w:pPr>
      <w:r>
        <w:rPr>
          <w:rFonts w:hint="eastAsia" w:ascii="仿宋" w:hAnsi="仿宋" w:eastAsia="仿宋" w:cs="仿宋"/>
          <w:sz w:val="24"/>
          <w:szCs w:val="24"/>
          <w:lang w:eastAsia="zh-CN"/>
        </w:rPr>
        <w:t>因发包人的原因不能在第41</w:t>
      </w:r>
      <w:r>
        <w:rPr>
          <w:rFonts w:ascii="仿宋" w:hAnsi="仿宋" w:eastAsia="仿宋" w:cs="仿宋"/>
          <w:sz w:val="24"/>
          <w:szCs w:val="24"/>
          <w:lang w:eastAsia="zh-CN"/>
        </w:rPr>
        <w:t>.2</w:t>
      </w:r>
      <w:r>
        <w:rPr>
          <w:rFonts w:hint="eastAsia" w:ascii="仿宋" w:hAnsi="仿宋" w:eastAsia="仿宋" w:cs="仿宋"/>
          <w:sz w:val="24"/>
          <w:szCs w:val="24"/>
          <w:lang w:eastAsia="zh-CN"/>
        </w:rPr>
        <w:t>款约定的时间内发出开始工作指令或开工令的，发包人或监理人应至少提前</w:t>
      </w:r>
      <w:r>
        <w:rPr>
          <w:rFonts w:ascii="仿宋" w:hAnsi="仿宋" w:eastAsia="仿宋" w:cs="仿宋"/>
          <w:sz w:val="24"/>
          <w:szCs w:val="24"/>
          <w:lang w:eastAsia="zh-CN"/>
        </w:rPr>
        <w:t>7</w:t>
      </w:r>
      <w:r>
        <w:rPr>
          <w:rFonts w:hint="eastAsia" w:ascii="仿宋" w:hAnsi="仿宋" w:eastAsia="仿宋" w:cs="仿宋"/>
          <w:sz w:val="24"/>
          <w:szCs w:val="24"/>
          <w:lang w:eastAsia="zh-CN"/>
        </w:rPr>
        <w:t>天以书面形式通知承包人推迟开始工作或开工。由此造成的损失由发包人承担，开始工作或开工日期相应顺延。发包人、设计顾问人或监理人未能提前</w:t>
      </w:r>
      <w:r>
        <w:rPr>
          <w:rFonts w:ascii="仿宋" w:hAnsi="仿宋" w:eastAsia="仿宋" w:cs="仿宋"/>
          <w:sz w:val="24"/>
          <w:szCs w:val="24"/>
          <w:lang w:eastAsia="zh-CN"/>
        </w:rPr>
        <w:t>7</w:t>
      </w:r>
      <w:r>
        <w:rPr>
          <w:rFonts w:hint="eastAsia" w:ascii="仿宋" w:hAnsi="仿宋" w:eastAsia="仿宋" w:cs="仿宋"/>
          <w:sz w:val="24"/>
          <w:szCs w:val="24"/>
          <w:lang w:eastAsia="zh-CN"/>
        </w:rPr>
        <w:t>天通知承包人推迟开工的，由此造成损失的扩大由发包人承担。</w:t>
      </w:r>
    </w:p>
    <w:p w14:paraId="0C26D6CA">
      <w:pPr>
        <w:pStyle w:val="22"/>
        <w:adjustRightInd w:val="0"/>
        <w:snapToGrid w:val="0"/>
        <w:spacing w:line="400" w:lineRule="exact"/>
        <w:rPr>
          <w:rFonts w:ascii="仿宋" w:hAnsi="仿宋" w:eastAsia="仿宋"/>
          <w:b/>
          <w:bCs/>
          <w:sz w:val="24"/>
          <w:szCs w:val="24"/>
          <w:lang w:eastAsia="zh-CN"/>
        </w:rPr>
      </w:pPr>
      <w:r>
        <w:rPr>
          <w:rFonts w:ascii="仿宋" w:hAnsi="仿宋" w:eastAsia="仿宋" w:cs="仿宋"/>
          <w:b/>
          <w:bCs/>
          <w:sz w:val="24"/>
          <w:szCs w:val="24"/>
          <w:u w:val="single"/>
          <w:lang w:eastAsia="zh-CN"/>
        </w:rPr>
        <w:t xml:space="preserve">                                                                                     </w:t>
      </w:r>
      <w:r>
        <w:rPr>
          <w:rFonts w:ascii="仿宋" w:hAnsi="仿宋" w:eastAsia="仿宋" w:cs="仿宋"/>
          <w:b/>
          <w:bCs/>
          <w:sz w:val="24"/>
          <w:szCs w:val="24"/>
          <w:lang w:eastAsia="zh-CN"/>
        </w:rPr>
        <w:t xml:space="preserve"> </w:t>
      </w:r>
    </w:p>
    <w:p w14:paraId="26C39EF2">
      <w:pPr>
        <w:pStyle w:val="4"/>
        <w:tabs>
          <w:tab w:val="left" w:pos="420"/>
        </w:tabs>
        <w:spacing w:before="0" w:after="0" w:line="400" w:lineRule="exact"/>
        <w:rPr>
          <w:rFonts w:ascii="仿宋" w:hAnsi="仿宋" w:eastAsia="仿宋" w:cs="仿宋"/>
          <w:bCs w:val="0"/>
          <w:sz w:val="24"/>
          <w:szCs w:val="24"/>
          <w:lang w:eastAsia="zh-CN"/>
        </w:rPr>
      </w:pPr>
      <w:bookmarkStart w:id="362" w:name="_Toc15147"/>
      <w:bookmarkStart w:id="363" w:name="_Toc19086"/>
      <w:bookmarkStart w:id="364" w:name="_Toc194073151"/>
      <w:bookmarkStart w:id="365" w:name="_Toc2547"/>
      <w:r>
        <w:rPr>
          <w:rFonts w:hint="eastAsia" w:ascii="仿宋" w:hAnsi="仿宋" w:eastAsia="仿宋" w:cs="仿宋"/>
          <w:bCs w:val="0"/>
          <w:sz w:val="24"/>
          <w:szCs w:val="24"/>
          <w:lang w:eastAsia="zh-CN"/>
        </w:rPr>
        <w:t>42</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暂停工作、暂停施工和复工</w:t>
      </w:r>
      <w:bookmarkEnd w:id="362"/>
      <w:bookmarkEnd w:id="363"/>
      <w:bookmarkEnd w:id="364"/>
      <w:bookmarkEnd w:id="365"/>
    </w:p>
    <w:p w14:paraId="13184AAD">
      <w:pPr>
        <w:pStyle w:val="22"/>
        <w:adjustRightInd w:val="0"/>
        <w:snapToGrid w:val="0"/>
        <w:spacing w:line="400" w:lineRule="exact"/>
        <w:rPr>
          <w:rFonts w:ascii="仿宋" w:hAnsi="仿宋" w:eastAsia="仿宋" w:cs="仿宋"/>
          <w:b/>
          <w:bCs/>
          <w:sz w:val="24"/>
          <w:szCs w:val="24"/>
          <w:lang w:eastAsia="zh-CN"/>
        </w:rPr>
      </w:pPr>
      <w:r>
        <w:rPr>
          <w:rFonts w:ascii="仿宋" w:hAnsi="仿宋" w:eastAsia="仿宋" w:cs="仿宋"/>
          <w:b/>
          <w:bCs/>
          <w:sz w:val="24"/>
          <w:szCs w:val="24"/>
        </w:rPr>
        <mc:AlternateContent>
          <mc:Choice Requires="wps">
            <w:drawing>
              <wp:anchor distT="0" distB="0" distL="114300" distR="114300" simplePos="0" relativeHeight="252019712" behindDoc="0" locked="0" layoutInCell="1" allowOverlap="1">
                <wp:simplePos x="0" y="0"/>
                <wp:positionH relativeFrom="column">
                  <wp:posOffset>-114300</wp:posOffset>
                </wp:positionH>
                <wp:positionV relativeFrom="paragraph">
                  <wp:posOffset>261620</wp:posOffset>
                </wp:positionV>
                <wp:extent cx="765810" cy="813435"/>
                <wp:effectExtent l="0" t="0" r="0" b="0"/>
                <wp:wrapNone/>
                <wp:docPr id="176" name="文本框 825"/>
                <wp:cNvGraphicFramePr/>
                <a:graphic xmlns:a="http://schemas.openxmlformats.org/drawingml/2006/main">
                  <a:graphicData uri="http://schemas.microsoft.com/office/word/2010/wordprocessingShape">
                    <wps:wsp>
                      <wps:cNvSpPr txBox="1"/>
                      <wps:spPr>
                        <a:xfrm>
                          <a:off x="0" y="0"/>
                          <a:ext cx="765810" cy="813435"/>
                        </a:xfrm>
                        <a:prstGeom prst="rect">
                          <a:avLst/>
                        </a:prstGeom>
                        <a:noFill/>
                        <a:ln w="12700">
                          <a:noFill/>
                        </a:ln>
                      </wps:spPr>
                      <wps:txbx>
                        <w:txbxContent>
                          <w:p w14:paraId="348B8B5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暂停工作或施工的指令</w:t>
                            </w:r>
                          </w:p>
                        </w:txbxContent>
                      </wps:txbx>
                      <wps:bodyPr rot="0" vert="horz" wrap="square" lIns="91440" tIns="45720" rIns="91440" bIns="45720" anchor="t" anchorCtr="0"/>
                    </wps:wsp>
                  </a:graphicData>
                </a:graphic>
              </wp:anchor>
            </w:drawing>
          </mc:Choice>
          <mc:Fallback>
            <w:pict>
              <v:shape id="文本框 825" o:spid="_x0000_s1026" o:spt="202" type="#_x0000_t202" style="position:absolute;left:0pt;margin-left:-9pt;margin-top:20.6pt;height:64.05pt;width:60.3pt;z-index:252019712;mso-width-relative:page;mso-height-relative:page;" filled="f" stroked="f" coordsize="21600,21600" o:gfxdata="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Du&#10;sPfZAAAACgEAAA8AAAAAAAAAAQAgAAAAIgAAAGRycy9kb3ducmV2LnhtbFBLAQIUABQAAAAIAIdO&#10;4kBj1tzC6QEAAL4DAAAOAAAAAAAAAAEAIAAAACgBAABkcnMvZTJvRG9jLnhtbFBLBQYAAAAABgAG&#10;AFkBAACDBQAAAAA=&#10;">
                <v:fill on="f" focussize="0,0"/>
                <v:stroke on="f" weight="1pt"/>
                <v:imagedata o:title=""/>
                <o:lock v:ext="edit" aspectratio="f"/>
                <v:textbox>
                  <w:txbxContent>
                    <w:p w14:paraId="348B8B5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暂停工作或施工的指令</w:t>
                      </w:r>
                    </w:p>
                  </w:txbxContent>
                </v:textbox>
              </v:shape>
            </w:pict>
          </mc:Fallback>
        </mc:AlternateContent>
      </w:r>
      <w:r>
        <w:rPr>
          <w:rFonts w:hint="eastAsia" w:ascii="仿宋" w:hAnsi="仿宋" w:eastAsia="仿宋" w:cs="仿宋"/>
          <w:b/>
          <w:bCs/>
          <w:sz w:val="24"/>
          <w:szCs w:val="24"/>
          <w:lang w:eastAsia="zh-CN"/>
        </w:rPr>
        <w:t>42</w:t>
      </w:r>
      <w:r>
        <w:rPr>
          <w:rFonts w:ascii="仿宋" w:hAnsi="仿宋" w:eastAsia="仿宋" w:cs="仿宋"/>
          <w:b/>
          <w:bCs/>
          <w:sz w:val="24"/>
          <w:szCs w:val="24"/>
          <w:lang w:eastAsia="zh-CN"/>
        </w:rPr>
        <w:t>.1</w:t>
      </w:r>
    </w:p>
    <w:p w14:paraId="47EABAE9">
      <w:pPr>
        <w:pStyle w:val="22"/>
        <w:adjustRightInd w:val="0"/>
        <w:snapToGrid w:val="0"/>
        <w:spacing w:line="400" w:lineRule="exact"/>
        <w:ind w:left="1850" w:leftChars="771"/>
        <w:rPr>
          <w:rFonts w:ascii="仿宋" w:hAnsi="仿宋" w:eastAsia="仿宋"/>
          <w:sz w:val="24"/>
          <w:szCs w:val="24"/>
          <w:lang w:eastAsia="zh-CN"/>
        </w:rPr>
      </w:pPr>
      <w:r>
        <w:rPr>
          <w:rFonts w:hint="eastAsia" w:ascii="仿宋" w:hAnsi="仿宋" w:eastAsia="仿宋" w:cs="仿宋"/>
          <w:sz w:val="24"/>
          <w:szCs w:val="24"/>
          <w:lang w:eastAsia="zh-CN"/>
        </w:rPr>
        <w:t>发包人、设计顾问人或监理人认为有必要时，可向承包人发出暂停勘察、暂停设计等暂停工作指令或暂停施工令，并在</w:t>
      </w:r>
      <w:r>
        <w:rPr>
          <w:rFonts w:ascii="仿宋" w:hAnsi="仿宋" w:eastAsia="仿宋" w:cs="仿宋"/>
          <w:sz w:val="24"/>
          <w:szCs w:val="24"/>
          <w:lang w:eastAsia="zh-CN"/>
        </w:rPr>
        <w:t>48</w:t>
      </w:r>
      <w:r>
        <w:rPr>
          <w:rFonts w:hint="eastAsia" w:ascii="仿宋" w:hAnsi="仿宋" w:eastAsia="仿宋" w:cs="仿宋"/>
          <w:sz w:val="24"/>
          <w:szCs w:val="24"/>
          <w:lang w:eastAsia="zh-CN"/>
        </w:rPr>
        <w:t>小时内提出处理意见，承包人应按照发包人、设计顾问人或监理人的指令停止某项工作或施工。不论任何原因造成的暂停工作或暂停施工，暂停工作或施工期间承包人应妥善保护已完工作成果或已完工程并提供安全保障。</w:t>
      </w:r>
    </w:p>
    <w:p w14:paraId="61B1AF42">
      <w:pPr>
        <w:pStyle w:val="22"/>
        <w:adjustRightInd w:val="0"/>
        <w:snapToGrid w:val="0"/>
        <w:spacing w:line="400" w:lineRule="exact"/>
        <w:ind w:left="1850" w:leftChars="771"/>
        <w:rPr>
          <w:rFonts w:ascii="仿宋" w:hAnsi="仿宋" w:eastAsia="仿宋"/>
          <w:sz w:val="24"/>
          <w:szCs w:val="24"/>
          <w:lang w:eastAsia="zh-CN"/>
        </w:rPr>
      </w:pPr>
      <w:r>
        <w:rPr>
          <w:rFonts w:hint="eastAsia" w:ascii="仿宋" w:hAnsi="仿宋" w:eastAsia="仿宋" w:cs="仿宋"/>
          <w:sz w:val="24"/>
          <w:szCs w:val="24"/>
          <w:lang w:eastAsia="zh-CN"/>
        </w:rPr>
        <w:t>因发包人的原因引起暂停施工的合同工程发生紧急情况，且监理人又未及时发出暂停施工令时，承包人可先暂停施工，并及时向监理人提出暂停施工报告。监理人应在收到暂停施工报告后的</w:t>
      </w:r>
      <w:r>
        <w:rPr>
          <w:rFonts w:ascii="仿宋" w:hAnsi="仿宋" w:eastAsia="仿宋" w:cs="仿宋"/>
          <w:sz w:val="24"/>
          <w:szCs w:val="24"/>
          <w:lang w:eastAsia="zh-CN"/>
        </w:rPr>
        <w:t>24</w:t>
      </w:r>
      <w:r>
        <w:rPr>
          <w:rFonts w:hint="eastAsia" w:ascii="仿宋" w:hAnsi="仿宋" w:eastAsia="仿宋" w:cs="仿宋"/>
          <w:sz w:val="24"/>
          <w:szCs w:val="24"/>
          <w:lang w:eastAsia="zh-CN"/>
        </w:rPr>
        <w:t>小时内予以答复；逾期未答复的，视为承包人的暂停施工报告被认可。</w:t>
      </w:r>
    </w:p>
    <w:p w14:paraId="46ACF5E0">
      <w:pPr>
        <w:spacing w:line="400" w:lineRule="exact"/>
        <w:rPr>
          <w:rFonts w:ascii="仿宋" w:hAnsi="仿宋" w:eastAsia="仿宋"/>
          <w:b/>
          <w:bCs/>
          <w:lang w:eastAsia="zh-CN"/>
        </w:rPr>
      </w:pPr>
      <w:r>
        <w:rPr>
          <w:rFonts w:hint="eastAsia" w:ascii="仿宋" w:hAnsi="仿宋" w:eastAsia="仿宋" w:cs="仿宋"/>
          <w:b/>
          <w:bCs/>
          <w:lang w:eastAsia="zh-CN"/>
        </w:rPr>
        <w:t>42</w:t>
      </w:r>
      <w:r>
        <w:rPr>
          <w:rFonts w:ascii="仿宋" w:hAnsi="仿宋" w:eastAsia="仿宋" w:cs="仿宋"/>
          <w:b/>
          <w:bCs/>
          <w:lang w:eastAsia="zh-CN"/>
        </w:rPr>
        <w:t>.2</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1D14BDE1">
      <w:pPr>
        <w:pStyle w:val="22"/>
        <w:widowControl w:val="0"/>
        <w:adjustRightInd w:val="0"/>
        <w:snapToGrid w:val="0"/>
        <w:spacing w:line="400" w:lineRule="exact"/>
        <w:ind w:left="1850" w:leftChars="771"/>
        <w:jc w:val="both"/>
        <w:rPr>
          <w:rFonts w:ascii="仿宋" w:hAnsi="仿宋" w:eastAsia="仿宋"/>
          <w:sz w:val="24"/>
          <w:szCs w:val="24"/>
          <w:lang w:eastAsia="zh-CN"/>
        </w:rPr>
      </w:pPr>
      <w:r>
        <mc:AlternateContent>
          <mc:Choice Requires="wps">
            <w:drawing>
              <wp:anchor distT="0" distB="0" distL="114300" distR="114300" simplePos="0" relativeHeight="251763712" behindDoc="0" locked="0" layoutInCell="1" allowOverlap="1">
                <wp:simplePos x="0" y="0"/>
                <wp:positionH relativeFrom="column">
                  <wp:posOffset>-114300</wp:posOffset>
                </wp:positionH>
                <wp:positionV relativeFrom="paragraph">
                  <wp:posOffset>20320</wp:posOffset>
                </wp:positionV>
                <wp:extent cx="842645" cy="608330"/>
                <wp:effectExtent l="0" t="0" r="0" b="0"/>
                <wp:wrapNone/>
                <wp:docPr id="177" name="文本框 826"/>
                <wp:cNvGraphicFramePr/>
                <a:graphic xmlns:a="http://schemas.openxmlformats.org/drawingml/2006/main">
                  <a:graphicData uri="http://schemas.microsoft.com/office/word/2010/wordprocessingShape">
                    <wps:wsp>
                      <wps:cNvSpPr txBox="1"/>
                      <wps:spPr>
                        <a:xfrm>
                          <a:off x="0" y="0"/>
                          <a:ext cx="842645" cy="608330"/>
                        </a:xfrm>
                        <a:prstGeom prst="rect">
                          <a:avLst/>
                        </a:prstGeom>
                        <a:noFill/>
                        <a:ln w="12700">
                          <a:noFill/>
                        </a:ln>
                      </wps:spPr>
                      <wps:txbx>
                        <w:txbxContent>
                          <w:p w14:paraId="27A3E45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txbxContent>
                      </wps:txbx>
                      <wps:bodyPr rot="0" vert="horz" wrap="square" lIns="91440" tIns="45720" rIns="91440" bIns="45720" anchor="t" anchorCtr="0"/>
                    </wps:wsp>
                  </a:graphicData>
                </a:graphic>
              </wp:anchor>
            </w:drawing>
          </mc:Choice>
          <mc:Fallback>
            <w:pict>
              <v:shape id="文本框 826" o:spid="_x0000_s1026" o:spt="202" type="#_x0000_t202" style="position:absolute;left:0pt;margin-left:-9pt;margin-top:1.6pt;height:47.9pt;width:66.35pt;z-index:251763712;mso-width-relative:page;mso-height-relative:page;" filled="f" stroked="f" coordsize="21600,21600" o:gfxdata="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L&#10;MTGW1wAAAAgBAAAPAAAAAAAAAAEAIAAAACIAAABkcnMvZG93bnJldi54bWxQSwECFAAUAAAACACH&#10;TuJAZsomeOwBAAC+AwAADgAAAAAAAAABACAAAAAmAQAAZHJzL2Uyb0RvYy54bWxQSwUGAAAAAAYA&#10;BgBZAQAAhAUAAAAA&#10;">
                <v:fill on="f" focussize="0,0"/>
                <v:stroke on="f" weight="1pt"/>
                <v:imagedata o:title=""/>
                <o:lock v:ext="edit" aspectratio="f"/>
                <v:textbox>
                  <w:txbxContent>
                    <w:p w14:paraId="27A3E45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txbxContent>
                </v:textbox>
              </v:shape>
            </w:pict>
          </mc:Fallback>
        </mc:AlternateContent>
      </w:r>
      <w:r>
        <w:rPr>
          <w:rFonts w:hint="eastAsia" w:ascii="仿宋" w:hAnsi="仿宋" w:eastAsia="仿宋" w:cs="仿宋"/>
          <w:sz w:val="24"/>
          <w:szCs w:val="24"/>
          <w:lang w:eastAsia="zh-CN"/>
        </w:rPr>
        <w:t>承包人实施发包人、设计顾问人或监理人的处理意见后，可向发包人、设计顾问人或监理人提交复工报审表要求复工；发包人、设计顾问人或监理人应在收到复工报审表后的</w:t>
      </w:r>
      <w:r>
        <w:rPr>
          <w:rFonts w:ascii="仿宋" w:hAnsi="仿宋" w:eastAsia="仿宋" w:cs="仿宋"/>
          <w:sz w:val="24"/>
          <w:szCs w:val="24"/>
          <w:lang w:eastAsia="zh-CN"/>
        </w:rPr>
        <w:t>48</w:t>
      </w:r>
      <w:r>
        <w:rPr>
          <w:rFonts w:hint="eastAsia" w:ascii="仿宋" w:hAnsi="仿宋" w:eastAsia="仿宋" w:cs="仿宋"/>
          <w:sz w:val="24"/>
          <w:szCs w:val="24"/>
          <w:lang w:eastAsia="zh-CN"/>
        </w:rPr>
        <w:t>小时内予以答复。具备继续工作条件或复工条件时，发包人、设计顾问人或监理人应立即向承包人发出复工令，承包人应立即组织复工。发包人、设计顾问人或监理人在收到复工报审表后的</w:t>
      </w:r>
      <w:r>
        <w:rPr>
          <w:rFonts w:ascii="仿宋" w:hAnsi="仿宋" w:eastAsia="仿宋" w:cs="仿宋"/>
          <w:sz w:val="24"/>
          <w:szCs w:val="24"/>
          <w:lang w:eastAsia="zh-CN"/>
        </w:rPr>
        <w:t>48</w:t>
      </w:r>
      <w:r>
        <w:rPr>
          <w:rFonts w:hint="eastAsia" w:ascii="仿宋" w:hAnsi="仿宋" w:eastAsia="仿宋" w:cs="仿宋"/>
          <w:sz w:val="24"/>
          <w:szCs w:val="24"/>
          <w:lang w:eastAsia="zh-CN"/>
        </w:rPr>
        <w:t>小时内未答复也未提出处理意见的，承包人可自行复工，发包人、设计顾问人或监理人应予认可。</w:t>
      </w:r>
    </w:p>
    <w:p w14:paraId="45296ADD">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承包人无故拖延或拒绝复工的，由此增加的费用和（或）延误的工期由承包人承担；因发包人的原因无法按时复工的，承包人有权要求发包人增加发生的费用和（或）顺延工期，并支付合理利润。</w:t>
      </w:r>
    </w:p>
    <w:p w14:paraId="5DD6E723">
      <w:pPr>
        <w:spacing w:line="400" w:lineRule="exact"/>
        <w:rPr>
          <w:rFonts w:ascii="仿宋" w:hAnsi="仿宋" w:eastAsia="仿宋" w:cs="仿宋"/>
          <w:b/>
          <w:bCs/>
          <w:u w:val="dotted"/>
          <w:lang w:eastAsia="zh-CN"/>
        </w:rPr>
      </w:pPr>
      <w:r>
        <w:rPr>
          <w:rFonts w:hint="eastAsia" w:ascii="仿宋" w:hAnsi="仿宋" w:eastAsia="仿宋" w:cs="仿宋"/>
          <w:b/>
          <w:bCs/>
          <w:lang w:eastAsia="zh-CN"/>
        </w:rPr>
        <w:t>42</w:t>
      </w:r>
      <w:r>
        <w:rPr>
          <w:rFonts w:ascii="仿宋" w:hAnsi="仿宋" w:eastAsia="仿宋" w:cs="仿宋"/>
          <w:b/>
          <w:bCs/>
          <w:lang w:eastAsia="zh-CN"/>
        </w:rPr>
        <w:t xml:space="preserve">.3   </w:t>
      </w:r>
      <w:r>
        <w:rPr>
          <w:rFonts w:ascii="仿宋" w:hAnsi="仿宋" w:eastAsia="仿宋" w:cs="仿宋"/>
          <w:b/>
          <w:bCs/>
          <w:u w:val="dotted"/>
          <w:lang w:eastAsia="zh-CN"/>
        </w:rPr>
        <w:t xml:space="preserve">                                                                              </w:t>
      </w:r>
    </w:p>
    <w:p w14:paraId="42C1EDA3">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ascii="仿宋" w:hAnsi="仿宋" w:eastAsia="仿宋" w:cs="仿宋"/>
          <w:b/>
          <w:bCs/>
          <w:sz w:val="24"/>
          <w:szCs w:val="24"/>
        </w:rPr>
        <mc:AlternateContent>
          <mc:Choice Requires="wps">
            <w:drawing>
              <wp:anchor distT="0" distB="0" distL="114300" distR="114300" simplePos="0" relativeHeight="252020736" behindDoc="0" locked="0" layoutInCell="1" allowOverlap="1">
                <wp:simplePos x="0" y="0"/>
                <wp:positionH relativeFrom="column">
                  <wp:posOffset>-114300</wp:posOffset>
                </wp:positionH>
                <wp:positionV relativeFrom="paragraph">
                  <wp:posOffset>71755</wp:posOffset>
                </wp:positionV>
                <wp:extent cx="870585" cy="793750"/>
                <wp:effectExtent l="0" t="0" r="0" b="0"/>
                <wp:wrapNone/>
                <wp:docPr id="178" name="文本框 827"/>
                <wp:cNvGraphicFramePr/>
                <a:graphic xmlns:a="http://schemas.openxmlformats.org/drawingml/2006/main">
                  <a:graphicData uri="http://schemas.microsoft.com/office/word/2010/wordprocessingShape">
                    <wps:wsp>
                      <wps:cNvSpPr txBox="1"/>
                      <wps:spPr>
                        <a:xfrm>
                          <a:off x="0" y="0"/>
                          <a:ext cx="870585" cy="793750"/>
                        </a:xfrm>
                        <a:prstGeom prst="rect">
                          <a:avLst/>
                        </a:prstGeom>
                        <a:noFill/>
                        <a:ln w="12700">
                          <a:noFill/>
                        </a:ln>
                      </wps:spPr>
                      <wps:txbx>
                        <w:txbxContent>
                          <w:p w14:paraId="1F4893C3">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暂停工作或暂停施工持续</w:t>
                            </w:r>
                            <w:r>
                              <w:rPr>
                                <w:rFonts w:ascii="楷体_GB2312" w:hAnsi="宋体" w:eastAsia="楷体_GB2312" w:cs="楷体_GB2312"/>
                                <w:b/>
                                <w:bCs/>
                                <w:color w:val="000000"/>
                                <w:sz w:val="18"/>
                                <w:szCs w:val="18"/>
                                <w:lang w:eastAsia="zh-CN"/>
                              </w:rPr>
                              <w:t>56</w:t>
                            </w:r>
                            <w:r>
                              <w:rPr>
                                <w:rFonts w:hint="eastAsia" w:ascii="楷体_GB2312" w:hAnsi="宋体" w:eastAsia="楷体_GB2312" w:cs="楷体_GB2312"/>
                                <w:b/>
                                <w:bCs/>
                                <w:color w:val="000000"/>
                                <w:sz w:val="18"/>
                                <w:szCs w:val="18"/>
                                <w:lang w:eastAsia="zh-CN"/>
                              </w:rPr>
                              <w:t>天以上的复工要求</w:t>
                            </w:r>
                          </w:p>
                        </w:txbxContent>
                      </wps:txbx>
                      <wps:bodyPr rot="0" vert="horz" wrap="square" lIns="91440" tIns="45720" rIns="91440" bIns="45720" anchor="t" anchorCtr="0"/>
                    </wps:wsp>
                  </a:graphicData>
                </a:graphic>
              </wp:anchor>
            </w:drawing>
          </mc:Choice>
          <mc:Fallback>
            <w:pict>
              <v:shape id="文本框 827" o:spid="_x0000_s1026" o:spt="202" type="#_x0000_t202" style="position:absolute;left:0pt;margin-left:-9pt;margin-top:5.65pt;height:62.5pt;width:68.55pt;z-index:252020736;mso-width-relative:page;mso-height-relative:page;" filled="f" stroked="f" coordsize="21600,21600" o:gfxdata="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y&#10;k50a2AAAAAoBAAAPAAAAAAAAAAEAIAAAACIAAABkcnMvZG93bnJldi54bWxQSwECFAAUAAAACACH&#10;TuJAFKw2HusBAAC+AwAADgAAAAAAAAABACAAAAAnAQAAZHJzL2Uyb0RvYy54bWxQSwUGAAAAAAYA&#10;BgBZAQAAhAUAAAAA&#10;">
                <v:fill on="f" focussize="0,0"/>
                <v:stroke on="f" weight="1pt"/>
                <v:imagedata o:title=""/>
                <o:lock v:ext="edit" aspectratio="f"/>
                <v:textbox>
                  <w:txbxContent>
                    <w:p w14:paraId="1F4893C3">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暂停工作或暂停施工持续</w:t>
                      </w:r>
                      <w:r>
                        <w:rPr>
                          <w:rFonts w:ascii="楷体_GB2312" w:hAnsi="宋体" w:eastAsia="楷体_GB2312" w:cs="楷体_GB2312"/>
                          <w:b/>
                          <w:bCs/>
                          <w:color w:val="000000"/>
                          <w:sz w:val="18"/>
                          <w:szCs w:val="18"/>
                          <w:lang w:eastAsia="zh-CN"/>
                        </w:rPr>
                        <w:t>56</w:t>
                      </w:r>
                      <w:r>
                        <w:rPr>
                          <w:rFonts w:hint="eastAsia" w:ascii="楷体_GB2312" w:hAnsi="宋体" w:eastAsia="楷体_GB2312" w:cs="楷体_GB2312"/>
                          <w:b/>
                          <w:bCs/>
                          <w:color w:val="000000"/>
                          <w:sz w:val="18"/>
                          <w:szCs w:val="18"/>
                          <w:lang w:eastAsia="zh-CN"/>
                        </w:rPr>
                        <w:t>天以上的复工要求</w:t>
                      </w:r>
                    </w:p>
                  </w:txbxContent>
                </v:textbox>
              </v:shape>
            </w:pict>
          </mc:Fallback>
        </mc:AlternateContent>
      </w:r>
      <w:r>
        <w:rPr>
          <w:rFonts w:hint="eastAsia" w:ascii="仿宋" w:hAnsi="仿宋" w:eastAsia="仿宋" w:cs="仿宋"/>
          <w:sz w:val="24"/>
          <w:szCs w:val="24"/>
          <w:lang w:eastAsia="zh-CN"/>
        </w:rPr>
        <w:t>42.3.1非承包人的原因造成某项工作暂停，承包人可尽快向发包人、设计顾问人或监理人提交复工报审表要求复工；发包人、设计顾问人或监理人应在收到复工报审表后的14天内准许复工。如果在上述期限内发包人、设计顾问人或监理人未予准许，则承包人可以做如下选择：</w:t>
      </w:r>
    </w:p>
    <w:p w14:paraId="5ECE7475">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（1）如果此项工作暂停仅影响合同工程的一部分时，则根据第63</w:t>
      </w:r>
      <w:r>
        <w:rPr>
          <w:rFonts w:ascii="仿宋" w:hAnsi="仿宋" w:eastAsia="仿宋" w:cs="仿宋"/>
          <w:sz w:val="24"/>
          <w:szCs w:val="24"/>
          <w:lang w:eastAsia="zh-CN"/>
        </w:rPr>
        <w:t>.</w:t>
      </w:r>
      <w:r>
        <w:rPr>
          <w:rFonts w:hint="eastAsia" w:ascii="仿宋" w:hAnsi="仿宋" w:eastAsia="仿宋" w:cs="仿宋"/>
          <w:sz w:val="24"/>
          <w:szCs w:val="24"/>
          <w:lang w:eastAsia="zh-CN"/>
        </w:rPr>
        <w:t>2款约定及时提出工程变更或工作变更，取消该部分工程或后续工作，并书面通知发包人，抄送设计顾问人、监理人和造价咨询人；</w:t>
      </w:r>
    </w:p>
    <w:p w14:paraId="06C1BE62">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（2）如果此项工作暂停影响整个合同工程时，则根据第92</w:t>
      </w:r>
      <w:r>
        <w:rPr>
          <w:rFonts w:ascii="仿宋" w:hAnsi="仿宋" w:eastAsia="仿宋" w:cs="仿宋"/>
          <w:sz w:val="24"/>
          <w:szCs w:val="24"/>
          <w:lang w:eastAsia="zh-CN"/>
        </w:rPr>
        <w:t>.4</w:t>
      </w:r>
      <w:r>
        <w:rPr>
          <w:rFonts w:hint="eastAsia" w:ascii="仿宋" w:hAnsi="仿宋" w:eastAsia="仿宋" w:cs="仿宋"/>
          <w:sz w:val="24"/>
          <w:szCs w:val="24"/>
          <w:lang w:eastAsia="zh-CN"/>
        </w:rPr>
        <w:t>款约定解除合同。</w:t>
      </w:r>
    </w:p>
    <w:p w14:paraId="101D3A26">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因承包人的原因引起某项工作暂停，承包人收到发包人、设计顾问人或监理人的复工指令后14天内未采取有效的复工措施，造成工期延误的，发包人可根据第92</w:t>
      </w:r>
      <w:r>
        <w:rPr>
          <w:rFonts w:ascii="仿宋" w:hAnsi="仿宋" w:eastAsia="仿宋" w:cs="仿宋"/>
          <w:sz w:val="24"/>
          <w:szCs w:val="24"/>
          <w:lang w:eastAsia="zh-CN"/>
        </w:rPr>
        <w:t>.3</w:t>
      </w:r>
      <w:r>
        <w:rPr>
          <w:rFonts w:hint="eastAsia" w:ascii="仿宋" w:hAnsi="仿宋" w:eastAsia="仿宋" w:cs="仿宋"/>
          <w:sz w:val="24"/>
          <w:szCs w:val="24"/>
          <w:lang w:eastAsia="zh-CN"/>
        </w:rPr>
        <w:t>款约定解除合同。</w:t>
      </w:r>
    </w:p>
    <w:p w14:paraId="5978E3BF">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42.3.2非承包人的原因造成暂停施工持续</w:t>
      </w:r>
      <w:r>
        <w:rPr>
          <w:rFonts w:ascii="仿宋" w:hAnsi="仿宋" w:eastAsia="仿宋" w:cs="仿宋"/>
          <w:sz w:val="24"/>
          <w:szCs w:val="24"/>
          <w:lang w:eastAsia="zh-CN"/>
        </w:rPr>
        <w:t>56</w:t>
      </w:r>
      <w:r>
        <w:rPr>
          <w:rFonts w:hint="eastAsia" w:ascii="仿宋" w:hAnsi="仿宋" w:eastAsia="仿宋" w:cs="仿宋"/>
          <w:sz w:val="24"/>
          <w:szCs w:val="24"/>
          <w:lang w:eastAsia="zh-CN"/>
        </w:rPr>
        <w:t>天以上时，承包人可向设计顾问人或监理人提交复工报审表要求复工；设计顾问人或监理人应在收到复工报审表后的</w:t>
      </w:r>
      <w:r>
        <w:rPr>
          <w:rFonts w:ascii="仿宋" w:hAnsi="仿宋" w:eastAsia="仿宋" w:cs="仿宋"/>
          <w:sz w:val="24"/>
          <w:szCs w:val="24"/>
          <w:lang w:eastAsia="zh-CN"/>
        </w:rPr>
        <w:t>28</w:t>
      </w:r>
      <w:r>
        <w:rPr>
          <w:rFonts w:hint="eastAsia" w:ascii="仿宋" w:hAnsi="仿宋" w:eastAsia="仿宋" w:cs="仿宋"/>
          <w:sz w:val="24"/>
          <w:szCs w:val="24"/>
          <w:lang w:eastAsia="zh-CN"/>
        </w:rPr>
        <w:t>天内准许复工。如果在上述期限内设计顾问人、监理人未予准许，则承包人可以做如下选择：</w:t>
      </w:r>
    </w:p>
    <w:p w14:paraId="330C6488">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（1）如果此项停工仅影响合同工程的一部分时，则根据第64</w:t>
      </w:r>
      <w:r>
        <w:rPr>
          <w:rFonts w:ascii="仿宋" w:hAnsi="仿宋" w:eastAsia="仿宋" w:cs="仿宋"/>
          <w:sz w:val="24"/>
          <w:szCs w:val="24"/>
          <w:lang w:eastAsia="zh-CN"/>
        </w:rPr>
        <w:t>.</w:t>
      </w:r>
      <w:r>
        <w:rPr>
          <w:rFonts w:hint="eastAsia" w:ascii="仿宋" w:hAnsi="仿宋" w:eastAsia="仿宋" w:cs="仿宋"/>
          <w:sz w:val="24"/>
          <w:szCs w:val="24"/>
          <w:lang w:eastAsia="zh-CN"/>
        </w:rPr>
        <w:t>2款约定及时提出工程变更，取消该部分工程，并书面通知发包人，抄送设计顾问人、监理人和造价咨询人；</w:t>
      </w:r>
    </w:p>
    <w:p w14:paraId="47200417">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（2）如果此项停工影响整个合同工程时，则根据第92</w:t>
      </w:r>
      <w:r>
        <w:rPr>
          <w:rFonts w:ascii="仿宋" w:hAnsi="仿宋" w:eastAsia="仿宋" w:cs="仿宋"/>
          <w:sz w:val="24"/>
          <w:szCs w:val="24"/>
          <w:lang w:eastAsia="zh-CN"/>
        </w:rPr>
        <w:t>.4</w:t>
      </w:r>
      <w:r>
        <w:rPr>
          <w:rFonts w:hint="eastAsia" w:ascii="仿宋" w:hAnsi="仿宋" w:eastAsia="仿宋" w:cs="仿宋"/>
          <w:sz w:val="24"/>
          <w:szCs w:val="24"/>
          <w:lang w:eastAsia="zh-CN"/>
        </w:rPr>
        <w:t>款约定解除合同。</w:t>
      </w:r>
    </w:p>
    <w:p w14:paraId="10E1810D">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因承包人的原因引起暂停施工持续</w:t>
      </w:r>
      <w:r>
        <w:rPr>
          <w:rFonts w:ascii="仿宋" w:hAnsi="仿宋" w:eastAsia="仿宋" w:cs="仿宋"/>
          <w:sz w:val="24"/>
          <w:szCs w:val="24"/>
          <w:lang w:eastAsia="zh-CN"/>
        </w:rPr>
        <w:t>56</w:t>
      </w:r>
      <w:r>
        <w:rPr>
          <w:rFonts w:hint="eastAsia" w:ascii="仿宋" w:hAnsi="仿宋" w:eastAsia="仿宋" w:cs="仿宋"/>
          <w:sz w:val="24"/>
          <w:szCs w:val="24"/>
          <w:lang w:eastAsia="zh-CN"/>
        </w:rPr>
        <w:t>天以上，承包人不采取有效的复工措施，造成工期延误的，发包人可根据第92</w:t>
      </w:r>
      <w:r>
        <w:rPr>
          <w:rFonts w:ascii="仿宋" w:hAnsi="仿宋" w:eastAsia="仿宋" w:cs="仿宋"/>
          <w:sz w:val="24"/>
          <w:szCs w:val="24"/>
          <w:lang w:eastAsia="zh-CN"/>
        </w:rPr>
        <w:t>.3</w:t>
      </w:r>
      <w:r>
        <w:rPr>
          <w:rFonts w:hint="eastAsia" w:ascii="仿宋" w:hAnsi="仿宋" w:eastAsia="仿宋" w:cs="仿宋"/>
          <w:sz w:val="24"/>
          <w:szCs w:val="24"/>
          <w:lang w:eastAsia="zh-CN"/>
        </w:rPr>
        <w:t>款约定解除合同。</w:t>
      </w:r>
    </w:p>
    <w:p w14:paraId="18973B52">
      <w:pPr>
        <w:spacing w:line="400" w:lineRule="exact"/>
        <w:rPr>
          <w:rFonts w:ascii="仿宋" w:hAnsi="仿宋" w:eastAsia="仿宋"/>
          <w:b/>
          <w:bCs/>
          <w:lang w:eastAsia="zh-CN"/>
        </w:rPr>
      </w:pPr>
      <w:r>
        <w:rPr>
          <w:rFonts w:hint="eastAsia" w:ascii="仿宋" w:hAnsi="仿宋" w:eastAsia="仿宋" w:cs="仿宋"/>
          <w:b/>
          <w:bCs/>
          <w:lang w:eastAsia="zh-CN"/>
        </w:rPr>
        <w:t>42</w:t>
      </w:r>
      <w:r>
        <w:rPr>
          <w:rFonts w:ascii="仿宋" w:hAnsi="仿宋" w:eastAsia="仿宋" w:cs="仿宋"/>
          <w:b/>
          <w:bCs/>
          <w:lang w:eastAsia="zh-CN"/>
        </w:rPr>
        <w:t xml:space="preserve">.4  </w:t>
      </w:r>
      <w:r>
        <w:rPr>
          <w:rFonts w:ascii="仿宋" w:hAnsi="仿宋" w:eastAsia="仿宋" w:cs="仿宋"/>
          <w:b/>
          <w:bCs/>
          <w:u w:val="dotted"/>
          <w:lang w:eastAsia="zh-CN"/>
        </w:rPr>
        <w:t xml:space="preserve">                                                                               </w:t>
      </w:r>
    </w:p>
    <w:p w14:paraId="4CB5C935">
      <w:pPr>
        <w:pStyle w:val="22"/>
        <w:adjustRightInd w:val="0"/>
        <w:snapToGrid w:val="0"/>
        <w:spacing w:line="400" w:lineRule="exact"/>
        <w:ind w:left="1850" w:leftChars="771" w:firstLine="2"/>
        <w:rPr>
          <w:rFonts w:ascii="仿宋" w:hAnsi="仿宋" w:eastAsia="仿宋"/>
          <w:sz w:val="24"/>
          <w:szCs w:val="24"/>
          <w:lang w:eastAsia="zh-CN"/>
        </w:rPr>
      </w:pPr>
      <w:r>
        <mc:AlternateContent>
          <mc:Choice Requires="wps">
            <w:drawing>
              <wp:anchor distT="0" distB="0" distL="114300" distR="114300" simplePos="0" relativeHeight="251764736" behindDoc="0" locked="0" layoutInCell="1" allowOverlap="1">
                <wp:simplePos x="0" y="0"/>
                <wp:positionH relativeFrom="column">
                  <wp:posOffset>-114300</wp:posOffset>
                </wp:positionH>
                <wp:positionV relativeFrom="paragraph">
                  <wp:posOffset>635</wp:posOffset>
                </wp:positionV>
                <wp:extent cx="794385" cy="1221105"/>
                <wp:effectExtent l="0" t="0" r="0" b="0"/>
                <wp:wrapNone/>
                <wp:docPr id="179" name="文本框 828"/>
                <wp:cNvGraphicFramePr/>
                <a:graphic xmlns:a="http://schemas.openxmlformats.org/drawingml/2006/main">
                  <a:graphicData uri="http://schemas.microsoft.com/office/word/2010/wordprocessingShape">
                    <wps:wsp>
                      <wps:cNvSpPr txBox="1"/>
                      <wps:spPr>
                        <a:xfrm>
                          <a:off x="0" y="0"/>
                          <a:ext cx="794385" cy="1221105"/>
                        </a:xfrm>
                        <a:prstGeom prst="rect">
                          <a:avLst/>
                        </a:prstGeom>
                        <a:noFill/>
                        <a:ln w="12700">
                          <a:noFill/>
                        </a:ln>
                      </wps:spPr>
                      <wps:txbx>
                        <w:txbxContent>
                          <w:p w14:paraId="48CE1253">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发包人、承包人原因和不可抗力因素造成暂停工作或暂停施工的责任</w:t>
                            </w:r>
                          </w:p>
                        </w:txbxContent>
                      </wps:txbx>
                      <wps:bodyPr rot="0" vert="horz" wrap="square" lIns="91440" tIns="45720" rIns="91440" bIns="45720" anchor="t" anchorCtr="0"/>
                    </wps:wsp>
                  </a:graphicData>
                </a:graphic>
              </wp:anchor>
            </w:drawing>
          </mc:Choice>
          <mc:Fallback>
            <w:pict>
              <v:shape id="文本框 828" o:spid="_x0000_s1026" o:spt="202" type="#_x0000_t202" style="position:absolute;left:0pt;margin-left:-9pt;margin-top:0.05pt;height:96.15pt;width:62.55pt;z-index:251764736;mso-width-relative:page;mso-height-relative:page;" filled="f" stroked="f" coordsize="21600,21600" o:gfxdata="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HtyDW1QAA&#10;AAgBAAAPAAAAAAAAAAEAIAAAACIAAABkcnMvZG93bnJldi54bWxQSwECFAAUAAAACACHTuJAo6fo&#10;Z+gBAAC/AwAADgAAAAAAAAABACAAAAAkAQAAZHJzL2Uyb0RvYy54bWxQSwUGAAAAAAYABgBZAQAA&#10;fgUAAAAA&#10;">
                <v:fill on="f" focussize="0,0"/>
                <v:stroke on="f" weight="1pt"/>
                <v:imagedata o:title=""/>
                <o:lock v:ext="edit" aspectratio="f"/>
                <v:textbox>
                  <w:txbxContent>
                    <w:p w14:paraId="48CE1253">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发包人、承包人原因和不可抗力因素造成暂停工作或暂停施工的责任</w:t>
                      </w:r>
                    </w:p>
                  </w:txbxContent>
                </v:textbox>
              </v:shape>
            </w:pict>
          </mc:Fallback>
        </mc:AlternateContent>
      </w:r>
      <w:r>
        <w:rPr>
          <w:rFonts w:hint="eastAsia" w:ascii="仿宋" w:hAnsi="仿宋" w:eastAsia="仿宋" w:cs="仿宋"/>
          <w:sz w:val="24"/>
          <w:szCs w:val="24"/>
          <w:lang w:eastAsia="zh-CN"/>
        </w:rPr>
        <w:t>因发包人的原因造成暂停工作、暂停施工且引起工期延误的，承包人有权要求发包人增加由此发生的费用和（或）顺延工期，并支付合理利润。</w:t>
      </w:r>
    </w:p>
    <w:p w14:paraId="51C44830">
      <w:pPr>
        <w:pStyle w:val="22"/>
        <w:adjustRightInd w:val="0"/>
        <w:snapToGrid w:val="0"/>
        <w:spacing w:line="400" w:lineRule="exact"/>
        <w:ind w:left="1850" w:leftChars="771" w:firstLine="2"/>
        <w:rPr>
          <w:rFonts w:ascii="仿宋" w:hAnsi="仿宋" w:eastAsia="仿宋"/>
          <w:sz w:val="24"/>
          <w:szCs w:val="24"/>
          <w:lang w:eastAsia="zh-CN"/>
        </w:rPr>
      </w:pPr>
      <w:r>
        <w:rPr>
          <w:rFonts w:hint="eastAsia" w:ascii="仿宋" w:hAnsi="仿宋" w:eastAsia="仿宋" w:cs="仿宋"/>
          <w:sz w:val="24"/>
          <w:szCs w:val="24"/>
          <w:lang w:eastAsia="zh-CN"/>
        </w:rPr>
        <w:t>因承包人下列原因造成的暂停工作或暂停施工，增加的费用和（或）延误的工期由承包人承担：</w:t>
      </w:r>
    </w:p>
    <w:p w14:paraId="53D8FE46">
      <w:pPr>
        <w:pStyle w:val="22"/>
        <w:adjustRightInd w:val="0"/>
        <w:snapToGrid w:val="0"/>
        <w:spacing w:line="400" w:lineRule="exact"/>
        <w:ind w:left="1850" w:leftChars="771" w:firstLine="2"/>
        <w:rPr>
          <w:rFonts w:ascii="仿宋" w:hAnsi="仿宋" w:eastAsia="仿宋"/>
          <w:sz w:val="24"/>
          <w:szCs w:val="24"/>
          <w:lang w:eastAsia="zh-CN"/>
        </w:rPr>
      </w:pPr>
      <w:r>
        <w:rPr>
          <w:rFonts w:hint="eastAsia" w:ascii="仿宋" w:hAnsi="仿宋" w:eastAsia="仿宋" w:cs="仿宋"/>
          <w:sz w:val="24"/>
          <w:szCs w:val="24"/>
          <w:lang w:eastAsia="zh-CN"/>
        </w:rPr>
        <w:t>（1）工作失误或违约造成的；</w:t>
      </w:r>
    </w:p>
    <w:p w14:paraId="0FAE099F">
      <w:pPr>
        <w:pStyle w:val="22"/>
        <w:adjustRightInd w:val="0"/>
        <w:snapToGrid w:val="0"/>
        <w:spacing w:line="400" w:lineRule="exact"/>
        <w:ind w:left="1850" w:leftChars="771" w:firstLine="2"/>
        <w:rPr>
          <w:rFonts w:ascii="仿宋" w:hAnsi="仿宋" w:eastAsia="仿宋"/>
          <w:sz w:val="24"/>
          <w:szCs w:val="24"/>
          <w:lang w:eastAsia="zh-CN"/>
        </w:rPr>
      </w:pPr>
      <w:r>
        <w:rPr>
          <w:rFonts w:hint="eastAsia" w:ascii="仿宋" w:hAnsi="仿宋" w:eastAsia="仿宋" w:cs="仿宋"/>
          <w:sz w:val="24"/>
          <w:szCs w:val="24"/>
          <w:lang w:eastAsia="zh-CN"/>
        </w:rPr>
        <w:t>（2）为合同工程合理施工和安全保障所必需的；</w:t>
      </w:r>
    </w:p>
    <w:p w14:paraId="0C8116CF">
      <w:pPr>
        <w:pStyle w:val="22"/>
        <w:adjustRightInd w:val="0"/>
        <w:snapToGrid w:val="0"/>
        <w:spacing w:line="400" w:lineRule="exact"/>
        <w:ind w:left="1850" w:leftChars="771" w:firstLine="2"/>
        <w:rPr>
          <w:rFonts w:ascii="仿宋" w:hAnsi="仿宋" w:eastAsia="仿宋"/>
          <w:sz w:val="24"/>
          <w:szCs w:val="24"/>
          <w:lang w:eastAsia="zh-CN"/>
        </w:rPr>
      </w:pPr>
      <w:r>
        <w:rPr>
          <w:rFonts w:hint="eastAsia" w:ascii="仿宋" w:hAnsi="仿宋" w:eastAsia="仿宋" w:cs="仿宋"/>
          <w:sz w:val="24"/>
          <w:szCs w:val="24"/>
          <w:lang w:eastAsia="zh-CN"/>
        </w:rPr>
        <w:t>（3）施工现场气候条件（除不可抗力停工外）导致的；</w:t>
      </w:r>
    </w:p>
    <w:p w14:paraId="3BE4840F">
      <w:pPr>
        <w:pStyle w:val="22"/>
        <w:adjustRightInd w:val="0"/>
        <w:snapToGrid w:val="0"/>
        <w:spacing w:line="400" w:lineRule="exact"/>
        <w:ind w:left="1850" w:leftChars="771" w:firstLine="2"/>
        <w:rPr>
          <w:rFonts w:ascii="仿宋" w:hAnsi="仿宋" w:eastAsia="仿宋"/>
          <w:sz w:val="24"/>
          <w:szCs w:val="24"/>
          <w:lang w:eastAsia="zh-CN"/>
        </w:rPr>
      </w:pPr>
      <w:r>
        <w:rPr>
          <w:rFonts w:hint="eastAsia" w:ascii="仿宋" w:hAnsi="仿宋" w:eastAsia="仿宋" w:cs="仿宋"/>
          <w:sz w:val="24"/>
          <w:szCs w:val="24"/>
          <w:lang w:eastAsia="zh-CN"/>
        </w:rPr>
        <w:t>（4）擅自停工的；</w:t>
      </w:r>
    </w:p>
    <w:p w14:paraId="51DE4121">
      <w:pPr>
        <w:pStyle w:val="22"/>
        <w:adjustRightInd w:val="0"/>
        <w:snapToGrid w:val="0"/>
        <w:spacing w:line="400" w:lineRule="exact"/>
        <w:ind w:left="1850" w:leftChars="771" w:firstLine="2"/>
        <w:rPr>
          <w:rFonts w:ascii="仿宋" w:hAnsi="仿宋" w:eastAsia="仿宋"/>
          <w:sz w:val="24"/>
          <w:szCs w:val="24"/>
          <w:lang w:eastAsia="zh-CN"/>
        </w:rPr>
      </w:pPr>
      <w:r>
        <w:rPr>
          <w:rFonts w:hint="eastAsia" w:ascii="仿宋" w:hAnsi="仿宋" w:eastAsia="仿宋" w:cs="仿宋"/>
          <w:sz w:val="24"/>
          <w:szCs w:val="24"/>
          <w:lang w:eastAsia="zh-CN"/>
        </w:rPr>
        <w:t>（5）专用条款约定的其他原因。</w:t>
      </w:r>
    </w:p>
    <w:p w14:paraId="150236D6">
      <w:pPr>
        <w:pStyle w:val="22"/>
        <w:adjustRightInd w:val="0"/>
        <w:snapToGrid w:val="0"/>
        <w:spacing w:line="400" w:lineRule="exact"/>
        <w:ind w:left="1850" w:leftChars="771" w:firstLine="2"/>
        <w:rPr>
          <w:rFonts w:ascii="仿宋" w:hAnsi="仿宋" w:eastAsia="仿宋"/>
          <w:sz w:val="24"/>
          <w:szCs w:val="24"/>
          <w:lang w:eastAsia="zh-CN"/>
        </w:rPr>
      </w:pPr>
      <w:r>
        <w:rPr>
          <w:rFonts w:hint="eastAsia" w:ascii="仿宋" w:hAnsi="仿宋" w:eastAsia="仿宋" w:cs="仿宋"/>
          <w:sz w:val="24"/>
          <w:szCs w:val="24"/>
          <w:lang w:eastAsia="zh-CN"/>
        </w:rPr>
        <w:t>因不可抗力因素造成暂停施工的，按照第</w:t>
      </w:r>
      <w:r>
        <w:rPr>
          <w:rFonts w:ascii="仿宋" w:hAnsi="仿宋" w:eastAsia="仿宋" w:cs="仿宋"/>
          <w:sz w:val="24"/>
          <w:szCs w:val="24"/>
          <w:lang w:eastAsia="zh-CN"/>
        </w:rPr>
        <w:t>3</w:t>
      </w:r>
      <w:r>
        <w:rPr>
          <w:rFonts w:hint="eastAsia" w:ascii="仿宋" w:hAnsi="仿宋" w:eastAsia="仿宋" w:cs="仿宋"/>
          <w:sz w:val="24"/>
          <w:szCs w:val="24"/>
          <w:lang w:eastAsia="zh-CN"/>
        </w:rPr>
        <w:t>5条约定处理。</w:t>
      </w:r>
    </w:p>
    <w:p w14:paraId="7BB34555">
      <w:pPr>
        <w:spacing w:line="400" w:lineRule="exact"/>
        <w:rPr>
          <w:rFonts w:ascii="仿宋" w:hAnsi="仿宋" w:eastAsia="仿宋"/>
          <w:b/>
          <w:bCs/>
          <w:lang w:eastAsia="zh-CN"/>
        </w:rPr>
      </w:pPr>
      <w:r>
        <w:rPr>
          <w:rFonts w:hint="eastAsia" w:ascii="仿宋" w:hAnsi="仿宋" w:eastAsia="仿宋" w:cs="仿宋"/>
          <w:b/>
          <w:bCs/>
          <w:lang w:eastAsia="zh-CN"/>
        </w:rPr>
        <w:t>42</w:t>
      </w:r>
      <w:r>
        <w:rPr>
          <w:rFonts w:ascii="仿宋" w:hAnsi="仿宋" w:eastAsia="仿宋" w:cs="仿宋"/>
          <w:b/>
          <w:bCs/>
          <w:lang w:eastAsia="zh-CN"/>
        </w:rPr>
        <w:t xml:space="preserve">.5  </w:t>
      </w:r>
      <w:r>
        <w:rPr>
          <w:rFonts w:ascii="仿宋" w:hAnsi="仿宋" w:eastAsia="仿宋" w:cs="仿宋"/>
          <w:b/>
          <w:bCs/>
          <w:u w:val="dotted"/>
          <w:lang w:eastAsia="zh-CN"/>
        </w:rPr>
        <w:t xml:space="preserve">                                                                               </w:t>
      </w:r>
    </w:p>
    <w:p w14:paraId="7823AEE0">
      <w:pPr>
        <w:pStyle w:val="22"/>
        <w:adjustRightInd w:val="0"/>
        <w:snapToGrid w:val="0"/>
        <w:spacing w:line="400" w:lineRule="exact"/>
        <w:ind w:left="1850" w:leftChars="771"/>
        <w:rPr>
          <w:rFonts w:ascii="仿宋" w:hAnsi="仿宋" w:eastAsia="仿宋"/>
          <w:sz w:val="24"/>
          <w:szCs w:val="24"/>
          <w:lang w:eastAsia="zh-CN"/>
        </w:rPr>
      </w:pPr>
      <w:r>
        <mc:AlternateContent>
          <mc:Choice Requires="wps">
            <w:drawing>
              <wp:anchor distT="0" distB="0" distL="114300" distR="114300" simplePos="0" relativeHeight="251765760" behindDoc="0" locked="0" layoutInCell="1" allowOverlap="1">
                <wp:simplePos x="0" y="0"/>
                <wp:positionH relativeFrom="column">
                  <wp:posOffset>-66675</wp:posOffset>
                </wp:positionH>
                <wp:positionV relativeFrom="paragraph">
                  <wp:posOffset>6350</wp:posOffset>
                </wp:positionV>
                <wp:extent cx="861695" cy="990600"/>
                <wp:effectExtent l="0" t="0" r="0" b="0"/>
                <wp:wrapNone/>
                <wp:docPr id="180" name="文本框 829"/>
                <wp:cNvGraphicFramePr/>
                <a:graphic xmlns:a="http://schemas.openxmlformats.org/drawingml/2006/main">
                  <a:graphicData uri="http://schemas.microsoft.com/office/word/2010/wordprocessingShape">
                    <wps:wsp>
                      <wps:cNvSpPr txBox="1"/>
                      <wps:spPr>
                        <a:xfrm>
                          <a:off x="0" y="0"/>
                          <a:ext cx="861695" cy="990600"/>
                        </a:xfrm>
                        <a:prstGeom prst="rect">
                          <a:avLst/>
                        </a:prstGeom>
                        <a:noFill/>
                        <a:ln w="12700">
                          <a:noFill/>
                        </a:ln>
                      </wps:spPr>
                      <wps:txbx>
                        <w:txbxContent>
                          <w:p w14:paraId="27332A96">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发包人不按约定支付服务费或工程款造成暂停工作或暂停施工的责任</w:t>
                            </w:r>
                          </w:p>
                        </w:txbxContent>
                      </wps:txbx>
                      <wps:bodyPr rot="0" vert="horz" wrap="square" lIns="91440" tIns="45720" rIns="91440" bIns="45720" anchor="t" anchorCtr="0"/>
                    </wps:wsp>
                  </a:graphicData>
                </a:graphic>
              </wp:anchor>
            </w:drawing>
          </mc:Choice>
          <mc:Fallback>
            <w:pict>
              <v:shape id="文本框 829" o:spid="_x0000_s1026" o:spt="202" type="#_x0000_t202" style="position:absolute;left:0pt;margin-left:-5.25pt;margin-top:0.5pt;height:78pt;width:67.85pt;z-index:251765760;mso-width-relative:page;mso-height-relative:page;" filled="f" stroked="f" coordsize="21600,21600" o:gfxdata="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Ic/TETW&#10;AAAACQEAAA8AAAAAAAAAAQAgAAAAIgAAAGRycy9kb3ducmV2LnhtbFBLAQIUABQAAAAIAIdO4kCM&#10;daYX6QEAAL4DAAAOAAAAAAAAAAEAIAAAACUBAABkcnMvZTJvRG9jLnhtbFBLBQYAAAAABgAGAFkB&#10;AACABQAAAAA=&#10;">
                <v:fill on="f" focussize="0,0"/>
                <v:stroke on="f" weight="1pt"/>
                <v:imagedata o:title=""/>
                <o:lock v:ext="edit" aspectratio="f"/>
                <v:textbox>
                  <w:txbxContent>
                    <w:p w14:paraId="27332A96">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发包人不按约定支付服务费或工程款造成暂停工作或暂停施工的责任</w:t>
                      </w:r>
                    </w:p>
                  </w:txbxContent>
                </v:textbox>
              </v:shape>
            </w:pict>
          </mc:Fallback>
        </mc:AlternateContent>
      </w:r>
      <w:r>
        <w:rPr>
          <w:rFonts w:hint="eastAsia" w:ascii="仿宋" w:hAnsi="仿宋" w:eastAsia="仿宋" w:cs="仿宋"/>
          <w:sz w:val="24"/>
          <w:szCs w:val="24"/>
          <w:lang w:eastAsia="zh-CN"/>
        </w:rPr>
        <w:t>如果发包人未按照合同约定支付工程勘察费、工程设计费或工程进度款等款项，经催告后在14天或28天（工程勘察费、工程设计费等进度款为14天；工程进度款为28天）内仍未支付的，承包人可以暂停工作或施工，直至收到包括第83</w:t>
      </w:r>
      <w:r>
        <w:rPr>
          <w:rFonts w:ascii="仿宋" w:hAnsi="仿宋" w:eastAsia="仿宋" w:cs="仿宋"/>
          <w:sz w:val="24"/>
          <w:szCs w:val="24"/>
          <w:lang w:eastAsia="zh-CN"/>
        </w:rPr>
        <w:t>.2</w:t>
      </w:r>
      <w:r>
        <w:rPr>
          <w:rFonts w:hint="eastAsia" w:ascii="仿宋" w:hAnsi="仿宋" w:eastAsia="仿宋" w:cs="仿宋"/>
          <w:sz w:val="24"/>
          <w:szCs w:val="24"/>
          <w:lang w:eastAsia="zh-CN"/>
        </w:rPr>
        <w:t>款约定的应付利息在内的所欠全部款项。由此造成的暂停工作或施工，视为是因发包人的原因引起的，并按照第42</w:t>
      </w:r>
      <w:r>
        <w:rPr>
          <w:rFonts w:ascii="仿宋" w:hAnsi="仿宋" w:eastAsia="仿宋" w:cs="仿宋"/>
          <w:sz w:val="24"/>
          <w:szCs w:val="24"/>
          <w:lang w:eastAsia="zh-CN"/>
        </w:rPr>
        <w:t>.4</w:t>
      </w:r>
      <w:r>
        <w:rPr>
          <w:rFonts w:hint="eastAsia" w:ascii="仿宋" w:hAnsi="仿宋" w:eastAsia="仿宋" w:cs="仿宋"/>
          <w:sz w:val="24"/>
          <w:szCs w:val="24"/>
          <w:lang w:eastAsia="zh-CN"/>
        </w:rPr>
        <w:t>款约定处理。</w:t>
      </w:r>
    </w:p>
    <w:p w14:paraId="1E7DF1EA">
      <w:pPr>
        <w:spacing w:line="400" w:lineRule="exact"/>
        <w:rPr>
          <w:rFonts w:ascii="仿宋" w:hAnsi="仿宋" w:eastAsia="仿宋"/>
          <w:b/>
          <w:bCs/>
          <w:lang w:eastAsia="zh-CN"/>
        </w:rPr>
      </w:pPr>
      <w:r>
        <w:rPr>
          <w:rFonts w:hint="eastAsia" w:ascii="仿宋" w:hAnsi="仿宋" w:eastAsia="仿宋" w:cs="仿宋"/>
          <w:b/>
          <w:bCs/>
          <w:lang w:eastAsia="zh-CN"/>
        </w:rPr>
        <w:t>42</w:t>
      </w:r>
      <w:r>
        <w:rPr>
          <w:rFonts w:ascii="仿宋" w:hAnsi="仿宋" w:eastAsia="仿宋" w:cs="仿宋"/>
          <w:b/>
          <w:bCs/>
          <w:lang w:eastAsia="zh-CN"/>
        </w:rPr>
        <w:t xml:space="preserve">.6  </w:t>
      </w:r>
      <w:r>
        <w:rPr>
          <w:rFonts w:ascii="仿宋" w:hAnsi="仿宋" w:eastAsia="仿宋" w:cs="仿宋"/>
          <w:b/>
          <w:bCs/>
          <w:u w:val="dotted"/>
          <w:lang w:eastAsia="zh-CN"/>
        </w:rPr>
        <w:t xml:space="preserve">                                                                               </w:t>
      </w:r>
    </w:p>
    <w:p w14:paraId="34F0B426">
      <w:pPr>
        <w:pStyle w:val="22"/>
        <w:widowControl w:val="0"/>
        <w:adjustRightInd w:val="0"/>
        <w:snapToGrid w:val="0"/>
        <w:spacing w:line="400" w:lineRule="exact"/>
        <w:ind w:left="1850" w:leftChars="771"/>
        <w:jc w:val="both"/>
        <w:rPr>
          <w:rFonts w:ascii="仿宋" w:hAnsi="仿宋" w:eastAsia="仿宋"/>
          <w:u w:val="single"/>
          <w:lang w:eastAsia="zh-CN"/>
        </w:rPr>
      </w:pPr>
      <w:r>
        <mc:AlternateContent>
          <mc:Choice Requires="wps">
            <w:drawing>
              <wp:anchor distT="0" distB="0" distL="114300" distR="114300" simplePos="0" relativeHeight="251766784" behindDoc="0" locked="0" layoutInCell="1" allowOverlap="1">
                <wp:simplePos x="0" y="0"/>
                <wp:positionH relativeFrom="column">
                  <wp:posOffset>-114300</wp:posOffset>
                </wp:positionH>
                <wp:positionV relativeFrom="paragraph">
                  <wp:posOffset>635</wp:posOffset>
                </wp:positionV>
                <wp:extent cx="794385" cy="624840"/>
                <wp:effectExtent l="0" t="0" r="0" b="0"/>
                <wp:wrapNone/>
                <wp:docPr id="181" name="文本框 830"/>
                <wp:cNvGraphicFramePr/>
                <a:graphic xmlns:a="http://schemas.openxmlformats.org/drawingml/2006/main">
                  <a:graphicData uri="http://schemas.microsoft.com/office/word/2010/wordprocessingShape">
                    <wps:wsp>
                      <wps:cNvSpPr txBox="1"/>
                      <wps:spPr>
                        <a:xfrm>
                          <a:off x="0" y="0"/>
                          <a:ext cx="794385" cy="624840"/>
                        </a:xfrm>
                        <a:prstGeom prst="rect">
                          <a:avLst/>
                        </a:prstGeom>
                        <a:noFill/>
                        <a:ln w="12700">
                          <a:noFill/>
                        </a:ln>
                      </wps:spPr>
                      <wps:txbx>
                        <w:txbxContent>
                          <w:p w14:paraId="6A014F3D">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暂停工作或施工结束后的处理</w:t>
                            </w:r>
                          </w:p>
                        </w:txbxContent>
                      </wps:txbx>
                      <wps:bodyPr rot="0" vert="horz" wrap="square" lIns="91440" tIns="45720" rIns="91440" bIns="45720" anchor="t" anchorCtr="0"/>
                    </wps:wsp>
                  </a:graphicData>
                </a:graphic>
              </wp:anchor>
            </w:drawing>
          </mc:Choice>
          <mc:Fallback>
            <w:pict>
              <v:shape id="文本框 830" o:spid="_x0000_s1026" o:spt="202" type="#_x0000_t202" style="position:absolute;left:0pt;margin-left:-9pt;margin-top:0.05pt;height:49.2pt;width:62.55pt;z-index:251766784;mso-width-relative:page;mso-height-relative:page;" filled="f" stroked="f" coordsize="21600,21600" o:gfxdata="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CrSiH9QA&#10;AAAHAQAADwAAAAAAAAABACAAAAAiAAAAZHJzL2Rvd25yZXYueG1sUEsBAhQAFAAAAAgAh07iQLc/&#10;uiLqAQAAvgMAAA4AAAAAAAAAAQAgAAAAIwEAAGRycy9lMm9Eb2MueG1sUEsFBgAAAAAGAAYAWQEA&#10;AH8FAAAAAA==&#10;">
                <v:fill on="f" focussize="0,0"/>
                <v:stroke on="f" weight="1pt"/>
                <v:imagedata o:title=""/>
                <o:lock v:ext="edit" aspectratio="f"/>
                <v:textbox>
                  <w:txbxContent>
                    <w:p w14:paraId="6A014F3D">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暂停工作或施工结束后的处理</w:t>
                      </w:r>
                    </w:p>
                  </w:txbxContent>
                </v:textbox>
              </v:shape>
            </w:pict>
          </mc:Fallback>
        </mc:AlternateContent>
      </w:r>
      <w:r>
        <w:rPr>
          <w:rFonts w:hint="eastAsia" w:ascii="仿宋" w:hAnsi="仿宋" w:eastAsia="仿宋" w:cs="仿宋"/>
          <w:sz w:val="24"/>
          <w:szCs w:val="24"/>
          <w:lang w:eastAsia="zh-CN"/>
        </w:rPr>
        <w:t>暂停工作或施工结束后，承包人和监理人、设计顾问人应对受暂停工作或施工影响的工程、工程材料和工程设备进行检查。承包人负责修复在暂停期间发生的任何变质、缺陷或损坏，因而发生的费用和造成的损失按照第42</w:t>
      </w:r>
      <w:r>
        <w:rPr>
          <w:rFonts w:ascii="仿宋" w:hAnsi="仿宋" w:eastAsia="仿宋" w:cs="仿宋"/>
          <w:sz w:val="24"/>
          <w:szCs w:val="24"/>
          <w:lang w:eastAsia="zh-CN"/>
        </w:rPr>
        <w:t>.4</w:t>
      </w:r>
      <w:r>
        <w:rPr>
          <w:rFonts w:hint="eastAsia" w:ascii="仿宋" w:hAnsi="仿宋" w:eastAsia="仿宋" w:cs="仿宋"/>
          <w:sz w:val="24"/>
          <w:szCs w:val="24"/>
          <w:lang w:eastAsia="zh-CN"/>
        </w:rPr>
        <w:t>款约定处理。</w:t>
      </w:r>
    </w:p>
    <w:p w14:paraId="0F0BEC9B">
      <w:pPr>
        <w:pStyle w:val="4"/>
        <w:tabs>
          <w:tab w:val="left" w:pos="420"/>
        </w:tabs>
        <w:spacing w:before="0" w:after="0" w:line="400" w:lineRule="exact"/>
        <w:rPr>
          <w:rFonts w:ascii="仿宋" w:hAnsi="仿宋" w:eastAsia="仿宋" w:cs="仿宋"/>
          <w:bCs w:val="0"/>
          <w:sz w:val="24"/>
          <w:szCs w:val="24"/>
          <w:lang w:eastAsia="zh-CN"/>
        </w:rPr>
      </w:pPr>
      <w:bookmarkStart w:id="366" w:name="_Toc15398"/>
      <w:bookmarkStart w:id="367" w:name="_Toc194073152"/>
      <w:bookmarkStart w:id="368" w:name="_Toc22727"/>
      <w:bookmarkStart w:id="369" w:name="_Toc9850"/>
      <w:r>
        <w:rPr>
          <w:rFonts w:hint="eastAsia" w:ascii="仿宋" w:hAnsi="仿宋" w:eastAsia="仿宋" w:cs="仿宋"/>
          <w:bCs w:val="0"/>
          <w:sz w:val="24"/>
          <w:szCs w:val="24"/>
          <w:lang w:eastAsia="zh-CN"/>
        </w:rPr>
        <w:t>43</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工期和工期延误</w:t>
      </w:r>
      <w:bookmarkEnd w:id="366"/>
      <w:bookmarkEnd w:id="367"/>
      <w:bookmarkEnd w:id="368"/>
      <w:bookmarkEnd w:id="369"/>
    </w:p>
    <w:p w14:paraId="7FECBAAB">
      <w:pPr>
        <w:pStyle w:val="22"/>
        <w:adjustRightInd w:val="0"/>
        <w:snapToGrid w:val="0"/>
        <w:spacing w:line="400" w:lineRule="exact"/>
        <w:rPr>
          <w:rFonts w:ascii="仿宋" w:hAnsi="仿宋" w:eastAsia="仿宋"/>
          <w:b/>
          <w:bCs/>
          <w:sz w:val="24"/>
          <w:szCs w:val="24"/>
          <w:lang w:eastAsia="zh-CN"/>
        </w:rPr>
      </w:pPr>
      <w:r>
        <w:rPr>
          <w:rFonts w:hint="eastAsia" w:ascii="仿宋" w:hAnsi="仿宋" w:eastAsia="仿宋" w:cs="仿宋"/>
          <w:b/>
          <w:bCs/>
          <w:sz w:val="24"/>
          <w:szCs w:val="24"/>
          <w:lang w:eastAsia="zh-CN"/>
        </w:rPr>
        <w:t>43</w:t>
      </w:r>
      <w:r>
        <w:rPr>
          <w:rFonts w:ascii="仿宋" w:hAnsi="仿宋" w:eastAsia="仿宋" w:cs="仿宋"/>
          <w:b/>
          <w:bCs/>
          <w:sz w:val="24"/>
          <w:szCs w:val="24"/>
          <w:lang w:eastAsia="zh-CN"/>
        </w:rPr>
        <w:t>.1</w:t>
      </w:r>
    </w:p>
    <w:p w14:paraId="56C56995">
      <w:pPr>
        <w:spacing w:line="400" w:lineRule="exact"/>
        <w:ind w:left="1850" w:leftChars="771"/>
        <w:rPr>
          <w:rFonts w:ascii="仿宋" w:hAnsi="仿宋" w:eastAsia="仿宋" w:cs="仿宋"/>
          <w:lang w:eastAsia="zh-CN"/>
        </w:rPr>
      </w:pPr>
      <w:r>
        <w:rPr>
          <w:rFonts w:hint="eastAsia" w:ascii="仿宋" w:hAnsi="仿宋" w:eastAsia="仿宋" w:cs="仿宋"/>
        </w:rPr>
        <mc:AlternateContent>
          <mc:Choice Requires="wps">
            <w:drawing>
              <wp:anchor distT="0" distB="0" distL="114300" distR="114300" simplePos="0" relativeHeight="251767808" behindDoc="0" locked="0" layoutInCell="1" allowOverlap="1">
                <wp:simplePos x="0" y="0"/>
                <wp:positionH relativeFrom="column">
                  <wp:posOffset>-114300</wp:posOffset>
                </wp:positionH>
                <wp:positionV relativeFrom="paragraph">
                  <wp:posOffset>29210</wp:posOffset>
                </wp:positionV>
                <wp:extent cx="721995" cy="669290"/>
                <wp:effectExtent l="0" t="0" r="0" b="0"/>
                <wp:wrapNone/>
                <wp:docPr id="182" name="文本框 832"/>
                <wp:cNvGraphicFramePr/>
                <a:graphic xmlns:a="http://schemas.openxmlformats.org/drawingml/2006/main">
                  <a:graphicData uri="http://schemas.microsoft.com/office/word/2010/wordprocessingShape">
                    <wps:wsp>
                      <wps:cNvSpPr txBox="1"/>
                      <wps:spPr>
                        <a:xfrm>
                          <a:off x="0" y="0"/>
                          <a:ext cx="721995" cy="669290"/>
                        </a:xfrm>
                        <a:prstGeom prst="rect">
                          <a:avLst/>
                        </a:prstGeom>
                        <a:noFill/>
                        <a:ln w="12700">
                          <a:noFill/>
                        </a:ln>
                      </wps:spPr>
                      <wps:txbx>
                        <w:txbxContent>
                          <w:p w14:paraId="7F86A2D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txbxContent>
                      </wps:txbx>
                      <wps:bodyPr rot="0" vert="horz" wrap="square" lIns="91440" tIns="45720" rIns="91440" bIns="45720" anchor="t" anchorCtr="0"/>
                    </wps:wsp>
                  </a:graphicData>
                </a:graphic>
              </wp:anchor>
            </w:drawing>
          </mc:Choice>
          <mc:Fallback>
            <w:pict>
              <v:shape id="文本框 832" o:spid="_x0000_s1026" o:spt="202" type="#_x0000_t202" style="position:absolute;left:0pt;margin-left:-9pt;margin-top:2.3pt;height:52.7pt;width:56.85pt;z-index:251767808;mso-width-relative:page;mso-height-relative:page;" filled="f" stroked="f" coordsize="21600,21600" o:gfxdata="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iG&#10;PBjWAAAACAEAAA8AAAAAAAAAAQAgAAAAIgAAAGRycy9kb3ducmV2LnhtbFBLAQIUABQAAAAIAIdO&#10;4kAMpNeR7AEAAL4DAAAOAAAAAAAAAAEAIAAAACUBAABkcnMvZTJvRG9jLnhtbFBLBQYAAAAABgAG&#10;AFkBAACDBQAAAAA=&#10;">
                <v:fill on="f" focussize="0,0"/>
                <v:stroke on="f" weight="1pt"/>
                <v:imagedata o:title=""/>
                <o:lock v:ext="edit" aspectratio="f"/>
                <v:textbox>
                  <w:txbxContent>
                    <w:p w14:paraId="7F86A2D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txbxContent>
                </v:textbox>
              </v:shape>
            </w:pict>
          </mc:Fallback>
        </mc:AlternateContent>
      </w:r>
      <w:r>
        <w:rPr>
          <w:rFonts w:hint="eastAsia" w:ascii="仿宋" w:hAnsi="仿宋" w:eastAsia="仿宋" w:cs="仿宋"/>
          <w:lang w:eastAsia="zh-CN"/>
        </w:rPr>
        <w:t>43.1.1 勘察工期（如果有），由双方在协议书及专用条款中约定，并制定保障措施，确保勘察工作进度和质量。</w:t>
      </w:r>
    </w:p>
    <w:p w14:paraId="4600F606">
      <w:pPr>
        <w:spacing w:line="400" w:lineRule="exact"/>
        <w:ind w:left="1850" w:leftChars="771"/>
        <w:rPr>
          <w:rFonts w:ascii="仿宋" w:hAnsi="仿宋" w:eastAsia="仿宋" w:cs="仿宋"/>
          <w:lang w:eastAsia="zh-CN"/>
        </w:rPr>
      </w:pPr>
      <w:r>
        <w:rPr>
          <w:rFonts w:hint="eastAsia" w:ascii="仿宋" w:hAnsi="仿宋" w:eastAsia="仿宋" w:cs="仿宋"/>
          <w:lang w:eastAsia="zh-CN"/>
        </w:rPr>
        <w:t>43.1.2 设计工期，由双方在协议书及专用条款中约定，并制定保障措施，确保设计工作进度和质量。</w:t>
      </w:r>
    </w:p>
    <w:p w14:paraId="3C4A149E">
      <w:pPr>
        <w:spacing w:line="400" w:lineRule="exact"/>
        <w:ind w:left="1850" w:leftChars="771"/>
        <w:rPr>
          <w:rFonts w:ascii="仿宋" w:hAnsi="仿宋" w:eastAsia="仿宋" w:cs="仿宋"/>
          <w:lang w:eastAsia="zh-CN"/>
        </w:rPr>
      </w:pPr>
      <w:r>
        <w:rPr>
          <w:rFonts w:hint="eastAsia" w:ascii="仿宋" w:hAnsi="仿宋" w:eastAsia="仿宋" w:cs="仿宋"/>
          <w:lang w:eastAsia="zh-CN"/>
        </w:rPr>
        <w:t>43.1.3 BIM技术应用工期，由双方在协议书及专用条款中约定，并制定保障措施，确保BIM技术应用工作进度和质量。</w:t>
      </w:r>
    </w:p>
    <w:p w14:paraId="52A5DE64">
      <w:pPr>
        <w:spacing w:line="400" w:lineRule="exact"/>
        <w:ind w:left="1850" w:leftChars="771"/>
        <w:rPr>
          <w:rFonts w:ascii="仿宋" w:hAnsi="仿宋" w:eastAsia="仿宋" w:cs="仿宋"/>
          <w:lang w:eastAsia="zh-CN"/>
        </w:rPr>
      </w:pPr>
      <w:r>
        <w:rPr>
          <w:rFonts w:hint="eastAsia" w:ascii="仿宋" w:hAnsi="仿宋" w:eastAsia="仿宋" w:cs="仿宋"/>
          <w:lang w:eastAsia="zh-CN"/>
        </w:rPr>
        <w:t>43.1.4 设备及工器具购置工期（如果有），由双方在协议书及专用条款中约定，并制定保障措施，确保购置工作进度和质量。</w:t>
      </w:r>
    </w:p>
    <w:p w14:paraId="6A9C5984">
      <w:pPr>
        <w:spacing w:line="400" w:lineRule="exact"/>
        <w:ind w:left="1850" w:leftChars="771"/>
        <w:rPr>
          <w:rFonts w:ascii="仿宋" w:hAnsi="仿宋" w:eastAsia="仿宋" w:cs="仿宋"/>
          <w:lang w:eastAsia="zh-CN"/>
        </w:rPr>
      </w:pPr>
      <w:r>
        <w:rPr>
          <w:rFonts w:hint="eastAsia" w:ascii="仿宋" w:hAnsi="仿宋" w:eastAsia="仿宋" w:cs="仿宋"/>
          <w:lang w:eastAsia="zh-CN"/>
        </w:rPr>
        <w:t>43.1.5施工工期，由双方在协议书及专用条款约定。如合同约定的施工工期与广东省建设工程工期定额规定不一致的，需说明与省工期定额规定不一致的原因，并制定保障措施，确保施工进度、施工质量和施工安全。</w:t>
      </w:r>
    </w:p>
    <w:p w14:paraId="1F5CC61D">
      <w:pPr>
        <w:spacing w:line="400" w:lineRule="exact"/>
        <w:ind w:left="1850" w:leftChars="771"/>
        <w:rPr>
          <w:rFonts w:ascii="仿宋" w:hAnsi="仿宋" w:eastAsia="仿宋" w:cs="仿宋"/>
          <w:lang w:eastAsia="zh-CN"/>
        </w:rPr>
      </w:pPr>
      <w:r>
        <w:rPr>
          <w:rFonts w:hint="eastAsia" w:ascii="仿宋" w:hAnsi="仿宋" w:eastAsia="仿宋" w:cs="仿宋"/>
          <w:lang w:eastAsia="zh-CN"/>
        </w:rPr>
        <w:t>上述约定的各项工期计算总天数可能存在叠加，以协议书约定的合同工期总日历天数为准。</w:t>
      </w:r>
    </w:p>
    <w:p w14:paraId="58C49509">
      <w:pPr>
        <w:spacing w:line="400" w:lineRule="exact"/>
        <w:rPr>
          <w:rFonts w:ascii="仿宋" w:hAnsi="仿宋" w:eastAsia="仿宋"/>
          <w:lang w:eastAsia="zh-CN"/>
        </w:rPr>
      </w:pPr>
      <w:bookmarkStart w:id="370" w:name="_Toc19777"/>
      <w:r>
        <w:rPr>
          <w:rFonts w:hint="eastAsia" w:ascii="仿宋" w:hAnsi="仿宋" w:eastAsia="仿宋" w:cs="仿宋"/>
          <w:b/>
          <w:bCs/>
          <w:lang w:eastAsia="zh-CN"/>
        </w:rPr>
        <w:t>43</w:t>
      </w:r>
      <w:r>
        <w:rPr>
          <w:rFonts w:ascii="仿宋" w:hAnsi="仿宋" w:eastAsia="仿宋" w:cs="仿宋"/>
          <w:b/>
          <w:bCs/>
          <w:lang w:eastAsia="zh-CN"/>
        </w:rPr>
        <w:t>.2</w:t>
      </w:r>
      <w:bookmarkEnd w:id="370"/>
      <w:r>
        <w:rPr>
          <w:rFonts w:ascii="仿宋" w:hAnsi="仿宋" w:eastAsia="仿宋" w:cs="仿宋"/>
          <w:b/>
          <w:bCs/>
          <w:lang w:eastAsia="zh-CN"/>
        </w:rPr>
        <w:t xml:space="preserve"> </w:t>
      </w:r>
      <w:r>
        <w:rPr>
          <w:rFonts w:ascii="仿宋" w:hAnsi="仿宋" w:eastAsia="仿宋" w:cs="仿宋"/>
          <w:u w:val="dotted"/>
          <w:lang w:eastAsia="zh-CN"/>
        </w:rPr>
        <w:t xml:space="preserve">                                 </w:t>
      </w:r>
      <w:r>
        <w:rPr>
          <w:rFonts w:hint="eastAsia" w:ascii="仿宋" w:hAnsi="仿宋" w:eastAsia="仿宋" w:cs="仿宋"/>
          <w:u w:val="dotted"/>
          <w:lang w:eastAsia="zh-CN"/>
        </w:rPr>
        <w:t xml:space="preserve">      </w:t>
      </w:r>
      <w:r>
        <w:rPr>
          <w:rFonts w:ascii="仿宋" w:hAnsi="仿宋" w:eastAsia="仿宋" w:cs="仿宋"/>
          <w:u w:val="dotted"/>
          <w:lang w:eastAsia="zh-CN"/>
        </w:rPr>
        <w:t xml:space="preserve">                                         </w:t>
      </w:r>
    </w:p>
    <w:p w14:paraId="7E2684B1">
      <w:pPr>
        <w:spacing w:line="400" w:lineRule="exact"/>
        <w:ind w:left="1850" w:leftChars="771"/>
        <w:rPr>
          <w:rFonts w:ascii="仿宋" w:hAnsi="仿宋" w:eastAsia="仿宋"/>
          <w:lang w:eastAsia="zh-CN"/>
        </w:rPr>
      </w:pPr>
      <w:r>
        <mc:AlternateContent>
          <mc:Choice Requires="wps">
            <w:drawing>
              <wp:anchor distT="0" distB="0" distL="114300" distR="114300" simplePos="0" relativeHeight="251768832" behindDoc="0" locked="0" layoutInCell="1" allowOverlap="1">
                <wp:simplePos x="0" y="0"/>
                <wp:positionH relativeFrom="column">
                  <wp:posOffset>-114300</wp:posOffset>
                </wp:positionH>
                <wp:positionV relativeFrom="paragraph">
                  <wp:posOffset>31750</wp:posOffset>
                </wp:positionV>
                <wp:extent cx="798830" cy="527685"/>
                <wp:effectExtent l="0" t="0" r="0" b="0"/>
                <wp:wrapNone/>
                <wp:docPr id="183" name="文本框 833"/>
                <wp:cNvGraphicFramePr/>
                <a:graphic xmlns:a="http://schemas.openxmlformats.org/drawingml/2006/main">
                  <a:graphicData uri="http://schemas.microsoft.com/office/word/2010/wordprocessingShape">
                    <wps:wsp>
                      <wps:cNvSpPr txBox="1"/>
                      <wps:spPr>
                        <a:xfrm>
                          <a:off x="0" y="0"/>
                          <a:ext cx="798830" cy="527685"/>
                        </a:xfrm>
                        <a:prstGeom prst="rect">
                          <a:avLst/>
                        </a:prstGeom>
                        <a:noFill/>
                        <a:ln w="12700">
                          <a:noFill/>
                        </a:ln>
                      </wps:spPr>
                      <wps:txbx>
                        <w:txbxContent>
                          <w:p w14:paraId="3A76F0F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txbxContent>
                      </wps:txbx>
                      <wps:bodyPr rot="0" vert="horz" wrap="square" lIns="91440" tIns="45720" rIns="91440" bIns="45720" anchor="t" anchorCtr="0"/>
                    </wps:wsp>
                  </a:graphicData>
                </a:graphic>
              </wp:anchor>
            </w:drawing>
          </mc:Choice>
          <mc:Fallback>
            <w:pict>
              <v:shape id="文本框 833" o:spid="_x0000_s1026" o:spt="202" type="#_x0000_t202" style="position:absolute;left:0pt;margin-left:-9pt;margin-top:2.5pt;height:41.55pt;width:62.9pt;z-index:251768832;mso-width-relative:page;mso-height-relative:page;" filled="f" stroked="f" coordsize="21600,21600" o:gfxdata="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L5ay&#10;j9cAAAAIAQAADwAAAAAAAAABACAAAAAiAAAAZHJzL2Rvd25yZXYueG1sUEsBAhQAFAAAAAgAh07i&#10;QMTjefLqAQAAvgMAAA4AAAAAAAAAAQAgAAAAJgEAAGRycy9lMm9Eb2MueG1sUEsFBgAAAAAGAAYA&#10;WQEAAIIFAAAAAA==&#10;">
                <v:fill on="f" focussize="0,0"/>
                <v:stroke on="f" weight="1pt"/>
                <v:imagedata o:title=""/>
                <o:lock v:ext="edit" aspectratio="f"/>
                <v:textbox>
                  <w:txbxContent>
                    <w:p w14:paraId="3A76F0F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txbxContent>
                </v:textbox>
              </v:shape>
            </w:pict>
          </mc:Fallback>
        </mc:AlternateContent>
      </w:r>
      <w:r>
        <w:rPr>
          <w:rFonts w:hint="eastAsia" w:ascii="仿宋" w:hAnsi="仿宋" w:eastAsia="仿宋" w:cs="仿宋"/>
          <w:lang w:eastAsia="zh-CN"/>
        </w:rPr>
        <w:t>合同双方当事人应在专用条款中约定合同工程的总工期及勘察（如果有）、设计、BIM技术应用、设备及工器具购置（如果有）、施工等各阶段工期，工期从合同约定的首项工作（如勘察）开始工作日期开始计算。合同中包括有多个单项工程的，应在专用条款中约定各单项工程的工期。根据各阶段工期计算的总工期可能存在叠加，以协议书约定的合同工期总日历天数为准。合同允许调整事项导致的合理工期延误，按变更处理。</w:t>
      </w:r>
    </w:p>
    <w:p w14:paraId="3F7963F4">
      <w:pPr>
        <w:spacing w:line="400" w:lineRule="exact"/>
        <w:rPr>
          <w:rFonts w:ascii="仿宋" w:hAnsi="仿宋" w:eastAsia="仿宋"/>
          <w:b/>
          <w:bCs/>
          <w:lang w:eastAsia="zh-CN"/>
        </w:rPr>
      </w:pPr>
      <w:bookmarkStart w:id="371" w:name="_Toc19907"/>
      <w:r>
        <w:rPr>
          <w:rFonts w:hint="eastAsia" w:ascii="仿宋" w:hAnsi="仿宋" w:eastAsia="仿宋" w:cs="仿宋"/>
          <w:b/>
          <w:bCs/>
          <w:lang w:eastAsia="zh-CN"/>
        </w:rPr>
        <w:t>43</w:t>
      </w:r>
      <w:r>
        <w:rPr>
          <w:rFonts w:ascii="仿宋" w:hAnsi="仿宋" w:eastAsia="仿宋" w:cs="仿宋"/>
          <w:b/>
          <w:bCs/>
          <w:lang w:eastAsia="zh-CN"/>
        </w:rPr>
        <w:t>.3</w:t>
      </w:r>
      <w:bookmarkEnd w:id="371"/>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45433605">
      <w:pPr>
        <w:widowControl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769856" behindDoc="0" locked="0" layoutInCell="1" allowOverlap="1">
                <wp:simplePos x="0" y="0"/>
                <wp:positionH relativeFrom="column">
                  <wp:posOffset>-114300</wp:posOffset>
                </wp:positionH>
                <wp:positionV relativeFrom="paragraph">
                  <wp:posOffset>16510</wp:posOffset>
                </wp:positionV>
                <wp:extent cx="741045" cy="554990"/>
                <wp:effectExtent l="0" t="0" r="0" b="0"/>
                <wp:wrapNone/>
                <wp:docPr id="184" name="文本框 834"/>
                <wp:cNvGraphicFramePr/>
                <a:graphic xmlns:a="http://schemas.openxmlformats.org/drawingml/2006/main">
                  <a:graphicData uri="http://schemas.microsoft.com/office/word/2010/wordprocessingShape">
                    <wps:wsp>
                      <wps:cNvSpPr txBox="1"/>
                      <wps:spPr>
                        <a:xfrm>
                          <a:off x="0" y="0"/>
                          <a:ext cx="741045" cy="554990"/>
                        </a:xfrm>
                        <a:prstGeom prst="rect">
                          <a:avLst/>
                        </a:prstGeom>
                        <a:noFill/>
                        <a:ln w="12700">
                          <a:noFill/>
                        </a:ln>
                      </wps:spPr>
                      <wps:txbx>
                        <w:txbxContent>
                          <w:p w14:paraId="3E62351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txbxContent>
                      </wps:txbx>
                      <wps:bodyPr rot="0" vert="horz" wrap="square" lIns="91440" tIns="45720" rIns="91440" bIns="45720" anchor="t" anchorCtr="0"/>
                    </wps:wsp>
                  </a:graphicData>
                </a:graphic>
              </wp:anchor>
            </w:drawing>
          </mc:Choice>
          <mc:Fallback>
            <w:pict>
              <v:shape id="文本框 834" o:spid="_x0000_s1026" o:spt="202" type="#_x0000_t202" style="position:absolute;left:0pt;margin-left:-9pt;margin-top:1.3pt;height:43.7pt;width:58.35pt;z-index:251769856;mso-width-relative:page;mso-height-relative:page;" filled="f" stroked="f" coordsize="21600,21600" o:gfxdata="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TY7s&#10;4NYAAAAHAQAADwAAAAAAAAABACAAAAAiAAAAZHJzL2Rvd25yZXYueG1sUEsBAhQAFAAAAAgAh07i&#10;QLyayDnrAQAAvgMAAA4AAAAAAAAAAQAgAAAAJQEAAGRycy9lMm9Eb2MueG1sUEsFBgAAAAAGAAYA&#10;WQEAAIIFAAAAAA==&#10;">
                <v:fill on="f" focussize="0,0"/>
                <v:stroke on="f" weight="1pt"/>
                <v:imagedata o:title=""/>
                <o:lock v:ext="edit" aspectratio="f"/>
                <v:textbox>
                  <w:txbxContent>
                    <w:p w14:paraId="3E62351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txbxContent>
                </v:textbox>
              </v:shape>
            </w:pict>
          </mc:Fallback>
        </mc:AlternateContent>
      </w:r>
      <w:r>
        <w:rPr>
          <w:rFonts w:hint="eastAsia" w:ascii="仿宋" w:hAnsi="仿宋" w:eastAsia="仿宋" w:cs="仿宋"/>
          <w:lang w:eastAsia="zh-CN"/>
        </w:rPr>
        <w:t>合同履行期间，由于下列原因造成工期延误的，承包人有权要求发包人增加由此发生的费用和（或）顺延工期，并支付合理利润。本款发生顺延的工期，由承包人提出，经设计顾问人或监理人核实后由合同双方当事人协商确定；协商不能达成一致的，由设计顾问人或监理人暂定，通知承包人并抄报发包人。构成争议的，由合同双方当事人按照第91条约定处理。</w:t>
      </w:r>
    </w:p>
    <w:p w14:paraId="500F778D">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1</w:t>
      </w:r>
      <w:r>
        <w:rPr>
          <w:rFonts w:hint="eastAsia" w:ascii="仿宋" w:hAnsi="仿宋" w:eastAsia="仿宋" w:cs="仿宋"/>
          <w:sz w:val="24"/>
          <w:szCs w:val="24"/>
          <w:lang w:eastAsia="zh-CN"/>
        </w:rPr>
        <w:t>）发包人未能按照专用条款的约定提供项目基础资料及其他开始工作或开工条件；</w:t>
      </w:r>
    </w:p>
    <w:p w14:paraId="0480ED7E">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2</w:t>
      </w:r>
      <w:r>
        <w:rPr>
          <w:rFonts w:hint="eastAsia" w:ascii="仿宋" w:hAnsi="仿宋" w:eastAsia="仿宋" w:cs="仿宋"/>
          <w:sz w:val="24"/>
          <w:szCs w:val="24"/>
          <w:lang w:eastAsia="zh-CN"/>
        </w:rPr>
        <w:t>）发包人未能按照专用条款约定的时间支付预付款、绿色施工安全防护费和进度款；</w:t>
      </w:r>
    </w:p>
    <w:p w14:paraId="177F1D11">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3</w:t>
      </w:r>
      <w:r>
        <w:rPr>
          <w:rFonts w:hint="eastAsia" w:ascii="仿宋" w:hAnsi="仿宋" w:eastAsia="仿宋" w:cs="仿宋"/>
          <w:sz w:val="24"/>
          <w:szCs w:val="24"/>
          <w:lang w:eastAsia="zh-CN"/>
        </w:rPr>
        <w:t>）发包人代表或发包人雇佣的其他人员造成的人为因素；</w:t>
      </w:r>
    </w:p>
    <w:p w14:paraId="78FA2FB9">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4</w:t>
      </w:r>
      <w:r>
        <w:rPr>
          <w:rFonts w:hint="eastAsia" w:ascii="仿宋" w:hAnsi="仿宋" w:eastAsia="仿宋" w:cs="仿宋"/>
          <w:sz w:val="24"/>
          <w:szCs w:val="24"/>
          <w:lang w:eastAsia="zh-CN"/>
        </w:rPr>
        <w:t>）发包人、设计顾问人或监理人未按照合同约定及时提供所需指令、回复等；</w:t>
      </w:r>
    </w:p>
    <w:p w14:paraId="550FBA2A">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5</w:t>
      </w:r>
      <w:r>
        <w:rPr>
          <w:rFonts w:hint="eastAsia" w:ascii="仿宋" w:hAnsi="仿宋" w:eastAsia="仿宋" w:cs="仿宋"/>
          <w:sz w:val="24"/>
          <w:szCs w:val="24"/>
          <w:lang w:eastAsia="zh-CN"/>
        </w:rPr>
        <w:t>）由发包人原因引起的工作变更或工程变更（含增加合同工作内容、改变合同的任何一项工作内容等）；</w:t>
      </w:r>
    </w:p>
    <w:p w14:paraId="10D59352">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6</w:t>
      </w:r>
      <w:r>
        <w:rPr>
          <w:rFonts w:hint="eastAsia" w:ascii="仿宋" w:hAnsi="仿宋" w:eastAsia="仿宋" w:cs="仿宋"/>
          <w:sz w:val="24"/>
          <w:szCs w:val="24"/>
          <w:lang w:eastAsia="zh-CN"/>
        </w:rPr>
        <w:t>）发包人原因引起的工作量或工程量增加；</w:t>
      </w:r>
    </w:p>
    <w:p w14:paraId="5C506671">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7</w:t>
      </w:r>
      <w:r>
        <w:rPr>
          <w:rFonts w:hint="eastAsia" w:ascii="仿宋" w:hAnsi="仿宋" w:eastAsia="仿宋" w:cs="仿宋"/>
          <w:sz w:val="24"/>
          <w:szCs w:val="24"/>
          <w:lang w:eastAsia="zh-CN"/>
        </w:rPr>
        <w:t>）勘查现场遇到的不利物质条件；</w:t>
      </w:r>
    </w:p>
    <w:p w14:paraId="40D289A8">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（8）一周内非承包人原因停水、停电、停气造成停工累计超过</w:t>
      </w:r>
      <w:r>
        <w:rPr>
          <w:rFonts w:ascii="仿宋" w:hAnsi="仿宋" w:eastAsia="仿宋" w:cs="仿宋"/>
          <w:sz w:val="24"/>
          <w:szCs w:val="24"/>
          <w:lang w:eastAsia="zh-CN"/>
        </w:rPr>
        <w:t>8</w:t>
      </w:r>
      <w:r>
        <w:rPr>
          <w:rFonts w:hint="eastAsia" w:ascii="仿宋" w:hAnsi="仿宋" w:eastAsia="仿宋" w:cs="仿宋"/>
          <w:sz w:val="24"/>
          <w:szCs w:val="24"/>
          <w:lang w:eastAsia="zh-CN"/>
        </w:rPr>
        <w:t>小时；</w:t>
      </w:r>
    </w:p>
    <w:p w14:paraId="5BBC28C2">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（9）不可抗力；</w:t>
      </w:r>
    </w:p>
    <w:p w14:paraId="503CE740">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（10）发包人风险事项；</w:t>
      </w:r>
    </w:p>
    <w:p w14:paraId="26141D1E">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1</w:t>
      </w:r>
      <w:r>
        <w:rPr>
          <w:rFonts w:hint="eastAsia" w:ascii="仿宋" w:hAnsi="仿宋" w:eastAsia="仿宋" w:cs="仿宋"/>
          <w:sz w:val="24"/>
          <w:szCs w:val="24"/>
          <w:lang w:eastAsia="zh-CN"/>
        </w:rPr>
        <w:t>1）因发包人的原因导致的暂停工作或暂停施工；</w:t>
      </w:r>
    </w:p>
    <w:p w14:paraId="452C34B0">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1</w:t>
      </w:r>
      <w:r>
        <w:rPr>
          <w:rFonts w:hint="eastAsia" w:ascii="仿宋" w:hAnsi="仿宋" w:eastAsia="仿宋" w:cs="仿宋"/>
          <w:sz w:val="24"/>
          <w:szCs w:val="24"/>
          <w:lang w:eastAsia="zh-CN"/>
        </w:rPr>
        <w:t>2）非承包人失误、违约，以及设计顾问人或监理人同意的工期顺延。</w:t>
      </w:r>
    </w:p>
    <w:p w14:paraId="4C279392">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1</w:t>
      </w:r>
      <w:r>
        <w:rPr>
          <w:rFonts w:hint="eastAsia" w:ascii="仿宋" w:hAnsi="仿宋" w:eastAsia="仿宋" w:cs="仿宋"/>
          <w:sz w:val="24"/>
          <w:szCs w:val="24"/>
          <w:lang w:eastAsia="zh-CN"/>
        </w:rPr>
        <w:t>3）发包人造成工期延误的其他情形。</w:t>
      </w:r>
    </w:p>
    <w:p w14:paraId="5574282E">
      <w:pPr>
        <w:spacing w:line="400" w:lineRule="exact"/>
        <w:rPr>
          <w:rFonts w:ascii="仿宋" w:hAnsi="仿宋" w:eastAsia="仿宋"/>
          <w:lang w:eastAsia="zh-CN"/>
        </w:rPr>
      </w:pPr>
      <w:bookmarkStart w:id="372" w:name="_Toc4122"/>
      <w:r>
        <w:rPr>
          <w:rFonts w:hint="eastAsia" w:ascii="仿宋" w:hAnsi="仿宋" w:eastAsia="仿宋" w:cs="仿宋"/>
          <w:b/>
          <w:bCs/>
          <w:lang w:eastAsia="zh-CN"/>
        </w:rPr>
        <w:t>43</w:t>
      </w:r>
      <w:r>
        <w:rPr>
          <w:rFonts w:ascii="仿宋" w:hAnsi="仿宋" w:eastAsia="仿宋" w:cs="仿宋"/>
          <w:b/>
          <w:bCs/>
          <w:lang w:eastAsia="zh-CN"/>
        </w:rPr>
        <w:t>.4</w:t>
      </w:r>
      <w:bookmarkEnd w:id="372"/>
      <w:r>
        <w:rPr>
          <w:rFonts w:ascii="仿宋" w:hAnsi="仿宋" w:eastAsia="仿宋" w:cs="仿宋"/>
          <w:b/>
          <w:bCs/>
          <w:lang w:eastAsia="zh-CN"/>
        </w:rPr>
        <w:t xml:space="preserve"> </w:t>
      </w:r>
      <w:r>
        <w:rPr>
          <w:rFonts w:ascii="仿宋" w:hAnsi="仿宋" w:eastAsia="仿宋" w:cs="仿宋"/>
          <w:lang w:eastAsia="zh-CN"/>
        </w:rPr>
        <w:t xml:space="preserve"> </w:t>
      </w:r>
      <w:r>
        <w:rPr>
          <w:rFonts w:ascii="仿宋" w:hAnsi="仿宋" w:eastAsia="仿宋" w:cs="仿宋"/>
          <w:u w:val="dotted"/>
          <w:lang w:eastAsia="zh-CN"/>
        </w:rPr>
        <w:t xml:space="preserve">                                                                               </w:t>
      </w:r>
    </w:p>
    <w:p w14:paraId="360F9367">
      <w:pPr>
        <w:pStyle w:val="22"/>
        <w:adjustRightInd w:val="0"/>
        <w:snapToGrid w:val="0"/>
        <w:spacing w:line="400" w:lineRule="exact"/>
        <w:ind w:left="1850" w:leftChars="771"/>
        <w:jc w:val="both"/>
        <w:rPr>
          <w:rFonts w:ascii="仿宋" w:hAnsi="仿宋" w:eastAsia="仿宋"/>
          <w:sz w:val="24"/>
          <w:szCs w:val="24"/>
          <w:lang w:eastAsia="zh-CN"/>
        </w:rPr>
      </w:pPr>
      <w:r>
        <mc:AlternateContent>
          <mc:Choice Requires="wps">
            <w:drawing>
              <wp:anchor distT="0" distB="0" distL="114300" distR="114300" simplePos="0" relativeHeight="251770880" behindDoc="0" locked="0" layoutInCell="1" allowOverlap="1">
                <wp:simplePos x="0" y="0"/>
                <wp:positionH relativeFrom="column">
                  <wp:posOffset>-114300</wp:posOffset>
                </wp:positionH>
                <wp:positionV relativeFrom="paragraph">
                  <wp:posOffset>62230</wp:posOffset>
                </wp:positionV>
                <wp:extent cx="813435" cy="467995"/>
                <wp:effectExtent l="0" t="0" r="0" b="0"/>
                <wp:wrapNone/>
                <wp:docPr id="185" name="文本框 835"/>
                <wp:cNvGraphicFramePr/>
                <a:graphic xmlns:a="http://schemas.openxmlformats.org/drawingml/2006/main">
                  <a:graphicData uri="http://schemas.microsoft.com/office/word/2010/wordprocessingShape">
                    <wps:wsp>
                      <wps:cNvSpPr txBox="1"/>
                      <wps:spPr>
                        <a:xfrm>
                          <a:off x="0" y="0"/>
                          <a:ext cx="813435" cy="467995"/>
                        </a:xfrm>
                        <a:prstGeom prst="rect">
                          <a:avLst/>
                        </a:prstGeom>
                        <a:noFill/>
                        <a:ln w="12700">
                          <a:noFill/>
                        </a:ln>
                      </wps:spPr>
                      <wps:txbx>
                        <w:txbxContent>
                          <w:p w14:paraId="7F8514E3">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txbxContent>
                      </wps:txbx>
                      <wps:bodyPr rot="0" vert="horz" wrap="square" lIns="91440" tIns="45720" rIns="91440" bIns="45720" anchor="t" anchorCtr="0"/>
                    </wps:wsp>
                  </a:graphicData>
                </a:graphic>
              </wp:anchor>
            </w:drawing>
          </mc:Choice>
          <mc:Fallback>
            <w:pict>
              <v:shape id="文本框 835" o:spid="_x0000_s1026" o:spt="202" type="#_x0000_t202" style="position:absolute;left:0pt;margin-left:-9pt;margin-top:4.9pt;height:36.85pt;width:64.05pt;z-index:251770880;mso-width-relative:page;mso-height-relative:page;" filled="f" stroked="f" coordsize="21600,21600" o:gfxdata="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mrf1d&#10;1gAAAAgBAAAPAAAAAAAAAAEAIAAAACIAAABkcnMvZG93bnJldi54bWxQSwECFAAUAAAACACHTuJA&#10;LQ58muoBAAC+AwAADgAAAAAAAAABACAAAAAlAQAAZHJzL2Uyb0RvYy54bWxQSwUGAAAAAAYABgBZ&#10;AQAAgQUAAAAA&#10;">
                <v:fill on="f" focussize="0,0"/>
                <v:stroke on="f" weight="1pt"/>
                <v:imagedata o:title=""/>
                <o:lock v:ext="edit" aspectratio="f"/>
                <v:textbox>
                  <w:txbxContent>
                    <w:p w14:paraId="7F8514E3">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txbxContent>
                </v:textbox>
              </v:shape>
            </w:pict>
          </mc:Fallback>
        </mc:AlternateContent>
      </w:r>
      <w:r>
        <w:rPr>
          <w:rFonts w:hint="eastAsia" w:ascii="仿宋" w:hAnsi="仿宋" w:eastAsia="仿宋" w:cs="仿宋"/>
          <w:sz w:val="24"/>
          <w:szCs w:val="24"/>
          <w:lang w:eastAsia="zh-CN"/>
        </w:rPr>
        <w:t>当第43</w:t>
      </w:r>
      <w:r>
        <w:rPr>
          <w:rFonts w:ascii="仿宋" w:hAnsi="仿宋" w:eastAsia="仿宋" w:cs="仿宋"/>
          <w:sz w:val="24"/>
          <w:szCs w:val="24"/>
          <w:lang w:eastAsia="zh-CN"/>
        </w:rPr>
        <w:t>.3</w:t>
      </w:r>
      <w:r>
        <w:rPr>
          <w:rFonts w:hint="eastAsia" w:ascii="仿宋" w:hAnsi="仿宋" w:eastAsia="仿宋" w:cs="仿宋"/>
          <w:sz w:val="24"/>
          <w:szCs w:val="24"/>
          <w:lang w:eastAsia="zh-CN"/>
        </w:rPr>
        <w:t>款所述事项发生后，承包人应在</w:t>
      </w:r>
      <w:r>
        <w:rPr>
          <w:rFonts w:ascii="仿宋" w:hAnsi="仿宋" w:eastAsia="仿宋" w:cs="仿宋"/>
          <w:sz w:val="24"/>
          <w:szCs w:val="24"/>
          <w:lang w:eastAsia="zh-CN"/>
        </w:rPr>
        <w:t>14</w:t>
      </w:r>
      <w:r>
        <w:rPr>
          <w:rFonts w:hint="eastAsia" w:ascii="仿宋" w:hAnsi="仿宋" w:eastAsia="仿宋" w:cs="仿宋"/>
          <w:sz w:val="24"/>
          <w:szCs w:val="24"/>
          <w:lang w:eastAsia="zh-CN"/>
        </w:rPr>
        <w:t>天内向发包人、设计顾问人或监理人发出工期顺延意向书，并抄送发包人。承包人应在发出工期顺延意向书后的</w:t>
      </w:r>
      <w:r>
        <w:rPr>
          <w:rFonts w:ascii="仿宋" w:hAnsi="仿宋" w:eastAsia="仿宋" w:cs="仿宋"/>
          <w:sz w:val="24"/>
          <w:szCs w:val="24"/>
          <w:lang w:eastAsia="zh-CN"/>
        </w:rPr>
        <w:t>14</w:t>
      </w:r>
      <w:r>
        <w:rPr>
          <w:rFonts w:hint="eastAsia" w:ascii="仿宋" w:hAnsi="仿宋" w:eastAsia="仿宋" w:cs="仿宋"/>
          <w:sz w:val="24"/>
          <w:szCs w:val="24"/>
          <w:lang w:eastAsia="zh-CN"/>
        </w:rPr>
        <w:t>天内，向设计顾问人或监理人提交工期顺延报告和有关详细资料。</w:t>
      </w:r>
    </w:p>
    <w:p w14:paraId="5DCC46CC">
      <w:pPr>
        <w:spacing w:line="400" w:lineRule="exact"/>
        <w:rPr>
          <w:rFonts w:ascii="仿宋" w:hAnsi="仿宋" w:eastAsia="仿宋" w:cs="仿宋"/>
          <w:b/>
          <w:bCs/>
          <w:u w:val="dotted"/>
          <w:lang w:eastAsia="zh-CN"/>
        </w:rPr>
      </w:pPr>
      <w:bookmarkStart w:id="373" w:name="_Toc15344"/>
      <w:r>
        <w:rPr>
          <w:rFonts w:hint="eastAsia" w:ascii="仿宋" w:hAnsi="仿宋" w:eastAsia="仿宋" w:cs="仿宋"/>
          <w:b/>
          <w:bCs/>
          <w:lang w:eastAsia="zh-CN"/>
        </w:rPr>
        <w:t>43</w:t>
      </w:r>
      <w:r>
        <w:rPr>
          <w:rFonts w:ascii="仿宋" w:hAnsi="仿宋" w:eastAsia="仿宋" w:cs="仿宋"/>
          <w:b/>
          <w:bCs/>
          <w:lang w:eastAsia="zh-CN"/>
        </w:rPr>
        <w:t>.5</w:t>
      </w:r>
      <w:bookmarkEnd w:id="373"/>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7DDE4F39">
      <w:pPr>
        <w:pStyle w:val="22"/>
        <w:widowControl w:val="0"/>
        <w:adjustRightInd w:val="0"/>
        <w:snapToGrid w:val="0"/>
        <w:spacing w:line="400" w:lineRule="exact"/>
        <w:ind w:left="1850" w:leftChars="771"/>
        <w:rPr>
          <w:rFonts w:ascii="仿宋" w:hAnsi="仿宋" w:eastAsia="仿宋"/>
          <w:b/>
          <w:bCs/>
          <w:sz w:val="24"/>
          <w:szCs w:val="24"/>
          <w:lang w:eastAsia="zh-CN"/>
        </w:rPr>
      </w:pPr>
      <w:r>
        <mc:AlternateContent>
          <mc:Choice Requires="wps">
            <w:drawing>
              <wp:anchor distT="0" distB="0" distL="114300" distR="114300" simplePos="0" relativeHeight="251771904" behindDoc="0" locked="0" layoutInCell="1" allowOverlap="1">
                <wp:simplePos x="0" y="0"/>
                <wp:positionH relativeFrom="column">
                  <wp:posOffset>-114300</wp:posOffset>
                </wp:positionH>
                <wp:positionV relativeFrom="paragraph">
                  <wp:posOffset>46990</wp:posOffset>
                </wp:positionV>
                <wp:extent cx="822960" cy="791210"/>
                <wp:effectExtent l="0" t="0" r="0" b="0"/>
                <wp:wrapNone/>
                <wp:docPr id="186" name="文本框 836"/>
                <wp:cNvGraphicFramePr/>
                <a:graphic xmlns:a="http://schemas.openxmlformats.org/drawingml/2006/main">
                  <a:graphicData uri="http://schemas.microsoft.com/office/word/2010/wordprocessingShape">
                    <wps:wsp>
                      <wps:cNvSpPr txBox="1"/>
                      <wps:spPr>
                        <a:xfrm>
                          <a:off x="0" y="0"/>
                          <a:ext cx="822960" cy="791210"/>
                        </a:xfrm>
                        <a:prstGeom prst="rect">
                          <a:avLst/>
                        </a:prstGeom>
                        <a:noFill/>
                        <a:ln w="12700">
                          <a:noFill/>
                        </a:ln>
                      </wps:spPr>
                      <wps:txbx>
                        <w:txbxContent>
                          <w:p w14:paraId="4916413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工期顺延持续发生的要求</w:t>
                            </w:r>
                          </w:p>
                        </w:txbxContent>
                      </wps:txbx>
                      <wps:bodyPr rot="0" vert="horz" wrap="square" lIns="91440" tIns="45720" rIns="91440" bIns="45720" anchor="t" anchorCtr="0"/>
                    </wps:wsp>
                  </a:graphicData>
                </a:graphic>
              </wp:anchor>
            </w:drawing>
          </mc:Choice>
          <mc:Fallback>
            <w:pict>
              <v:shape id="文本框 836" o:spid="_x0000_s1026" o:spt="202" type="#_x0000_t202" style="position:absolute;left:0pt;margin-left:-9pt;margin-top:3.7pt;height:62.3pt;width:64.8pt;z-index:251771904;mso-width-relative:page;mso-height-relative:page;" filled="f" stroked="f" coordsize="21600,21600" o:gfxdata="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N+H&#10;DufYAAAACQEAAA8AAAAAAAAAAQAgAAAAIgAAAGRycy9kb3ducmV2LnhtbFBLAQIUABQAAAAIAIdO&#10;4kBZFNJN6gEAAL4DAAAOAAAAAAAAAAEAIAAAACcBAABkcnMvZTJvRG9jLnhtbFBLBQYAAAAABgAG&#10;AFkBAACDBQAAAAA=&#10;">
                <v:fill on="f" focussize="0,0"/>
                <v:stroke on="f" weight="1pt"/>
                <v:imagedata o:title=""/>
                <o:lock v:ext="edit" aspectratio="f"/>
                <v:textbox>
                  <w:txbxContent>
                    <w:p w14:paraId="4916413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工期顺延持续发生的要求</w:t>
                      </w:r>
                    </w:p>
                  </w:txbxContent>
                </v:textbox>
              </v:shape>
            </w:pict>
          </mc:Fallback>
        </mc:AlternateContent>
      </w:r>
      <w:r>
        <w:rPr>
          <w:rFonts w:hint="eastAsia" w:ascii="仿宋" w:hAnsi="仿宋" w:eastAsia="仿宋" w:cs="仿宋"/>
          <w:sz w:val="24"/>
          <w:szCs w:val="24"/>
          <w:lang w:eastAsia="zh-CN"/>
        </w:rPr>
        <w:t>如果工期顺延事项持续发生时，承包人应每隔</w:t>
      </w:r>
      <w:r>
        <w:rPr>
          <w:rFonts w:ascii="仿宋" w:hAnsi="仿宋" w:eastAsia="仿宋" w:cs="仿宋"/>
          <w:sz w:val="24"/>
          <w:szCs w:val="24"/>
          <w:lang w:eastAsia="zh-CN"/>
        </w:rPr>
        <w:t>7</w:t>
      </w:r>
      <w:r>
        <w:rPr>
          <w:rFonts w:hint="eastAsia" w:ascii="仿宋" w:hAnsi="仿宋" w:eastAsia="仿宋" w:cs="仿宋"/>
          <w:sz w:val="24"/>
          <w:szCs w:val="24"/>
          <w:lang w:eastAsia="zh-CN"/>
        </w:rPr>
        <w:t>天向发包人、设计顾问人或监理人发出工期顺延意向书，并在工期顺延事项终结后的</w:t>
      </w:r>
      <w:r>
        <w:rPr>
          <w:rFonts w:ascii="仿宋" w:hAnsi="仿宋" w:eastAsia="仿宋" w:cs="仿宋"/>
          <w:sz w:val="24"/>
          <w:szCs w:val="24"/>
          <w:lang w:eastAsia="zh-CN"/>
        </w:rPr>
        <w:t>14</w:t>
      </w:r>
      <w:r>
        <w:rPr>
          <w:rFonts w:hint="eastAsia" w:ascii="仿宋" w:hAnsi="仿宋" w:eastAsia="仿宋" w:cs="仿宋"/>
          <w:sz w:val="24"/>
          <w:szCs w:val="24"/>
          <w:lang w:eastAsia="zh-CN"/>
        </w:rPr>
        <w:t>天内，向发包人、设计顾问人或监理人提交最终工期顺延报告和详细资料。</w:t>
      </w:r>
    </w:p>
    <w:p w14:paraId="3BD7C281">
      <w:pPr>
        <w:spacing w:line="400" w:lineRule="exact"/>
        <w:rPr>
          <w:rFonts w:ascii="仿宋" w:hAnsi="仿宋" w:eastAsia="仿宋" w:cs="仿宋"/>
          <w:b/>
          <w:bCs/>
          <w:u w:val="dotted"/>
          <w:lang w:eastAsia="zh-CN"/>
        </w:rPr>
      </w:pPr>
      <w:bookmarkStart w:id="374" w:name="_Toc25744"/>
      <w:r>
        <w:rPr>
          <w:rFonts w:hint="eastAsia" w:ascii="仿宋" w:hAnsi="仿宋" w:eastAsia="仿宋" w:cs="仿宋"/>
          <w:b/>
          <w:bCs/>
          <w:lang w:eastAsia="zh-CN"/>
        </w:rPr>
        <w:t>43</w:t>
      </w:r>
      <w:r>
        <w:rPr>
          <w:rFonts w:ascii="仿宋" w:hAnsi="仿宋" w:eastAsia="仿宋" w:cs="仿宋"/>
          <w:b/>
          <w:bCs/>
          <w:lang w:eastAsia="zh-CN"/>
        </w:rPr>
        <w:t>.6</w:t>
      </w:r>
      <w:bookmarkEnd w:id="374"/>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1F14318F">
      <w:pPr>
        <w:pStyle w:val="22"/>
        <w:adjustRightInd w:val="0"/>
        <w:snapToGrid w:val="0"/>
        <w:spacing w:line="400" w:lineRule="exact"/>
        <w:ind w:left="1850" w:leftChars="771"/>
        <w:rPr>
          <w:rFonts w:ascii="仿宋" w:hAnsi="仿宋" w:eastAsia="仿宋" w:cs="仿宋"/>
          <w:sz w:val="24"/>
          <w:szCs w:val="24"/>
          <w:lang w:eastAsia="zh-CN"/>
        </w:rPr>
      </w:pPr>
      <w:r>
        <mc:AlternateContent>
          <mc:Choice Requires="wps">
            <w:drawing>
              <wp:anchor distT="0" distB="0" distL="114300" distR="114300" simplePos="0" relativeHeight="251772928" behindDoc="0" locked="0" layoutInCell="1" allowOverlap="1">
                <wp:simplePos x="0" y="0"/>
                <wp:positionH relativeFrom="column">
                  <wp:posOffset>-114300</wp:posOffset>
                </wp:positionH>
                <wp:positionV relativeFrom="paragraph">
                  <wp:posOffset>45720</wp:posOffset>
                </wp:positionV>
                <wp:extent cx="861695" cy="552450"/>
                <wp:effectExtent l="0" t="0" r="0" b="0"/>
                <wp:wrapNone/>
                <wp:docPr id="187" name="文本框 837"/>
                <wp:cNvGraphicFramePr/>
                <a:graphic xmlns:a="http://schemas.openxmlformats.org/drawingml/2006/main">
                  <a:graphicData uri="http://schemas.microsoft.com/office/word/2010/wordprocessingShape">
                    <wps:wsp>
                      <wps:cNvSpPr txBox="1"/>
                      <wps:spPr>
                        <a:xfrm>
                          <a:off x="0" y="0"/>
                          <a:ext cx="861695" cy="552450"/>
                        </a:xfrm>
                        <a:prstGeom prst="rect">
                          <a:avLst/>
                        </a:prstGeom>
                        <a:noFill/>
                        <a:ln w="12700">
                          <a:noFill/>
                        </a:ln>
                      </wps:spPr>
                      <wps:txbx>
                        <w:txbxContent>
                          <w:p w14:paraId="5FCA5E5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txbxContent>
                      </wps:txbx>
                      <wps:bodyPr rot="0" vert="horz" wrap="square" lIns="91440" tIns="45720" rIns="91440" bIns="45720" anchor="t" anchorCtr="0"/>
                    </wps:wsp>
                  </a:graphicData>
                </a:graphic>
              </wp:anchor>
            </w:drawing>
          </mc:Choice>
          <mc:Fallback>
            <w:pict>
              <v:shape id="文本框 837" o:spid="_x0000_s1026" o:spt="202" type="#_x0000_t202" style="position:absolute;left:0pt;margin-left:-9pt;margin-top:3.6pt;height:43.5pt;width:67.85pt;z-index:251772928;mso-width-relative:page;mso-height-relative:page;" filled="f" stroked="f" coordsize="21600,21600" o:gfxdata="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P&#10;YFk41wAAAAgBAAAPAAAAAAAAAAEAIAAAACIAAABkcnMvZG93bnJldi54bWxQSwECFAAUAAAACACH&#10;TuJA9fELsewBAAC+AwAADgAAAAAAAAABACAAAAAmAQAAZHJzL2Uyb0RvYy54bWxQSwUGAAAAAAYA&#10;BgBZAQAAhAUAAAAA&#10;">
                <v:fill on="f" focussize="0,0"/>
                <v:stroke on="f" weight="1pt"/>
                <v:imagedata o:title=""/>
                <o:lock v:ext="edit" aspectratio="f"/>
                <v:textbox>
                  <w:txbxContent>
                    <w:p w14:paraId="5FCA5E5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txbxContent>
                </v:textbox>
              </v:shape>
            </w:pict>
          </mc:Fallback>
        </mc:AlternateContent>
      </w:r>
      <w:r>
        <w:rPr>
          <w:rFonts w:hint="eastAsia" w:ascii="仿宋" w:hAnsi="仿宋" w:eastAsia="仿宋" w:cs="仿宋"/>
          <w:sz w:val="24"/>
          <w:szCs w:val="24"/>
          <w:lang w:eastAsia="zh-CN"/>
        </w:rPr>
        <w:t>如果承包人未能在第43</w:t>
      </w:r>
      <w:r>
        <w:rPr>
          <w:rFonts w:ascii="仿宋" w:hAnsi="仿宋" w:eastAsia="仿宋" w:cs="仿宋"/>
          <w:sz w:val="24"/>
          <w:szCs w:val="24"/>
          <w:lang w:eastAsia="zh-CN"/>
        </w:rPr>
        <w:t>.4</w:t>
      </w:r>
      <w:r>
        <w:rPr>
          <w:rFonts w:hint="eastAsia" w:ascii="仿宋" w:hAnsi="仿宋" w:eastAsia="仿宋" w:cs="仿宋"/>
          <w:sz w:val="24"/>
          <w:szCs w:val="24"/>
          <w:lang w:eastAsia="zh-CN"/>
        </w:rPr>
        <w:t>款和第43</w:t>
      </w:r>
      <w:r>
        <w:rPr>
          <w:rFonts w:ascii="仿宋" w:hAnsi="仿宋" w:eastAsia="仿宋" w:cs="仿宋"/>
          <w:sz w:val="24"/>
          <w:szCs w:val="24"/>
          <w:lang w:eastAsia="zh-CN"/>
        </w:rPr>
        <w:t>.5</w:t>
      </w:r>
      <w:r>
        <w:rPr>
          <w:rFonts w:hint="eastAsia" w:ascii="仿宋" w:hAnsi="仿宋" w:eastAsia="仿宋" w:cs="仿宋"/>
          <w:sz w:val="24"/>
          <w:szCs w:val="24"/>
          <w:lang w:eastAsia="zh-CN"/>
        </w:rPr>
        <w:t>款（发生时）约定的时间内提交（最终）工期顺延报告和详细资料，则视为该事项不影响工作进度、施工进度或承包人放弃顺延工期的权利。</w:t>
      </w:r>
      <w:r>
        <w:rPr>
          <w:rFonts w:ascii="仿宋" w:hAnsi="仿宋" w:eastAsia="仿宋" w:cs="仿宋"/>
          <w:sz w:val="24"/>
          <w:szCs w:val="24"/>
          <w:lang w:eastAsia="zh-CN"/>
        </w:rPr>
        <w:t xml:space="preserve"> </w:t>
      </w:r>
    </w:p>
    <w:p w14:paraId="0C2046CD">
      <w:pPr>
        <w:spacing w:line="400" w:lineRule="exact"/>
        <w:rPr>
          <w:rFonts w:ascii="仿宋" w:hAnsi="仿宋" w:eastAsia="仿宋" w:cs="仿宋"/>
          <w:b/>
          <w:bCs/>
          <w:u w:val="dotted"/>
          <w:lang w:eastAsia="zh-CN"/>
        </w:rPr>
      </w:pPr>
      <w:bookmarkStart w:id="375" w:name="_Toc6199"/>
      <w:r>
        <w:rPr>
          <w:rFonts w:hint="eastAsia" w:ascii="仿宋" w:hAnsi="仿宋" w:eastAsia="仿宋" w:cs="仿宋"/>
          <w:b/>
          <w:bCs/>
          <w:lang w:eastAsia="zh-CN"/>
        </w:rPr>
        <w:t>43</w:t>
      </w:r>
      <w:r>
        <w:rPr>
          <w:rFonts w:ascii="仿宋" w:hAnsi="仿宋" w:eastAsia="仿宋" w:cs="仿宋"/>
          <w:b/>
          <w:bCs/>
          <w:lang w:eastAsia="zh-CN"/>
        </w:rPr>
        <w:t>.7</w:t>
      </w:r>
      <w:bookmarkEnd w:id="375"/>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283B23FA">
      <w:pPr>
        <w:pStyle w:val="22"/>
        <w:widowControl w:val="0"/>
        <w:adjustRightInd w:val="0"/>
        <w:snapToGrid w:val="0"/>
        <w:spacing w:line="400" w:lineRule="exact"/>
        <w:ind w:left="1850" w:leftChars="771"/>
        <w:jc w:val="both"/>
        <w:rPr>
          <w:rFonts w:ascii="仿宋" w:hAnsi="仿宋" w:eastAsia="仿宋"/>
          <w:sz w:val="24"/>
          <w:szCs w:val="24"/>
          <w:lang w:eastAsia="zh-CN"/>
        </w:rPr>
      </w:pPr>
      <w:r>
        <mc:AlternateContent>
          <mc:Choice Requires="wps">
            <w:drawing>
              <wp:anchor distT="0" distB="0" distL="114300" distR="114300" simplePos="0" relativeHeight="251773952" behindDoc="0" locked="0" layoutInCell="1" allowOverlap="1">
                <wp:simplePos x="0" y="0"/>
                <wp:positionH relativeFrom="column">
                  <wp:posOffset>-114300</wp:posOffset>
                </wp:positionH>
                <wp:positionV relativeFrom="paragraph">
                  <wp:posOffset>45720</wp:posOffset>
                </wp:positionV>
                <wp:extent cx="870585" cy="695325"/>
                <wp:effectExtent l="0" t="0" r="0" b="0"/>
                <wp:wrapNone/>
                <wp:docPr id="188" name="文本框 838"/>
                <wp:cNvGraphicFramePr/>
                <a:graphic xmlns:a="http://schemas.openxmlformats.org/drawingml/2006/main">
                  <a:graphicData uri="http://schemas.microsoft.com/office/word/2010/wordprocessingShape">
                    <wps:wsp>
                      <wps:cNvSpPr txBox="1"/>
                      <wps:spPr>
                        <a:xfrm>
                          <a:off x="0" y="0"/>
                          <a:ext cx="870585" cy="695325"/>
                        </a:xfrm>
                        <a:prstGeom prst="rect">
                          <a:avLst/>
                        </a:prstGeom>
                        <a:noFill/>
                        <a:ln w="12700">
                          <a:noFill/>
                        </a:ln>
                      </wps:spPr>
                      <wps:txbx>
                        <w:txbxContent>
                          <w:p w14:paraId="7436EF8E">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txbxContent>
                      </wps:txbx>
                      <wps:bodyPr rot="0" vert="horz" wrap="square" lIns="91440" tIns="45720" rIns="91440" bIns="45720" anchor="t" anchorCtr="0"/>
                    </wps:wsp>
                  </a:graphicData>
                </a:graphic>
              </wp:anchor>
            </w:drawing>
          </mc:Choice>
          <mc:Fallback>
            <w:pict>
              <v:shape id="文本框 838" o:spid="_x0000_s1026" o:spt="202" type="#_x0000_t202" style="position:absolute;left:0pt;margin-left:-9pt;margin-top:3.6pt;height:54.75pt;width:68.55pt;z-index:251773952;mso-width-relative:page;mso-height-relative:page;" filled="f" stroked="f" coordsize="21600,21600" o:gfxdata="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Gu&#10;DhnXAAAACQEAAA8AAAAAAAAAAQAgAAAAIgAAAGRycy9kb3ducmV2LnhtbFBLAQIUABQAAAAIAIdO&#10;4kD6UNAQ6wEAAL4DAAAOAAAAAAAAAAEAIAAAACYBAABkcnMvZTJvRG9jLnhtbFBLBQYAAAAABgAG&#10;AFkBAACDBQAAAAA=&#10;">
                <v:fill on="f" focussize="0,0"/>
                <v:stroke on="f" weight="1pt"/>
                <v:imagedata o:title=""/>
                <o:lock v:ext="edit" aspectratio="f"/>
                <v:textbox>
                  <w:txbxContent>
                    <w:p w14:paraId="7436EF8E">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txbxContent>
                </v:textbox>
              </v:shape>
            </w:pict>
          </mc:Fallback>
        </mc:AlternateContent>
      </w:r>
      <w:r>
        <w:rPr>
          <w:rFonts w:hint="eastAsia" w:ascii="仿宋" w:hAnsi="仿宋" w:eastAsia="仿宋" w:cs="仿宋"/>
          <w:sz w:val="24"/>
          <w:szCs w:val="24"/>
          <w:lang w:eastAsia="zh-CN"/>
        </w:rPr>
        <w:t>发包人、设计顾问人或监理人应在收到承包人按照第43</w:t>
      </w:r>
      <w:r>
        <w:rPr>
          <w:rFonts w:ascii="仿宋" w:hAnsi="仿宋" w:eastAsia="仿宋" w:cs="仿宋"/>
          <w:sz w:val="24"/>
          <w:szCs w:val="24"/>
          <w:lang w:eastAsia="zh-CN"/>
        </w:rPr>
        <w:t>.4</w:t>
      </w:r>
      <w:r>
        <w:rPr>
          <w:rFonts w:hint="eastAsia" w:ascii="仿宋" w:hAnsi="仿宋" w:eastAsia="仿宋" w:cs="仿宋"/>
          <w:sz w:val="24"/>
          <w:szCs w:val="24"/>
          <w:lang w:eastAsia="zh-CN"/>
        </w:rPr>
        <w:t>款和第43</w:t>
      </w:r>
      <w:r>
        <w:rPr>
          <w:rFonts w:ascii="仿宋" w:hAnsi="仿宋" w:eastAsia="仿宋" w:cs="仿宋"/>
          <w:sz w:val="24"/>
          <w:szCs w:val="24"/>
          <w:lang w:eastAsia="zh-CN"/>
        </w:rPr>
        <w:t>.5</w:t>
      </w:r>
      <w:r>
        <w:rPr>
          <w:rFonts w:hint="eastAsia" w:ascii="仿宋" w:hAnsi="仿宋" w:eastAsia="仿宋" w:cs="仿宋"/>
          <w:sz w:val="24"/>
          <w:szCs w:val="24"/>
          <w:lang w:eastAsia="zh-CN"/>
        </w:rPr>
        <w:t>款（发生时）约定提交（最终）工期顺延报告和详细资料后的</w:t>
      </w:r>
      <w:r>
        <w:rPr>
          <w:rFonts w:ascii="仿宋" w:hAnsi="仿宋" w:eastAsia="仿宋" w:cs="仿宋"/>
          <w:sz w:val="24"/>
          <w:szCs w:val="24"/>
          <w:lang w:eastAsia="zh-CN"/>
        </w:rPr>
        <w:t>28</w:t>
      </w:r>
      <w:r>
        <w:rPr>
          <w:rFonts w:hint="eastAsia" w:ascii="仿宋" w:hAnsi="仿宋" w:eastAsia="仿宋" w:cs="仿宋"/>
          <w:sz w:val="24"/>
          <w:szCs w:val="24"/>
          <w:lang w:eastAsia="zh-CN"/>
        </w:rPr>
        <w:t>天内，按照第43</w:t>
      </w:r>
      <w:r>
        <w:rPr>
          <w:rFonts w:ascii="仿宋" w:hAnsi="仿宋" w:eastAsia="仿宋" w:cs="仿宋"/>
          <w:sz w:val="24"/>
          <w:szCs w:val="24"/>
          <w:lang w:eastAsia="zh-CN"/>
        </w:rPr>
        <w:t>.3</w:t>
      </w:r>
      <w:r>
        <w:rPr>
          <w:rFonts w:hint="eastAsia" w:ascii="仿宋" w:hAnsi="仿宋" w:eastAsia="仿宋" w:cs="仿宋"/>
          <w:sz w:val="24"/>
          <w:szCs w:val="24"/>
          <w:lang w:eastAsia="zh-CN"/>
        </w:rPr>
        <w:t>款约定予以核实，或要求承包人进一步补充顺延工期的理由。合同双方当事人一旦协商确定顺延的工期，发包人应承担由此增加的费用，并向承包人支付合理利润。</w:t>
      </w:r>
    </w:p>
    <w:p w14:paraId="34AFC3CD">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如果发包人、设计顾问人或监理人在收到上述报告和资料后的</w:t>
      </w:r>
      <w:r>
        <w:rPr>
          <w:rFonts w:ascii="仿宋" w:hAnsi="仿宋" w:eastAsia="仿宋" w:cs="仿宋"/>
          <w:sz w:val="24"/>
          <w:szCs w:val="24"/>
          <w:lang w:eastAsia="zh-CN"/>
        </w:rPr>
        <w:t>28</w:t>
      </w:r>
      <w:r>
        <w:rPr>
          <w:rFonts w:hint="eastAsia" w:ascii="仿宋" w:hAnsi="仿宋" w:eastAsia="仿宋" w:cs="仿宋"/>
          <w:sz w:val="24"/>
          <w:szCs w:val="24"/>
          <w:lang w:eastAsia="zh-CN"/>
        </w:rPr>
        <w:t>天内未予核实也未对承包人作出进一步要求，则视为发包人、设计顾问人或监理人已认可承包人上述报告中提出的顺延工期天数。</w:t>
      </w:r>
    </w:p>
    <w:p w14:paraId="1AABED81">
      <w:pPr>
        <w:spacing w:line="400" w:lineRule="exact"/>
        <w:rPr>
          <w:rFonts w:ascii="仿宋" w:hAnsi="仿宋" w:eastAsia="仿宋" w:cs="仿宋"/>
          <w:b/>
          <w:bCs/>
          <w:u w:val="dotted"/>
          <w:lang w:eastAsia="zh-CN"/>
        </w:rPr>
      </w:pPr>
      <w:bookmarkStart w:id="376" w:name="_Toc7906"/>
      <w:r>
        <mc:AlternateContent>
          <mc:Choice Requires="wps">
            <w:drawing>
              <wp:anchor distT="0" distB="0" distL="114300" distR="114300" simplePos="0" relativeHeight="251774976" behindDoc="0" locked="0" layoutInCell="1" allowOverlap="1">
                <wp:simplePos x="0" y="0"/>
                <wp:positionH relativeFrom="column">
                  <wp:posOffset>-142875</wp:posOffset>
                </wp:positionH>
                <wp:positionV relativeFrom="paragraph">
                  <wp:posOffset>236855</wp:posOffset>
                </wp:positionV>
                <wp:extent cx="785495" cy="525780"/>
                <wp:effectExtent l="0" t="0" r="0" b="0"/>
                <wp:wrapNone/>
                <wp:docPr id="189" name="文本框 839"/>
                <wp:cNvGraphicFramePr/>
                <a:graphic xmlns:a="http://schemas.openxmlformats.org/drawingml/2006/main">
                  <a:graphicData uri="http://schemas.microsoft.com/office/word/2010/wordprocessingShape">
                    <wps:wsp>
                      <wps:cNvSpPr txBox="1"/>
                      <wps:spPr>
                        <a:xfrm>
                          <a:off x="0" y="0"/>
                          <a:ext cx="785495" cy="525780"/>
                        </a:xfrm>
                        <a:prstGeom prst="rect">
                          <a:avLst/>
                        </a:prstGeom>
                        <a:noFill/>
                        <a:ln w="12700">
                          <a:noFill/>
                        </a:ln>
                      </wps:spPr>
                      <wps:txbx>
                        <w:txbxContent>
                          <w:p w14:paraId="6E370E9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承包人误期的赔偿、责任承担</w:t>
                            </w:r>
                          </w:p>
                        </w:txbxContent>
                      </wps:txbx>
                      <wps:bodyPr rot="0" vert="horz" wrap="square" lIns="91440" tIns="45720" rIns="91440" bIns="45720" anchor="t" anchorCtr="0"/>
                    </wps:wsp>
                  </a:graphicData>
                </a:graphic>
              </wp:anchor>
            </w:drawing>
          </mc:Choice>
          <mc:Fallback>
            <w:pict>
              <v:shape id="文本框 839" o:spid="_x0000_s1026" o:spt="202" type="#_x0000_t202" style="position:absolute;left:0pt;margin-left:-11.25pt;margin-top:18.65pt;height:41.4pt;width:61.85pt;z-index:251774976;mso-width-relative:page;mso-height-relative:page;" filled="f" stroked="f" coordsize="21600,21600" o:gfxdata="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XE&#10;m6/XAAAACgEAAA8AAAAAAAAAAQAgAAAAIgAAAGRycy9kb3ducmV2LnhtbFBLAQIUABQAAAAIAIdO&#10;4kBfSLAe6wEAAL4DAAAOAAAAAAAAAAEAIAAAACYBAABkcnMvZTJvRG9jLnhtbFBLBQYAAAAABgAG&#10;AFkBAACDBQAAAAA=&#10;">
                <v:fill on="f" focussize="0,0"/>
                <v:stroke on="f" weight="1pt"/>
                <v:imagedata o:title=""/>
                <o:lock v:ext="edit" aspectratio="f"/>
                <v:textbox>
                  <w:txbxContent>
                    <w:p w14:paraId="6E370E9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承包人误期的赔偿、责任承担</w:t>
                      </w:r>
                    </w:p>
                  </w:txbxContent>
                </v:textbox>
              </v:shape>
            </w:pict>
          </mc:Fallback>
        </mc:AlternateContent>
      </w:r>
      <w:r>
        <w:rPr>
          <w:rFonts w:hint="eastAsia" w:ascii="仿宋" w:hAnsi="仿宋" w:eastAsia="仿宋" w:cs="仿宋"/>
          <w:b/>
          <w:bCs/>
          <w:lang w:eastAsia="zh-CN"/>
        </w:rPr>
        <w:t>43</w:t>
      </w:r>
      <w:r>
        <w:rPr>
          <w:rFonts w:ascii="仿宋" w:hAnsi="仿宋" w:eastAsia="仿宋" w:cs="仿宋"/>
          <w:b/>
          <w:bCs/>
          <w:lang w:eastAsia="zh-CN"/>
        </w:rPr>
        <w:t>.8</w:t>
      </w:r>
      <w:bookmarkEnd w:id="376"/>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73E052FD">
      <w:pPr>
        <w:pStyle w:val="22"/>
        <w:adjustRightInd w:val="0"/>
        <w:snapToGrid w:val="0"/>
        <w:spacing w:line="400" w:lineRule="exact"/>
        <w:ind w:left="1850" w:leftChars="771"/>
        <w:rPr>
          <w:rFonts w:ascii="仿宋" w:hAnsi="仿宋" w:eastAsia="仿宋"/>
          <w:sz w:val="24"/>
          <w:szCs w:val="24"/>
          <w:lang w:eastAsia="zh-CN"/>
        </w:rPr>
      </w:pPr>
      <w:r>
        <w:rPr>
          <w:rFonts w:hint="eastAsia" w:ascii="仿宋" w:hAnsi="仿宋" w:eastAsia="仿宋" w:cs="仿宋"/>
          <w:sz w:val="24"/>
          <w:szCs w:val="24"/>
          <w:lang w:eastAsia="zh-CN"/>
        </w:rPr>
        <w:t>承包人未能按照合同进度计划完成工程，或因承包人的原因造成工期延误，发包人可按照本条约定的时限和第76</w:t>
      </w:r>
      <w:r>
        <w:rPr>
          <w:rFonts w:ascii="仿宋" w:hAnsi="仿宋" w:eastAsia="仿宋" w:cs="仿宋"/>
          <w:sz w:val="24"/>
          <w:szCs w:val="24"/>
          <w:lang w:eastAsia="zh-CN"/>
        </w:rPr>
        <w:t>.2</w:t>
      </w:r>
      <w:r>
        <w:rPr>
          <w:rFonts w:hint="eastAsia" w:ascii="仿宋" w:hAnsi="仿宋" w:eastAsia="仿宋" w:cs="仿宋"/>
          <w:sz w:val="24"/>
          <w:szCs w:val="24"/>
          <w:lang w:eastAsia="zh-CN"/>
        </w:rPr>
        <w:t>款约定要求承包人支付误期赔偿费。</w:t>
      </w:r>
    </w:p>
    <w:p w14:paraId="68350334">
      <w:pPr>
        <w:spacing w:line="400" w:lineRule="exact"/>
        <w:rPr>
          <w:rFonts w:ascii="仿宋" w:hAnsi="仿宋" w:eastAsia="仿宋" w:cs="仿宋"/>
          <w:b/>
          <w:bCs/>
          <w:u w:val="dotted"/>
          <w:lang w:eastAsia="zh-CN"/>
        </w:rPr>
      </w:pPr>
      <w:bookmarkStart w:id="377" w:name="_Toc26475"/>
      <w:r>
        <w:rPr>
          <w:rFonts w:hint="eastAsia" w:ascii="仿宋" w:hAnsi="仿宋" w:eastAsia="仿宋" w:cs="仿宋"/>
          <w:b/>
          <w:bCs/>
          <w:lang w:eastAsia="zh-CN"/>
        </w:rPr>
        <w:t>43</w:t>
      </w:r>
      <w:r>
        <w:rPr>
          <w:rFonts w:ascii="仿宋" w:hAnsi="仿宋" w:eastAsia="仿宋" w:cs="仿宋"/>
          <w:b/>
          <w:bCs/>
          <w:lang w:eastAsia="zh-CN"/>
        </w:rPr>
        <w:t>.9</w:t>
      </w:r>
      <w:bookmarkEnd w:id="377"/>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61053552">
      <w:pPr>
        <w:pStyle w:val="22"/>
        <w:adjustRightInd w:val="0"/>
        <w:snapToGrid w:val="0"/>
        <w:spacing w:line="400" w:lineRule="exact"/>
        <w:ind w:left="1850" w:leftChars="771"/>
        <w:rPr>
          <w:rFonts w:ascii="仿宋" w:hAnsi="仿宋" w:eastAsia="仿宋" w:cs="仿宋"/>
          <w:sz w:val="24"/>
          <w:szCs w:val="24"/>
          <w:lang w:eastAsia="zh-CN"/>
        </w:rPr>
      </w:pPr>
      <w:r>
        <w:rPr>
          <w:rFonts w:hint="eastAsia" w:ascii="仿宋" w:hAnsi="仿宋" w:eastAsia="仿宋" w:cs="仿宋"/>
          <w:sz w:val="24"/>
          <w:szCs w:val="24"/>
          <w:lang w:eastAsia="zh-CN"/>
        </w:rPr>
        <w:t>承包人按发包人批准的项目进度计划实施合同工程时，发包人认为有必要加快勘察、设计、采购、施工、竣工试验等工作的进度，应书面向承包人提出赶工要求。发包人不得提出不合理的施工工期（原则上压缩工期不得超过计划工期的20%）要求。承包人收到发包人书面赶工要求后，应向发包人提交合理的赶工方案及赶工措施费预算书，经发包人审核同意后实施。产生的赶工措施费，按第69.3款的约定执行。</w:t>
      </w:r>
      <w:r>
        <w:rPr>
          <w:rFonts w:hint="eastAsia" w:ascii="仿宋" w:hAnsi="仿宋" w:eastAsia="仿宋" w:cs="仿宋"/>
          <w:sz w:val="24"/>
          <w:szCs w:val="24"/>
          <w:lang w:eastAsia="zh-CN"/>
        </w:rPr>
        <mc:AlternateContent>
          <mc:Choice Requires="wps">
            <w:drawing>
              <wp:anchor distT="0" distB="0" distL="114300" distR="114300" simplePos="0" relativeHeight="251782144" behindDoc="0" locked="0" layoutInCell="1" allowOverlap="1">
                <wp:simplePos x="0" y="0"/>
                <wp:positionH relativeFrom="column">
                  <wp:posOffset>-64770</wp:posOffset>
                </wp:positionH>
                <wp:positionV relativeFrom="paragraph">
                  <wp:posOffset>21590</wp:posOffset>
                </wp:positionV>
                <wp:extent cx="904875" cy="571500"/>
                <wp:effectExtent l="0" t="0" r="0" b="0"/>
                <wp:wrapNone/>
                <wp:docPr id="190" name="文本框 849"/>
                <wp:cNvGraphicFramePr/>
                <a:graphic xmlns:a="http://schemas.openxmlformats.org/drawingml/2006/main">
                  <a:graphicData uri="http://schemas.microsoft.com/office/word/2010/wordprocessingShape">
                    <wps:wsp>
                      <wps:cNvSpPr txBox="1"/>
                      <wps:spPr>
                        <a:xfrm>
                          <a:off x="0" y="0"/>
                          <a:ext cx="904875" cy="571500"/>
                        </a:xfrm>
                        <a:prstGeom prst="rect">
                          <a:avLst/>
                        </a:prstGeom>
                        <a:noFill/>
                        <a:ln w="12700">
                          <a:noFill/>
                        </a:ln>
                      </wps:spPr>
                      <wps:txbx>
                        <w:txbxContent>
                          <w:p w14:paraId="316BB833">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p>
                        </w:txbxContent>
                      </wps:txbx>
                      <wps:bodyPr rot="0" vert="horz" wrap="square" lIns="91440" tIns="45720" rIns="91440" bIns="45720" anchor="t" anchorCtr="0"/>
                    </wps:wsp>
                  </a:graphicData>
                </a:graphic>
              </wp:anchor>
            </w:drawing>
          </mc:Choice>
          <mc:Fallback>
            <w:pict>
              <v:shape id="文本框 849" o:spid="_x0000_s1026" o:spt="202" type="#_x0000_t202" style="position:absolute;left:0pt;margin-left:-5.1pt;margin-top:1.7pt;height:45pt;width:71.25pt;z-index:251782144;mso-width-relative:page;mso-height-relative:page;" filled="f" stroked="f" coordsize="21600,21600" o:gfxdata="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z5RpR9YA&#10;AAAIAQAADwAAAAAAAAABACAAAAAiAAAAZHJzL2Rvd25yZXYueG1sUEsBAhQAFAAAAAgAh07iQETv&#10;QkfoAQAAvgMAAA4AAAAAAAAAAQAgAAAAJQEAAGRycy9lMm9Eb2MueG1sUEsFBgAAAAAGAAYAWQEA&#10;AH8FAAAAAA==&#10;">
                <v:fill on="f" focussize="0,0"/>
                <v:stroke on="f" weight="1pt"/>
                <v:imagedata o:title=""/>
                <o:lock v:ext="edit" aspectratio="f"/>
                <v:textbox>
                  <w:txbxContent>
                    <w:p w14:paraId="316BB833">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p>
                  </w:txbxContent>
                </v:textbox>
              </v:shape>
            </w:pict>
          </mc:Fallback>
        </mc:AlternateContent>
      </w:r>
    </w:p>
    <w:p w14:paraId="596DEB4B">
      <w:pPr>
        <w:pStyle w:val="22"/>
        <w:adjustRightInd w:val="0"/>
        <w:snapToGrid w:val="0"/>
        <w:spacing w:line="400" w:lineRule="exact"/>
        <w:ind w:left="1850" w:leftChars="771"/>
        <w:rPr>
          <w:rFonts w:ascii="仿宋" w:hAnsi="仿宋" w:eastAsia="仿宋" w:cs="仿宋"/>
          <w:sz w:val="24"/>
          <w:szCs w:val="24"/>
          <w:lang w:eastAsia="zh-CN"/>
        </w:rPr>
      </w:pPr>
      <w:r>
        <w:rPr>
          <w:rFonts w:hint="eastAsia" w:ascii="仿宋" w:hAnsi="仿宋" w:eastAsia="仿宋" w:cs="仿宋"/>
          <w:sz w:val="24"/>
          <w:szCs w:val="24"/>
          <w:lang w:eastAsia="zh-CN"/>
        </w:rPr>
        <w:t>由于承包人责任导致关键路径的工程实际进度比发包人批准的项目进度计划延误，发包人有权要求承包人采取赶工措施赶上项目进度计划，由此产生的赶工措施费由承包人自行承担。</w:t>
      </w:r>
    </w:p>
    <w:p w14:paraId="0EC2D294">
      <w:pPr>
        <w:pStyle w:val="22"/>
        <w:adjustRightInd w:val="0"/>
        <w:snapToGrid w:val="0"/>
        <w:spacing w:line="400" w:lineRule="exact"/>
        <w:ind w:left="1850" w:leftChars="771"/>
        <w:rPr>
          <w:rFonts w:ascii="仿宋" w:hAnsi="仿宋" w:eastAsia="仿宋" w:cs="仿宋"/>
          <w:sz w:val="24"/>
          <w:szCs w:val="24"/>
          <w:lang w:eastAsia="zh-CN"/>
        </w:rPr>
      </w:pPr>
    </w:p>
    <w:p w14:paraId="56F56AEB">
      <w:pPr>
        <w:pStyle w:val="22"/>
        <w:tabs>
          <w:tab w:val="left" w:pos="540"/>
        </w:tabs>
        <w:adjustRightInd w:val="0"/>
        <w:snapToGrid w:val="0"/>
        <w:spacing w:line="400" w:lineRule="exact"/>
        <w:rPr>
          <w:rFonts w:ascii="仿宋" w:hAnsi="仿宋" w:eastAsia="仿宋" w:cs="仿宋"/>
          <w:b/>
          <w:bCs/>
          <w:sz w:val="24"/>
          <w:szCs w:val="24"/>
          <w:u w:val="single"/>
          <w:lang w:eastAsia="zh-CN"/>
        </w:rPr>
      </w:pPr>
      <w:r>
        <w:rPr>
          <w:rFonts w:ascii="仿宋" w:hAnsi="仿宋" w:eastAsia="仿宋" w:cs="仿宋"/>
          <w:b/>
          <w:bCs/>
          <w:sz w:val="24"/>
          <w:szCs w:val="24"/>
          <w:u w:val="single"/>
          <w:lang w:eastAsia="zh-CN"/>
        </w:rPr>
        <w:t xml:space="preserve">                                                                                    </w:t>
      </w:r>
    </w:p>
    <w:p w14:paraId="04F64CB9">
      <w:pPr>
        <w:pStyle w:val="4"/>
        <w:tabs>
          <w:tab w:val="left" w:pos="420"/>
        </w:tabs>
        <w:spacing w:before="0" w:after="0" w:line="400" w:lineRule="exact"/>
        <w:rPr>
          <w:rFonts w:ascii="仿宋" w:hAnsi="仿宋" w:eastAsia="仿宋" w:cs="仿宋"/>
          <w:bCs w:val="0"/>
          <w:sz w:val="24"/>
          <w:szCs w:val="24"/>
          <w:lang w:eastAsia="zh-CN"/>
        </w:rPr>
      </w:pPr>
      <w:bookmarkStart w:id="378" w:name="_Toc194073153"/>
      <w:bookmarkStart w:id="379" w:name="_Toc28902"/>
      <w:bookmarkStart w:id="380" w:name="_Toc9527"/>
      <w:bookmarkStart w:id="381" w:name="_Toc8453"/>
      <w:r>
        <w:rPr>
          <w:rFonts w:hint="eastAsia" w:ascii="仿宋" w:hAnsi="仿宋" w:eastAsia="仿宋" w:cs="仿宋"/>
          <w:bCs w:val="0"/>
          <w:sz w:val="24"/>
          <w:szCs w:val="24"/>
          <w:lang w:eastAsia="zh-CN"/>
        </w:rPr>
        <w:t>44</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加快进度</w:t>
      </w:r>
      <w:bookmarkEnd w:id="378"/>
      <w:bookmarkEnd w:id="379"/>
      <w:bookmarkEnd w:id="380"/>
      <w:bookmarkEnd w:id="381"/>
    </w:p>
    <w:p w14:paraId="116F1112">
      <w:pPr>
        <w:pStyle w:val="22"/>
        <w:tabs>
          <w:tab w:val="left" w:pos="1320"/>
        </w:tabs>
        <w:adjustRightInd w:val="0"/>
        <w:snapToGrid w:val="0"/>
        <w:spacing w:line="400" w:lineRule="exact"/>
        <w:ind w:left="1800" w:hanging="1800" w:hangingChars="900"/>
        <w:rPr>
          <w:rFonts w:ascii="仿宋" w:hAnsi="仿宋" w:eastAsia="仿宋"/>
          <w:sz w:val="24"/>
          <w:szCs w:val="24"/>
          <w:lang w:eastAsia="zh-CN"/>
        </w:rPr>
      </w:pPr>
      <w:r>
        <mc:AlternateContent>
          <mc:Choice Requires="wps">
            <w:drawing>
              <wp:anchor distT="0" distB="0" distL="114300" distR="114300" simplePos="0" relativeHeight="252021760" behindDoc="0" locked="0" layoutInCell="1" allowOverlap="1">
                <wp:simplePos x="0" y="0"/>
                <wp:positionH relativeFrom="column">
                  <wp:posOffset>-114300</wp:posOffset>
                </wp:positionH>
                <wp:positionV relativeFrom="paragraph">
                  <wp:posOffset>284480</wp:posOffset>
                </wp:positionV>
                <wp:extent cx="794385" cy="662940"/>
                <wp:effectExtent l="0" t="0" r="0" b="0"/>
                <wp:wrapNone/>
                <wp:docPr id="191" name="文本框 840"/>
                <wp:cNvGraphicFramePr/>
                <a:graphic xmlns:a="http://schemas.openxmlformats.org/drawingml/2006/main">
                  <a:graphicData uri="http://schemas.microsoft.com/office/word/2010/wordprocessingShape">
                    <wps:wsp>
                      <wps:cNvSpPr txBox="1"/>
                      <wps:spPr>
                        <a:xfrm>
                          <a:off x="0" y="0"/>
                          <a:ext cx="794385" cy="662940"/>
                        </a:xfrm>
                        <a:prstGeom prst="rect">
                          <a:avLst/>
                        </a:prstGeom>
                        <a:noFill/>
                        <a:ln w="12700">
                          <a:noFill/>
                        </a:ln>
                      </wps:spPr>
                      <wps:txbx>
                        <w:txbxContent>
                          <w:p w14:paraId="2254DCFD">
                            <w:pPr>
                              <w:rPr>
                                <w:rFonts w:ascii="宋体"/>
                                <w:sz w:val="18"/>
                                <w:szCs w:val="18"/>
                                <w:lang w:eastAsia="zh-CN"/>
                              </w:rPr>
                            </w:pPr>
                            <w:r>
                              <w:rPr>
                                <w:rFonts w:hint="eastAsia" w:ascii="楷体_GB2312" w:hAnsi="宋体" w:eastAsia="楷体_GB2312" w:cs="楷体_GB2312"/>
                                <w:b/>
                                <w:bCs/>
                                <w:color w:val="000000"/>
                                <w:sz w:val="18"/>
                                <w:szCs w:val="18"/>
                                <w:lang w:eastAsia="zh-CN"/>
                              </w:rPr>
                              <w:t>承包人原因加快进度的要求</w:t>
                            </w:r>
                          </w:p>
                        </w:txbxContent>
                      </wps:txbx>
                      <wps:bodyPr rot="0" vert="horz" wrap="square" lIns="91440" tIns="45720" rIns="91440" bIns="45720" anchor="t" anchorCtr="0"/>
                    </wps:wsp>
                  </a:graphicData>
                </a:graphic>
              </wp:anchor>
            </w:drawing>
          </mc:Choice>
          <mc:Fallback>
            <w:pict>
              <v:shape id="文本框 840" o:spid="_x0000_s1026" o:spt="202" type="#_x0000_t202" style="position:absolute;left:0pt;margin-left:-9pt;margin-top:22.4pt;height:52.2pt;width:62.55pt;z-index:252021760;mso-width-relative:page;mso-height-relative:page;" filled="f" stroked="f" coordsize="21600,21600" o:gfxdata="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26L5&#10;JNkAAAAKAQAADwAAAAAAAAABACAAAAAiAAAAZHJzL2Rvd25yZXYueG1sUEsBAhQAFAAAAAgAh07i&#10;QMnsmtzoAQAAvgMAAA4AAAAAAAAAAQAgAAAAKAEAAGRycy9lMm9Eb2MueG1sUEsFBgAAAAAGAAYA&#10;WQEAAIIFAAAAAA==&#10;">
                <v:fill on="f" focussize="0,0"/>
                <v:stroke on="f" weight="1pt"/>
                <v:imagedata o:title=""/>
                <o:lock v:ext="edit" aspectratio="f"/>
                <v:textbox>
                  <w:txbxContent>
                    <w:p w14:paraId="2254DCFD">
                      <w:pPr>
                        <w:rPr>
                          <w:rFonts w:ascii="宋体"/>
                          <w:sz w:val="18"/>
                          <w:szCs w:val="18"/>
                          <w:lang w:eastAsia="zh-CN"/>
                        </w:rPr>
                      </w:pPr>
                      <w:r>
                        <w:rPr>
                          <w:rFonts w:hint="eastAsia" w:ascii="楷体_GB2312" w:hAnsi="宋体" w:eastAsia="楷体_GB2312" w:cs="楷体_GB2312"/>
                          <w:b/>
                          <w:bCs/>
                          <w:color w:val="000000"/>
                          <w:sz w:val="18"/>
                          <w:szCs w:val="18"/>
                          <w:lang w:eastAsia="zh-CN"/>
                        </w:rPr>
                        <w:t>承包人原因加快进度的要求</w:t>
                      </w:r>
                    </w:p>
                  </w:txbxContent>
                </v:textbox>
              </v:shape>
            </w:pict>
          </mc:Fallback>
        </mc:AlternateContent>
      </w:r>
      <w:r>
        <w:rPr>
          <w:rFonts w:hint="eastAsia" w:ascii="仿宋" w:hAnsi="仿宋" w:eastAsia="仿宋" w:cs="仿宋"/>
          <w:b/>
          <w:bCs/>
          <w:sz w:val="24"/>
          <w:szCs w:val="24"/>
          <w:lang w:eastAsia="zh-CN"/>
        </w:rPr>
        <w:t>44</w:t>
      </w:r>
      <w:r>
        <w:rPr>
          <w:rFonts w:ascii="仿宋" w:hAnsi="仿宋" w:eastAsia="仿宋" w:cs="仿宋"/>
          <w:b/>
          <w:bCs/>
          <w:sz w:val="24"/>
          <w:szCs w:val="24"/>
          <w:lang w:eastAsia="zh-CN"/>
        </w:rPr>
        <w:t>.1</w:t>
      </w:r>
      <w:r>
        <w:rPr>
          <w:rFonts w:hint="eastAsia" w:ascii="仿宋" w:hAnsi="仿宋" w:eastAsia="仿宋" w:cs="仿宋"/>
          <w:b/>
          <w:bCs/>
          <w:sz w:val="24"/>
          <w:szCs w:val="24"/>
          <w:lang w:eastAsia="zh-CN"/>
        </w:rPr>
        <w:t xml:space="preserve">           </w:t>
      </w:r>
      <w:r>
        <w:rPr>
          <w:rFonts w:hint="eastAsia" w:ascii="仿宋" w:hAnsi="仿宋" w:eastAsia="仿宋" w:cs="仿宋"/>
          <w:sz w:val="24"/>
          <w:szCs w:val="24"/>
          <w:lang w:eastAsia="zh-CN"/>
        </w:rPr>
        <w:t>如果设计顾问人或监理人发现承包人未按发包人批准的项目进度计划实施合同工程或其任何部分的工作进度迟于进度计划，预计无法按期竣工，应向承包人提出加快进度的书面要求。承包人收到加快进度的书面要求后，应按照第 40</w:t>
      </w:r>
      <w:r>
        <w:rPr>
          <w:rFonts w:ascii="仿宋" w:hAnsi="仿宋" w:eastAsia="仿宋" w:cs="仿宋"/>
          <w:sz w:val="24"/>
          <w:szCs w:val="24"/>
          <w:lang w:eastAsia="zh-CN"/>
        </w:rPr>
        <w:t>.4</w:t>
      </w:r>
      <w:r>
        <w:rPr>
          <w:rFonts w:hint="eastAsia" w:ascii="仿宋" w:hAnsi="仿宋" w:eastAsia="仿宋" w:cs="仿宋"/>
          <w:sz w:val="24"/>
          <w:szCs w:val="24"/>
          <w:lang w:eastAsia="zh-CN"/>
        </w:rPr>
        <w:t>款约定采取改进措施，加快工程进度。</w:t>
      </w:r>
    </w:p>
    <w:p w14:paraId="75ACC617">
      <w:pPr>
        <w:pStyle w:val="22"/>
        <w:adjustRightInd w:val="0"/>
        <w:snapToGrid w:val="0"/>
        <w:spacing w:line="400" w:lineRule="exact"/>
        <w:ind w:left="1850" w:leftChars="771"/>
        <w:rPr>
          <w:rFonts w:ascii="仿宋" w:hAnsi="仿宋" w:eastAsia="仿宋"/>
          <w:sz w:val="24"/>
          <w:szCs w:val="24"/>
          <w:lang w:eastAsia="zh-CN"/>
        </w:rPr>
      </w:pPr>
      <w:r>
        <w:rPr>
          <w:rFonts w:hint="eastAsia" w:ascii="仿宋" w:hAnsi="仿宋" w:eastAsia="仿宋" w:cs="仿宋"/>
          <w:sz w:val="24"/>
          <w:szCs w:val="24"/>
          <w:lang w:eastAsia="zh-CN"/>
        </w:rPr>
        <w:t>如果承包人在收到设计顾问人或监理人书面要求后的</w:t>
      </w:r>
      <w:r>
        <w:rPr>
          <w:rFonts w:ascii="仿宋" w:hAnsi="仿宋" w:eastAsia="仿宋" w:cs="仿宋"/>
          <w:sz w:val="24"/>
          <w:szCs w:val="24"/>
          <w:lang w:eastAsia="zh-CN"/>
        </w:rPr>
        <w:t>14</w:t>
      </w:r>
      <w:r>
        <w:rPr>
          <w:rFonts w:hint="eastAsia" w:ascii="仿宋" w:hAnsi="仿宋" w:eastAsia="仿宋" w:cs="仿宋"/>
          <w:sz w:val="24"/>
          <w:szCs w:val="24"/>
          <w:lang w:eastAsia="zh-CN"/>
        </w:rPr>
        <w:t>天内，未能采取加快进度的措施；或虽然采取了改进措施，但实际进度仍然迟于进度计划，预计无法按期竣工，设计顾问人或监理人应立即向发包人提交书面报告，并抄送承包人。发包人可按照第93</w:t>
      </w:r>
      <w:r>
        <w:rPr>
          <w:rFonts w:ascii="仿宋" w:hAnsi="仿宋" w:eastAsia="仿宋" w:cs="仿宋"/>
          <w:sz w:val="24"/>
          <w:szCs w:val="24"/>
          <w:lang w:eastAsia="zh-CN"/>
        </w:rPr>
        <w:t>.3</w:t>
      </w:r>
      <w:r>
        <w:rPr>
          <w:rFonts w:hint="eastAsia" w:ascii="仿宋" w:hAnsi="仿宋" w:eastAsia="仿宋" w:cs="仿宋"/>
          <w:sz w:val="24"/>
          <w:szCs w:val="24"/>
          <w:lang w:eastAsia="zh-CN"/>
        </w:rPr>
        <w:t>款约定解除合同，也可将合同工程中的部分关键工作交由第三方完成，由此增加的费用由承包人承担。即使承包人承担了增加的费用，也不能免除合同约定应由其承担的责任和义务。</w:t>
      </w:r>
    </w:p>
    <w:p w14:paraId="72BE1AB6">
      <w:pPr>
        <w:pStyle w:val="22"/>
        <w:tabs>
          <w:tab w:val="left" w:pos="1320"/>
        </w:tabs>
        <w:adjustRightInd w:val="0"/>
        <w:snapToGrid w:val="0"/>
        <w:spacing w:line="400" w:lineRule="exact"/>
        <w:rPr>
          <w:rFonts w:ascii="仿宋" w:hAnsi="仿宋" w:eastAsia="仿宋" w:cs="仿宋"/>
          <w:b/>
          <w:bCs/>
          <w:sz w:val="24"/>
          <w:szCs w:val="24"/>
          <w:u w:val="dotted"/>
          <w:lang w:eastAsia="zh-CN"/>
        </w:rPr>
      </w:pPr>
      <w:r>
        <mc:AlternateContent>
          <mc:Choice Requires="wps">
            <w:drawing>
              <wp:anchor distT="0" distB="0" distL="114300" distR="114300" simplePos="0" relativeHeight="252022784" behindDoc="0" locked="0" layoutInCell="1" allowOverlap="1">
                <wp:simplePos x="0" y="0"/>
                <wp:positionH relativeFrom="column">
                  <wp:posOffset>-114300</wp:posOffset>
                </wp:positionH>
                <wp:positionV relativeFrom="paragraph">
                  <wp:posOffset>278130</wp:posOffset>
                </wp:positionV>
                <wp:extent cx="832485" cy="579755"/>
                <wp:effectExtent l="0" t="0" r="0" b="0"/>
                <wp:wrapNone/>
                <wp:docPr id="192" name="文本框 841"/>
                <wp:cNvGraphicFramePr/>
                <a:graphic xmlns:a="http://schemas.openxmlformats.org/drawingml/2006/main">
                  <a:graphicData uri="http://schemas.microsoft.com/office/word/2010/wordprocessingShape">
                    <wps:wsp>
                      <wps:cNvSpPr txBox="1"/>
                      <wps:spPr>
                        <a:xfrm>
                          <a:off x="0" y="0"/>
                          <a:ext cx="832485" cy="579755"/>
                        </a:xfrm>
                        <a:prstGeom prst="rect">
                          <a:avLst/>
                        </a:prstGeom>
                        <a:noFill/>
                        <a:ln w="12700">
                          <a:noFill/>
                        </a:ln>
                      </wps:spPr>
                      <wps:txbx>
                        <w:txbxContent>
                          <w:p w14:paraId="47418DDB">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发包人原因加快进度的要求</w:t>
                            </w:r>
                          </w:p>
                        </w:txbxContent>
                      </wps:txbx>
                      <wps:bodyPr rot="0" vert="horz" wrap="square" lIns="91440" tIns="45720" rIns="91440" bIns="45720" anchor="t" anchorCtr="0"/>
                    </wps:wsp>
                  </a:graphicData>
                </a:graphic>
              </wp:anchor>
            </w:drawing>
          </mc:Choice>
          <mc:Fallback>
            <w:pict>
              <v:shape id="文本框 841" o:spid="_x0000_s1026" o:spt="202" type="#_x0000_t202" style="position:absolute;left:0pt;margin-left:-9pt;margin-top:21.9pt;height:45.65pt;width:65.55pt;z-index:252022784;mso-width-relative:page;mso-height-relative:page;" filled="f" stroked="f" coordsize="21600,21600" o:gfxdata="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NOMo&#10;QNgAAAAKAQAADwAAAAAAAAABACAAAAAiAAAAZHJzL2Rvd25yZXYueG1sUEsBAhQAFAAAAAgAh07i&#10;QOO4517pAQAAvgMAAA4AAAAAAAAAAQAgAAAAJwEAAGRycy9lMm9Eb2MueG1sUEsFBgAAAAAGAAYA&#10;WQEAAIIFAAAAAA==&#10;">
                <v:fill on="f" focussize="0,0"/>
                <v:stroke on="f" weight="1pt"/>
                <v:imagedata o:title=""/>
                <o:lock v:ext="edit" aspectratio="f"/>
                <v:textbox>
                  <w:txbxContent>
                    <w:p w14:paraId="47418DDB">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发包人原因加快进度的要求</w:t>
                      </w:r>
                    </w:p>
                  </w:txbxContent>
                </v:textbox>
              </v:shape>
            </w:pict>
          </mc:Fallback>
        </mc:AlternateContent>
      </w:r>
      <w:r>
        <w:rPr>
          <w:rFonts w:hint="eastAsia" w:ascii="仿宋" w:hAnsi="仿宋" w:eastAsia="仿宋" w:cs="仿宋"/>
          <w:b/>
          <w:bCs/>
          <w:sz w:val="24"/>
          <w:szCs w:val="24"/>
          <w:lang w:eastAsia="zh-CN"/>
        </w:rPr>
        <w:t>44</w:t>
      </w:r>
      <w:r>
        <w:rPr>
          <w:rFonts w:ascii="仿宋" w:hAnsi="仿宋" w:eastAsia="仿宋" w:cs="仿宋"/>
          <w:b/>
          <w:bCs/>
          <w:sz w:val="24"/>
          <w:szCs w:val="24"/>
          <w:lang w:eastAsia="zh-CN"/>
        </w:rPr>
        <w:t xml:space="preserve">.2  </w:t>
      </w:r>
      <w:r>
        <w:rPr>
          <w:rFonts w:ascii="仿宋" w:hAnsi="仿宋" w:eastAsia="仿宋" w:cs="仿宋"/>
          <w:b/>
          <w:bCs/>
          <w:sz w:val="24"/>
          <w:szCs w:val="24"/>
          <w:u w:val="dotted"/>
          <w:lang w:eastAsia="zh-CN"/>
        </w:rPr>
        <w:t xml:space="preserve">                                                                               </w:t>
      </w:r>
    </w:p>
    <w:p w14:paraId="0FAAEA33">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如果发包人希望承包人提前竣工，那么发包人可要求承包人提交为加快进度而编制的提前竣工建议书。承包人应在接到发包人要求后的</w:t>
      </w:r>
      <w:r>
        <w:rPr>
          <w:rFonts w:ascii="仿宋" w:hAnsi="仿宋" w:eastAsia="仿宋" w:cs="仿宋"/>
          <w:sz w:val="24"/>
          <w:szCs w:val="24"/>
          <w:lang w:eastAsia="zh-CN"/>
        </w:rPr>
        <w:t>7</w:t>
      </w:r>
      <w:r>
        <w:rPr>
          <w:rFonts w:hint="eastAsia" w:ascii="仿宋" w:hAnsi="仿宋" w:eastAsia="仿宋" w:cs="仿宋"/>
          <w:sz w:val="24"/>
          <w:szCs w:val="24"/>
          <w:lang w:eastAsia="zh-CN"/>
        </w:rPr>
        <w:t>天内完成编制并向发包人提交提前竣工建议书，该建议书的内容至少应包括：</w:t>
      </w:r>
    </w:p>
    <w:p w14:paraId="25F8329C">
      <w:pPr>
        <w:pStyle w:val="22"/>
        <w:widowControl w:val="0"/>
        <w:numPr>
          <w:ilvl w:val="0"/>
          <w:numId w:val="20"/>
        </w:numPr>
        <w:tabs>
          <w:tab w:val="left" w:pos="1980"/>
        </w:tabs>
        <w:adjustRightInd w:val="0"/>
        <w:snapToGrid w:val="0"/>
        <w:spacing w:line="400" w:lineRule="exact"/>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加快进度拟采取的措施；</w:t>
      </w:r>
    </w:p>
    <w:p w14:paraId="0EB4909C">
      <w:pPr>
        <w:pStyle w:val="22"/>
        <w:widowControl w:val="0"/>
        <w:numPr>
          <w:ilvl w:val="0"/>
          <w:numId w:val="20"/>
        </w:numPr>
        <w:tabs>
          <w:tab w:val="left" w:pos="1980"/>
        </w:tabs>
        <w:adjustRightInd w:val="0"/>
        <w:snapToGrid w:val="0"/>
        <w:spacing w:line="400" w:lineRule="exact"/>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加快进度后的进度计划</w:t>
      </w:r>
      <w:r>
        <w:rPr>
          <w:rFonts w:ascii="仿宋" w:hAnsi="仿宋" w:eastAsia="仿宋" w:cs="仿宋"/>
          <w:sz w:val="24"/>
          <w:szCs w:val="24"/>
          <w:lang w:eastAsia="zh-CN"/>
        </w:rPr>
        <w:t>,</w:t>
      </w:r>
      <w:r>
        <w:rPr>
          <w:rFonts w:hint="eastAsia" w:ascii="仿宋" w:hAnsi="仿宋" w:eastAsia="仿宋" w:cs="仿宋"/>
          <w:sz w:val="24"/>
          <w:szCs w:val="24"/>
          <w:lang w:eastAsia="zh-CN"/>
        </w:rPr>
        <w:t>以及与原计划的对比；</w:t>
      </w:r>
    </w:p>
    <w:p w14:paraId="050EDA4F">
      <w:pPr>
        <w:pStyle w:val="22"/>
        <w:widowControl w:val="0"/>
        <w:numPr>
          <w:ilvl w:val="0"/>
          <w:numId w:val="20"/>
        </w:numPr>
        <w:tabs>
          <w:tab w:val="left" w:pos="1980"/>
        </w:tabs>
        <w:adjustRightInd w:val="0"/>
        <w:snapToGrid w:val="0"/>
        <w:spacing w:line="400" w:lineRule="exact"/>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加快进度所需的合同价格增加额（含第76</w:t>
      </w:r>
      <w:r>
        <w:rPr>
          <w:rFonts w:ascii="仿宋" w:hAnsi="仿宋" w:eastAsia="仿宋" w:cs="仿宋"/>
          <w:sz w:val="24"/>
          <w:szCs w:val="24"/>
          <w:lang w:eastAsia="zh-CN"/>
        </w:rPr>
        <w:t>.1</w:t>
      </w:r>
      <w:r>
        <w:rPr>
          <w:rFonts w:hint="eastAsia" w:ascii="仿宋" w:hAnsi="仿宋" w:eastAsia="仿宋" w:cs="仿宋"/>
          <w:sz w:val="24"/>
          <w:szCs w:val="24"/>
          <w:lang w:eastAsia="zh-CN"/>
        </w:rPr>
        <w:t>款约定的提前竣工奖）。该增加额按照第79</w:t>
      </w:r>
      <w:r>
        <w:rPr>
          <w:rFonts w:ascii="仿宋" w:hAnsi="仿宋" w:eastAsia="仿宋" w:cs="仿宋"/>
          <w:sz w:val="24"/>
          <w:szCs w:val="24"/>
          <w:lang w:eastAsia="zh-CN"/>
        </w:rPr>
        <w:t>.2</w:t>
      </w:r>
      <w:r>
        <w:rPr>
          <w:rFonts w:hint="eastAsia" w:ascii="仿宋" w:hAnsi="仿宋" w:eastAsia="仿宋" w:cs="仿宋"/>
          <w:sz w:val="24"/>
          <w:szCs w:val="24"/>
          <w:lang w:eastAsia="zh-CN"/>
        </w:rPr>
        <w:t>款、第79</w:t>
      </w:r>
      <w:r>
        <w:rPr>
          <w:rFonts w:ascii="仿宋" w:hAnsi="仿宋" w:eastAsia="仿宋" w:cs="仿宋"/>
          <w:sz w:val="24"/>
          <w:szCs w:val="24"/>
          <w:lang w:eastAsia="zh-CN"/>
        </w:rPr>
        <w:t>.3</w:t>
      </w:r>
      <w:r>
        <w:rPr>
          <w:rFonts w:hint="eastAsia" w:ascii="仿宋" w:hAnsi="仿宋" w:eastAsia="仿宋" w:cs="仿宋"/>
          <w:sz w:val="24"/>
          <w:szCs w:val="24"/>
          <w:lang w:eastAsia="zh-CN"/>
        </w:rPr>
        <w:t>款、第79</w:t>
      </w:r>
      <w:r>
        <w:rPr>
          <w:rFonts w:ascii="仿宋" w:hAnsi="仿宋" w:eastAsia="仿宋" w:cs="仿宋"/>
          <w:sz w:val="24"/>
          <w:szCs w:val="24"/>
          <w:lang w:eastAsia="zh-CN"/>
        </w:rPr>
        <w:t>.</w:t>
      </w:r>
      <w:r>
        <w:rPr>
          <w:rFonts w:hint="eastAsia" w:ascii="仿宋" w:hAnsi="仿宋" w:eastAsia="仿宋" w:cs="仿宋"/>
          <w:sz w:val="24"/>
          <w:szCs w:val="24"/>
          <w:lang w:eastAsia="zh-CN"/>
        </w:rPr>
        <w:t>4款规、第79</w:t>
      </w:r>
      <w:r>
        <w:rPr>
          <w:rFonts w:ascii="仿宋" w:hAnsi="仿宋" w:eastAsia="仿宋" w:cs="仿宋"/>
          <w:sz w:val="24"/>
          <w:szCs w:val="24"/>
          <w:lang w:eastAsia="zh-CN"/>
        </w:rPr>
        <w:t>.</w:t>
      </w:r>
      <w:r>
        <w:rPr>
          <w:rFonts w:hint="eastAsia" w:ascii="仿宋" w:hAnsi="仿宋" w:eastAsia="仿宋" w:cs="仿宋"/>
          <w:sz w:val="24"/>
          <w:szCs w:val="24"/>
          <w:lang w:eastAsia="zh-CN"/>
        </w:rPr>
        <w:t>5款约定计算。</w:t>
      </w:r>
    </w:p>
    <w:p w14:paraId="6319422A">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发包人应在接到建议书后的</w:t>
      </w:r>
      <w:r>
        <w:rPr>
          <w:rFonts w:ascii="仿宋" w:hAnsi="仿宋" w:eastAsia="仿宋" w:cs="仿宋"/>
          <w:sz w:val="24"/>
          <w:szCs w:val="24"/>
          <w:lang w:eastAsia="zh-CN"/>
        </w:rPr>
        <w:t>7</w:t>
      </w:r>
      <w:r>
        <w:rPr>
          <w:rFonts w:hint="eastAsia" w:ascii="仿宋" w:hAnsi="仿宋" w:eastAsia="仿宋" w:cs="仿宋"/>
          <w:sz w:val="24"/>
          <w:szCs w:val="24"/>
          <w:lang w:eastAsia="zh-CN"/>
        </w:rPr>
        <w:t>天内予以答复。如果发包人接受了该建议书，则监理人应以书面形式发出变更指令，相应调整工期；造价咨询人应核实并相应调整合同价格。</w:t>
      </w:r>
    </w:p>
    <w:p w14:paraId="39CFF419">
      <w:pPr>
        <w:pStyle w:val="22"/>
        <w:adjustRightInd w:val="0"/>
        <w:snapToGrid w:val="0"/>
        <w:spacing w:line="400" w:lineRule="exact"/>
        <w:rPr>
          <w:rFonts w:ascii="仿宋" w:hAnsi="仿宋" w:eastAsia="仿宋" w:cs="仿宋"/>
          <w:b/>
          <w:bCs/>
          <w:sz w:val="24"/>
          <w:szCs w:val="24"/>
          <w:u w:val="single"/>
          <w:lang w:eastAsia="zh-CN"/>
        </w:rPr>
      </w:pPr>
      <w:r>
        <w:rPr>
          <w:rFonts w:ascii="仿宋" w:hAnsi="仿宋" w:eastAsia="仿宋" w:cs="仿宋"/>
          <w:b/>
          <w:bCs/>
          <w:sz w:val="24"/>
          <w:szCs w:val="24"/>
          <w:u w:val="single"/>
          <w:lang w:eastAsia="zh-CN"/>
        </w:rPr>
        <w:t xml:space="preserve">                                                                                     </w:t>
      </w:r>
    </w:p>
    <w:p w14:paraId="2C13DDA2">
      <w:pPr>
        <w:pStyle w:val="4"/>
        <w:tabs>
          <w:tab w:val="left" w:pos="420"/>
        </w:tabs>
        <w:spacing w:before="0" w:after="0" w:line="400" w:lineRule="exact"/>
        <w:rPr>
          <w:rFonts w:ascii="仿宋" w:hAnsi="仿宋" w:eastAsia="仿宋" w:cs="仿宋"/>
          <w:bCs w:val="0"/>
          <w:sz w:val="24"/>
          <w:szCs w:val="24"/>
          <w:lang w:eastAsia="zh-CN"/>
        </w:rPr>
      </w:pPr>
      <w:bookmarkStart w:id="382" w:name="_Toc194073154"/>
      <w:bookmarkStart w:id="383" w:name="_Toc31948"/>
      <w:bookmarkStart w:id="384" w:name="_Toc14657"/>
      <w:bookmarkStart w:id="385" w:name="_Toc8624"/>
      <w:r>
        <w:rPr>
          <w:rFonts w:hint="eastAsia" w:ascii="仿宋" w:hAnsi="仿宋" w:eastAsia="仿宋" w:cs="仿宋"/>
          <w:bCs w:val="0"/>
          <w:sz w:val="24"/>
          <w:szCs w:val="24"/>
          <w:lang w:eastAsia="zh-CN"/>
        </w:rPr>
        <w:t>45</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竣工日期</w:t>
      </w:r>
      <w:bookmarkEnd w:id="382"/>
      <w:bookmarkEnd w:id="383"/>
      <w:bookmarkEnd w:id="384"/>
      <w:bookmarkEnd w:id="385"/>
    </w:p>
    <w:p w14:paraId="17892BEF">
      <w:pPr>
        <w:pStyle w:val="22"/>
        <w:adjustRightInd w:val="0"/>
        <w:snapToGrid w:val="0"/>
        <w:spacing w:line="400" w:lineRule="exact"/>
        <w:rPr>
          <w:rFonts w:ascii="仿宋" w:hAnsi="仿宋" w:eastAsia="仿宋"/>
          <w:b/>
          <w:bCs/>
          <w:sz w:val="24"/>
          <w:szCs w:val="24"/>
          <w:lang w:eastAsia="zh-CN"/>
        </w:rPr>
      </w:pPr>
      <w:r>
        <mc:AlternateContent>
          <mc:Choice Requires="wps">
            <w:drawing>
              <wp:anchor distT="0" distB="0" distL="114300" distR="114300" simplePos="0" relativeHeight="252023808" behindDoc="0" locked="0" layoutInCell="1" allowOverlap="1">
                <wp:simplePos x="0" y="0"/>
                <wp:positionH relativeFrom="column">
                  <wp:posOffset>-114300</wp:posOffset>
                </wp:positionH>
                <wp:positionV relativeFrom="paragraph">
                  <wp:posOffset>202565</wp:posOffset>
                </wp:positionV>
                <wp:extent cx="853440" cy="373380"/>
                <wp:effectExtent l="0" t="0" r="0" b="0"/>
                <wp:wrapNone/>
                <wp:docPr id="193" name="文本框 842"/>
                <wp:cNvGraphicFramePr/>
                <a:graphic xmlns:a="http://schemas.openxmlformats.org/drawingml/2006/main">
                  <a:graphicData uri="http://schemas.microsoft.com/office/word/2010/wordprocessingShape">
                    <wps:wsp>
                      <wps:cNvSpPr txBox="1"/>
                      <wps:spPr>
                        <a:xfrm>
                          <a:off x="0" y="0"/>
                          <a:ext cx="853440" cy="373380"/>
                        </a:xfrm>
                        <a:prstGeom prst="rect">
                          <a:avLst/>
                        </a:prstGeom>
                        <a:noFill/>
                        <a:ln w="12700">
                          <a:noFill/>
                        </a:ln>
                      </wps:spPr>
                      <wps:txbx>
                        <w:txbxContent>
                          <w:p w14:paraId="58D11D1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txbxContent>
                      </wps:txbx>
                      <wps:bodyPr rot="0" vert="horz" wrap="square" lIns="91440" tIns="45720" rIns="91440" bIns="45720" anchor="t" anchorCtr="0"/>
                    </wps:wsp>
                  </a:graphicData>
                </a:graphic>
              </wp:anchor>
            </w:drawing>
          </mc:Choice>
          <mc:Fallback>
            <w:pict>
              <v:shape id="文本框 842" o:spid="_x0000_s1026" o:spt="202" type="#_x0000_t202" style="position:absolute;left:0pt;margin-left:-9pt;margin-top:15.95pt;height:29.4pt;width:67.2pt;z-index:252023808;mso-width-relative:page;mso-height-relative:page;" filled="f" stroked="f" coordsize="21600,21600" o:gfxdata="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or&#10;9l/YAAAACQEAAA8AAAAAAAAAAQAgAAAAIgAAAGRycy9kb3ducmV2LnhtbFBLAQIUABQAAAAIAIdO&#10;4kCaBWH+6gEAAL4DAAAOAAAAAAAAAAEAIAAAACcBAABkcnMvZTJvRG9jLnhtbFBLBQYAAAAABgAG&#10;AFkBAACDBQAAAAA=&#10;">
                <v:fill on="f" focussize="0,0"/>
                <v:stroke on="f" weight="1pt"/>
                <v:imagedata o:title=""/>
                <o:lock v:ext="edit" aspectratio="f"/>
                <v:textbox>
                  <w:txbxContent>
                    <w:p w14:paraId="58D11D1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txbxContent>
                </v:textbox>
              </v:shape>
            </w:pict>
          </mc:Fallback>
        </mc:AlternateContent>
      </w:r>
      <w:r>
        <w:rPr>
          <w:rFonts w:hint="eastAsia" w:ascii="仿宋" w:hAnsi="仿宋" w:eastAsia="仿宋" w:cs="仿宋"/>
          <w:b/>
          <w:bCs/>
          <w:sz w:val="24"/>
          <w:szCs w:val="24"/>
          <w:lang w:eastAsia="zh-CN"/>
        </w:rPr>
        <w:t>45</w:t>
      </w:r>
      <w:r>
        <w:rPr>
          <w:rFonts w:ascii="仿宋" w:hAnsi="仿宋" w:eastAsia="仿宋" w:cs="仿宋"/>
          <w:b/>
          <w:bCs/>
          <w:sz w:val="24"/>
          <w:szCs w:val="24"/>
          <w:lang w:eastAsia="zh-CN"/>
        </w:rPr>
        <w:t>.1</w:t>
      </w:r>
    </w:p>
    <w:p w14:paraId="5CE28BD6">
      <w:pPr>
        <w:pStyle w:val="22"/>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合同双方当事人应在协议书和专用条款中约定合同工程的计划竣工日期。</w:t>
      </w:r>
    </w:p>
    <w:p w14:paraId="1C3A1FB9">
      <w:pPr>
        <w:pStyle w:val="22"/>
        <w:adjustRightInd w:val="0"/>
        <w:snapToGrid w:val="0"/>
        <w:spacing w:line="400" w:lineRule="exact"/>
        <w:rPr>
          <w:rFonts w:ascii="仿宋" w:hAnsi="仿宋" w:eastAsia="仿宋" w:cs="仿宋"/>
          <w:b/>
          <w:bCs/>
          <w:sz w:val="24"/>
          <w:szCs w:val="24"/>
          <w:u w:val="dotted"/>
          <w:lang w:eastAsia="zh-CN"/>
        </w:rPr>
      </w:pPr>
      <w:r>
        <w:rPr>
          <w:rFonts w:hint="eastAsia" w:ascii="仿宋" w:hAnsi="仿宋" w:eastAsia="仿宋" w:cs="仿宋"/>
          <w:b/>
          <w:bCs/>
          <w:sz w:val="24"/>
          <w:szCs w:val="24"/>
          <w:lang w:eastAsia="zh-CN"/>
        </w:rPr>
        <w:t>45</w:t>
      </w:r>
      <w:r>
        <w:rPr>
          <w:rFonts w:ascii="仿宋" w:hAnsi="仿宋" w:eastAsia="仿宋" w:cs="仿宋"/>
          <w:b/>
          <w:bCs/>
          <w:sz w:val="24"/>
          <w:szCs w:val="24"/>
          <w:lang w:eastAsia="zh-CN"/>
        </w:rPr>
        <w:t xml:space="preserve">.2  </w:t>
      </w:r>
      <w:r>
        <w:rPr>
          <w:rFonts w:ascii="仿宋" w:hAnsi="仿宋" w:eastAsia="仿宋" w:cs="仿宋"/>
          <w:b/>
          <w:bCs/>
          <w:sz w:val="24"/>
          <w:szCs w:val="24"/>
          <w:u w:val="dotted"/>
          <w:lang w:eastAsia="zh-CN"/>
        </w:rPr>
        <w:t xml:space="preserve">                                                            </w:t>
      </w:r>
      <w:r>
        <w:rPr>
          <w:rFonts w:hint="eastAsia" w:ascii="仿宋" w:hAnsi="仿宋" w:eastAsia="仿宋" w:cs="仿宋"/>
          <w:b/>
          <w:bCs/>
          <w:sz w:val="24"/>
          <w:szCs w:val="24"/>
          <w:u w:val="dotted"/>
          <w:lang w:eastAsia="zh-CN"/>
        </w:rPr>
        <w:t xml:space="preserve">                  </w:t>
      </w:r>
      <w:r>
        <w:rPr>
          <w:rFonts w:ascii="仿宋" w:hAnsi="仿宋" w:eastAsia="仿宋" w:cs="仿宋"/>
          <w:b/>
          <w:bCs/>
          <w:sz w:val="24"/>
          <w:szCs w:val="24"/>
          <w:u w:val="dotted"/>
          <w:lang w:eastAsia="zh-CN"/>
        </w:rPr>
        <w:t xml:space="preserve"> </w:t>
      </w:r>
    </w:p>
    <w:p w14:paraId="55DCCAD3">
      <w:pPr>
        <w:pStyle w:val="22"/>
        <w:adjustRightInd w:val="0"/>
        <w:snapToGrid w:val="0"/>
        <w:spacing w:line="400" w:lineRule="exact"/>
        <w:ind w:left="1850" w:leftChars="771"/>
        <w:jc w:val="both"/>
        <w:rPr>
          <w:rFonts w:ascii="仿宋" w:hAnsi="仿宋" w:eastAsia="仿宋"/>
          <w:sz w:val="24"/>
          <w:szCs w:val="24"/>
          <w:lang w:eastAsia="zh-CN"/>
        </w:rPr>
      </w:pPr>
      <w:r>
        <mc:AlternateContent>
          <mc:Choice Requires="wps">
            <w:drawing>
              <wp:anchor distT="0" distB="0" distL="114300" distR="114300" simplePos="0" relativeHeight="251776000" behindDoc="0" locked="0" layoutInCell="1" allowOverlap="1">
                <wp:simplePos x="0" y="0"/>
                <wp:positionH relativeFrom="column">
                  <wp:posOffset>-114300</wp:posOffset>
                </wp:positionH>
                <wp:positionV relativeFrom="paragraph">
                  <wp:posOffset>5715</wp:posOffset>
                </wp:positionV>
                <wp:extent cx="758190" cy="421005"/>
                <wp:effectExtent l="0" t="0" r="0" b="0"/>
                <wp:wrapNone/>
                <wp:docPr id="194" name="文本框 843"/>
                <wp:cNvGraphicFramePr/>
                <a:graphic xmlns:a="http://schemas.openxmlformats.org/drawingml/2006/main">
                  <a:graphicData uri="http://schemas.microsoft.com/office/word/2010/wordprocessingShape">
                    <wps:wsp>
                      <wps:cNvSpPr txBox="1"/>
                      <wps:spPr>
                        <a:xfrm>
                          <a:off x="0" y="0"/>
                          <a:ext cx="758190" cy="421005"/>
                        </a:xfrm>
                        <a:prstGeom prst="rect">
                          <a:avLst/>
                        </a:prstGeom>
                        <a:noFill/>
                        <a:ln w="12700">
                          <a:noFill/>
                        </a:ln>
                      </wps:spPr>
                      <wps:txbx>
                        <w:txbxContent>
                          <w:p w14:paraId="1F679CC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txbxContent>
                      </wps:txbx>
                      <wps:bodyPr rot="0" vert="horz" wrap="square" lIns="91440" tIns="45720" rIns="91440" bIns="45720" anchor="t" anchorCtr="0"/>
                    </wps:wsp>
                  </a:graphicData>
                </a:graphic>
              </wp:anchor>
            </w:drawing>
          </mc:Choice>
          <mc:Fallback>
            <w:pict>
              <v:shape id="文本框 843" o:spid="_x0000_s1026" o:spt="202" type="#_x0000_t202" style="position:absolute;left:0pt;margin-left:-9pt;margin-top:0.45pt;height:33.15pt;width:59.7pt;z-index:251776000;mso-width-relative:page;mso-height-relative:page;" filled="f" stroked="f" coordsize="21600,21600" o:gfxdata="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oPxx/X&#10;AAAABwEAAA8AAAAAAAAAAQAgAAAAIgAAAGRycy9kb3ducmV2LnhtbFBLAQIUABQAAAAIAIdO4kCf&#10;AUK36AEAAL4DAAAOAAAAAAAAAAEAIAAAACYBAABkcnMvZTJvRG9jLnhtbFBLBQYAAAAABgAGAFkB&#10;AACABQAAAAA=&#10;">
                <v:fill on="f" focussize="0,0"/>
                <v:stroke on="f" weight="1pt"/>
                <v:imagedata o:title=""/>
                <o:lock v:ext="edit" aspectratio="f"/>
                <v:textbox>
                  <w:txbxContent>
                    <w:p w14:paraId="1F679CC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txbxContent>
                </v:textbox>
              </v:shape>
            </w:pict>
          </mc:Fallback>
        </mc:AlternateContent>
      </w:r>
      <w:r>
        <w:rPr>
          <w:rFonts w:hint="eastAsia" w:ascii="仿宋" w:hAnsi="仿宋" w:eastAsia="仿宋" w:cs="仿宋"/>
          <w:sz w:val="24"/>
          <w:szCs w:val="24"/>
          <w:lang w:eastAsia="zh-CN"/>
        </w:rPr>
        <w:t>除发生不可抗力事项致使发包人不能按时竣工验收外，实际竣工日期按照下列情况分别确定：</w:t>
      </w:r>
    </w:p>
    <w:p w14:paraId="0311F9E1">
      <w:pPr>
        <w:pStyle w:val="22"/>
        <w:tabs>
          <w:tab w:val="left" w:pos="1980"/>
          <w:tab w:val="left" w:pos="2160"/>
        </w:tabs>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（1）工程经竣工验收合格的，以承包人提交竣工验收申请报告之日为实际竣工日期；</w:t>
      </w:r>
    </w:p>
    <w:p w14:paraId="4932F8F1">
      <w:pPr>
        <w:pStyle w:val="22"/>
        <w:tabs>
          <w:tab w:val="left" w:pos="1980"/>
          <w:tab w:val="left" w:pos="2160"/>
        </w:tabs>
        <w:adjustRightInd w:val="0"/>
        <w:snapToGri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（2）承包人已按照第64</w:t>
      </w:r>
      <w:r>
        <w:rPr>
          <w:rFonts w:ascii="仿宋" w:hAnsi="仿宋" w:eastAsia="仿宋" w:cs="仿宋"/>
          <w:sz w:val="24"/>
          <w:szCs w:val="24"/>
          <w:lang w:eastAsia="zh-CN"/>
        </w:rPr>
        <w:t>.2</w:t>
      </w:r>
      <w:r>
        <w:rPr>
          <w:rFonts w:hint="eastAsia" w:ascii="仿宋" w:hAnsi="仿宋" w:eastAsia="仿宋" w:cs="仿宋"/>
          <w:sz w:val="24"/>
          <w:szCs w:val="24"/>
          <w:lang w:eastAsia="zh-CN"/>
        </w:rPr>
        <w:t>款约定提交竣工验收申请报告，但发包人未按照第65</w:t>
      </w:r>
      <w:r>
        <w:rPr>
          <w:rFonts w:ascii="仿宋" w:hAnsi="仿宋" w:eastAsia="仿宋" w:cs="仿宋"/>
          <w:sz w:val="24"/>
          <w:szCs w:val="24"/>
          <w:lang w:eastAsia="zh-CN"/>
        </w:rPr>
        <w:t>.3</w:t>
      </w:r>
      <w:r>
        <w:rPr>
          <w:rFonts w:hint="eastAsia" w:ascii="仿宋" w:hAnsi="仿宋" w:eastAsia="仿宋" w:cs="仿宋"/>
          <w:sz w:val="24"/>
          <w:szCs w:val="24"/>
          <w:lang w:eastAsia="zh-CN"/>
        </w:rPr>
        <w:t>款约定完成合同工程验收的，以承包人提交竣工验收申请报告之日为实际竣工日期；</w:t>
      </w:r>
    </w:p>
    <w:p w14:paraId="0DA2552E">
      <w:pPr>
        <w:pStyle w:val="22"/>
        <w:tabs>
          <w:tab w:val="left" w:pos="1980"/>
          <w:tab w:val="left" w:pos="2160"/>
        </w:tabs>
        <w:adjustRightInd w:val="0"/>
        <w:snapToGrid w:val="0"/>
        <w:spacing w:line="400" w:lineRule="exact"/>
        <w:ind w:left="1850" w:leftChars="771"/>
        <w:jc w:val="both"/>
        <w:rPr>
          <w:lang w:eastAsia="zh-CN"/>
        </w:rPr>
      </w:pPr>
      <w:r>
        <w:rPr>
          <w:rFonts w:hint="eastAsia" w:ascii="仿宋" w:hAnsi="仿宋" w:eastAsia="仿宋" w:cs="仿宋"/>
          <w:sz w:val="24"/>
          <w:szCs w:val="24"/>
          <w:lang w:eastAsia="zh-CN"/>
        </w:rPr>
        <w:t>（3）</w:t>
      </w:r>
      <w:r>
        <w:rPr>
          <w:rFonts w:ascii="仿宋" w:hAnsi="仿宋" w:eastAsia="仿宋" w:cs="仿宋"/>
          <w:sz w:val="27"/>
          <w:szCs w:val="27"/>
          <w:lang w:eastAsia="zh-CN" w:bidi="ar"/>
        </w:rPr>
        <w:t>建设工程未经竣工验收，发包人擅自使用的，以转移占有建设工程之</w:t>
      </w:r>
      <w:r>
        <w:rPr>
          <w:rFonts w:hint="eastAsia" w:ascii="仿宋" w:hAnsi="仿宋" w:eastAsia="仿宋" w:cs="仿宋"/>
          <w:sz w:val="27"/>
          <w:szCs w:val="27"/>
          <w:lang w:eastAsia="zh-CN" w:bidi="ar"/>
        </w:rPr>
        <w:t>日为竣工日期。</w:t>
      </w:r>
    </w:p>
    <w:p w14:paraId="5F05EB83">
      <w:pPr>
        <w:pStyle w:val="22"/>
        <w:tabs>
          <w:tab w:val="left" w:pos="1980"/>
          <w:tab w:val="left" w:pos="2160"/>
        </w:tabs>
        <w:adjustRightInd w:val="0"/>
        <w:snapToGrid w:val="0"/>
        <w:spacing w:line="400" w:lineRule="exact"/>
        <w:ind w:left="1850" w:leftChars="771"/>
        <w:jc w:val="both"/>
        <w:rPr>
          <w:rFonts w:ascii="仿宋" w:hAnsi="仿宋" w:eastAsia="仿宋"/>
          <w:sz w:val="24"/>
          <w:szCs w:val="24"/>
          <w:lang w:eastAsia="zh-CN"/>
        </w:rPr>
      </w:pPr>
    </w:p>
    <w:p w14:paraId="7B5A9415">
      <w:pPr>
        <w:pStyle w:val="22"/>
        <w:adjustRightInd w:val="0"/>
        <w:snapToGrid w:val="0"/>
        <w:spacing w:line="400" w:lineRule="exact"/>
        <w:ind w:left="1626" w:leftChars="1" w:hanging="1624" w:hangingChars="674"/>
        <w:rPr>
          <w:rFonts w:ascii="仿宋" w:hAnsi="仿宋" w:eastAsia="仿宋" w:cs="仿宋"/>
          <w:b/>
          <w:bCs/>
          <w:sz w:val="24"/>
          <w:szCs w:val="24"/>
          <w:u w:val="dotted"/>
          <w:lang w:eastAsia="zh-CN"/>
        </w:rPr>
      </w:pPr>
      <w:r>
        <w:rPr>
          <w:rFonts w:hint="eastAsia" w:ascii="仿宋" w:hAnsi="仿宋" w:eastAsia="仿宋" w:cs="仿宋"/>
          <w:b/>
          <w:bCs/>
          <w:sz w:val="24"/>
          <w:szCs w:val="24"/>
          <w:lang w:eastAsia="zh-CN"/>
        </w:rPr>
        <w:t>45</w:t>
      </w:r>
      <w:r>
        <w:rPr>
          <w:rFonts w:ascii="仿宋" w:hAnsi="仿宋" w:eastAsia="仿宋" w:cs="仿宋"/>
          <w:b/>
          <w:bCs/>
          <w:sz w:val="24"/>
          <w:szCs w:val="24"/>
          <w:lang w:eastAsia="zh-CN"/>
        </w:rPr>
        <w:t xml:space="preserve">.3  </w:t>
      </w:r>
      <w:r>
        <w:rPr>
          <w:rFonts w:ascii="仿宋" w:hAnsi="仿宋" w:eastAsia="仿宋" w:cs="仿宋"/>
          <w:b/>
          <w:bCs/>
          <w:sz w:val="24"/>
          <w:szCs w:val="24"/>
          <w:u w:val="dotted"/>
          <w:lang w:eastAsia="zh-CN"/>
        </w:rPr>
        <w:t xml:space="preserve">                                                                               </w:t>
      </w:r>
    </w:p>
    <w:p w14:paraId="67182620">
      <w:pPr>
        <w:pStyle w:val="12"/>
        <w:widowControl w:val="0"/>
        <w:adjustRightInd w:val="0"/>
        <w:snapToGrid w:val="0"/>
        <w:spacing w:line="400" w:lineRule="exact"/>
        <w:ind w:left="1850" w:leftChars="771" w:firstLine="0"/>
        <w:jc w:val="both"/>
        <w:rPr>
          <w:rFonts w:ascii="仿宋" w:hAnsi="仿宋" w:eastAsia="仿宋"/>
          <w:lang w:eastAsia="zh-CN"/>
        </w:rPr>
      </w:pPr>
      <w:r>
        <mc:AlternateContent>
          <mc:Choice Requires="wps">
            <w:drawing>
              <wp:anchor distT="0" distB="0" distL="114300" distR="114300" simplePos="0" relativeHeight="251777024" behindDoc="0" locked="0" layoutInCell="1" allowOverlap="1">
                <wp:simplePos x="0" y="0"/>
                <wp:positionH relativeFrom="column">
                  <wp:posOffset>-114300</wp:posOffset>
                </wp:positionH>
                <wp:positionV relativeFrom="paragraph">
                  <wp:posOffset>47625</wp:posOffset>
                </wp:positionV>
                <wp:extent cx="823595" cy="553085"/>
                <wp:effectExtent l="0" t="0" r="0" b="0"/>
                <wp:wrapNone/>
                <wp:docPr id="195" name="文本框 844"/>
                <wp:cNvGraphicFramePr/>
                <a:graphic xmlns:a="http://schemas.openxmlformats.org/drawingml/2006/main">
                  <a:graphicData uri="http://schemas.microsoft.com/office/word/2010/wordprocessingShape">
                    <wps:wsp>
                      <wps:cNvSpPr txBox="1"/>
                      <wps:spPr>
                        <a:xfrm>
                          <a:off x="0" y="0"/>
                          <a:ext cx="823595" cy="553085"/>
                        </a:xfrm>
                        <a:prstGeom prst="rect">
                          <a:avLst/>
                        </a:prstGeom>
                        <a:noFill/>
                        <a:ln w="12700">
                          <a:noFill/>
                        </a:ln>
                      </wps:spPr>
                      <wps:txbx>
                        <w:txbxContent>
                          <w:p w14:paraId="35A09B9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txbxContent>
                      </wps:txbx>
                      <wps:bodyPr rot="0" vert="horz" wrap="square" lIns="91440" tIns="45720" rIns="91440" bIns="45720" anchor="t" anchorCtr="0"/>
                    </wps:wsp>
                  </a:graphicData>
                </a:graphic>
              </wp:anchor>
            </w:drawing>
          </mc:Choice>
          <mc:Fallback>
            <w:pict>
              <v:shape id="文本框 844" o:spid="_x0000_s1026" o:spt="202" type="#_x0000_t202" style="position:absolute;left:0pt;margin-left:-9pt;margin-top:3.75pt;height:43.55pt;width:64.85pt;z-index:251777024;mso-width-relative:page;mso-height-relative:page;" filled="f" stroked="f" coordsize="21600,21600" o:gfxdata="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CkA9&#10;iNgAAAAIAQAADwAAAAAAAAABACAAAAAiAAAAZHJzL2Rvd25yZXYueG1sUEsBAhQAFAAAAAgAh07i&#10;QJIcDZfpAQAAvgMAAA4AAAAAAAAAAQAgAAAAJwEAAGRycy9lMm9Eb2MueG1sUEsFBgAAAAAGAAYA&#10;WQEAAIIFAAAAAA==&#10;">
                <v:fill on="f" focussize="0,0"/>
                <v:stroke on="f" weight="1pt"/>
                <v:imagedata o:title=""/>
                <o:lock v:ext="edit" aspectratio="f"/>
                <v:textbox>
                  <w:txbxContent>
                    <w:p w14:paraId="35A09B9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txbxContent>
                </v:textbox>
              </v:shape>
            </w:pict>
          </mc:Fallback>
        </mc:AlternateContent>
      </w:r>
      <w:r>
        <w:rPr>
          <w:rFonts w:hint="eastAsia" w:ascii="仿宋" w:hAnsi="仿宋" w:eastAsia="仿宋" w:cs="仿宋"/>
          <w:lang w:eastAsia="zh-CN"/>
        </w:rPr>
        <w:t>因发包人的原因导致实际竣工日期迟于计划竣工日期的，发包人应承担由此增加的费用和（或）延误的工期，并向承包人支付合理利润。</w:t>
      </w:r>
    </w:p>
    <w:p w14:paraId="4CF93E9E">
      <w:pPr>
        <w:spacing w:line="400" w:lineRule="exact"/>
        <w:ind w:left="1850" w:leftChars="771" w:firstLine="60" w:firstLineChars="25"/>
        <w:jc w:val="both"/>
        <w:rPr>
          <w:rFonts w:ascii="仿宋" w:hAnsi="仿宋" w:eastAsia="仿宋"/>
          <w:caps/>
          <w:lang w:eastAsia="zh-CN"/>
        </w:rPr>
      </w:pPr>
      <w:r>
        <w:rPr>
          <w:rFonts w:hint="eastAsia" w:ascii="仿宋" w:hAnsi="仿宋" w:eastAsia="仿宋" w:cs="仿宋"/>
          <w:lang w:eastAsia="zh-CN"/>
        </w:rPr>
        <w:t>因承包人的原因导致实际竣工日期迟于计划竣工日期的，承包人应按照第</w:t>
      </w:r>
      <w:r>
        <w:rPr>
          <w:rFonts w:ascii="仿宋" w:hAnsi="仿宋" w:eastAsia="仿宋" w:cs="仿宋"/>
          <w:lang w:eastAsia="zh-CN"/>
        </w:rPr>
        <w:t>4</w:t>
      </w:r>
      <w:r>
        <w:rPr>
          <w:rFonts w:hint="eastAsia" w:ascii="仿宋" w:hAnsi="仿宋" w:eastAsia="仿宋" w:cs="仿宋"/>
          <w:lang w:eastAsia="zh-CN"/>
        </w:rPr>
        <w:t>7条约定</w:t>
      </w:r>
      <w:r>
        <w:rPr>
          <w:rFonts w:hint="eastAsia" w:ascii="仿宋" w:hAnsi="仿宋" w:eastAsia="仿宋" w:cs="仿宋"/>
          <w:caps/>
          <w:lang w:eastAsia="zh-CN"/>
        </w:rPr>
        <w:t>赔偿发包人由此造成的损失，并向发包人支付误期赔偿费。</w:t>
      </w:r>
    </w:p>
    <w:p w14:paraId="5003970E">
      <w:pPr>
        <w:spacing w:line="400" w:lineRule="exact"/>
        <w:rPr>
          <w:rFonts w:ascii="仿宋" w:hAnsi="仿宋" w:eastAsia="仿宋" w:cs="仿宋"/>
          <w:caps/>
          <w:u w:val="single"/>
          <w:lang w:eastAsia="zh-CN"/>
        </w:rPr>
      </w:pPr>
      <w:r>
        <w:rPr>
          <w:rFonts w:ascii="仿宋" w:hAnsi="仿宋" w:eastAsia="仿宋" w:cs="仿宋"/>
          <w:b/>
          <w:bCs/>
          <w:caps/>
          <w:u w:val="single"/>
          <w:lang w:eastAsia="zh-CN"/>
        </w:rPr>
        <w:t xml:space="preserve">                                                                                    </w:t>
      </w:r>
      <w:r>
        <w:rPr>
          <w:rFonts w:ascii="仿宋" w:hAnsi="仿宋" w:eastAsia="仿宋" w:cs="仿宋"/>
          <w:caps/>
          <w:u w:val="single"/>
          <w:lang w:eastAsia="zh-CN"/>
        </w:rPr>
        <w:t xml:space="preserve"> </w:t>
      </w:r>
    </w:p>
    <w:p w14:paraId="2E731BF9">
      <w:pPr>
        <w:pStyle w:val="4"/>
        <w:tabs>
          <w:tab w:val="left" w:pos="420"/>
        </w:tabs>
        <w:spacing w:before="0" w:after="0" w:line="400" w:lineRule="exact"/>
        <w:rPr>
          <w:rFonts w:ascii="仿宋" w:hAnsi="仿宋" w:eastAsia="仿宋" w:cs="仿宋"/>
          <w:bCs w:val="0"/>
          <w:sz w:val="24"/>
          <w:szCs w:val="24"/>
          <w:lang w:eastAsia="zh-CN"/>
        </w:rPr>
      </w:pPr>
      <w:bookmarkStart w:id="386" w:name="_Toc25294"/>
      <w:bookmarkStart w:id="387" w:name="_Toc194073155"/>
      <w:bookmarkStart w:id="388" w:name="_Toc31051"/>
      <w:bookmarkStart w:id="389" w:name="_Toc27827"/>
      <w:r>
        <w:rPr>
          <w:rFonts w:hint="eastAsia" w:ascii="仿宋" w:hAnsi="仿宋" w:eastAsia="仿宋" w:cs="仿宋"/>
          <w:bCs w:val="0"/>
          <w:sz w:val="24"/>
          <w:szCs w:val="24"/>
          <w:lang w:eastAsia="zh-CN"/>
        </w:rPr>
        <w:t>46</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提前竣工</w:t>
      </w:r>
      <w:bookmarkEnd w:id="386"/>
      <w:bookmarkEnd w:id="387"/>
      <w:bookmarkEnd w:id="388"/>
      <w:bookmarkEnd w:id="389"/>
    </w:p>
    <w:p w14:paraId="5743A59F">
      <w:pPr>
        <w:pStyle w:val="22"/>
        <w:adjustRightInd w:val="0"/>
        <w:snapToGrid w:val="0"/>
        <w:spacing w:line="400" w:lineRule="exact"/>
        <w:rPr>
          <w:rFonts w:ascii="仿宋" w:hAnsi="仿宋" w:eastAsia="仿宋"/>
          <w:b/>
          <w:bCs/>
          <w:sz w:val="24"/>
          <w:szCs w:val="24"/>
          <w:lang w:eastAsia="zh-CN"/>
        </w:rPr>
      </w:pPr>
      <w:r>
        <w:rPr>
          <w:rFonts w:hint="eastAsia" w:ascii="仿宋" w:hAnsi="仿宋" w:eastAsia="仿宋" w:cs="仿宋"/>
          <w:b/>
          <w:bCs/>
          <w:sz w:val="24"/>
          <w:szCs w:val="24"/>
          <w:lang w:eastAsia="zh-CN"/>
        </w:rPr>
        <w:t>46</w:t>
      </w:r>
      <w:r>
        <w:rPr>
          <w:rFonts w:ascii="仿宋" w:hAnsi="仿宋" w:eastAsia="仿宋" w:cs="仿宋"/>
          <w:b/>
          <w:bCs/>
          <w:sz w:val="24"/>
          <w:szCs w:val="24"/>
          <w:lang w:eastAsia="zh-CN"/>
        </w:rPr>
        <w:t>.1</w:t>
      </w:r>
    </w:p>
    <w:p w14:paraId="37B88A5A">
      <w:pPr>
        <w:pStyle w:val="22"/>
        <w:adjustRightInd w:val="0"/>
        <w:snapToGrid w:val="0"/>
        <w:spacing w:line="400" w:lineRule="exact"/>
        <w:ind w:left="1850" w:leftChars="771"/>
        <w:jc w:val="both"/>
        <w:rPr>
          <w:rFonts w:ascii="仿宋" w:hAnsi="仿宋" w:eastAsia="仿宋"/>
          <w:sz w:val="24"/>
          <w:szCs w:val="24"/>
          <w:lang w:eastAsia="zh-CN"/>
        </w:rPr>
      </w:pPr>
      <w:r>
        <mc:AlternateContent>
          <mc:Choice Requires="wps">
            <w:drawing>
              <wp:anchor distT="0" distB="0" distL="114300" distR="114300" simplePos="0" relativeHeight="251778048" behindDoc="0" locked="0" layoutInCell="1" allowOverlap="1">
                <wp:simplePos x="0" y="0"/>
                <wp:positionH relativeFrom="column">
                  <wp:posOffset>-66675</wp:posOffset>
                </wp:positionH>
                <wp:positionV relativeFrom="paragraph">
                  <wp:posOffset>30480</wp:posOffset>
                </wp:positionV>
                <wp:extent cx="786765" cy="421005"/>
                <wp:effectExtent l="0" t="0" r="0" b="0"/>
                <wp:wrapNone/>
                <wp:docPr id="196" name="文本框 845"/>
                <wp:cNvGraphicFramePr/>
                <a:graphic xmlns:a="http://schemas.openxmlformats.org/drawingml/2006/main">
                  <a:graphicData uri="http://schemas.microsoft.com/office/word/2010/wordprocessingShape">
                    <wps:wsp>
                      <wps:cNvSpPr txBox="1"/>
                      <wps:spPr>
                        <a:xfrm>
                          <a:off x="0" y="0"/>
                          <a:ext cx="786765" cy="421005"/>
                        </a:xfrm>
                        <a:prstGeom prst="rect">
                          <a:avLst/>
                        </a:prstGeom>
                        <a:noFill/>
                        <a:ln w="12700">
                          <a:noFill/>
                        </a:ln>
                      </wps:spPr>
                      <wps:txbx>
                        <w:txbxContent>
                          <w:p w14:paraId="03BB0A0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txbxContent>
                      </wps:txbx>
                      <wps:bodyPr rot="0" vert="horz" wrap="square" lIns="91440" tIns="45720" rIns="91440" bIns="45720" anchor="t" anchorCtr="0"/>
                    </wps:wsp>
                  </a:graphicData>
                </a:graphic>
              </wp:anchor>
            </w:drawing>
          </mc:Choice>
          <mc:Fallback>
            <w:pict>
              <v:shape id="文本框 845" o:spid="_x0000_s1026" o:spt="202" type="#_x0000_t202" style="position:absolute;left:0pt;margin-left:-5.25pt;margin-top:2.4pt;height:33.15pt;width:61.95pt;z-index:251778048;mso-width-relative:page;mso-height-relative:page;" filled="f" stroked="f" coordsize="21600,21600" o:gfxdata="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wsRQfW&#10;AAAACAEAAA8AAAAAAAAAAQAgAAAAIgAAAGRycy9kb3ducmV2LnhtbFBLAQIUABQAAAAIAIdO4kAO&#10;H+C96QEAAL4DAAAOAAAAAAAAAAEAIAAAACUBAABkcnMvZTJvRG9jLnhtbFBLBQYAAAAABgAGAFkB&#10;AACABQAAAAA=&#10;">
                <v:fill on="f" focussize="0,0"/>
                <v:stroke on="f" weight="1pt"/>
                <v:imagedata o:title=""/>
                <o:lock v:ext="edit" aspectratio="f"/>
                <v:textbox>
                  <w:txbxContent>
                    <w:p w14:paraId="03BB0A0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txbxContent>
                </v:textbox>
              </v:shape>
            </w:pict>
          </mc:Fallback>
        </mc:AlternateContent>
      </w:r>
      <w:r>
        <w:rPr>
          <w:rFonts w:hint="eastAsia" w:ascii="仿宋" w:hAnsi="仿宋" w:eastAsia="仿宋" w:cs="仿宋"/>
          <w:sz w:val="24"/>
          <w:szCs w:val="24"/>
          <w:lang w:eastAsia="zh-CN"/>
        </w:rPr>
        <w:t>发包人要求承包人提前竣工，或承包人按照第44</w:t>
      </w:r>
      <w:r>
        <w:rPr>
          <w:rFonts w:ascii="仿宋" w:hAnsi="仿宋" w:eastAsia="仿宋" w:cs="仿宋"/>
          <w:sz w:val="24"/>
          <w:szCs w:val="24"/>
          <w:lang w:eastAsia="zh-CN"/>
        </w:rPr>
        <w:t>.2</w:t>
      </w:r>
      <w:r>
        <w:rPr>
          <w:rFonts w:hint="eastAsia" w:ascii="仿宋" w:hAnsi="仿宋" w:eastAsia="仿宋" w:cs="仿宋"/>
          <w:sz w:val="24"/>
          <w:szCs w:val="24"/>
          <w:lang w:eastAsia="zh-CN"/>
        </w:rPr>
        <w:t>款约定提交提前竣工建议书为发包人接受的，监理人应与承包人商定采取加快工程进度的措施，并修订合同工程进度计划。</w:t>
      </w:r>
    </w:p>
    <w:p w14:paraId="69D074C7">
      <w:pPr>
        <w:pStyle w:val="22"/>
        <w:adjustRightInd w:val="0"/>
        <w:snapToGrid w:val="0"/>
        <w:spacing w:line="400" w:lineRule="exact"/>
        <w:rPr>
          <w:rFonts w:ascii="仿宋" w:hAnsi="仿宋" w:eastAsia="仿宋" w:cs="仿宋"/>
          <w:b/>
          <w:bCs/>
          <w:sz w:val="24"/>
          <w:szCs w:val="24"/>
          <w:u w:val="dotted"/>
          <w:lang w:eastAsia="zh-CN"/>
        </w:rPr>
      </w:pPr>
      <w:r>
        <w:rPr>
          <w:rFonts w:hint="eastAsia" w:ascii="仿宋" w:hAnsi="仿宋" w:eastAsia="仿宋" w:cs="仿宋"/>
          <w:b/>
          <w:bCs/>
          <w:sz w:val="24"/>
          <w:szCs w:val="24"/>
          <w:lang w:eastAsia="zh-CN"/>
        </w:rPr>
        <w:t>46</w:t>
      </w:r>
      <w:r>
        <w:rPr>
          <w:rFonts w:ascii="仿宋" w:hAnsi="仿宋" w:eastAsia="仿宋" w:cs="仿宋"/>
          <w:b/>
          <w:bCs/>
          <w:sz w:val="24"/>
          <w:szCs w:val="24"/>
          <w:lang w:eastAsia="zh-CN"/>
        </w:rPr>
        <w:t xml:space="preserve">.2  </w:t>
      </w:r>
      <w:r>
        <w:rPr>
          <w:rFonts w:ascii="仿宋" w:hAnsi="仿宋" w:eastAsia="仿宋" w:cs="仿宋"/>
          <w:b/>
          <w:bCs/>
          <w:sz w:val="24"/>
          <w:szCs w:val="24"/>
          <w:u w:val="dotted"/>
          <w:lang w:eastAsia="zh-CN"/>
        </w:rPr>
        <w:t xml:space="preserve">                                                                               </w:t>
      </w:r>
    </w:p>
    <w:p w14:paraId="42FB5357">
      <w:pPr>
        <w:pStyle w:val="22"/>
        <w:adjustRightInd w:val="0"/>
        <w:snapToGrid w:val="0"/>
        <w:spacing w:line="400" w:lineRule="exact"/>
        <w:ind w:left="1850" w:leftChars="771"/>
        <w:jc w:val="both"/>
        <w:rPr>
          <w:rFonts w:ascii="仿宋" w:hAnsi="仿宋" w:eastAsia="仿宋"/>
          <w:sz w:val="24"/>
          <w:szCs w:val="24"/>
          <w:lang w:eastAsia="zh-CN"/>
        </w:rPr>
      </w:pPr>
      <w:r>
        <mc:AlternateContent>
          <mc:Choice Requires="wps">
            <w:drawing>
              <wp:anchor distT="0" distB="0" distL="114300" distR="114300" simplePos="0" relativeHeight="251779072" behindDoc="0" locked="0" layoutInCell="1" allowOverlap="1">
                <wp:simplePos x="0" y="0"/>
                <wp:positionH relativeFrom="column">
                  <wp:posOffset>-114300</wp:posOffset>
                </wp:positionH>
                <wp:positionV relativeFrom="paragraph">
                  <wp:posOffset>5715</wp:posOffset>
                </wp:positionV>
                <wp:extent cx="843915" cy="487680"/>
                <wp:effectExtent l="0" t="0" r="0" b="0"/>
                <wp:wrapNone/>
                <wp:docPr id="197" name="文本框 846"/>
                <wp:cNvGraphicFramePr/>
                <a:graphic xmlns:a="http://schemas.openxmlformats.org/drawingml/2006/main">
                  <a:graphicData uri="http://schemas.microsoft.com/office/word/2010/wordprocessingShape">
                    <wps:wsp>
                      <wps:cNvSpPr txBox="1"/>
                      <wps:spPr>
                        <a:xfrm>
                          <a:off x="0" y="0"/>
                          <a:ext cx="843915" cy="487680"/>
                        </a:xfrm>
                        <a:prstGeom prst="rect">
                          <a:avLst/>
                        </a:prstGeom>
                        <a:noFill/>
                        <a:ln w="12700">
                          <a:noFill/>
                        </a:ln>
                      </wps:spPr>
                      <wps:txbx>
                        <w:txbxContent>
                          <w:p w14:paraId="61FCAF7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txbxContent>
                      </wps:txbx>
                      <wps:bodyPr rot="0" vert="horz" wrap="square" lIns="91440" tIns="45720" rIns="91440" bIns="45720" anchor="t" anchorCtr="0"/>
                    </wps:wsp>
                  </a:graphicData>
                </a:graphic>
              </wp:anchor>
            </w:drawing>
          </mc:Choice>
          <mc:Fallback>
            <w:pict>
              <v:shape id="文本框 846" o:spid="_x0000_s1026" o:spt="202" type="#_x0000_t202" style="position:absolute;left:0pt;margin-left:-9pt;margin-top:0.45pt;height:38.4pt;width:66.45pt;z-index:251779072;mso-width-relative:page;mso-height-relative:page;" filled="f" stroked="f" coordsize="21600,21600" o:gfxdata="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13&#10;vRfWAAAABwEAAA8AAAAAAAAAAQAgAAAAIgAAAGRycy9kb3ducmV2LnhtbFBLAQIUABQAAAAIAIdO&#10;4kC+sk0D7AEAAL4DAAAOAAAAAAAAAAEAIAAAACUBAABkcnMvZTJvRG9jLnhtbFBLBQYAAAAABgAG&#10;AFkBAACDBQAAAAA=&#10;">
                <v:fill on="f" focussize="0,0"/>
                <v:stroke on="f" weight="1pt"/>
                <v:imagedata o:title=""/>
                <o:lock v:ext="edit" aspectratio="f"/>
                <v:textbox>
                  <w:txbxContent>
                    <w:p w14:paraId="61FCAF7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txbxContent>
                </v:textbox>
              </v:shape>
            </w:pict>
          </mc:Fallback>
        </mc:AlternateContent>
      </w:r>
      <w:r>
        <w:rPr>
          <w:rFonts w:hint="eastAsia" w:ascii="仿宋" w:hAnsi="仿宋" w:eastAsia="仿宋" w:cs="仿宋"/>
          <w:sz w:val="24"/>
          <w:szCs w:val="24"/>
          <w:lang w:eastAsia="zh-CN"/>
        </w:rPr>
        <w:t>提前竣工天数按照第45</w:t>
      </w:r>
      <w:r>
        <w:rPr>
          <w:rFonts w:ascii="仿宋" w:hAnsi="仿宋" w:eastAsia="仿宋" w:cs="仿宋"/>
          <w:sz w:val="24"/>
          <w:szCs w:val="24"/>
          <w:lang w:eastAsia="zh-CN"/>
        </w:rPr>
        <w:t>.2</w:t>
      </w:r>
      <w:r>
        <w:rPr>
          <w:rFonts w:hint="eastAsia" w:ascii="仿宋" w:hAnsi="仿宋" w:eastAsia="仿宋" w:cs="仿宋"/>
          <w:sz w:val="24"/>
          <w:szCs w:val="24"/>
          <w:lang w:eastAsia="zh-CN"/>
        </w:rPr>
        <w:t>款约定确定的计划竣工天数减去实际竣工天数计算，其公式为：</w:t>
      </w:r>
    </w:p>
    <w:p w14:paraId="4F9B064A">
      <w:pPr>
        <w:pStyle w:val="22"/>
        <w:adjustRightInd w:val="0"/>
        <w:snapToGrid w:val="0"/>
        <w:spacing w:line="400" w:lineRule="exact"/>
        <w:ind w:firstLine="2160" w:firstLineChars="900"/>
        <w:rPr>
          <w:rFonts w:ascii="仿宋" w:hAnsi="仿宋" w:eastAsia="仿宋"/>
          <w:sz w:val="24"/>
          <w:szCs w:val="24"/>
          <w:lang w:eastAsia="zh-CN"/>
        </w:rPr>
      </w:pPr>
      <w:r>
        <w:rPr>
          <w:rFonts w:hint="eastAsia" w:ascii="仿宋" w:hAnsi="仿宋" w:eastAsia="仿宋" w:cs="仿宋"/>
          <w:sz w:val="24"/>
          <w:szCs w:val="24"/>
          <w:lang w:eastAsia="zh-CN"/>
        </w:rPr>
        <w:t>提前竣工天数</w:t>
      </w:r>
      <w:r>
        <w:rPr>
          <w:rFonts w:ascii="仿宋" w:hAnsi="仿宋" w:eastAsia="仿宋" w:cs="仿宋"/>
          <w:sz w:val="24"/>
          <w:szCs w:val="24"/>
          <w:lang w:eastAsia="zh-CN"/>
        </w:rPr>
        <w:t>=</w:t>
      </w:r>
      <w:r>
        <w:rPr>
          <w:rFonts w:hint="eastAsia" w:ascii="仿宋" w:hAnsi="仿宋" w:eastAsia="仿宋" w:cs="仿宋"/>
          <w:sz w:val="24"/>
          <w:szCs w:val="24"/>
          <w:lang w:eastAsia="zh-CN"/>
        </w:rPr>
        <w:t>计划竣工天数</w:t>
      </w:r>
      <w:r>
        <w:rPr>
          <w:rFonts w:ascii="仿宋" w:hAnsi="仿宋" w:eastAsia="仿宋" w:cs="仿宋"/>
          <w:sz w:val="24"/>
          <w:szCs w:val="24"/>
          <w:lang w:eastAsia="zh-CN"/>
        </w:rPr>
        <w:t xml:space="preserve"> — </w:t>
      </w:r>
      <w:r>
        <w:rPr>
          <w:rFonts w:hint="eastAsia" w:ascii="仿宋" w:hAnsi="仿宋" w:eastAsia="仿宋" w:cs="仿宋"/>
          <w:sz w:val="24"/>
          <w:szCs w:val="24"/>
          <w:lang w:eastAsia="zh-CN"/>
        </w:rPr>
        <w:t>实际竣工天数</w:t>
      </w:r>
    </w:p>
    <w:p w14:paraId="736B76D6">
      <w:pPr>
        <w:pStyle w:val="22"/>
        <w:tabs>
          <w:tab w:val="left" w:pos="1980"/>
          <w:tab w:val="left" w:pos="2160"/>
        </w:tabs>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发包人要求提前竣工或承包人提交的提前竣工建议书得到批准，发包人应承担承包人由此增加的费用，并按照第76</w:t>
      </w:r>
      <w:r>
        <w:rPr>
          <w:rFonts w:ascii="仿宋" w:hAnsi="仿宋" w:eastAsia="仿宋" w:cs="仿宋"/>
          <w:sz w:val="24"/>
          <w:szCs w:val="24"/>
          <w:lang w:eastAsia="zh-CN"/>
        </w:rPr>
        <w:t>.1</w:t>
      </w:r>
      <w:r>
        <w:rPr>
          <w:rFonts w:hint="eastAsia" w:ascii="仿宋" w:hAnsi="仿宋" w:eastAsia="仿宋" w:cs="仿宋"/>
          <w:sz w:val="24"/>
          <w:szCs w:val="24"/>
          <w:lang w:eastAsia="zh-CN"/>
        </w:rPr>
        <w:t>款约定向承包人支付提前竣工奖。</w:t>
      </w:r>
    </w:p>
    <w:p w14:paraId="431BCD99">
      <w:pPr>
        <w:pStyle w:val="22"/>
        <w:tabs>
          <w:tab w:val="left" w:pos="540"/>
        </w:tabs>
        <w:adjustRightInd w:val="0"/>
        <w:snapToGrid w:val="0"/>
        <w:spacing w:line="400" w:lineRule="exact"/>
        <w:rPr>
          <w:rFonts w:ascii="仿宋" w:hAnsi="仿宋" w:eastAsia="仿宋" w:cs="仿宋"/>
          <w:b/>
          <w:bCs/>
          <w:caps/>
          <w:sz w:val="24"/>
          <w:szCs w:val="24"/>
          <w:u w:val="single"/>
          <w:lang w:eastAsia="zh-CN"/>
        </w:rPr>
      </w:pPr>
      <w:r>
        <w:rPr>
          <w:rFonts w:ascii="仿宋" w:hAnsi="仿宋" w:eastAsia="仿宋" w:cs="仿宋"/>
          <w:b/>
          <w:bCs/>
          <w:caps/>
          <w:sz w:val="24"/>
          <w:szCs w:val="24"/>
          <w:u w:val="single"/>
          <w:lang w:eastAsia="zh-CN"/>
        </w:rPr>
        <w:t xml:space="preserve">                                                                        </w:t>
      </w:r>
      <w:r>
        <w:rPr>
          <w:rFonts w:hint="eastAsia" w:ascii="仿宋" w:hAnsi="仿宋" w:eastAsia="仿宋" w:cs="仿宋"/>
          <w:b/>
          <w:bCs/>
          <w:caps/>
          <w:sz w:val="24"/>
          <w:szCs w:val="24"/>
          <w:u w:val="single"/>
          <w:lang w:eastAsia="zh-CN"/>
        </w:rPr>
        <w:t xml:space="preserve">    </w:t>
      </w:r>
      <w:r>
        <w:rPr>
          <w:rFonts w:ascii="仿宋" w:hAnsi="仿宋" w:eastAsia="仿宋" w:cs="仿宋"/>
          <w:b/>
          <w:bCs/>
          <w:caps/>
          <w:sz w:val="24"/>
          <w:szCs w:val="24"/>
          <w:u w:val="single"/>
          <w:lang w:eastAsia="zh-CN"/>
        </w:rPr>
        <w:t xml:space="preserve">        </w:t>
      </w:r>
    </w:p>
    <w:p w14:paraId="288658BF">
      <w:pPr>
        <w:pStyle w:val="4"/>
        <w:tabs>
          <w:tab w:val="left" w:pos="420"/>
        </w:tabs>
        <w:spacing w:before="0" w:after="0" w:line="400" w:lineRule="exact"/>
        <w:rPr>
          <w:rFonts w:ascii="仿宋" w:hAnsi="仿宋" w:eastAsia="仿宋" w:cs="仿宋"/>
          <w:bCs w:val="0"/>
          <w:sz w:val="24"/>
          <w:szCs w:val="24"/>
          <w:lang w:eastAsia="zh-CN"/>
        </w:rPr>
      </w:pPr>
      <w:bookmarkStart w:id="390" w:name="_Toc31480"/>
      <w:bookmarkStart w:id="391" w:name="_Toc194073156"/>
      <w:bookmarkStart w:id="392" w:name="_Toc3138"/>
      <w:bookmarkStart w:id="393" w:name="_Toc2767"/>
      <w:r>
        <w:rPr>
          <w:rFonts w:ascii="仿宋" w:hAnsi="仿宋" w:eastAsia="仿宋" w:cs="仿宋"/>
          <w:bCs w:val="0"/>
          <w:sz w:val="24"/>
          <w:szCs w:val="24"/>
          <w:lang w:eastAsia="zh-CN"/>
        </w:rPr>
        <w:t>4</w:t>
      </w:r>
      <w:r>
        <w:rPr>
          <w:rFonts w:hint="eastAsia" w:ascii="仿宋" w:hAnsi="仿宋" w:eastAsia="仿宋" w:cs="仿宋"/>
          <w:bCs w:val="0"/>
          <w:sz w:val="24"/>
          <w:szCs w:val="24"/>
          <w:lang w:eastAsia="zh-CN"/>
        </w:rPr>
        <w:t>7</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误期赔偿</w:t>
      </w:r>
      <w:bookmarkEnd w:id="390"/>
      <w:bookmarkEnd w:id="391"/>
      <w:bookmarkEnd w:id="392"/>
      <w:bookmarkEnd w:id="393"/>
    </w:p>
    <w:p w14:paraId="229B9179">
      <w:pPr>
        <w:spacing w:line="400" w:lineRule="exact"/>
        <w:rPr>
          <w:rFonts w:ascii="仿宋" w:hAnsi="仿宋" w:eastAsia="仿宋"/>
          <w:b/>
          <w:bCs/>
          <w:caps/>
          <w:lang w:eastAsia="zh-CN"/>
        </w:rPr>
      </w:pPr>
      <w:r>
        <w:rPr>
          <w:rFonts w:ascii="仿宋" w:hAnsi="仿宋" w:eastAsia="仿宋" w:cs="仿宋"/>
          <w:b/>
          <w:bCs/>
          <w:lang w:eastAsia="zh-CN"/>
        </w:rPr>
        <w:t>4</w:t>
      </w:r>
      <w:r>
        <w:rPr>
          <w:rFonts w:hint="eastAsia" w:ascii="仿宋" w:hAnsi="仿宋" w:eastAsia="仿宋" w:cs="仿宋"/>
          <w:b/>
          <w:bCs/>
          <w:lang w:eastAsia="zh-CN"/>
        </w:rPr>
        <w:t>7</w:t>
      </w:r>
      <w:r>
        <w:rPr>
          <w:rFonts w:ascii="仿宋" w:hAnsi="仿宋" w:eastAsia="仿宋" w:cs="仿宋"/>
          <w:b/>
          <w:bCs/>
          <w:lang w:eastAsia="zh-CN"/>
        </w:rPr>
        <w:t>.1</w:t>
      </w:r>
    </w:p>
    <w:p w14:paraId="237A8B1C">
      <w:pPr>
        <w:spacing w:line="400" w:lineRule="exact"/>
        <w:ind w:left="1850" w:leftChars="771"/>
        <w:rPr>
          <w:rFonts w:ascii="仿宋" w:hAnsi="仿宋" w:eastAsia="仿宋"/>
          <w:caps/>
          <w:lang w:eastAsia="zh-CN"/>
        </w:rPr>
      </w:pPr>
      <w:r>
        <mc:AlternateContent>
          <mc:Choice Requires="wps">
            <w:drawing>
              <wp:anchor distT="0" distB="0" distL="114300" distR="114300" simplePos="0" relativeHeight="251780096" behindDoc="0" locked="0" layoutInCell="1" allowOverlap="1">
                <wp:simplePos x="0" y="0"/>
                <wp:positionH relativeFrom="column">
                  <wp:posOffset>-133350</wp:posOffset>
                </wp:positionH>
                <wp:positionV relativeFrom="paragraph">
                  <wp:posOffset>104140</wp:posOffset>
                </wp:positionV>
                <wp:extent cx="882015" cy="434975"/>
                <wp:effectExtent l="0" t="0" r="0" b="0"/>
                <wp:wrapNone/>
                <wp:docPr id="198" name="文本框 847"/>
                <wp:cNvGraphicFramePr/>
                <a:graphic xmlns:a="http://schemas.openxmlformats.org/drawingml/2006/main">
                  <a:graphicData uri="http://schemas.microsoft.com/office/word/2010/wordprocessingShape">
                    <wps:wsp>
                      <wps:cNvSpPr txBox="1"/>
                      <wps:spPr>
                        <a:xfrm>
                          <a:off x="0" y="0"/>
                          <a:ext cx="882015" cy="434975"/>
                        </a:xfrm>
                        <a:prstGeom prst="rect">
                          <a:avLst/>
                        </a:prstGeom>
                        <a:noFill/>
                        <a:ln w="12700">
                          <a:noFill/>
                        </a:ln>
                      </wps:spPr>
                      <wps:txbx>
                        <w:txbxContent>
                          <w:p w14:paraId="62C8ED3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txbxContent>
                      </wps:txbx>
                      <wps:bodyPr rot="0" vert="horz" wrap="square" lIns="91440" tIns="45720" rIns="91440" bIns="45720" anchor="t" anchorCtr="0"/>
                    </wps:wsp>
                  </a:graphicData>
                </a:graphic>
              </wp:anchor>
            </w:drawing>
          </mc:Choice>
          <mc:Fallback>
            <w:pict>
              <v:shape id="文本框 847" o:spid="_x0000_s1026" o:spt="202" type="#_x0000_t202" style="position:absolute;left:0pt;margin-left:-10.5pt;margin-top:8.2pt;height:34.25pt;width:69.45pt;z-index:251780096;mso-width-relative:page;mso-height-relative:page;" filled="f" stroked="f" coordsize="21600,21600" o:gfxdata="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Qcr7A&#10;1wAAAAkBAAAPAAAAAAAAAAEAIAAAACIAAABkcnMvZG93bnJldi54bWxQSwECFAAUAAAACACHTuJA&#10;yPckjekBAAC+AwAADgAAAAAAAAABACAAAAAmAQAAZHJzL2Uyb0RvYy54bWxQSwUGAAAAAAYABgBZ&#10;AQAAgQUAAAAA&#10;">
                <v:fill on="f" focussize="0,0"/>
                <v:stroke on="f" weight="1pt"/>
                <v:imagedata o:title=""/>
                <o:lock v:ext="edit" aspectratio="f"/>
                <v:textbox>
                  <w:txbxContent>
                    <w:p w14:paraId="62C8ED3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txbxContent>
                </v:textbox>
              </v:shape>
            </w:pict>
          </mc:Fallback>
        </mc:AlternateContent>
      </w:r>
      <w:r>
        <w:rPr>
          <w:rFonts w:hint="eastAsia" w:ascii="仿宋" w:hAnsi="仿宋" w:eastAsia="仿宋" w:cs="仿宋"/>
          <w:caps/>
          <w:lang w:eastAsia="zh-CN"/>
        </w:rPr>
        <w:t>如果承包人未按照第40</w:t>
      </w:r>
      <w:r>
        <w:rPr>
          <w:rFonts w:ascii="仿宋" w:hAnsi="仿宋" w:eastAsia="仿宋" w:cs="仿宋"/>
          <w:caps/>
          <w:lang w:eastAsia="zh-CN"/>
        </w:rPr>
        <w:t>.4</w:t>
      </w:r>
      <w:r>
        <w:rPr>
          <w:rFonts w:hint="eastAsia" w:ascii="仿宋" w:hAnsi="仿宋" w:eastAsia="仿宋" w:cs="仿宋"/>
          <w:caps/>
          <w:lang w:eastAsia="zh-CN"/>
        </w:rPr>
        <w:t>款约定按计划进度开展工作或施工，导致实际进度迟于计划进度的，承包人应向发包人支付误期赔偿费，误期赔偿费的计算方法在专用条款中约定。即使承包人支付误期赔偿费，也不能免除承包人按照合同约定应承担的任何责任和应履行的任何义务。</w:t>
      </w:r>
    </w:p>
    <w:p w14:paraId="58B5A62B">
      <w:pPr>
        <w:spacing w:line="400" w:lineRule="exact"/>
        <w:rPr>
          <w:rFonts w:ascii="仿宋" w:hAnsi="仿宋" w:eastAsia="仿宋" w:cs="仿宋"/>
          <w:b/>
          <w:bCs/>
          <w:u w:val="dotted"/>
          <w:lang w:eastAsia="zh-CN"/>
        </w:rPr>
      </w:pPr>
      <w:r>
        <w:rPr>
          <w:rFonts w:ascii="仿宋" w:hAnsi="仿宋" w:eastAsia="仿宋" w:cs="仿宋"/>
          <w:b/>
          <w:bCs/>
          <w:lang w:eastAsia="zh-CN"/>
        </w:rPr>
        <w:t>4</w:t>
      </w:r>
      <w:r>
        <w:rPr>
          <w:rFonts w:hint="eastAsia" w:ascii="仿宋" w:hAnsi="仿宋" w:eastAsia="仿宋" w:cs="仿宋"/>
          <w:b/>
          <w:bCs/>
          <w:lang w:eastAsia="zh-CN"/>
        </w:rPr>
        <w:t>7</w:t>
      </w:r>
      <w:r>
        <w:rPr>
          <w:rFonts w:ascii="仿宋" w:hAnsi="仿宋" w:eastAsia="仿宋" w:cs="仿宋"/>
          <w:b/>
          <w:bCs/>
          <w:lang w:eastAsia="zh-CN"/>
        </w:rPr>
        <w:t xml:space="preserve">.2  </w:t>
      </w:r>
      <w:r>
        <w:rPr>
          <w:rFonts w:ascii="仿宋" w:hAnsi="仿宋" w:eastAsia="仿宋" w:cs="仿宋"/>
          <w:b/>
          <w:bCs/>
          <w:u w:val="dotted"/>
          <w:lang w:eastAsia="zh-CN"/>
        </w:rPr>
        <w:t xml:space="preserve">                                                                               </w:t>
      </w:r>
    </w:p>
    <w:p w14:paraId="2556FCA7">
      <w:pPr>
        <w:spacing w:line="400" w:lineRule="exact"/>
        <w:ind w:left="1850" w:leftChars="771"/>
        <w:jc w:val="both"/>
        <w:rPr>
          <w:rFonts w:ascii="仿宋" w:hAnsi="仿宋" w:eastAsia="仿宋"/>
          <w:caps/>
          <w:lang w:eastAsia="zh-CN"/>
        </w:rPr>
      </w:pPr>
      <w:r>
        <mc:AlternateContent>
          <mc:Choice Requires="wps">
            <w:drawing>
              <wp:anchor distT="0" distB="0" distL="114300" distR="114300" simplePos="0" relativeHeight="251781120" behindDoc="0" locked="0" layoutInCell="1" allowOverlap="1">
                <wp:simplePos x="0" y="0"/>
                <wp:positionH relativeFrom="column">
                  <wp:posOffset>-114300</wp:posOffset>
                </wp:positionH>
                <wp:positionV relativeFrom="paragraph">
                  <wp:posOffset>31750</wp:posOffset>
                </wp:positionV>
                <wp:extent cx="797560" cy="574675"/>
                <wp:effectExtent l="0" t="0" r="0" b="0"/>
                <wp:wrapNone/>
                <wp:docPr id="199" name="文本框 848"/>
                <wp:cNvGraphicFramePr/>
                <a:graphic xmlns:a="http://schemas.openxmlformats.org/drawingml/2006/main">
                  <a:graphicData uri="http://schemas.microsoft.com/office/word/2010/wordprocessingShape">
                    <wps:wsp>
                      <wps:cNvSpPr txBox="1"/>
                      <wps:spPr>
                        <a:xfrm>
                          <a:off x="0" y="0"/>
                          <a:ext cx="797560" cy="574675"/>
                        </a:xfrm>
                        <a:prstGeom prst="rect">
                          <a:avLst/>
                        </a:prstGeom>
                        <a:noFill/>
                        <a:ln w="12700">
                          <a:noFill/>
                        </a:ln>
                      </wps:spPr>
                      <wps:txbx>
                        <w:txbxContent>
                          <w:p w14:paraId="615D093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实际延误天数的计算</w:t>
                            </w:r>
                          </w:p>
                        </w:txbxContent>
                      </wps:txbx>
                      <wps:bodyPr rot="0" vert="horz" wrap="square" lIns="91440" tIns="45720" rIns="91440" bIns="45720" anchor="t" anchorCtr="0"/>
                    </wps:wsp>
                  </a:graphicData>
                </a:graphic>
              </wp:anchor>
            </w:drawing>
          </mc:Choice>
          <mc:Fallback>
            <w:pict>
              <v:shape id="文本框 848" o:spid="_x0000_s1026" o:spt="202" type="#_x0000_t202" style="position:absolute;left:0pt;margin-left:-9pt;margin-top:2.5pt;height:45.25pt;width:62.8pt;z-index:251781120;mso-width-relative:page;mso-height-relative:page;" filled="f" stroked="f" coordsize="21600,21600" o:gfxdata="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zlYox&#10;1wAAAAgBAAAPAAAAAAAAAAEAIAAAACIAAABkcnMvZG93bnJldi54bWxQSwECFAAUAAAACACHTuJA&#10;KCx29ukBAAC+AwAADgAAAAAAAAABACAAAAAmAQAAZHJzL2Uyb0RvYy54bWxQSwUGAAAAAAYABgBZ&#10;AQAAgQUAAAAA&#10;">
                <v:fill on="f" focussize="0,0"/>
                <v:stroke on="f" weight="1pt"/>
                <v:imagedata o:title=""/>
                <o:lock v:ext="edit" aspectratio="f"/>
                <v:textbox>
                  <w:txbxContent>
                    <w:p w14:paraId="615D093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实际延误天数的计算</w:t>
                      </w:r>
                    </w:p>
                  </w:txbxContent>
                </v:textbox>
              </v:shape>
            </w:pict>
          </mc:Fallback>
        </mc:AlternateContent>
      </w:r>
      <w:r>
        <w:rPr>
          <w:rFonts w:hint="eastAsia" w:ascii="仿宋" w:hAnsi="仿宋" w:eastAsia="仿宋" w:cs="仿宋"/>
          <w:caps/>
          <w:lang w:eastAsia="zh-CN"/>
        </w:rPr>
        <w:t>误期（实际延误天数）按照实际总工期天数减去计划总工期天数计算，其公式为：</w:t>
      </w:r>
    </w:p>
    <w:p w14:paraId="49AE004B">
      <w:pPr>
        <w:spacing w:line="400" w:lineRule="exact"/>
        <w:ind w:firstLine="2160" w:firstLineChars="900"/>
        <w:rPr>
          <w:rFonts w:ascii="仿宋" w:hAnsi="仿宋" w:eastAsia="仿宋"/>
          <w:caps/>
          <w:lang w:eastAsia="zh-CN"/>
        </w:rPr>
      </w:pPr>
      <w:r>
        <w:rPr>
          <w:rFonts w:hint="eastAsia" w:ascii="仿宋" w:hAnsi="仿宋" w:eastAsia="仿宋" w:cs="仿宋"/>
          <w:caps/>
          <w:lang w:eastAsia="zh-CN"/>
        </w:rPr>
        <w:t>实际延误天数＝实际总工期天数</w:t>
      </w:r>
      <w:r>
        <w:rPr>
          <w:rFonts w:ascii="仿宋" w:hAnsi="仿宋" w:eastAsia="仿宋" w:cs="仿宋"/>
          <w:caps/>
          <w:lang w:eastAsia="zh-CN"/>
        </w:rPr>
        <w:t xml:space="preserve"> </w:t>
      </w:r>
      <w:r>
        <w:rPr>
          <w:rFonts w:hint="eastAsia" w:ascii="仿宋" w:hAnsi="仿宋" w:eastAsia="仿宋" w:cs="仿宋"/>
          <w:caps/>
          <w:lang w:eastAsia="zh-CN"/>
        </w:rPr>
        <w:t>－</w:t>
      </w:r>
      <w:r>
        <w:rPr>
          <w:rFonts w:ascii="仿宋" w:hAnsi="仿宋" w:eastAsia="仿宋" w:cs="仿宋"/>
          <w:caps/>
          <w:lang w:eastAsia="zh-CN"/>
        </w:rPr>
        <w:t xml:space="preserve"> </w:t>
      </w:r>
      <w:r>
        <w:rPr>
          <w:rFonts w:hint="eastAsia" w:ascii="仿宋" w:hAnsi="仿宋" w:eastAsia="仿宋" w:cs="仿宋"/>
          <w:caps/>
          <w:lang w:eastAsia="zh-CN"/>
        </w:rPr>
        <w:t>计划总工期天数</w:t>
      </w:r>
    </w:p>
    <w:p w14:paraId="45507F85">
      <w:pPr>
        <w:spacing w:line="400" w:lineRule="exact"/>
        <w:ind w:left="1850" w:leftChars="771"/>
        <w:jc w:val="both"/>
        <w:rPr>
          <w:rFonts w:ascii="仿宋" w:hAnsi="仿宋" w:eastAsia="仿宋"/>
          <w:caps/>
          <w:lang w:eastAsia="zh-CN"/>
        </w:rPr>
      </w:pPr>
      <w:r>
        <w:rPr>
          <w:rFonts w:hint="eastAsia" w:ascii="仿宋" w:hAnsi="仿宋" w:eastAsia="仿宋" w:cs="仿宋"/>
          <w:caps/>
          <w:lang w:eastAsia="zh-CN"/>
        </w:rPr>
        <w:t>合同工程发生误期，承包人应赔偿发包人由此造成的损失，并按照第76</w:t>
      </w:r>
      <w:r>
        <w:rPr>
          <w:rFonts w:ascii="仿宋" w:hAnsi="仿宋" w:eastAsia="仿宋" w:cs="仿宋"/>
          <w:caps/>
          <w:lang w:eastAsia="zh-CN"/>
        </w:rPr>
        <w:t>.2</w:t>
      </w:r>
      <w:r>
        <w:rPr>
          <w:rFonts w:hint="eastAsia" w:ascii="仿宋" w:hAnsi="仿宋" w:eastAsia="仿宋" w:cs="仿宋"/>
          <w:caps/>
          <w:lang w:eastAsia="zh-CN"/>
        </w:rPr>
        <w:t>款约定向发包人支付误期赔偿费。</w:t>
      </w:r>
    </w:p>
    <w:p w14:paraId="779A7A7D">
      <w:pPr>
        <w:pStyle w:val="22"/>
        <w:adjustRightInd w:val="0"/>
        <w:snapToGrid w:val="0"/>
        <w:spacing w:line="400" w:lineRule="exact"/>
        <w:rPr>
          <w:rFonts w:ascii="仿宋" w:hAnsi="仿宋" w:eastAsia="仿宋"/>
          <w:b/>
          <w:bCs/>
          <w:sz w:val="24"/>
          <w:szCs w:val="24"/>
          <w:u w:val="single"/>
          <w:lang w:eastAsia="zh-CN"/>
        </w:rPr>
      </w:pPr>
      <w:r>
        <w:rPr>
          <w:rFonts w:ascii="仿宋" w:hAnsi="仿宋" w:eastAsia="仿宋" w:cs="仿宋"/>
          <w:b/>
          <w:bCs/>
          <w:sz w:val="24"/>
          <w:szCs w:val="24"/>
          <w:u w:val="single"/>
          <w:lang w:eastAsia="zh-CN"/>
        </w:rPr>
        <w:t xml:space="preserve">                                           </w:t>
      </w:r>
      <w:r>
        <w:rPr>
          <w:rFonts w:hint="eastAsia" w:ascii="仿宋" w:hAnsi="仿宋" w:eastAsia="仿宋" w:cs="仿宋"/>
          <w:b/>
          <w:bCs/>
          <w:sz w:val="24"/>
          <w:szCs w:val="24"/>
          <w:u w:val="single"/>
          <w:lang w:eastAsia="zh-CN"/>
        </w:rPr>
        <w:t xml:space="preserve">   </w:t>
      </w:r>
      <w:r>
        <w:rPr>
          <w:rFonts w:ascii="仿宋" w:hAnsi="仿宋" w:eastAsia="仿宋" w:cs="仿宋"/>
          <w:b/>
          <w:bCs/>
          <w:sz w:val="24"/>
          <w:szCs w:val="24"/>
          <w:u w:val="single"/>
          <w:lang w:eastAsia="zh-CN"/>
        </w:rPr>
        <w:t xml:space="preserve">                                       </w:t>
      </w:r>
    </w:p>
    <w:p w14:paraId="2325959F">
      <w:pPr>
        <w:pStyle w:val="22"/>
        <w:adjustRightInd w:val="0"/>
        <w:snapToGrid w:val="0"/>
        <w:spacing w:line="400" w:lineRule="exact"/>
        <w:jc w:val="center"/>
        <w:outlineLvl w:val="1"/>
        <w:rPr>
          <w:rFonts w:ascii="仿宋" w:hAnsi="仿宋" w:eastAsia="仿宋"/>
          <w:b/>
          <w:bCs/>
          <w:sz w:val="24"/>
          <w:szCs w:val="24"/>
          <w:lang w:eastAsia="zh-CN"/>
        </w:rPr>
      </w:pPr>
      <w:bookmarkStart w:id="394" w:name="_Toc194073157"/>
      <w:bookmarkStart w:id="395" w:name="_Toc17267"/>
      <w:bookmarkStart w:id="396" w:name="_Toc24053"/>
      <w:bookmarkStart w:id="397" w:name="_Toc16510"/>
      <w:r>
        <w:rPr>
          <w:rFonts w:hint="eastAsia" w:ascii="仿宋" w:hAnsi="仿宋" w:eastAsia="仿宋" w:cs="仿宋"/>
          <w:b/>
          <w:bCs/>
          <w:sz w:val="24"/>
          <w:szCs w:val="24"/>
          <w:lang w:eastAsia="zh-CN"/>
        </w:rPr>
        <w:t>六、质量与安全</w:t>
      </w:r>
      <w:bookmarkEnd w:id="394"/>
      <w:bookmarkEnd w:id="395"/>
      <w:bookmarkEnd w:id="396"/>
      <w:bookmarkEnd w:id="397"/>
    </w:p>
    <w:p w14:paraId="51B413AC">
      <w:pPr>
        <w:pStyle w:val="4"/>
        <w:tabs>
          <w:tab w:val="left" w:pos="420"/>
        </w:tabs>
        <w:spacing w:before="0" w:after="0" w:line="400" w:lineRule="exact"/>
        <w:rPr>
          <w:rFonts w:ascii="仿宋" w:hAnsi="仿宋" w:eastAsia="仿宋" w:cs="仿宋"/>
          <w:bCs w:val="0"/>
          <w:sz w:val="24"/>
          <w:szCs w:val="24"/>
          <w:lang w:eastAsia="zh-CN"/>
        </w:rPr>
      </w:pPr>
      <w:bookmarkStart w:id="398" w:name="_Toc194073158"/>
      <w:bookmarkStart w:id="399" w:name="_Toc29009"/>
      <w:bookmarkStart w:id="400" w:name="_Toc13503"/>
      <w:bookmarkStart w:id="401" w:name="_Toc1820"/>
      <w:r>
        <w:rPr>
          <w:rFonts w:hint="eastAsia" w:ascii="仿宋" w:hAnsi="仿宋" w:eastAsia="仿宋" w:cs="仿宋"/>
          <w:bCs w:val="0"/>
          <w:sz w:val="24"/>
          <w:szCs w:val="24"/>
          <w:lang w:eastAsia="zh-CN"/>
        </w:rPr>
        <w:t>★</w:t>
      </w:r>
      <w:r>
        <w:rPr>
          <w:rFonts w:ascii="仿宋" w:hAnsi="仿宋" w:eastAsia="仿宋" w:cs="仿宋"/>
          <w:bCs w:val="0"/>
          <w:sz w:val="24"/>
          <w:szCs w:val="24"/>
          <w:lang w:eastAsia="zh-CN"/>
        </w:rPr>
        <w:t>4</w:t>
      </w:r>
      <w:r>
        <w:rPr>
          <w:rFonts w:hint="eastAsia" w:ascii="仿宋" w:hAnsi="仿宋" w:eastAsia="仿宋" w:cs="仿宋"/>
          <w:bCs w:val="0"/>
          <w:sz w:val="24"/>
          <w:szCs w:val="24"/>
          <w:lang w:eastAsia="zh-CN"/>
        </w:rPr>
        <w:t>8</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质量与安全管理</w:t>
      </w:r>
      <w:bookmarkEnd w:id="398"/>
      <w:bookmarkEnd w:id="399"/>
      <w:bookmarkEnd w:id="400"/>
      <w:bookmarkEnd w:id="401"/>
    </w:p>
    <w:p w14:paraId="5E03E4C6">
      <w:pPr>
        <w:tabs>
          <w:tab w:val="left" w:pos="780"/>
        </w:tabs>
        <w:adjustRightInd w:val="0"/>
        <w:snapToGrid w:val="0"/>
        <w:spacing w:line="400" w:lineRule="exact"/>
        <w:rPr>
          <w:rFonts w:ascii="仿宋" w:hAnsi="仿宋" w:eastAsia="仿宋"/>
          <w:b/>
          <w:bCs/>
          <w:lang w:eastAsia="zh-CN"/>
        </w:rPr>
      </w:pPr>
      <w:r>
        <w:rPr>
          <w:rFonts w:ascii="仿宋" w:hAnsi="仿宋" w:eastAsia="仿宋" w:cs="仿宋"/>
          <w:b/>
          <w:bCs/>
          <w:lang w:eastAsia="zh-CN"/>
        </w:rPr>
        <w:t>4</w:t>
      </w:r>
      <w:r>
        <w:rPr>
          <w:rFonts w:hint="eastAsia" w:ascii="仿宋" w:hAnsi="仿宋" w:eastAsia="仿宋" w:cs="仿宋"/>
          <w:b/>
          <w:bCs/>
          <w:lang w:eastAsia="zh-CN"/>
        </w:rPr>
        <w:t>8</w:t>
      </w:r>
      <w:r>
        <w:rPr>
          <w:rFonts w:ascii="仿宋" w:hAnsi="仿宋" w:eastAsia="仿宋" w:cs="仿宋"/>
          <w:b/>
          <w:bCs/>
          <w:lang w:eastAsia="zh-CN"/>
        </w:rPr>
        <w:t>.1</w:t>
      </w:r>
    </w:p>
    <w:p w14:paraId="0C1A9AC4">
      <w:pPr>
        <w:pStyle w:val="22"/>
        <w:adjustRightInd w:val="0"/>
        <w:snapToGrid w:val="0"/>
        <w:spacing w:line="400" w:lineRule="exact"/>
        <w:ind w:left="1850" w:leftChars="771"/>
        <w:jc w:val="both"/>
        <w:rPr>
          <w:rFonts w:ascii="仿宋" w:hAnsi="仿宋" w:eastAsia="仿宋"/>
          <w:sz w:val="24"/>
          <w:szCs w:val="24"/>
          <w:lang w:eastAsia="zh-CN"/>
        </w:rPr>
      </w:pPr>
      <w:r>
        <mc:AlternateContent>
          <mc:Choice Requires="wps">
            <w:drawing>
              <wp:anchor distT="0" distB="0" distL="114300" distR="114300" simplePos="0" relativeHeight="251783168" behindDoc="0" locked="0" layoutInCell="1" allowOverlap="1">
                <wp:simplePos x="0" y="0"/>
                <wp:positionH relativeFrom="column">
                  <wp:posOffset>-114300</wp:posOffset>
                </wp:positionH>
                <wp:positionV relativeFrom="paragraph">
                  <wp:posOffset>-6350</wp:posOffset>
                </wp:positionV>
                <wp:extent cx="814070" cy="587375"/>
                <wp:effectExtent l="0" t="0" r="0" b="0"/>
                <wp:wrapNone/>
                <wp:docPr id="200" name="文本框 852"/>
                <wp:cNvGraphicFramePr/>
                <a:graphic xmlns:a="http://schemas.openxmlformats.org/drawingml/2006/main">
                  <a:graphicData uri="http://schemas.microsoft.com/office/word/2010/wordprocessingShape">
                    <wps:wsp>
                      <wps:cNvSpPr txBox="1"/>
                      <wps:spPr>
                        <a:xfrm>
                          <a:off x="0" y="0"/>
                          <a:ext cx="814070" cy="587375"/>
                        </a:xfrm>
                        <a:prstGeom prst="rect">
                          <a:avLst/>
                        </a:prstGeom>
                        <a:noFill/>
                        <a:ln w="12700">
                          <a:noFill/>
                        </a:ln>
                      </wps:spPr>
                      <wps:txbx>
                        <w:txbxContent>
                          <w:p w14:paraId="529D1B6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txbxContent>
                      </wps:txbx>
                      <wps:bodyPr rot="0" vert="horz" wrap="square" lIns="91440" tIns="45720" rIns="91440" bIns="45720" anchor="t" anchorCtr="0"/>
                    </wps:wsp>
                  </a:graphicData>
                </a:graphic>
              </wp:anchor>
            </w:drawing>
          </mc:Choice>
          <mc:Fallback>
            <w:pict>
              <v:shape id="文本框 852" o:spid="_x0000_s1026" o:spt="202" type="#_x0000_t202" style="position:absolute;left:0pt;margin-left:-9pt;margin-top:-0.5pt;height:46.25pt;width:64.1pt;z-index:251783168;mso-width-relative:page;mso-height-relative:page;" filled="f" stroked="f" coordsize="21600,21600" o:gfxdata="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iikTi9YA&#10;AAAJAQAADwAAAAAAAAABACAAAAAiAAAAZHJzL2Rvd25yZXYueG1sUEsBAhQAFAAAAAgAh07iQLk2&#10;l5joAQAAvgMAAA4AAAAAAAAAAQAgAAAAJQEAAGRycy9lMm9Eb2MueG1sUEsFBgAAAAAGAAYAWQEA&#10;AH8FAAAAAA==&#10;">
                <v:fill on="f" focussize="0,0"/>
                <v:stroke on="f" weight="1pt"/>
                <v:imagedata o:title=""/>
                <o:lock v:ext="edit" aspectratio="f"/>
                <v:textbox>
                  <w:txbxContent>
                    <w:p w14:paraId="529D1B6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txbxContent>
                </v:textbox>
              </v:shape>
            </w:pict>
          </mc:Fallback>
        </mc:AlternateContent>
      </w:r>
      <w:r>
        <w:rPr>
          <w:rFonts w:hint="eastAsia" w:ascii="仿宋" w:hAnsi="仿宋" w:eastAsia="仿宋" w:cs="仿宋"/>
          <w:sz w:val="24"/>
          <w:szCs w:val="24"/>
          <w:lang w:eastAsia="zh-CN"/>
        </w:rPr>
        <w:t>合同双方当事人应严格遵守国家、省有关工程勘察设计及BIM技术应用成果质量、工程质量和施工安全的法律法规、标准与规范等规定，认真履行合同约定的工程质量和施工安全的职责和义务。如发生质量、安全方面的问题、隐患，合同双方当事人应按照国家规定时限如实上报政府有关部门，配合政府有关部门的调查、处理，由此发生的费用和（或）延误的工期由责任方承担。</w:t>
      </w:r>
    </w:p>
    <w:p w14:paraId="54CB7A6A">
      <w:pPr>
        <w:spacing w:line="400" w:lineRule="exact"/>
        <w:rPr>
          <w:rFonts w:ascii="仿宋" w:hAnsi="仿宋" w:eastAsia="仿宋"/>
          <w:b/>
          <w:bCs/>
          <w:lang w:eastAsia="zh-CN"/>
        </w:rPr>
      </w:pPr>
      <w:r>
        <w:rPr>
          <w:rFonts w:ascii="仿宋" w:hAnsi="仿宋" w:eastAsia="仿宋" w:cs="仿宋"/>
          <w:b/>
          <w:bCs/>
          <w:lang w:eastAsia="zh-CN"/>
        </w:rPr>
        <w:t>4</w:t>
      </w:r>
      <w:r>
        <w:rPr>
          <w:rFonts w:hint="eastAsia" w:ascii="仿宋" w:hAnsi="仿宋" w:eastAsia="仿宋" w:cs="仿宋"/>
          <w:b/>
          <w:bCs/>
          <w:lang w:eastAsia="zh-CN"/>
        </w:rPr>
        <w:t>8</w:t>
      </w:r>
      <w:r>
        <w:rPr>
          <w:rFonts w:ascii="仿宋" w:hAnsi="仿宋" w:eastAsia="仿宋" w:cs="仿宋"/>
          <w:b/>
          <w:bCs/>
          <w:lang w:eastAsia="zh-CN"/>
        </w:rPr>
        <w:t xml:space="preserve">.2  </w:t>
      </w:r>
      <w:r>
        <w:rPr>
          <w:rFonts w:ascii="仿宋" w:hAnsi="仿宋" w:eastAsia="仿宋" w:cs="仿宋"/>
          <w:b/>
          <w:bCs/>
          <w:u w:val="dotted"/>
          <w:lang w:eastAsia="zh-CN"/>
        </w:rPr>
        <w:t xml:space="preserve">                                                                               </w:t>
      </w:r>
    </w:p>
    <w:p w14:paraId="5328FE71">
      <w:pPr>
        <w:pStyle w:val="12"/>
        <w:adjustRightInd w:val="0"/>
        <w:snapToGrid w:val="0"/>
        <w:spacing w:line="400" w:lineRule="exact"/>
        <w:ind w:left="1850" w:leftChars="771" w:firstLine="0"/>
        <w:rPr>
          <w:rFonts w:ascii="仿宋" w:hAnsi="仿宋" w:eastAsia="仿宋" w:cs="仿宋"/>
          <w:lang w:eastAsia="zh-CN"/>
        </w:rPr>
      </w:pPr>
      <w:r>
        <mc:AlternateContent>
          <mc:Choice Requires="wps">
            <w:drawing>
              <wp:anchor distT="0" distB="0" distL="114300" distR="114300" simplePos="0" relativeHeight="251784192" behindDoc="0" locked="0" layoutInCell="1" allowOverlap="1">
                <wp:simplePos x="0" y="0"/>
                <wp:positionH relativeFrom="column">
                  <wp:posOffset>-114300</wp:posOffset>
                </wp:positionH>
                <wp:positionV relativeFrom="paragraph">
                  <wp:posOffset>35560</wp:posOffset>
                </wp:positionV>
                <wp:extent cx="851535" cy="523875"/>
                <wp:effectExtent l="0" t="0" r="0" b="0"/>
                <wp:wrapNone/>
                <wp:docPr id="201" name="文本框 853"/>
                <wp:cNvGraphicFramePr/>
                <a:graphic xmlns:a="http://schemas.openxmlformats.org/drawingml/2006/main">
                  <a:graphicData uri="http://schemas.microsoft.com/office/word/2010/wordprocessingShape">
                    <wps:wsp>
                      <wps:cNvSpPr txBox="1"/>
                      <wps:spPr>
                        <a:xfrm>
                          <a:off x="0" y="0"/>
                          <a:ext cx="851535" cy="523875"/>
                        </a:xfrm>
                        <a:prstGeom prst="rect">
                          <a:avLst/>
                        </a:prstGeom>
                        <a:noFill/>
                        <a:ln w="12700">
                          <a:noFill/>
                        </a:ln>
                      </wps:spPr>
                      <wps:txbx>
                        <w:txbxContent>
                          <w:p w14:paraId="7517D1E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txbxContent>
                      </wps:txbx>
                      <wps:bodyPr rot="0" vert="horz" wrap="square" lIns="91440" tIns="45720" rIns="91440" bIns="45720" anchor="t" anchorCtr="0"/>
                    </wps:wsp>
                  </a:graphicData>
                </a:graphic>
              </wp:anchor>
            </w:drawing>
          </mc:Choice>
          <mc:Fallback>
            <w:pict>
              <v:shape id="文本框 853" o:spid="_x0000_s1026" o:spt="202" type="#_x0000_t202" style="position:absolute;left:0pt;margin-left:-9pt;margin-top:2.8pt;height:41.25pt;width:67.05pt;z-index:251784192;mso-width-relative:page;mso-height-relative:page;" filled="f" stroked="f" coordsize="21600,21600" o:gfxdata="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hiM6I&#10;1wAAAAgBAAAPAAAAAAAAAAEAIAAAACIAAABkcnMvZG93bnJldi54bWxQSwECFAAUAAAACACHTuJA&#10;/P9SY+kBAAC+AwAADgAAAAAAAAABACAAAAAmAQAAZHJzL2Uyb0RvYy54bWxQSwUGAAAAAAYABgBZ&#10;AQAAgQUAAAAA&#10;">
                <v:fill on="f" focussize="0,0"/>
                <v:stroke on="f" weight="1pt"/>
                <v:imagedata o:title=""/>
                <o:lock v:ext="edit" aspectratio="f"/>
                <v:textbox>
                  <w:txbxContent>
                    <w:p w14:paraId="7517D1E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txbxContent>
                </v:textbox>
              </v:shape>
            </w:pict>
          </mc:Fallback>
        </mc:AlternateContent>
      </w:r>
      <w:r>
        <w:rPr>
          <w:rFonts w:hint="eastAsia" w:ascii="仿宋" w:hAnsi="仿宋" w:eastAsia="仿宋" w:cs="仿宋"/>
          <w:lang w:eastAsia="zh-CN"/>
        </w:rPr>
        <w:t>发包人在领取施工许可证或者提交开工报告之前，应及时按照国家有关规定对勘察、设计成果进行审查；报送政府、行业主管部门或施工图审查机构审查；办理合同工程质量和施工安全监督手续。</w:t>
      </w:r>
    </w:p>
    <w:p w14:paraId="06D9AF7E">
      <w:pPr>
        <w:pStyle w:val="12"/>
        <w:adjustRightInd w:val="0"/>
        <w:snapToGrid w:val="0"/>
        <w:spacing w:line="400" w:lineRule="exact"/>
        <w:ind w:left="1850" w:leftChars="771" w:firstLine="0"/>
        <w:rPr>
          <w:rFonts w:ascii="仿宋" w:hAnsi="仿宋" w:eastAsia="仿宋"/>
          <w:lang w:eastAsia="zh-CN"/>
        </w:rPr>
      </w:pPr>
      <w:r>
        <w:rPr>
          <w:rFonts w:hint="eastAsia" w:ascii="仿宋" w:hAnsi="仿宋" w:eastAsia="仿宋" w:cs="仿宋"/>
          <w:lang w:eastAsia="zh-CN"/>
        </w:rPr>
        <w:t>承包人应组织勘察、设计成果、建筑信息模型（BIM）的内部审查，加强勘察、设计、BIM技术、采购、施工等专业人员的内部协调和管理，在施工场地设置专门的工程质量和施工安全管理机构，配备专职管理人员，建立完善的管理制度。</w:t>
      </w:r>
    </w:p>
    <w:p w14:paraId="7A913515">
      <w:pPr>
        <w:spacing w:line="400" w:lineRule="exact"/>
        <w:rPr>
          <w:rFonts w:ascii="仿宋" w:hAnsi="仿宋" w:eastAsia="仿宋"/>
          <w:b/>
          <w:bCs/>
          <w:lang w:eastAsia="zh-CN"/>
        </w:rPr>
      </w:pPr>
      <w:r>
        <mc:AlternateContent>
          <mc:Choice Requires="wps">
            <w:drawing>
              <wp:anchor distT="0" distB="0" distL="114300" distR="114300" simplePos="0" relativeHeight="252024832" behindDoc="0" locked="0" layoutInCell="1" allowOverlap="1">
                <wp:simplePos x="0" y="0"/>
                <wp:positionH relativeFrom="column">
                  <wp:posOffset>-114300</wp:posOffset>
                </wp:positionH>
                <wp:positionV relativeFrom="paragraph">
                  <wp:posOffset>351790</wp:posOffset>
                </wp:positionV>
                <wp:extent cx="815340" cy="469265"/>
                <wp:effectExtent l="0" t="0" r="0" b="0"/>
                <wp:wrapNone/>
                <wp:docPr id="202" name="文本框 854"/>
                <wp:cNvGraphicFramePr/>
                <a:graphic xmlns:a="http://schemas.openxmlformats.org/drawingml/2006/main">
                  <a:graphicData uri="http://schemas.microsoft.com/office/word/2010/wordprocessingShape">
                    <wps:wsp>
                      <wps:cNvSpPr txBox="1"/>
                      <wps:spPr>
                        <a:xfrm>
                          <a:off x="0" y="0"/>
                          <a:ext cx="815340" cy="469265"/>
                        </a:xfrm>
                        <a:prstGeom prst="rect">
                          <a:avLst/>
                        </a:prstGeom>
                        <a:noFill/>
                        <a:ln w="12700">
                          <a:noFill/>
                        </a:ln>
                      </wps:spPr>
                      <wps:txbx>
                        <w:txbxContent>
                          <w:p w14:paraId="2CC6A0F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txbxContent>
                      </wps:txbx>
                      <wps:bodyPr rot="0" vert="horz" wrap="square" lIns="91440" tIns="45720" rIns="91440" bIns="45720" anchor="t" anchorCtr="0"/>
                    </wps:wsp>
                  </a:graphicData>
                </a:graphic>
              </wp:anchor>
            </w:drawing>
          </mc:Choice>
          <mc:Fallback>
            <w:pict>
              <v:shape id="文本框 854" o:spid="_x0000_s1026" o:spt="202" type="#_x0000_t202" style="position:absolute;left:0pt;margin-left:-9pt;margin-top:27.7pt;height:36.95pt;width:64.2pt;z-index:252024832;mso-width-relative:page;mso-height-relative:page;" filled="f" stroked="f" coordsize="21600,21600" o:gfxdata="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8m2&#10;vdgAAAAKAQAADwAAAAAAAAABACAAAAAiAAAAZHJzL2Rvd25yZXYueG1sUEsBAhQAFAAAAAgAh07i&#10;QPPfeIvpAQAAvgMAAA4AAAAAAAAAAQAgAAAAJwEAAGRycy9lMm9Eb2MueG1sUEsFBgAAAAAGAAYA&#10;WQEAAIIFAAAAAA==&#10;">
                <v:fill on="f" focussize="0,0"/>
                <v:stroke on="f" weight="1pt"/>
                <v:imagedata o:title=""/>
                <o:lock v:ext="edit" aspectratio="f"/>
                <v:textbox>
                  <w:txbxContent>
                    <w:p w14:paraId="2CC6A0F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txbxContent>
                </v:textbox>
              </v:shape>
            </w:pict>
          </mc:Fallback>
        </mc:AlternateContent>
      </w:r>
      <w:r>
        <w:rPr>
          <w:rFonts w:ascii="仿宋" w:hAnsi="仿宋" w:eastAsia="仿宋" w:cs="仿宋"/>
          <w:b/>
          <w:bCs/>
          <w:lang w:eastAsia="zh-CN"/>
        </w:rPr>
        <w:t>4</w:t>
      </w:r>
      <w:r>
        <w:rPr>
          <w:rFonts w:hint="eastAsia" w:ascii="仿宋" w:hAnsi="仿宋" w:eastAsia="仿宋" w:cs="仿宋"/>
          <w:b/>
          <w:bCs/>
          <w:lang w:eastAsia="zh-CN"/>
        </w:rPr>
        <w:t>8</w:t>
      </w:r>
      <w:r>
        <w:rPr>
          <w:rFonts w:ascii="仿宋" w:hAnsi="仿宋" w:eastAsia="仿宋" w:cs="仿宋"/>
          <w:b/>
          <w:bCs/>
          <w:lang w:eastAsia="zh-CN"/>
        </w:rPr>
        <w:t xml:space="preserve">.3  </w:t>
      </w:r>
      <w:r>
        <w:rPr>
          <w:rFonts w:ascii="仿宋" w:hAnsi="仿宋" w:eastAsia="仿宋" w:cs="仿宋"/>
          <w:b/>
          <w:bCs/>
          <w:u w:val="dotted"/>
          <w:lang w:eastAsia="zh-CN"/>
        </w:rPr>
        <w:t xml:space="preserve">                                                                               </w:t>
      </w:r>
    </w:p>
    <w:p w14:paraId="76CE25BE">
      <w:pPr>
        <w:pStyle w:val="12"/>
        <w:adjustRightInd w:val="0"/>
        <w:snapToGrid w:val="0"/>
        <w:spacing w:line="400" w:lineRule="exact"/>
        <w:ind w:left="1850" w:leftChars="771" w:firstLine="0"/>
        <w:rPr>
          <w:rFonts w:ascii="仿宋" w:hAnsi="仿宋" w:eastAsia="仿宋"/>
          <w:lang w:eastAsia="zh-CN"/>
        </w:rPr>
      </w:pPr>
      <w:r>
        <w:rPr>
          <w:rFonts w:hint="eastAsia" w:ascii="仿宋" w:hAnsi="仿宋" w:eastAsia="仿宋" w:cs="仿宋"/>
          <w:lang w:eastAsia="zh-CN"/>
        </w:rPr>
        <w:t>发包人不得以任何理由，要求承包人在勘察（如果有）、设计、BIM技术应用、设备及工器具购置（如果有）、施工等作业中违反法律法规、工程建设强制性标准，以及工程质量和施工安全标准，降低合同工程质量。承包人应加强对勘察、设计、设备及工器具购置、施工等管理、技术、作业人员的工程质量和施工安全教育培训，定期考核施工作业人员的劳动技能，加强工程质量和施工安全管理。</w:t>
      </w:r>
    </w:p>
    <w:p w14:paraId="088F6028">
      <w:pPr>
        <w:spacing w:line="400" w:lineRule="exact"/>
        <w:rPr>
          <w:rFonts w:ascii="仿宋" w:hAnsi="仿宋" w:eastAsia="仿宋"/>
          <w:lang w:eastAsia="zh-CN"/>
        </w:rPr>
      </w:pPr>
      <w:r>
        <mc:AlternateContent>
          <mc:Choice Requires="wps">
            <w:drawing>
              <wp:anchor distT="0" distB="0" distL="114300" distR="114300" simplePos="0" relativeHeight="252025856" behindDoc="0" locked="0" layoutInCell="1" allowOverlap="1">
                <wp:simplePos x="0" y="0"/>
                <wp:positionH relativeFrom="column">
                  <wp:posOffset>-115570</wp:posOffset>
                </wp:positionH>
                <wp:positionV relativeFrom="paragraph">
                  <wp:posOffset>279400</wp:posOffset>
                </wp:positionV>
                <wp:extent cx="842645" cy="626110"/>
                <wp:effectExtent l="0" t="0" r="0" b="0"/>
                <wp:wrapNone/>
                <wp:docPr id="203" name="文本框 855"/>
                <wp:cNvGraphicFramePr/>
                <a:graphic xmlns:a="http://schemas.openxmlformats.org/drawingml/2006/main">
                  <a:graphicData uri="http://schemas.microsoft.com/office/word/2010/wordprocessingShape">
                    <wps:wsp>
                      <wps:cNvSpPr txBox="1"/>
                      <wps:spPr>
                        <a:xfrm>
                          <a:off x="0" y="0"/>
                          <a:ext cx="842645" cy="626110"/>
                        </a:xfrm>
                        <a:prstGeom prst="rect">
                          <a:avLst/>
                        </a:prstGeom>
                        <a:noFill/>
                        <a:ln w="12700">
                          <a:noFill/>
                        </a:ln>
                      </wps:spPr>
                      <wps:txbx>
                        <w:txbxContent>
                          <w:p w14:paraId="12BE2E9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承包人对质量与安全负责</w:t>
                            </w:r>
                          </w:p>
                        </w:txbxContent>
                      </wps:txbx>
                      <wps:bodyPr rot="0" vert="horz" wrap="square" lIns="91440" tIns="45720" rIns="91440" bIns="45720" anchor="t" anchorCtr="0"/>
                    </wps:wsp>
                  </a:graphicData>
                </a:graphic>
              </wp:anchor>
            </w:drawing>
          </mc:Choice>
          <mc:Fallback>
            <w:pict>
              <v:shape id="文本框 855" o:spid="_x0000_s1026" o:spt="202" type="#_x0000_t202" style="position:absolute;left:0pt;margin-left:-9.1pt;margin-top:22pt;height:49.3pt;width:66.35pt;z-index:252025856;mso-width-relative:page;mso-height-relative:page;" filled="f" stroked="f" coordsize="21600,21600" o:gfxdata="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9rOnINgAAAAKAQAADwAAAAAAAAABACAAAAAiAAAAZHJzL2Rvd25yZXYueG1sUEsBAhQAFAAAAAgA&#10;h07iQB1QIu/sAQAAvgMAAA4AAAAAAAAAAQAgAAAAJwEAAGRycy9lMm9Eb2MueG1sUEsFBgAAAAAG&#10;AAYAWQEAAIUFAAAAAA==&#10;">
                <v:fill on="f" focussize="0,0"/>
                <v:stroke on="f" weight="1pt"/>
                <v:imagedata o:title=""/>
                <o:lock v:ext="edit" aspectratio="f"/>
                <v:textbox>
                  <w:txbxContent>
                    <w:p w14:paraId="12BE2E9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承包人对质量与安全负责</w:t>
                      </w:r>
                    </w:p>
                  </w:txbxContent>
                </v:textbox>
              </v:shape>
            </w:pict>
          </mc:Fallback>
        </mc:AlternateContent>
      </w:r>
      <w:r>
        <w:rPr>
          <w:rFonts w:ascii="仿宋" w:hAnsi="仿宋" w:eastAsia="仿宋" w:cs="仿宋"/>
          <w:b/>
          <w:bCs/>
          <w:lang w:eastAsia="zh-CN"/>
        </w:rPr>
        <w:t>4</w:t>
      </w:r>
      <w:r>
        <w:rPr>
          <w:rFonts w:hint="eastAsia" w:ascii="仿宋" w:hAnsi="仿宋" w:eastAsia="仿宋" w:cs="仿宋"/>
          <w:b/>
          <w:bCs/>
          <w:lang w:eastAsia="zh-CN"/>
        </w:rPr>
        <w:t>8</w:t>
      </w:r>
      <w:r>
        <w:rPr>
          <w:rFonts w:ascii="仿宋" w:hAnsi="仿宋" w:eastAsia="仿宋" w:cs="仿宋"/>
          <w:b/>
          <w:bCs/>
          <w:lang w:eastAsia="zh-CN"/>
        </w:rPr>
        <w:t xml:space="preserve">.4  </w:t>
      </w:r>
      <w:r>
        <w:rPr>
          <w:rFonts w:ascii="仿宋" w:hAnsi="仿宋" w:eastAsia="仿宋" w:cs="仿宋"/>
          <w:b/>
          <w:bCs/>
          <w:u w:val="dotted"/>
          <w:lang w:eastAsia="zh-CN"/>
        </w:rPr>
        <w:t xml:space="preserve"> </w:t>
      </w:r>
      <w:r>
        <w:rPr>
          <w:rFonts w:ascii="仿宋" w:hAnsi="仿宋" w:eastAsia="仿宋" w:cs="仿宋"/>
          <w:u w:val="dotted"/>
          <w:lang w:eastAsia="zh-CN"/>
        </w:rPr>
        <w:t xml:space="preserve">                                                                              </w:t>
      </w:r>
    </w:p>
    <w:p w14:paraId="57883ACF">
      <w:pPr>
        <w:pStyle w:val="12"/>
        <w:adjustRightInd w:val="0"/>
        <w:snapToGrid w:val="0"/>
        <w:spacing w:line="400" w:lineRule="exact"/>
        <w:ind w:left="1850" w:leftChars="771" w:firstLine="0"/>
        <w:rPr>
          <w:rFonts w:ascii="仿宋" w:hAnsi="仿宋" w:eastAsia="仿宋"/>
          <w:lang w:eastAsia="zh-CN"/>
        </w:rPr>
      </w:pPr>
      <w:r>
        <w:rPr>
          <w:rFonts w:hint="eastAsia" w:ascii="仿宋" w:hAnsi="仿宋" w:eastAsia="仿宋" w:cs="仿宋"/>
          <w:lang w:eastAsia="zh-CN"/>
        </w:rPr>
        <w:t>承包人应对合同工程质量和施工安全负责，严格执行国家、省有关工程质量和施工安全的操作规程及管理要求，组织设计文件内部审查，按约定报送发包人审查，按照批准的施工设计图纸和施工技术标准施工，不得偷工减料，不得擅自修改施工设计图纸，确保合同工程质量和施工安全。</w:t>
      </w:r>
    </w:p>
    <w:p w14:paraId="073E9C58">
      <w:pPr>
        <w:pStyle w:val="12"/>
        <w:adjustRightInd w:val="0"/>
        <w:snapToGrid w:val="0"/>
        <w:spacing w:line="400" w:lineRule="exact"/>
        <w:ind w:left="1850" w:leftChars="771" w:firstLine="0"/>
        <w:rPr>
          <w:rFonts w:ascii="仿宋" w:hAnsi="仿宋" w:eastAsia="仿宋"/>
          <w:lang w:eastAsia="zh-CN"/>
        </w:rPr>
      </w:pPr>
      <w:r>
        <w:rPr>
          <w:rFonts w:hint="eastAsia" w:ascii="仿宋" w:hAnsi="仿宋" w:eastAsia="仿宋" w:cs="仿宋"/>
          <w:lang w:eastAsia="zh-CN"/>
        </w:rPr>
        <w:t>因承包人原因造成工程质量未达到合同约定标准的，发包人有权要求承包人返工直至工程质量达到合同约定的标准为止，并由承包人承担由此增加的费用和延误工期的责任。</w:t>
      </w:r>
    </w:p>
    <w:p w14:paraId="64BFBD53">
      <w:pPr>
        <w:spacing w:line="400" w:lineRule="exact"/>
        <w:rPr>
          <w:rFonts w:ascii="仿宋" w:hAnsi="仿宋" w:eastAsia="仿宋"/>
          <w:lang w:eastAsia="zh-CN"/>
        </w:rPr>
      </w:pPr>
      <w:r>
        <mc:AlternateContent>
          <mc:Choice Requires="wps">
            <w:drawing>
              <wp:anchor distT="0" distB="0" distL="114300" distR="114300" simplePos="0" relativeHeight="251785216" behindDoc="0" locked="0" layoutInCell="1" allowOverlap="1">
                <wp:simplePos x="0" y="0"/>
                <wp:positionH relativeFrom="column">
                  <wp:posOffset>-123825</wp:posOffset>
                </wp:positionH>
                <wp:positionV relativeFrom="paragraph">
                  <wp:posOffset>224790</wp:posOffset>
                </wp:positionV>
                <wp:extent cx="794385" cy="535305"/>
                <wp:effectExtent l="0" t="0" r="0" b="0"/>
                <wp:wrapNone/>
                <wp:docPr id="204" name="文本框 856"/>
                <wp:cNvGraphicFramePr/>
                <a:graphic xmlns:a="http://schemas.openxmlformats.org/drawingml/2006/main">
                  <a:graphicData uri="http://schemas.microsoft.com/office/word/2010/wordprocessingShape">
                    <wps:wsp>
                      <wps:cNvSpPr txBox="1"/>
                      <wps:spPr>
                        <a:xfrm>
                          <a:off x="0" y="0"/>
                          <a:ext cx="794385" cy="535305"/>
                        </a:xfrm>
                        <a:prstGeom prst="rect">
                          <a:avLst/>
                        </a:prstGeom>
                        <a:noFill/>
                        <a:ln w="12700">
                          <a:noFill/>
                        </a:ln>
                      </wps:spPr>
                      <wps:txbx>
                        <w:txbxContent>
                          <w:p w14:paraId="673BA43E">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发包人对质量与安全应负的责任</w:t>
                            </w:r>
                          </w:p>
                        </w:txbxContent>
                      </wps:txbx>
                      <wps:bodyPr rot="0" vert="horz" wrap="square" lIns="91440" tIns="45720" rIns="91440" bIns="45720" anchor="t" anchorCtr="0"/>
                    </wps:wsp>
                  </a:graphicData>
                </a:graphic>
              </wp:anchor>
            </w:drawing>
          </mc:Choice>
          <mc:Fallback>
            <w:pict>
              <v:shape id="文本框 856" o:spid="_x0000_s1026" o:spt="202" type="#_x0000_t202" style="position:absolute;left:0pt;margin-left:-9.75pt;margin-top:17.7pt;height:42.15pt;width:62.55pt;z-index:251785216;mso-width-relative:page;mso-height-relative:page;" filled="f" stroked="f" coordsize="21600,21600" o:gfxdata="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O&#10;w3Fn2AAAAAoBAAAPAAAAAAAAAAEAIAAAACIAAABkcnMvZG93bnJldi54bWxQSwECFAAUAAAACACH&#10;TuJAM+KYIesBAAC+AwAADgAAAAAAAAABACAAAAAnAQAAZHJzL2Uyb0RvYy54bWxQSwUGAAAAAAYA&#10;BgBZAQAAhAUAAAAA&#10;">
                <v:fill on="f" focussize="0,0"/>
                <v:stroke on="f" weight="1pt"/>
                <v:imagedata o:title=""/>
                <o:lock v:ext="edit" aspectratio="f"/>
                <v:textbox>
                  <w:txbxContent>
                    <w:p w14:paraId="673BA43E">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发包人对质量与安全应负的责任</w:t>
                      </w:r>
                    </w:p>
                  </w:txbxContent>
                </v:textbox>
              </v:shape>
            </w:pict>
          </mc:Fallback>
        </mc:AlternateContent>
      </w:r>
      <w:r>
        <w:rPr>
          <w:rFonts w:ascii="仿宋" w:hAnsi="仿宋" w:eastAsia="仿宋" w:cs="仿宋"/>
          <w:b/>
          <w:bCs/>
          <w:lang w:eastAsia="zh-CN"/>
        </w:rPr>
        <w:t>4</w:t>
      </w:r>
      <w:r>
        <w:rPr>
          <w:rFonts w:hint="eastAsia" w:ascii="仿宋" w:hAnsi="仿宋" w:eastAsia="仿宋" w:cs="仿宋"/>
          <w:b/>
          <w:bCs/>
          <w:lang w:eastAsia="zh-CN"/>
        </w:rPr>
        <w:t>8</w:t>
      </w:r>
      <w:r>
        <w:rPr>
          <w:rFonts w:ascii="仿宋" w:hAnsi="仿宋" w:eastAsia="仿宋" w:cs="仿宋"/>
          <w:b/>
          <w:bCs/>
          <w:lang w:eastAsia="zh-CN"/>
        </w:rPr>
        <w:t xml:space="preserve">.5  </w:t>
      </w:r>
      <w:r>
        <w:rPr>
          <w:rFonts w:ascii="仿宋" w:hAnsi="仿宋" w:eastAsia="仿宋" w:cs="仿宋"/>
          <w:b/>
          <w:bCs/>
          <w:u w:val="dotted"/>
          <w:lang w:eastAsia="zh-CN"/>
        </w:rPr>
        <w:t xml:space="preserve"> </w:t>
      </w:r>
      <w:r>
        <w:rPr>
          <w:rFonts w:ascii="仿宋" w:hAnsi="仿宋" w:eastAsia="仿宋" w:cs="仿宋"/>
          <w:u w:val="dotted"/>
          <w:lang w:eastAsia="zh-CN"/>
        </w:rPr>
        <w:t xml:space="preserve">                                                                              </w:t>
      </w:r>
    </w:p>
    <w:p w14:paraId="07E9FDD4">
      <w:pPr>
        <w:autoSpaceDE w:val="0"/>
        <w:autoSpaceDN w:val="0"/>
        <w:adjustRightInd w:val="0"/>
        <w:spacing w:line="400" w:lineRule="exact"/>
        <w:ind w:left="1850" w:leftChars="771"/>
        <w:rPr>
          <w:rFonts w:ascii="仿宋" w:hAnsi="仿宋" w:eastAsia="仿宋"/>
          <w:lang w:eastAsia="zh-CN"/>
        </w:rPr>
      </w:pPr>
      <w:r>
        <w:rPr>
          <w:rFonts w:hint="eastAsia" w:ascii="仿宋" w:hAnsi="仿宋" w:eastAsia="仿宋" w:cs="仿宋"/>
          <w:lang w:eastAsia="zh-CN"/>
        </w:rPr>
        <w:t>因发包人原因造成工程质量未达到合同约定标准的，由发包人承担由此增加的费用和延误工期的责任，增加的费用按本合同相关条款约定计算。</w:t>
      </w:r>
    </w:p>
    <w:p w14:paraId="6C5F162D">
      <w:pPr>
        <w:spacing w:line="400" w:lineRule="exact"/>
        <w:rPr>
          <w:rFonts w:ascii="仿宋" w:hAnsi="仿宋" w:eastAsia="仿宋" w:cs="仿宋"/>
          <w:u w:val="dotted"/>
          <w:lang w:eastAsia="zh-CN"/>
        </w:rPr>
      </w:pPr>
      <w:r>
        <w:rPr>
          <w:rFonts w:ascii="仿宋" w:hAnsi="仿宋" w:eastAsia="仿宋" w:cs="仿宋"/>
          <w:b/>
          <w:bCs/>
          <w:lang w:eastAsia="zh-CN"/>
        </w:rPr>
        <w:t>4</w:t>
      </w:r>
      <w:r>
        <w:rPr>
          <w:rFonts w:hint="eastAsia" w:ascii="仿宋" w:hAnsi="仿宋" w:eastAsia="仿宋" w:cs="仿宋"/>
          <w:b/>
          <w:bCs/>
          <w:lang w:eastAsia="zh-CN"/>
        </w:rPr>
        <w:t>8</w:t>
      </w:r>
      <w:r>
        <w:rPr>
          <w:rFonts w:ascii="仿宋" w:hAnsi="仿宋" w:eastAsia="仿宋" w:cs="仿宋"/>
          <w:b/>
          <w:bCs/>
          <w:lang w:eastAsia="zh-CN"/>
        </w:rPr>
        <w:t xml:space="preserve">.6 </w:t>
      </w:r>
      <w:r>
        <w:rPr>
          <w:rFonts w:ascii="仿宋" w:hAnsi="仿宋" w:eastAsia="仿宋" w:cs="仿宋"/>
          <w:b/>
          <w:bCs/>
          <w:u w:val="dotted"/>
          <w:lang w:eastAsia="zh-CN"/>
        </w:rPr>
        <w:t xml:space="preserve"> </w:t>
      </w:r>
      <w:r>
        <w:rPr>
          <w:rFonts w:ascii="仿宋" w:hAnsi="仿宋" w:eastAsia="仿宋" w:cs="仿宋"/>
          <w:u w:val="dotted"/>
          <w:lang w:eastAsia="zh-CN"/>
        </w:rPr>
        <w:t xml:space="preserve">                                                                               </w:t>
      </w:r>
    </w:p>
    <w:p w14:paraId="1B77685B">
      <w:pPr>
        <w:widowControl w:val="0"/>
        <w:autoSpaceDE w:val="0"/>
        <w:autoSpaceDN w:val="0"/>
        <w:adjustRightInd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786240" behindDoc="0" locked="0" layoutInCell="1" allowOverlap="1">
                <wp:simplePos x="0" y="0"/>
                <wp:positionH relativeFrom="column">
                  <wp:posOffset>-114300</wp:posOffset>
                </wp:positionH>
                <wp:positionV relativeFrom="paragraph">
                  <wp:posOffset>16510</wp:posOffset>
                </wp:positionV>
                <wp:extent cx="855980" cy="741045"/>
                <wp:effectExtent l="0" t="0" r="0" b="0"/>
                <wp:wrapNone/>
                <wp:docPr id="205" name="文本框 857"/>
                <wp:cNvGraphicFramePr/>
                <a:graphic xmlns:a="http://schemas.openxmlformats.org/drawingml/2006/main">
                  <a:graphicData uri="http://schemas.microsoft.com/office/word/2010/wordprocessingShape">
                    <wps:wsp>
                      <wps:cNvSpPr txBox="1"/>
                      <wps:spPr>
                        <a:xfrm>
                          <a:off x="0" y="0"/>
                          <a:ext cx="855980" cy="741045"/>
                        </a:xfrm>
                        <a:prstGeom prst="rect">
                          <a:avLst/>
                        </a:prstGeom>
                        <a:noFill/>
                        <a:ln w="12700">
                          <a:noFill/>
                        </a:ln>
                      </wps:spPr>
                      <wps:txbx>
                        <w:txbxContent>
                          <w:p w14:paraId="6743A399">
                            <w:pPr>
                              <w:rPr>
                                <w:color w:val="FF0000"/>
                                <w:lang w:eastAsia="zh-CN"/>
                              </w:rPr>
                            </w:pPr>
                            <w:r>
                              <w:rPr>
                                <w:rFonts w:hint="eastAsia" w:ascii="楷体_GB2312" w:hAnsi="宋体" w:eastAsia="楷体_GB2312" w:cs="楷体_GB2312"/>
                                <w:b/>
                                <w:bCs/>
                                <w:sz w:val="18"/>
                                <w:szCs w:val="18"/>
                                <w:lang w:eastAsia="zh-CN"/>
                              </w:rPr>
                              <w:t>监理人的质量检查和检验</w:t>
                            </w:r>
                          </w:p>
                        </w:txbxContent>
                      </wps:txbx>
                      <wps:bodyPr rot="0" vert="horz" wrap="square" lIns="91440" tIns="45720" rIns="91440" bIns="45720" anchor="t" anchorCtr="0"/>
                    </wps:wsp>
                  </a:graphicData>
                </a:graphic>
              </wp:anchor>
            </w:drawing>
          </mc:Choice>
          <mc:Fallback>
            <w:pict>
              <v:shape id="文本框 857" o:spid="_x0000_s1026" o:spt="202" type="#_x0000_t202" style="position:absolute;left:0pt;margin-left:-9pt;margin-top:1.3pt;height:58.35pt;width:67.4pt;z-index:251786240;mso-width-relative:page;mso-height-relative:page;" filled="f" stroked="f" coordsize="21600,21600" o:gfxdata="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lwy&#10;ZNcAAAAJAQAADwAAAAAAAAABACAAAAAiAAAAZHJzL2Rvd25yZXYueG1sUEsBAhQAFAAAAAgAh07i&#10;QIlOBwbqAQAAvgMAAA4AAAAAAAAAAQAgAAAAJgEAAGRycy9lMm9Eb2MueG1sUEsFBgAAAAAGAAYA&#10;WQEAAIIFAAAAAA==&#10;">
                <v:fill on="f" focussize="0,0"/>
                <v:stroke on="f" weight="1pt"/>
                <v:imagedata o:title=""/>
                <o:lock v:ext="edit" aspectratio="f"/>
                <v:textbox>
                  <w:txbxContent>
                    <w:p w14:paraId="6743A399">
                      <w:pPr>
                        <w:rPr>
                          <w:color w:val="FF0000"/>
                          <w:lang w:eastAsia="zh-CN"/>
                        </w:rPr>
                      </w:pPr>
                      <w:r>
                        <w:rPr>
                          <w:rFonts w:hint="eastAsia" w:ascii="楷体_GB2312" w:hAnsi="宋体" w:eastAsia="楷体_GB2312" w:cs="楷体_GB2312"/>
                          <w:b/>
                          <w:bCs/>
                          <w:sz w:val="18"/>
                          <w:szCs w:val="18"/>
                          <w:lang w:eastAsia="zh-CN"/>
                        </w:rPr>
                        <w:t>监理人的质量检查和检验</w:t>
                      </w:r>
                    </w:p>
                  </w:txbxContent>
                </v:textbox>
              </v:shape>
            </w:pict>
          </mc:Fallback>
        </mc:AlternateContent>
      </w:r>
      <w:r>
        <w:rPr>
          <w:rFonts w:hint="eastAsia" w:ascii="仿宋" w:hAnsi="仿宋" w:eastAsia="仿宋" w:cs="仿宋"/>
          <w:lang w:eastAsia="zh-CN"/>
        </w:rPr>
        <w:t>监理人按照法律规定和发包人授权对工程的所有部位及其施工工艺、工程材料和工程设备进行检查和检验。承包人应为监理人的检查和检验提供方便，包括监理人到施工现场，或制造、加工地点，或合同约定的其他地方进行查看和查阅施工原始记录。监理人为此进行的检查和检验，不免除或减轻承包人按照合同约定应当承担的责任。</w:t>
      </w:r>
    </w:p>
    <w:p w14:paraId="357E7CFF">
      <w:pPr>
        <w:pStyle w:val="12"/>
        <w:adjustRightInd w:val="0"/>
        <w:snapToGrid w:val="0"/>
        <w:spacing w:line="400" w:lineRule="exact"/>
        <w:ind w:firstLine="0"/>
        <w:rPr>
          <w:rFonts w:ascii="仿宋" w:hAnsi="仿宋" w:eastAsia="仿宋" w:cs="仿宋"/>
          <w:b/>
          <w:bCs/>
          <w:u w:val="single"/>
          <w:lang w:eastAsia="zh-CN"/>
        </w:rPr>
      </w:pPr>
      <w:r>
        <w:rPr>
          <w:rFonts w:ascii="仿宋" w:hAnsi="仿宋" w:eastAsia="仿宋" w:cs="仿宋"/>
          <w:b/>
          <w:bCs/>
          <w:u w:val="single"/>
          <w:lang w:eastAsia="zh-CN"/>
        </w:rPr>
        <w:t xml:space="preserve">                                                                                     </w:t>
      </w:r>
    </w:p>
    <w:p w14:paraId="6D8E6CF1">
      <w:pPr>
        <w:pStyle w:val="4"/>
        <w:tabs>
          <w:tab w:val="left" w:pos="420"/>
        </w:tabs>
        <w:spacing w:before="0" w:after="0" w:line="400" w:lineRule="exact"/>
        <w:rPr>
          <w:rFonts w:ascii="仿宋" w:hAnsi="仿宋" w:eastAsia="仿宋" w:cs="仿宋"/>
          <w:bCs w:val="0"/>
          <w:sz w:val="24"/>
          <w:szCs w:val="24"/>
          <w:lang w:eastAsia="zh-CN"/>
        </w:rPr>
      </w:pPr>
      <w:bookmarkStart w:id="402" w:name="_Toc194073159"/>
      <w:bookmarkStart w:id="403" w:name="_Toc27281"/>
      <w:bookmarkStart w:id="404" w:name="_Toc16981"/>
      <w:bookmarkStart w:id="405" w:name="_Toc30005"/>
      <w:r>
        <w:rPr>
          <w:rFonts w:hint="eastAsia" w:ascii="仿宋" w:hAnsi="仿宋" w:eastAsia="仿宋" w:cs="仿宋"/>
          <w:bCs w:val="0"/>
          <w:sz w:val="24"/>
          <w:szCs w:val="24"/>
          <w:lang w:eastAsia="zh-CN"/>
        </w:rPr>
        <w:t>★49</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质量标准</w:t>
      </w:r>
      <w:bookmarkEnd w:id="402"/>
      <w:bookmarkEnd w:id="403"/>
      <w:bookmarkEnd w:id="404"/>
      <w:bookmarkEnd w:id="405"/>
    </w:p>
    <w:p w14:paraId="07778337">
      <w:pPr>
        <w:adjustRightInd w:val="0"/>
        <w:snapToGrid w:val="0"/>
        <w:spacing w:line="400" w:lineRule="exact"/>
        <w:rPr>
          <w:rFonts w:ascii="仿宋" w:hAnsi="仿宋" w:eastAsia="仿宋"/>
          <w:b/>
          <w:bCs/>
          <w:lang w:eastAsia="zh-CN"/>
        </w:rPr>
      </w:pPr>
      <w:r>
        <w:rPr>
          <w:rFonts w:hint="eastAsia" w:ascii="仿宋" w:hAnsi="仿宋" w:eastAsia="仿宋" w:cs="仿宋"/>
          <w:b/>
          <w:bCs/>
          <w:lang w:eastAsia="zh-CN"/>
        </w:rPr>
        <w:t>49</w:t>
      </w:r>
      <w:r>
        <w:rPr>
          <w:rFonts w:ascii="仿宋" w:hAnsi="仿宋" w:eastAsia="仿宋" w:cs="仿宋"/>
          <w:b/>
          <w:bCs/>
          <w:lang w:eastAsia="zh-CN"/>
        </w:rPr>
        <w:t>.1</w:t>
      </w:r>
    </w:p>
    <w:p w14:paraId="47DA6C6E">
      <w:pPr>
        <w:adjustRightInd w:val="0"/>
        <w:snapToGrid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787264" behindDoc="0" locked="0" layoutInCell="1" allowOverlap="1">
                <wp:simplePos x="0" y="0"/>
                <wp:positionH relativeFrom="column">
                  <wp:posOffset>-114300</wp:posOffset>
                </wp:positionH>
                <wp:positionV relativeFrom="paragraph">
                  <wp:posOffset>8255</wp:posOffset>
                </wp:positionV>
                <wp:extent cx="822960" cy="711200"/>
                <wp:effectExtent l="0" t="0" r="0" b="0"/>
                <wp:wrapNone/>
                <wp:docPr id="206" name="文本框 858"/>
                <wp:cNvGraphicFramePr/>
                <a:graphic xmlns:a="http://schemas.openxmlformats.org/drawingml/2006/main">
                  <a:graphicData uri="http://schemas.microsoft.com/office/word/2010/wordprocessingShape">
                    <wps:wsp>
                      <wps:cNvSpPr txBox="1"/>
                      <wps:spPr>
                        <a:xfrm>
                          <a:off x="0" y="0"/>
                          <a:ext cx="822960" cy="711200"/>
                        </a:xfrm>
                        <a:prstGeom prst="rect">
                          <a:avLst/>
                        </a:prstGeom>
                        <a:noFill/>
                        <a:ln w="12700">
                          <a:noFill/>
                        </a:ln>
                      </wps:spPr>
                      <wps:txbx>
                        <w:txbxContent>
                          <w:p w14:paraId="54A73E8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约定工作或工程质量标准</w:t>
                            </w:r>
                          </w:p>
                        </w:txbxContent>
                      </wps:txbx>
                      <wps:bodyPr rot="0" vert="horz" wrap="square" lIns="91440" tIns="45720" rIns="91440" bIns="45720" anchor="t" anchorCtr="0"/>
                    </wps:wsp>
                  </a:graphicData>
                </a:graphic>
              </wp:anchor>
            </w:drawing>
          </mc:Choice>
          <mc:Fallback>
            <w:pict>
              <v:shape id="文本框 858" o:spid="_x0000_s1026" o:spt="202" type="#_x0000_t202" style="position:absolute;left:0pt;margin-left:-9pt;margin-top:0.65pt;height:56pt;width:64.8pt;z-index:251787264;mso-width-relative:page;mso-height-relative:page;" filled="f" stroked="f" coordsize="21600,21600" o:gfxdata="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cUhlq1gAA&#10;AAkBAAAPAAAAAAAAAAEAIAAAACIAAABkcnMvZG93bnJldi54bWxQSwECFAAUAAAACACHTuJAl9DX&#10;SOcBAAC+AwAADgAAAAAAAAABACAAAAAlAQAAZHJzL2Uyb0RvYy54bWxQSwUGAAAAAAYABgBZAQAA&#10;fgUAAAAA&#10;">
                <v:fill on="f" focussize="0,0"/>
                <v:stroke on="f" weight="1pt"/>
                <v:imagedata o:title=""/>
                <o:lock v:ext="edit" aspectratio="f"/>
                <v:textbox>
                  <w:txbxContent>
                    <w:p w14:paraId="54A73E8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约定工作或工程质量标准</w:t>
                      </w:r>
                    </w:p>
                  </w:txbxContent>
                </v:textbox>
              </v:shape>
            </w:pict>
          </mc:Fallback>
        </mc:AlternateContent>
      </w:r>
      <w:r>
        <w:rPr>
          <w:rFonts w:hint="eastAsia" w:ascii="仿宋" w:hAnsi="仿宋" w:eastAsia="仿宋" w:cs="仿宋"/>
          <w:lang w:eastAsia="zh-CN"/>
        </w:rPr>
        <w:t>合同双方当事人应在专用条款中约定勘察（如果有）、设计、BIM技术应用、设备及工器具购置（如果有）、施工等总承包范围内的服务工作和工程质量标准，但不得低于国家或行业的强制性标准。服务工作和工程质量应当达到专用条款约定的质量标准。</w:t>
      </w:r>
    </w:p>
    <w:p w14:paraId="0566B275">
      <w:pPr>
        <w:adjustRightInd w:val="0"/>
        <w:snapToGrid w:val="0"/>
        <w:spacing w:line="400" w:lineRule="exact"/>
        <w:ind w:left="1850" w:leftChars="771"/>
        <w:jc w:val="both"/>
        <w:rPr>
          <w:rFonts w:ascii="仿宋" w:hAnsi="仿宋" w:eastAsia="仿宋"/>
          <w:lang w:eastAsia="zh-CN"/>
        </w:rPr>
      </w:pPr>
      <w:r>
        <w:rPr>
          <w:rFonts w:hint="eastAsia" w:ascii="仿宋" w:hAnsi="仿宋" w:eastAsia="仿宋" w:cs="仿宋"/>
          <w:lang w:eastAsia="zh-CN"/>
        </w:rPr>
        <w:t>工程质量验收，按照合同约定的标准执行；合同没有约定的，按照国家或行业的质量验收标准执行。</w:t>
      </w:r>
    </w:p>
    <w:p w14:paraId="69E1873F">
      <w:pPr>
        <w:spacing w:line="400" w:lineRule="exact"/>
        <w:rPr>
          <w:rFonts w:ascii="仿宋" w:hAnsi="仿宋" w:eastAsia="仿宋"/>
          <w:lang w:eastAsia="zh-CN"/>
        </w:rPr>
      </w:pPr>
      <w:r>
        <w:rPr>
          <w:rFonts w:hint="eastAsia"/>
          <w:lang w:eastAsia="zh-CN"/>
        </w:rPr>
        <w:t>49</w:t>
      </w:r>
      <w:r>
        <w:rPr>
          <w:rFonts w:ascii="仿宋" w:hAnsi="仿宋" w:eastAsia="仿宋" w:cs="仿宋"/>
          <w:b/>
          <w:bCs/>
          <w:lang w:eastAsia="zh-CN"/>
        </w:rPr>
        <w:t>.2</w:t>
      </w:r>
      <w:r>
        <w:rPr>
          <w:rFonts w:ascii="仿宋" w:hAnsi="仿宋" w:eastAsia="仿宋" w:cs="仿宋"/>
          <w:lang w:eastAsia="zh-CN"/>
        </w:rPr>
        <w:t xml:space="preserve">  </w:t>
      </w:r>
      <w:r>
        <w:rPr>
          <w:rFonts w:ascii="仿宋" w:hAnsi="仿宋" w:eastAsia="仿宋" w:cs="仿宋"/>
          <w:u w:val="dotted"/>
          <w:lang w:eastAsia="zh-CN"/>
        </w:rPr>
        <w:t xml:space="preserve">                                                                               </w:t>
      </w:r>
    </w:p>
    <w:p w14:paraId="4E85BE06">
      <w:pPr>
        <w:adjustRightInd w:val="0"/>
        <w:snapToGrid w:val="0"/>
        <w:spacing w:line="400" w:lineRule="exact"/>
        <w:ind w:left="1850" w:leftChars="771"/>
        <w:rPr>
          <w:rFonts w:ascii="仿宋" w:hAnsi="仿宋" w:eastAsia="仿宋"/>
          <w:lang w:eastAsia="zh-CN"/>
        </w:rPr>
      </w:pPr>
      <w:r>
        <mc:AlternateContent>
          <mc:Choice Requires="wps">
            <w:drawing>
              <wp:anchor distT="0" distB="0" distL="114300" distR="114300" simplePos="0" relativeHeight="252026880" behindDoc="0" locked="0" layoutInCell="1" allowOverlap="1">
                <wp:simplePos x="0" y="0"/>
                <wp:positionH relativeFrom="column">
                  <wp:posOffset>-9525</wp:posOffset>
                </wp:positionH>
                <wp:positionV relativeFrom="paragraph">
                  <wp:posOffset>48895</wp:posOffset>
                </wp:positionV>
                <wp:extent cx="843915" cy="551815"/>
                <wp:effectExtent l="0" t="0" r="0" b="0"/>
                <wp:wrapNone/>
                <wp:docPr id="207" name="文本框 859"/>
                <wp:cNvGraphicFramePr/>
                <a:graphic xmlns:a="http://schemas.openxmlformats.org/drawingml/2006/main">
                  <a:graphicData uri="http://schemas.microsoft.com/office/word/2010/wordprocessingShape">
                    <wps:wsp>
                      <wps:cNvSpPr txBox="1"/>
                      <wps:spPr>
                        <a:xfrm>
                          <a:off x="0" y="0"/>
                          <a:ext cx="843915" cy="551815"/>
                        </a:xfrm>
                        <a:prstGeom prst="rect">
                          <a:avLst/>
                        </a:prstGeom>
                        <a:noFill/>
                        <a:ln w="12700">
                          <a:noFill/>
                        </a:ln>
                      </wps:spPr>
                      <wps:txbx>
                        <w:txbxContent>
                          <w:p w14:paraId="2F2D5701">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承包人保证工作或工程质量的职责</w:t>
                            </w:r>
                          </w:p>
                        </w:txbxContent>
                      </wps:txbx>
                      <wps:bodyPr rot="0" vert="horz" wrap="square" lIns="91440" tIns="45720" rIns="91440" bIns="45720" anchor="t" anchorCtr="0"/>
                    </wps:wsp>
                  </a:graphicData>
                </a:graphic>
              </wp:anchor>
            </w:drawing>
          </mc:Choice>
          <mc:Fallback>
            <w:pict>
              <v:shape id="文本框 859" o:spid="_x0000_s1026" o:spt="202" type="#_x0000_t202" style="position:absolute;left:0pt;margin-left:-0.75pt;margin-top:3.85pt;height:43.45pt;width:66.45pt;z-index:252026880;mso-width-relative:page;mso-height-relative:page;" filled="f" stroked="f" coordsize="21600,21600" o:gfxdata="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xHC0HdUA&#10;AAAHAQAADwAAAAAAAAABACAAAAAiAAAAZHJzL2Rvd25yZXYueG1sUEsBAhQAFAAAAAgAh07iQIAI&#10;qyzpAQAAvgMAAA4AAAAAAAAAAQAgAAAAJAEAAGRycy9lMm9Eb2MueG1sUEsFBgAAAAAGAAYAWQEA&#10;AH8FAAAAAA==&#10;">
                <v:fill on="f" focussize="0,0"/>
                <v:stroke on="f" weight="1pt"/>
                <v:imagedata o:title=""/>
                <o:lock v:ext="edit" aspectratio="f"/>
                <v:textbox>
                  <w:txbxContent>
                    <w:p w14:paraId="2F2D5701">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承包人保证工作或工程质量的职责</w:t>
                      </w:r>
                    </w:p>
                  </w:txbxContent>
                </v:textbox>
              </v:shape>
            </w:pict>
          </mc:Fallback>
        </mc:AlternateContent>
      </w:r>
      <w:r>
        <w:rPr>
          <w:rFonts w:hint="eastAsia" w:ascii="仿宋" w:hAnsi="仿宋" w:eastAsia="仿宋" w:cs="仿宋"/>
          <w:lang w:eastAsia="zh-CN"/>
        </w:rPr>
        <w:t>承包人对合同工程的工作质量和工程质量向发包人负责，其职责包括但不限于下列内容：</w:t>
      </w:r>
    </w:p>
    <w:p w14:paraId="6423B0A7">
      <w:pPr>
        <w:adjustRightInd w:val="0"/>
        <w:snapToGrid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（1）编制勘察、设计、BIM技术应用、设备及工器具购置等工作方案，确定工作方法，制定质量保证措施；</w:t>
      </w:r>
    </w:p>
    <w:p w14:paraId="463B0148">
      <w:pPr>
        <w:adjustRightInd w:val="0"/>
        <w:snapToGrid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（2）安排足够的勘察、设计、BIM技术应用等专业技术人员，检查和控制成果质量；</w:t>
      </w:r>
    </w:p>
    <w:p w14:paraId="3DC16592">
      <w:pPr>
        <w:adjustRightInd w:val="0"/>
        <w:snapToGrid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（3）编制施工技术方案，确定施工技术措施；</w:t>
      </w:r>
    </w:p>
    <w:p w14:paraId="0DF11553">
      <w:pPr>
        <w:adjustRightInd w:val="0"/>
        <w:snapToGrid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（4）提供和组织足够的工程技术人员，检查和控制工程施工质量；</w:t>
      </w:r>
    </w:p>
    <w:p w14:paraId="2472CBBB">
      <w:pPr>
        <w:adjustRightInd w:val="0"/>
        <w:snapToGrid w:val="0"/>
        <w:spacing w:line="400" w:lineRule="exact"/>
        <w:ind w:left="1850" w:leftChars="771"/>
        <w:jc w:val="both"/>
        <w:rPr>
          <w:rFonts w:ascii="仿宋" w:hAnsi="仿宋" w:eastAsia="仿宋"/>
          <w:lang w:eastAsia="zh-CN"/>
        </w:rPr>
      </w:pPr>
      <w:r>
        <w:rPr>
          <w:rFonts w:hint="eastAsia" w:ascii="仿宋" w:hAnsi="仿宋" w:eastAsia="仿宋" w:cs="仿宋"/>
          <w:lang w:eastAsia="zh-CN"/>
        </w:rPr>
        <w:t>（5）控制施工所用的工程材料和工程设备，使其符合标准与规范、设计要求及合同约定的标准；</w:t>
      </w:r>
    </w:p>
    <w:p w14:paraId="3B1FBFD7">
      <w:pPr>
        <w:adjustRightInd w:val="0"/>
        <w:snapToGrid w:val="0"/>
        <w:spacing w:line="400" w:lineRule="exact"/>
        <w:ind w:left="1850" w:leftChars="771"/>
        <w:jc w:val="both"/>
        <w:rPr>
          <w:rFonts w:ascii="仿宋" w:hAnsi="仿宋" w:eastAsia="仿宋"/>
          <w:lang w:eastAsia="zh-CN"/>
        </w:rPr>
      </w:pPr>
      <w:r>
        <w:rPr>
          <w:rFonts w:hint="eastAsia" w:ascii="仿宋" w:hAnsi="仿宋" w:eastAsia="仿宋" w:cs="仿宋"/>
          <w:lang w:eastAsia="zh-CN"/>
        </w:rPr>
        <w:t>（6）负责合同工程施工中出现质量问题或竣工验收不合格的返修工作；</w:t>
      </w:r>
    </w:p>
    <w:p w14:paraId="287E2BB2">
      <w:pPr>
        <w:adjustRightInd w:val="0"/>
        <w:snapToGrid w:val="0"/>
        <w:spacing w:line="400" w:lineRule="exact"/>
        <w:ind w:left="1850" w:leftChars="771"/>
        <w:jc w:val="both"/>
        <w:rPr>
          <w:rFonts w:ascii="仿宋" w:hAnsi="仿宋" w:eastAsia="仿宋"/>
          <w:lang w:eastAsia="zh-CN"/>
        </w:rPr>
      </w:pPr>
      <w:r>
        <w:rPr>
          <w:rFonts w:hint="eastAsia" w:ascii="仿宋" w:hAnsi="仿宋" w:eastAsia="仿宋" w:cs="仿宋"/>
          <w:lang w:eastAsia="zh-CN"/>
        </w:rPr>
        <w:t>（7）参加合同工程的所有验收工作，包括隐蔽验收、中间验收；参加竣工验收，组织分包人参加工程验收工作；</w:t>
      </w:r>
    </w:p>
    <w:p w14:paraId="6091F332">
      <w:pPr>
        <w:adjustRightInd w:val="0"/>
        <w:snapToGrid w:val="0"/>
        <w:spacing w:line="400" w:lineRule="exact"/>
        <w:ind w:left="1850" w:leftChars="771"/>
        <w:jc w:val="both"/>
        <w:rPr>
          <w:rFonts w:ascii="仿宋" w:hAnsi="仿宋" w:eastAsia="仿宋"/>
          <w:lang w:eastAsia="zh-CN"/>
        </w:rPr>
      </w:pPr>
      <w:r>
        <w:rPr>
          <w:rFonts w:hint="eastAsia" w:ascii="仿宋" w:hAnsi="仿宋" w:eastAsia="仿宋" w:cs="仿宋"/>
          <w:lang w:eastAsia="zh-CN"/>
        </w:rPr>
        <w:t>（8）承担质量保修期的工程保修责任；</w:t>
      </w:r>
    </w:p>
    <w:p w14:paraId="36D30EFC">
      <w:pPr>
        <w:adjustRightInd w:val="0"/>
        <w:snapToGrid w:val="0"/>
        <w:spacing w:line="400" w:lineRule="exact"/>
        <w:ind w:left="1850" w:leftChars="771"/>
        <w:jc w:val="both"/>
        <w:rPr>
          <w:rFonts w:ascii="仿宋" w:hAnsi="仿宋" w:eastAsia="仿宋"/>
          <w:lang w:eastAsia="zh-CN"/>
        </w:rPr>
      </w:pPr>
      <w:r>
        <w:rPr>
          <w:rFonts w:hint="eastAsia" w:ascii="仿宋" w:hAnsi="仿宋" w:eastAsia="仿宋" w:cs="仿宋"/>
          <w:lang w:eastAsia="zh-CN"/>
        </w:rPr>
        <w:t>（9）承担其他工程质量责任。</w:t>
      </w:r>
    </w:p>
    <w:p w14:paraId="7B6DA759">
      <w:pPr>
        <w:spacing w:line="400" w:lineRule="exact"/>
        <w:rPr>
          <w:rFonts w:ascii="仿宋" w:hAnsi="仿宋" w:eastAsia="仿宋"/>
          <w:b/>
          <w:bCs/>
          <w:lang w:eastAsia="zh-CN"/>
        </w:rPr>
      </w:pPr>
      <w:r>
        <w:rPr>
          <w:rFonts w:hint="eastAsia" w:ascii="仿宋" w:hAnsi="仿宋" w:eastAsia="仿宋" w:cs="仿宋"/>
          <w:b/>
          <w:bCs/>
          <w:lang w:eastAsia="zh-CN"/>
        </w:rPr>
        <w:t>49</w:t>
      </w:r>
      <w:r>
        <w:rPr>
          <w:rFonts w:ascii="仿宋" w:hAnsi="仿宋" w:eastAsia="仿宋" w:cs="仿宋"/>
          <w:b/>
          <w:bCs/>
          <w:lang w:eastAsia="zh-CN"/>
        </w:rPr>
        <w:t xml:space="preserve">.3  </w:t>
      </w:r>
      <w:r>
        <w:rPr>
          <w:rFonts w:ascii="仿宋" w:hAnsi="仿宋" w:eastAsia="仿宋" w:cs="仿宋"/>
          <w:b/>
          <w:bCs/>
          <w:u w:val="dotted"/>
          <w:lang w:eastAsia="zh-CN"/>
        </w:rPr>
        <w:t xml:space="preserve">                                                                               </w:t>
      </w:r>
    </w:p>
    <w:p w14:paraId="36660719">
      <w:pPr>
        <w:pStyle w:val="33"/>
        <w:widowControl w:val="0"/>
        <w:adjustRightInd w:val="0"/>
        <w:snapToGrid w:val="0"/>
        <w:spacing w:line="400" w:lineRule="exact"/>
        <w:ind w:left="1850" w:leftChars="771"/>
        <w:jc w:val="both"/>
        <w:rPr>
          <w:rFonts w:ascii="仿宋" w:hAnsi="仿宋" w:eastAsia="仿宋"/>
          <w:lang w:eastAsia="zh-CN"/>
        </w:rPr>
      </w:pPr>
      <w:r>
        <w:rPr>
          <w:rFonts w:ascii="仿宋" w:hAnsi="仿宋" w:eastAsia="仿宋" w:cs="仿宋"/>
          <w:b/>
          <w:bCs/>
        </w:rPr>
        <mc:AlternateContent>
          <mc:Choice Requires="wps">
            <w:drawing>
              <wp:anchor distT="0" distB="0" distL="114300" distR="114300" simplePos="0" relativeHeight="252027904" behindDoc="0" locked="0" layoutInCell="1" allowOverlap="1">
                <wp:simplePos x="0" y="0"/>
                <wp:positionH relativeFrom="column">
                  <wp:posOffset>-114300</wp:posOffset>
                </wp:positionH>
                <wp:positionV relativeFrom="paragraph">
                  <wp:posOffset>57150</wp:posOffset>
                </wp:positionV>
                <wp:extent cx="774700" cy="407035"/>
                <wp:effectExtent l="0" t="0" r="0" b="0"/>
                <wp:wrapNone/>
                <wp:docPr id="208" name="文本框 860"/>
                <wp:cNvGraphicFramePr/>
                <a:graphic xmlns:a="http://schemas.openxmlformats.org/drawingml/2006/main">
                  <a:graphicData uri="http://schemas.microsoft.com/office/word/2010/wordprocessingShape">
                    <wps:wsp>
                      <wps:cNvSpPr txBox="1"/>
                      <wps:spPr>
                        <a:xfrm>
                          <a:off x="0" y="0"/>
                          <a:ext cx="774700" cy="407035"/>
                        </a:xfrm>
                        <a:prstGeom prst="rect">
                          <a:avLst/>
                        </a:prstGeom>
                        <a:noFill/>
                        <a:ln w="12700">
                          <a:noFill/>
                        </a:ln>
                      </wps:spPr>
                      <wps:txbx>
                        <w:txbxContent>
                          <w:p w14:paraId="3084E43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txbxContent>
                      </wps:txbx>
                      <wps:bodyPr rot="0" vert="horz" wrap="square" lIns="91440" tIns="45720" rIns="91440" bIns="45720" anchor="t" anchorCtr="0"/>
                    </wps:wsp>
                  </a:graphicData>
                </a:graphic>
              </wp:anchor>
            </w:drawing>
          </mc:Choice>
          <mc:Fallback>
            <w:pict>
              <v:shape id="文本框 860" o:spid="_x0000_s1026" o:spt="202" type="#_x0000_t202" style="position:absolute;left:0pt;margin-left:-9pt;margin-top:4.5pt;height:32.05pt;width:61pt;z-index:252027904;mso-width-relative:page;mso-height-relative:page;" filled="f" stroked="f" coordsize="21600,21600" o:gfxdata="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VqHyD1wAA&#10;AAgBAAAPAAAAAAAAAAEAIAAAACIAAABkcnMvZG93bnJldi54bWxQSwECFAAUAAAACACHTuJAP/BO&#10;Q+YBAAC+AwAADgAAAAAAAAABACAAAAAmAQAAZHJzL2Uyb0RvYy54bWxQSwUGAAAAAAYABgBZAQAA&#10;fgUAAAAA&#10;">
                <v:fill on="f" focussize="0,0"/>
                <v:stroke on="f" weight="1pt"/>
                <v:imagedata o:title=""/>
                <o:lock v:ext="edit" aspectratio="f"/>
                <v:textbox>
                  <w:txbxContent>
                    <w:p w14:paraId="3084E43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txbxContent>
                </v:textbox>
              </v:shape>
            </w:pict>
          </mc:Fallback>
        </mc:AlternateContent>
      </w:r>
      <w:r>
        <w:rPr>
          <w:rFonts w:hint="eastAsia" w:ascii="仿宋" w:hAnsi="仿宋" w:eastAsia="仿宋" w:cs="仿宋"/>
          <w:lang w:eastAsia="zh-CN"/>
        </w:rPr>
        <w:t>承包人应建立健全完善的质量保证体系。</w:t>
      </w:r>
    </w:p>
    <w:p w14:paraId="07633FE6">
      <w:pPr>
        <w:pStyle w:val="33"/>
        <w:widowControl w:val="0"/>
        <w:adjustRightInd w:val="0"/>
        <w:snapToGrid w:val="0"/>
        <w:spacing w:line="400" w:lineRule="exact"/>
        <w:ind w:left="1850" w:leftChars="771"/>
        <w:jc w:val="both"/>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1</w:t>
      </w:r>
      <w:r>
        <w:rPr>
          <w:rFonts w:hint="eastAsia" w:ascii="仿宋" w:hAnsi="仿宋" w:eastAsia="仿宋" w:cs="仿宋"/>
          <w:lang w:eastAsia="zh-CN"/>
        </w:rPr>
        <w:t>）承包人应向发包人和监理人提交工程质量保证体系及措施文件，建立完善的质量检查制度，并提交相应的工程质量文件。对于发包人和监理人违反法律规定和合同约定的错误指示，承包人有权拒绝实施。</w:t>
      </w:r>
    </w:p>
    <w:p w14:paraId="73DF92AA">
      <w:pPr>
        <w:pStyle w:val="33"/>
        <w:widowControl w:val="0"/>
        <w:adjustRightInd w:val="0"/>
        <w:snapToGrid w:val="0"/>
        <w:spacing w:line="400" w:lineRule="exact"/>
        <w:ind w:left="1850" w:leftChars="771"/>
        <w:jc w:val="both"/>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2</w:t>
      </w:r>
      <w:r>
        <w:rPr>
          <w:rFonts w:hint="eastAsia" w:ascii="仿宋" w:hAnsi="仿宋" w:eastAsia="仿宋" w:cs="仿宋"/>
          <w:lang w:eastAsia="zh-CN"/>
        </w:rPr>
        <w:t>）承包人应遵守质量保证体系，对施工人员进行质量教育和技术培训，定期考核施工人员的劳动技能，严格执行施工规范和操作规程。即使承包人遵守质量保证体系，也不能免除其按照合同约定应承担的任何责任和应履行的任何义务。</w:t>
      </w:r>
    </w:p>
    <w:p w14:paraId="09DFB6F7">
      <w:pPr>
        <w:spacing w:line="400" w:lineRule="exact"/>
        <w:rPr>
          <w:rFonts w:ascii="仿宋" w:hAnsi="仿宋" w:eastAsia="仿宋"/>
          <w:b/>
          <w:bCs/>
          <w:lang w:eastAsia="zh-CN"/>
        </w:rPr>
      </w:pPr>
      <w:r>
        <w:rPr>
          <w:rFonts w:ascii="仿宋" w:hAnsi="仿宋" w:eastAsia="仿宋" w:cs="仿宋"/>
          <w:b/>
          <w:bCs/>
        </w:rPr>
        <mc:AlternateContent>
          <mc:Choice Requires="wps">
            <w:drawing>
              <wp:anchor distT="0" distB="0" distL="114300" distR="114300" simplePos="0" relativeHeight="252028928" behindDoc="0" locked="0" layoutInCell="1" allowOverlap="1">
                <wp:simplePos x="0" y="0"/>
                <wp:positionH relativeFrom="column">
                  <wp:posOffset>-114300</wp:posOffset>
                </wp:positionH>
                <wp:positionV relativeFrom="paragraph">
                  <wp:posOffset>276225</wp:posOffset>
                </wp:positionV>
                <wp:extent cx="762000" cy="473710"/>
                <wp:effectExtent l="0" t="0" r="0" b="0"/>
                <wp:wrapNone/>
                <wp:docPr id="209" name="文本框 861"/>
                <wp:cNvGraphicFramePr/>
                <a:graphic xmlns:a="http://schemas.openxmlformats.org/drawingml/2006/main">
                  <a:graphicData uri="http://schemas.microsoft.com/office/word/2010/wordprocessingShape">
                    <wps:wsp>
                      <wps:cNvSpPr txBox="1"/>
                      <wps:spPr>
                        <a:xfrm>
                          <a:off x="0" y="0"/>
                          <a:ext cx="762000" cy="473710"/>
                        </a:xfrm>
                        <a:prstGeom prst="rect">
                          <a:avLst/>
                        </a:prstGeom>
                        <a:noFill/>
                        <a:ln w="12700">
                          <a:noFill/>
                        </a:ln>
                      </wps:spPr>
                      <wps:txbx>
                        <w:txbxContent>
                          <w:p w14:paraId="33D875E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txbxContent>
                      </wps:txbx>
                      <wps:bodyPr rot="0" vert="horz" wrap="square" lIns="91440" tIns="45720" rIns="91440" bIns="45720" anchor="t" anchorCtr="0"/>
                    </wps:wsp>
                  </a:graphicData>
                </a:graphic>
              </wp:anchor>
            </w:drawing>
          </mc:Choice>
          <mc:Fallback>
            <w:pict>
              <v:shape id="文本框 861" o:spid="_x0000_s1026" o:spt="202" type="#_x0000_t202" style="position:absolute;left:0pt;margin-left:-9pt;margin-top:21.75pt;height:37.3pt;width:60pt;z-index:252028928;mso-width-relative:page;mso-height-relative:page;" filled="f" stroked="f" coordsize="21600,21600" o:gfxdata="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Lz2p+&#10;1wAAAAoBAAAPAAAAAAAAAAEAIAAAACIAAABkcnMvZG93bnJldi54bWxQSwECFAAUAAAACACHTuJA&#10;YilVS+kBAAC+AwAADgAAAAAAAAABACAAAAAmAQAAZHJzL2Uyb0RvYy54bWxQSwUGAAAAAAYABgBZ&#10;AQAAgQUAAAAA&#10;">
                <v:fill on="f" focussize="0,0"/>
                <v:stroke on="f" weight="1pt"/>
                <v:imagedata o:title=""/>
                <o:lock v:ext="edit" aspectratio="f"/>
                <v:textbox>
                  <w:txbxContent>
                    <w:p w14:paraId="33D875E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txbxContent>
                </v:textbox>
              </v:shape>
            </w:pict>
          </mc:Fallback>
        </mc:AlternateContent>
      </w:r>
      <w:r>
        <w:rPr>
          <w:rFonts w:hint="eastAsia" w:ascii="仿宋" w:hAnsi="仿宋" w:eastAsia="仿宋" w:cs="仿宋"/>
          <w:b/>
          <w:bCs/>
          <w:lang w:eastAsia="zh-CN"/>
        </w:rPr>
        <w:t>49</w:t>
      </w:r>
      <w:r>
        <w:rPr>
          <w:rFonts w:ascii="仿宋" w:hAnsi="仿宋" w:eastAsia="仿宋" w:cs="仿宋"/>
          <w:b/>
          <w:bCs/>
          <w:lang w:eastAsia="zh-CN"/>
        </w:rPr>
        <w:t xml:space="preserve">.4 </w:t>
      </w:r>
      <w:r>
        <w:rPr>
          <w:rFonts w:ascii="仿宋" w:hAnsi="仿宋" w:eastAsia="仿宋" w:cs="仿宋"/>
          <w:b/>
          <w:bCs/>
          <w:u w:val="dotted"/>
          <w:lang w:eastAsia="zh-CN"/>
        </w:rPr>
        <w:t xml:space="preserve">                                                                                </w:t>
      </w:r>
    </w:p>
    <w:p w14:paraId="0BE45B8C">
      <w:pPr>
        <w:widowControl w:val="0"/>
        <w:adjustRightInd w:val="0"/>
        <w:snapToGrid w:val="0"/>
        <w:spacing w:line="400" w:lineRule="exact"/>
        <w:ind w:left="1850" w:leftChars="771"/>
        <w:rPr>
          <w:rFonts w:ascii="仿宋" w:hAnsi="仿宋" w:eastAsia="仿宋"/>
          <w:lang w:eastAsia="zh-CN"/>
        </w:rPr>
      </w:pPr>
      <w:r>
        <w:rPr>
          <w:rFonts w:hint="eastAsia" w:ascii="仿宋" w:hAnsi="仿宋" w:eastAsia="仿宋" w:cs="仿宋"/>
          <w:lang w:eastAsia="zh-CN"/>
        </w:rPr>
        <w:t>合同双方当事人对工程质量有争议的，按照第91</w:t>
      </w:r>
      <w:r>
        <w:rPr>
          <w:rFonts w:ascii="仿宋" w:hAnsi="仿宋" w:eastAsia="仿宋" w:cs="仿宋"/>
          <w:lang w:eastAsia="zh-CN"/>
        </w:rPr>
        <w:t>.4</w:t>
      </w:r>
      <w:r>
        <w:rPr>
          <w:rFonts w:hint="eastAsia" w:ascii="仿宋" w:hAnsi="仿宋" w:eastAsia="仿宋" w:cs="仿宋"/>
          <w:lang w:eastAsia="zh-CN"/>
        </w:rPr>
        <w:t>款约定调解或认定，所需的费用及由此造成的损失，由责任方承担。双方均有责任的，由双方根据其责任划分分别承担。</w:t>
      </w:r>
    </w:p>
    <w:p w14:paraId="2BF1BA3F">
      <w:pPr>
        <w:tabs>
          <w:tab w:val="left" w:pos="1620"/>
        </w:tabs>
        <w:adjustRightInd w:val="0"/>
        <w:snapToGrid w:val="0"/>
        <w:spacing w:line="400" w:lineRule="exact"/>
        <w:rPr>
          <w:rFonts w:ascii="仿宋" w:hAnsi="仿宋" w:eastAsia="仿宋" w:cs="仿宋"/>
          <w:b/>
          <w:bCs/>
          <w:u w:val="single"/>
          <w:lang w:eastAsia="zh-CN"/>
        </w:rPr>
      </w:pPr>
      <w:r>
        <w:rPr>
          <w:rFonts w:ascii="仿宋" w:hAnsi="仿宋" w:eastAsia="仿宋" w:cs="仿宋"/>
          <w:b/>
          <w:bCs/>
          <w:u w:val="single"/>
          <w:lang w:eastAsia="zh-CN"/>
        </w:rPr>
        <w:t xml:space="preserve">                                                                                     </w:t>
      </w:r>
    </w:p>
    <w:p w14:paraId="1A1A5011">
      <w:pPr>
        <w:pStyle w:val="4"/>
        <w:tabs>
          <w:tab w:val="left" w:pos="420"/>
        </w:tabs>
        <w:spacing w:before="0" w:after="0" w:line="400" w:lineRule="exact"/>
        <w:rPr>
          <w:rFonts w:ascii="仿宋" w:hAnsi="仿宋" w:eastAsia="仿宋" w:cs="仿宋"/>
          <w:bCs w:val="0"/>
          <w:sz w:val="24"/>
          <w:szCs w:val="24"/>
          <w:lang w:eastAsia="zh-CN"/>
        </w:rPr>
      </w:pPr>
      <w:bookmarkStart w:id="406" w:name="_Toc11833"/>
      <w:bookmarkStart w:id="407" w:name="_Toc157"/>
      <w:bookmarkStart w:id="408" w:name="_Toc194073160"/>
      <w:bookmarkStart w:id="409" w:name="_Toc14910"/>
      <w:r>
        <w:rPr>
          <w:rFonts w:hint="eastAsia" w:ascii="仿宋" w:hAnsi="仿宋" w:eastAsia="仿宋" w:cs="仿宋"/>
          <w:bCs w:val="0"/>
          <w:sz w:val="24"/>
          <w:szCs w:val="24"/>
          <w:lang w:eastAsia="zh-CN"/>
        </w:rPr>
        <w:t>★50</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工程质量创优</w:t>
      </w:r>
      <w:bookmarkEnd w:id="406"/>
      <w:bookmarkEnd w:id="407"/>
      <w:bookmarkEnd w:id="408"/>
      <w:bookmarkEnd w:id="409"/>
    </w:p>
    <w:p w14:paraId="6DC99675">
      <w:pPr>
        <w:spacing w:line="400" w:lineRule="exact"/>
        <w:rPr>
          <w:rFonts w:ascii="仿宋" w:hAnsi="仿宋" w:eastAsia="仿宋"/>
          <w:b/>
          <w:bCs/>
          <w:caps/>
          <w:lang w:eastAsia="zh-CN"/>
        </w:rPr>
      </w:pPr>
      <w:bookmarkStart w:id="410" w:name="_Toc5870"/>
      <w:r>
        <mc:AlternateContent>
          <mc:Choice Requires="wps">
            <w:drawing>
              <wp:anchor distT="0" distB="0" distL="114300" distR="114300" simplePos="0" relativeHeight="251788288" behindDoc="0" locked="0" layoutInCell="1" allowOverlap="1">
                <wp:simplePos x="0" y="0"/>
                <wp:positionH relativeFrom="column">
                  <wp:posOffset>-85725</wp:posOffset>
                </wp:positionH>
                <wp:positionV relativeFrom="paragraph">
                  <wp:posOffset>217170</wp:posOffset>
                </wp:positionV>
                <wp:extent cx="832485" cy="434975"/>
                <wp:effectExtent l="0" t="0" r="0" b="0"/>
                <wp:wrapNone/>
                <wp:docPr id="210" name="文本框 862"/>
                <wp:cNvGraphicFramePr/>
                <a:graphic xmlns:a="http://schemas.openxmlformats.org/drawingml/2006/main">
                  <a:graphicData uri="http://schemas.microsoft.com/office/word/2010/wordprocessingShape">
                    <wps:wsp>
                      <wps:cNvSpPr txBox="1"/>
                      <wps:spPr>
                        <a:xfrm>
                          <a:off x="0" y="0"/>
                          <a:ext cx="832485" cy="434975"/>
                        </a:xfrm>
                        <a:prstGeom prst="rect">
                          <a:avLst/>
                        </a:prstGeom>
                        <a:noFill/>
                        <a:ln w="12700">
                          <a:noFill/>
                        </a:ln>
                      </wps:spPr>
                      <wps:txbx>
                        <w:txbxContent>
                          <w:p w14:paraId="60DA723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发包人鼓励质量创优</w:t>
                            </w:r>
                          </w:p>
                        </w:txbxContent>
                      </wps:txbx>
                      <wps:bodyPr rot="0" vert="horz" wrap="square" lIns="91440" tIns="45720" rIns="91440" bIns="45720" anchor="t" anchorCtr="0"/>
                    </wps:wsp>
                  </a:graphicData>
                </a:graphic>
              </wp:anchor>
            </w:drawing>
          </mc:Choice>
          <mc:Fallback>
            <w:pict>
              <v:shape id="文本框 862" o:spid="_x0000_s1026" o:spt="202" type="#_x0000_t202" style="position:absolute;left:0pt;margin-left:-6.75pt;margin-top:17.1pt;height:34.25pt;width:65.55pt;z-index:251788288;mso-width-relative:page;mso-height-relative:page;" filled="f" stroked="f" coordsize="21600,21600" o:gfxdata="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bu&#10;wb7YAAAACgEAAA8AAAAAAAAAAQAgAAAAIgAAAGRycy9kb3ducmV2LnhtbFBLAQIUABQAAAAIAIdO&#10;4kAWvJaI6gEAAL4DAAAOAAAAAAAAAAEAIAAAACcBAABkcnMvZTJvRG9jLnhtbFBLBQYAAAAABgAG&#10;AFkBAACDBQAAAAA=&#10;">
                <v:fill on="f" focussize="0,0"/>
                <v:stroke on="f" weight="1pt"/>
                <v:imagedata o:title=""/>
                <o:lock v:ext="edit" aspectratio="f"/>
                <v:textbox>
                  <w:txbxContent>
                    <w:p w14:paraId="60DA723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发包人鼓励质量创优</w:t>
                      </w:r>
                    </w:p>
                  </w:txbxContent>
                </v:textbox>
              </v:shape>
            </w:pict>
          </mc:Fallback>
        </mc:AlternateContent>
      </w:r>
      <w:r>
        <w:rPr>
          <w:rFonts w:hint="eastAsia" w:ascii="仿宋" w:hAnsi="仿宋" w:eastAsia="仿宋" w:cs="仿宋"/>
          <w:b/>
          <w:bCs/>
          <w:caps/>
          <w:lang w:eastAsia="zh-CN"/>
        </w:rPr>
        <w:t>50</w:t>
      </w:r>
      <w:r>
        <w:rPr>
          <w:rFonts w:ascii="仿宋" w:hAnsi="仿宋" w:eastAsia="仿宋" w:cs="仿宋"/>
          <w:b/>
          <w:bCs/>
          <w:caps/>
          <w:lang w:eastAsia="zh-CN"/>
        </w:rPr>
        <w:t>.1</w:t>
      </w:r>
      <w:bookmarkEnd w:id="410"/>
    </w:p>
    <w:p w14:paraId="02003B87">
      <w:pPr>
        <w:widowControl w:val="0"/>
        <w:spacing w:line="400" w:lineRule="exact"/>
        <w:ind w:left="1850" w:leftChars="771"/>
        <w:rPr>
          <w:rFonts w:ascii="仿宋" w:hAnsi="仿宋" w:eastAsia="仿宋" w:cs="仿宋"/>
          <w:caps/>
          <w:lang w:eastAsia="zh-CN"/>
        </w:rPr>
      </w:pPr>
      <w:r>
        <w:rPr>
          <w:rFonts w:hint="eastAsia" w:ascii="仿宋" w:hAnsi="仿宋" w:eastAsia="仿宋" w:cs="仿宋"/>
          <w:caps/>
          <w:lang w:eastAsia="zh-CN"/>
        </w:rPr>
        <w:t>发包人应配合承包人加强合同工程质量与施工安全管理，鼓励承包人实施合同工程质量创优。工程质量创优包括国家级、省级和市级的优秀勘察设计奖、工程优质奖及精品工程等，其中精品工程是指规划方案先进、勘察设计优秀、施工组织规范、工程质量优良、项目管理科学、造价经济合理、功能效益突出，统筹兼顾实用性、美观性等相关要求的工程，精品工程六要素包括设计要素、科技创新要素、绿色节能要素、安全要素、质量要素和功能要素。本工程的质量创优目标及评价标准在专用条款中约定。</w:t>
      </w:r>
    </w:p>
    <w:p w14:paraId="7A95A39A">
      <w:pPr>
        <w:widowControl w:val="0"/>
        <w:spacing w:line="400" w:lineRule="exact"/>
        <w:ind w:left="1850" w:leftChars="771"/>
        <w:rPr>
          <w:rFonts w:ascii="仿宋" w:hAnsi="仿宋" w:eastAsia="仿宋"/>
          <w:caps/>
          <w:lang w:eastAsia="zh-CN"/>
        </w:rPr>
      </w:pPr>
      <w:r>
        <w:rPr>
          <w:rFonts w:hint="eastAsia" w:ascii="仿宋" w:hAnsi="仿宋" w:eastAsia="仿宋" w:cs="仿宋"/>
          <w:caps/>
          <w:lang w:eastAsia="zh-CN"/>
        </w:rPr>
        <w:t>对于合同工程质量高于国家规定或合同约定的质量验收合格标准的，应按照第77条约定向承包人支付优质优价费用。</w:t>
      </w:r>
    </w:p>
    <w:p w14:paraId="15579CFE">
      <w:pPr>
        <w:spacing w:line="400" w:lineRule="exact"/>
        <w:rPr>
          <w:rFonts w:ascii="仿宋" w:hAnsi="仿宋" w:eastAsia="仿宋"/>
          <w:b/>
          <w:bCs/>
          <w:caps/>
          <w:lang w:eastAsia="zh-CN"/>
        </w:rPr>
      </w:pPr>
      <w:r>
        <w:rPr>
          <w:rFonts w:hint="eastAsia" w:ascii="仿宋" w:hAnsi="仿宋" w:eastAsia="仿宋" w:cs="仿宋"/>
          <w:b/>
          <w:bCs/>
          <w:lang w:eastAsia="zh-CN"/>
        </w:rPr>
        <w:t>50</w:t>
      </w:r>
      <w:r>
        <w:rPr>
          <w:rFonts w:ascii="仿宋" w:hAnsi="仿宋" w:eastAsia="仿宋" w:cs="仿宋"/>
          <w:b/>
          <w:bCs/>
          <w:lang w:eastAsia="zh-CN"/>
        </w:rPr>
        <w:t xml:space="preserve">.2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315E9F20">
      <w:pPr>
        <w:widowControl w:val="0"/>
        <w:spacing w:line="400" w:lineRule="exact"/>
        <w:ind w:left="1850" w:leftChars="771"/>
        <w:rPr>
          <w:rFonts w:ascii="仿宋" w:hAnsi="仿宋" w:eastAsia="仿宋"/>
          <w:caps/>
          <w:lang w:eastAsia="zh-CN"/>
        </w:rPr>
      </w:pPr>
      <w:r>
        <mc:AlternateContent>
          <mc:Choice Requires="wps">
            <w:drawing>
              <wp:anchor distT="0" distB="0" distL="114300" distR="114300" simplePos="0" relativeHeight="251789312" behindDoc="0" locked="0" layoutInCell="1" allowOverlap="1">
                <wp:simplePos x="0" y="0"/>
                <wp:positionH relativeFrom="column">
                  <wp:posOffset>-114300</wp:posOffset>
                </wp:positionH>
                <wp:positionV relativeFrom="paragraph">
                  <wp:posOffset>5715</wp:posOffset>
                </wp:positionV>
                <wp:extent cx="813435" cy="482600"/>
                <wp:effectExtent l="0" t="0" r="0" b="0"/>
                <wp:wrapNone/>
                <wp:docPr id="211" name="文本框 863"/>
                <wp:cNvGraphicFramePr/>
                <a:graphic xmlns:a="http://schemas.openxmlformats.org/drawingml/2006/main">
                  <a:graphicData uri="http://schemas.microsoft.com/office/word/2010/wordprocessingShape">
                    <wps:wsp>
                      <wps:cNvSpPr txBox="1"/>
                      <wps:spPr>
                        <a:xfrm>
                          <a:off x="0" y="0"/>
                          <a:ext cx="813435" cy="482600"/>
                        </a:xfrm>
                        <a:prstGeom prst="rect">
                          <a:avLst/>
                        </a:prstGeom>
                        <a:noFill/>
                        <a:ln w="12700">
                          <a:noFill/>
                        </a:ln>
                      </wps:spPr>
                      <wps:txbx>
                        <w:txbxContent>
                          <w:p w14:paraId="3853306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txbxContent>
                      </wps:txbx>
                      <wps:bodyPr rot="0" vert="horz" wrap="square" lIns="91440" tIns="45720" rIns="91440" bIns="45720" anchor="t" anchorCtr="0"/>
                    </wps:wsp>
                  </a:graphicData>
                </a:graphic>
              </wp:anchor>
            </w:drawing>
          </mc:Choice>
          <mc:Fallback>
            <w:pict>
              <v:shape id="文本框 863" o:spid="_x0000_s1026" o:spt="202" type="#_x0000_t202" style="position:absolute;left:0pt;margin-left:-9pt;margin-top:0.45pt;height:38pt;width:64.05pt;z-index:251789312;mso-width-relative:page;mso-height-relative:page;" filled="f" stroked="f" coordsize="21600,21600" o:gfxdata="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jePIi&#10;1gAAAAcBAAAPAAAAAAAAAAEAIAAAACIAAABkcnMvZG93bnJldi54bWxQSwECFAAUAAAACACHTuJA&#10;Tr8ktuoBAAC+AwAADgAAAAAAAAABACAAAAAlAQAAZHJzL2Uyb0RvYy54bWxQSwUGAAAAAAYABgBZ&#10;AQAAgQUAAAAA&#10;">
                <v:fill on="f" focussize="0,0"/>
                <v:stroke on="f" weight="1pt"/>
                <v:imagedata o:title=""/>
                <o:lock v:ext="edit" aspectratio="f"/>
                <v:textbox>
                  <w:txbxContent>
                    <w:p w14:paraId="3853306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txbxContent>
                </v:textbox>
              </v:shape>
            </w:pict>
          </mc:Fallback>
        </mc:AlternateContent>
      </w:r>
      <w:r>
        <w:rPr>
          <w:rFonts w:hint="eastAsia" w:ascii="仿宋" w:hAnsi="仿宋" w:eastAsia="仿宋" w:cs="仿宋"/>
          <w:caps/>
          <w:lang w:eastAsia="zh-CN"/>
        </w:rPr>
        <w:t>承包人应采取有效措施确保合同工程质量与施工安全，在保证工程质量、施工安全达到国家或行业的强制性标准的前提下，提高工程质量与施工安全管理水平，争取合同工程质量创优。</w:t>
      </w:r>
    </w:p>
    <w:p w14:paraId="7702FAE3">
      <w:pPr>
        <w:tabs>
          <w:tab w:val="left" w:pos="1620"/>
        </w:tabs>
        <w:spacing w:line="400" w:lineRule="exact"/>
        <w:rPr>
          <w:rFonts w:ascii="仿宋" w:hAnsi="仿宋" w:eastAsia="仿宋"/>
          <w:b/>
          <w:bCs/>
          <w:u w:val="single"/>
          <w:lang w:eastAsia="zh-CN"/>
        </w:rPr>
      </w:pPr>
      <w:r>
        <w:rPr>
          <w:rFonts w:ascii="仿宋" w:hAnsi="仿宋" w:eastAsia="仿宋" w:cs="仿宋"/>
          <w:b/>
          <w:bCs/>
          <w:caps/>
          <w:u w:val="single"/>
          <w:lang w:eastAsia="zh-CN"/>
        </w:rPr>
        <w:t xml:space="preserve">                                                                                     </w:t>
      </w:r>
    </w:p>
    <w:p w14:paraId="5B4B537F">
      <w:pPr>
        <w:pStyle w:val="4"/>
        <w:tabs>
          <w:tab w:val="left" w:pos="420"/>
        </w:tabs>
        <w:spacing w:before="0" w:after="0" w:line="400" w:lineRule="exact"/>
        <w:rPr>
          <w:rFonts w:ascii="仿宋" w:hAnsi="仿宋" w:eastAsia="仿宋" w:cs="仿宋"/>
          <w:bCs w:val="0"/>
          <w:sz w:val="24"/>
          <w:szCs w:val="24"/>
          <w:lang w:eastAsia="zh-CN"/>
        </w:rPr>
      </w:pPr>
      <w:bookmarkStart w:id="411" w:name="_Toc194073161"/>
      <w:bookmarkStart w:id="412" w:name="_Toc18714"/>
      <w:bookmarkStart w:id="413" w:name="_Toc14554"/>
      <w:bookmarkStart w:id="414" w:name="_Toc32149"/>
      <w:r>
        <w:rPr>
          <w:rFonts w:hint="eastAsia" w:ascii="仿宋" w:hAnsi="仿宋" w:eastAsia="仿宋" w:cs="仿宋"/>
          <w:bCs w:val="0"/>
          <w:sz w:val="24"/>
          <w:szCs w:val="24"/>
          <w:lang w:eastAsia="zh-CN"/>
        </w:rPr>
        <w:t>51</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工程的照管</w:t>
      </w:r>
      <w:bookmarkEnd w:id="411"/>
      <w:bookmarkEnd w:id="412"/>
      <w:bookmarkEnd w:id="413"/>
      <w:bookmarkEnd w:id="414"/>
    </w:p>
    <w:p w14:paraId="2410689D">
      <w:pPr>
        <w:spacing w:line="400" w:lineRule="exact"/>
        <w:rPr>
          <w:rFonts w:ascii="仿宋" w:hAnsi="仿宋" w:eastAsia="仿宋" w:cs="仿宋"/>
          <w:b/>
          <w:bCs/>
          <w:lang w:eastAsia="zh-CN"/>
        </w:rPr>
      </w:pPr>
      <w:bookmarkStart w:id="415" w:name="_Toc5922"/>
      <w:r>
        <w:rPr>
          <w:rFonts w:ascii="仿宋" w:hAnsi="仿宋" w:eastAsia="仿宋" w:cs="仿宋"/>
          <w:b/>
          <w:bCs/>
        </w:rPr>
        <mc:AlternateContent>
          <mc:Choice Requires="wps">
            <w:drawing>
              <wp:anchor distT="0" distB="0" distL="114300" distR="114300" simplePos="0" relativeHeight="252029952" behindDoc="0" locked="0" layoutInCell="1" allowOverlap="1">
                <wp:simplePos x="0" y="0"/>
                <wp:positionH relativeFrom="column">
                  <wp:posOffset>-114300</wp:posOffset>
                </wp:positionH>
                <wp:positionV relativeFrom="paragraph">
                  <wp:posOffset>264160</wp:posOffset>
                </wp:positionV>
                <wp:extent cx="883920" cy="314325"/>
                <wp:effectExtent l="0" t="0" r="0" b="0"/>
                <wp:wrapNone/>
                <wp:docPr id="212" name="文本框 864"/>
                <wp:cNvGraphicFramePr/>
                <a:graphic xmlns:a="http://schemas.openxmlformats.org/drawingml/2006/main">
                  <a:graphicData uri="http://schemas.microsoft.com/office/word/2010/wordprocessingShape">
                    <wps:wsp>
                      <wps:cNvSpPr txBox="1"/>
                      <wps:spPr>
                        <a:xfrm>
                          <a:off x="0" y="0"/>
                          <a:ext cx="883920" cy="314325"/>
                        </a:xfrm>
                        <a:prstGeom prst="rect">
                          <a:avLst/>
                        </a:prstGeom>
                        <a:noFill/>
                        <a:ln w="12700">
                          <a:noFill/>
                        </a:ln>
                      </wps:spPr>
                      <wps:txbx>
                        <w:txbxContent>
                          <w:p w14:paraId="1765C17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txbxContent>
                      </wps:txbx>
                      <wps:bodyPr rot="0" vert="horz" wrap="square" lIns="91440" tIns="45720" rIns="91440" bIns="45720" anchor="t" anchorCtr="0"/>
                    </wps:wsp>
                  </a:graphicData>
                </a:graphic>
              </wp:anchor>
            </w:drawing>
          </mc:Choice>
          <mc:Fallback>
            <w:pict>
              <v:shape id="文本框 864" o:spid="_x0000_s1026" o:spt="202" type="#_x0000_t202" style="position:absolute;left:0pt;margin-left:-9pt;margin-top:20.8pt;height:24.75pt;width:69.6pt;z-index:252029952;mso-width-relative:page;mso-height-relative:page;" filled="f" stroked="f" coordsize="21600,21600" o:gfxdata="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8&#10;sV2A2AAAAAkBAAAPAAAAAAAAAAEAIAAAACIAAABkcnMvZG93bnJldi54bWxQSwECFAAUAAAACACH&#10;TuJAdW+Cx+sBAAC+AwAADgAAAAAAAAABACAAAAAnAQAAZHJzL2Uyb0RvYy54bWxQSwUGAAAAAAYA&#10;BgBZAQAAhAUAAAAA&#10;">
                <v:fill on="f" focussize="0,0"/>
                <v:stroke on="f" weight="1pt"/>
                <v:imagedata o:title=""/>
                <o:lock v:ext="edit" aspectratio="f"/>
                <v:textbox>
                  <w:txbxContent>
                    <w:p w14:paraId="1765C17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txbxContent>
                </v:textbox>
              </v:shape>
            </w:pict>
          </mc:Fallback>
        </mc:AlternateContent>
      </w:r>
      <w:r>
        <w:rPr>
          <w:rFonts w:hint="eastAsia" w:ascii="仿宋" w:hAnsi="仿宋" w:eastAsia="仿宋" w:cs="仿宋"/>
          <w:b/>
          <w:bCs/>
          <w:lang w:eastAsia="zh-CN"/>
        </w:rPr>
        <w:t>51</w:t>
      </w:r>
      <w:r>
        <w:rPr>
          <w:rFonts w:ascii="仿宋" w:hAnsi="仿宋" w:eastAsia="仿宋" w:cs="仿宋"/>
          <w:b/>
          <w:bCs/>
          <w:lang w:eastAsia="zh-CN"/>
        </w:rPr>
        <w:t>.1</w:t>
      </w:r>
      <w:bookmarkEnd w:id="415"/>
    </w:p>
    <w:p w14:paraId="06288F56">
      <w:pPr>
        <w:widowControl w:val="0"/>
        <w:adjustRightInd w:val="0"/>
        <w:snapToGrid w:val="0"/>
        <w:spacing w:line="400" w:lineRule="exact"/>
        <w:ind w:left="1850" w:leftChars="771"/>
        <w:jc w:val="both"/>
        <w:rPr>
          <w:rFonts w:ascii="仿宋" w:hAnsi="仿宋" w:eastAsia="仿宋"/>
          <w:lang w:eastAsia="zh-CN"/>
        </w:rPr>
      </w:pPr>
      <w:r>
        <w:rPr>
          <w:rFonts w:hint="eastAsia" w:ascii="仿宋" w:hAnsi="仿宋" w:eastAsia="仿宋" w:cs="仿宋"/>
          <w:lang w:eastAsia="zh-CN"/>
        </w:rPr>
        <w:t>从开工之日起，承包人应全面负责照管合同工程及运至现场将使用到合同工程中的工程材料和工程设备，直到合同双方当事人确认工程移交之日止。此后，工程的照管即转由发包人负责。</w:t>
      </w:r>
    </w:p>
    <w:p w14:paraId="1365E0B7">
      <w:pPr>
        <w:widowControl w:val="0"/>
        <w:adjustRightInd w:val="0"/>
        <w:snapToGrid w:val="0"/>
        <w:spacing w:line="400" w:lineRule="exact"/>
        <w:ind w:left="1850" w:leftChars="771"/>
        <w:jc w:val="both"/>
        <w:rPr>
          <w:rFonts w:ascii="仿宋" w:hAnsi="仿宋" w:eastAsia="仿宋"/>
          <w:lang w:eastAsia="zh-CN"/>
        </w:rPr>
      </w:pPr>
      <w:r>
        <w:rPr>
          <w:rFonts w:hint="eastAsia" w:ascii="仿宋" w:hAnsi="仿宋" w:eastAsia="仿宋" w:cs="仿宋"/>
          <w:lang w:eastAsia="zh-CN"/>
        </w:rPr>
        <w:t>如果在整个工程移交前，合同双方当事人已经确认移交或发包人提前使用其中任一单项工程，则从确认移交或提前使用之日起承包人无须对该单项工程负责照管，而转由发包人负责。但是，承包人应继续负责照管尚未完成的工程和将用于或安装在合同工程中的工程材料和工程设备，直至完成上述工作并经合同双方当事人确认整个工程移交之日止。</w:t>
      </w:r>
    </w:p>
    <w:p w14:paraId="7D225AE4">
      <w:pPr>
        <w:spacing w:line="400" w:lineRule="exact"/>
        <w:rPr>
          <w:rFonts w:ascii="仿宋" w:hAnsi="仿宋" w:eastAsia="仿宋"/>
          <w:lang w:eastAsia="zh-CN"/>
        </w:rPr>
      </w:pPr>
      <w:bookmarkStart w:id="416" w:name="_Toc8290"/>
      <w:r>
        <w:rPr>
          <w:rFonts w:ascii="仿宋" w:hAnsi="仿宋" w:eastAsia="仿宋" w:cs="仿宋"/>
          <w:b/>
          <w:bCs/>
        </w:rPr>
        <mc:AlternateContent>
          <mc:Choice Requires="wps">
            <w:drawing>
              <wp:anchor distT="0" distB="0" distL="114300" distR="114300" simplePos="0" relativeHeight="252030976" behindDoc="0" locked="0" layoutInCell="1" allowOverlap="1">
                <wp:simplePos x="0" y="0"/>
                <wp:positionH relativeFrom="column">
                  <wp:posOffset>-114300</wp:posOffset>
                </wp:positionH>
                <wp:positionV relativeFrom="paragraph">
                  <wp:posOffset>276860</wp:posOffset>
                </wp:positionV>
                <wp:extent cx="766445" cy="633095"/>
                <wp:effectExtent l="0" t="0" r="0" b="0"/>
                <wp:wrapNone/>
                <wp:docPr id="213" name="文本框 865"/>
                <wp:cNvGraphicFramePr/>
                <a:graphic xmlns:a="http://schemas.openxmlformats.org/drawingml/2006/main">
                  <a:graphicData uri="http://schemas.microsoft.com/office/word/2010/wordprocessingShape">
                    <wps:wsp>
                      <wps:cNvSpPr txBox="1"/>
                      <wps:spPr>
                        <a:xfrm>
                          <a:off x="0" y="0"/>
                          <a:ext cx="766445" cy="633095"/>
                        </a:xfrm>
                        <a:prstGeom prst="rect">
                          <a:avLst/>
                        </a:prstGeom>
                        <a:noFill/>
                        <a:ln w="12700">
                          <a:noFill/>
                        </a:ln>
                      </wps:spPr>
                      <wps:txbx>
                        <w:txbxContent>
                          <w:p w14:paraId="732525C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照管期间承包人造成损失的责任</w:t>
                            </w:r>
                          </w:p>
                        </w:txbxContent>
                      </wps:txbx>
                      <wps:bodyPr rot="0" vert="horz" wrap="square" lIns="91440" tIns="45720" rIns="91440" bIns="45720" anchor="t" anchorCtr="0"/>
                    </wps:wsp>
                  </a:graphicData>
                </a:graphic>
              </wp:anchor>
            </w:drawing>
          </mc:Choice>
          <mc:Fallback>
            <w:pict>
              <v:shape id="文本框 865" o:spid="_x0000_s1026" o:spt="202" type="#_x0000_t202" style="position:absolute;left:0pt;margin-left:-9pt;margin-top:21.8pt;height:49.85pt;width:60.35pt;z-index:252030976;mso-width-relative:page;mso-height-relative:page;" filled="f" stroked="f" coordsize="21600,21600" o:gfxdata="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lBnn69kAAAAKAQAADwAAAAAAAAABACAAAAAiAAAAZHJzL2Rvd25yZXYueG1sUEsBAhQAFAAAAAgA&#10;h07iQB7kIRDrAQAAvgMAAA4AAAAAAAAAAQAgAAAAKAEAAGRycy9lMm9Eb2MueG1sUEsFBgAAAAAG&#10;AAYAWQEAAIUFAAAAAA==&#10;">
                <v:fill on="f" focussize="0,0"/>
                <v:stroke on="f" weight="1pt"/>
                <v:imagedata o:title=""/>
                <o:lock v:ext="edit" aspectratio="f"/>
                <v:textbox>
                  <w:txbxContent>
                    <w:p w14:paraId="732525C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照管期间承包人造成损失的责任</w:t>
                      </w:r>
                    </w:p>
                  </w:txbxContent>
                </v:textbox>
              </v:shape>
            </w:pict>
          </mc:Fallback>
        </mc:AlternateContent>
      </w:r>
      <w:r>
        <w:rPr>
          <w:rFonts w:hint="eastAsia" w:ascii="仿宋" w:hAnsi="仿宋" w:eastAsia="仿宋" w:cs="仿宋"/>
          <w:b/>
          <w:bCs/>
          <w:lang w:eastAsia="zh-CN"/>
        </w:rPr>
        <w:t>51</w:t>
      </w:r>
      <w:r>
        <w:rPr>
          <w:rFonts w:ascii="仿宋" w:hAnsi="仿宋" w:eastAsia="仿宋" w:cs="仿宋"/>
          <w:b/>
          <w:bCs/>
          <w:lang w:eastAsia="zh-CN"/>
        </w:rPr>
        <w:t>.2</w:t>
      </w:r>
      <w:bookmarkEnd w:id="416"/>
      <w:r>
        <w:rPr>
          <w:rFonts w:ascii="仿宋" w:hAnsi="仿宋" w:eastAsia="仿宋" w:cs="仿宋"/>
          <w:b/>
          <w:bCs/>
          <w:lang w:eastAsia="zh-CN"/>
        </w:rPr>
        <w:t xml:space="preserve">  </w:t>
      </w:r>
      <w:r>
        <w:rPr>
          <w:rFonts w:ascii="仿宋" w:hAnsi="仿宋" w:eastAsia="仿宋" w:cs="仿宋"/>
          <w:u w:val="dotted"/>
          <w:lang w:eastAsia="zh-CN"/>
        </w:rPr>
        <w:t xml:space="preserve">                                                                               </w:t>
      </w:r>
    </w:p>
    <w:p w14:paraId="5B6DBAFA">
      <w:pPr>
        <w:adjustRightInd w:val="0"/>
        <w:snapToGrid w:val="0"/>
        <w:spacing w:line="400" w:lineRule="exact"/>
        <w:ind w:left="1850" w:leftChars="771"/>
        <w:rPr>
          <w:rFonts w:ascii="仿宋" w:hAnsi="仿宋" w:eastAsia="仿宋"/>
          <w:lang w:eastAsia="zh-CN"/>
        </w:rPr>
      </w:pPr>
      <w:r>
        <w:rPr>
          <w:rFonts w:hint="eastAsia" w:ascii="仿宋" w:hAnsi="仿宋" w:eastAsia="仿宋" w:cs="仿宋"/>
          <w:lang w:eastAsia="zh-CN"/>
        </w:rPr>
        <w:t>承包人在负责工程照管期间，如因自身原因造成合同工程或其任何部分，以及工程材料和工程设备或临时工程的损坏，承包人应自费修复上述损坏，保证合同工程质量达到合同约定的标准。</w:t>
      </w:r>
    </w:p>
    <w:p w14:paraId="564B1842">
      <w:pPr>
        <w:adjustRightInd w:val="0"/>
        <w:snapToGrid w:val="0"/>
        <w:spacing w:line="400" w:lineRule="exact"/>
        <w:rPr>
          <w:rFonts w:ascii="仿宋" w:hAnsi="仿宋" w:eastAsia="仿宋" w:cs="仿宋"/>
          <w:b/>
          <w:bCs/>
          <w:u w:val="single"/>
          <w:lang w:eastAsia="zh-CN"/>
        </w:rPr>
      </w:pPr>
      <w:r>
        <w:rPr>
          <w:rFonts w:ascii="仿宋" w:hAnsi="仿宋" w:eastAsia="仿宋" w:cs="仿宋"/>
          <w:b/>
          <w:bCs/>
          <w:u w:val="single"/>
          <w:lang w:eastAsia="zh-CN"/>
        </w:rPr>
        <w:t xml:space="preserve">                                                                                     </w:t>
      </w:r>
    </w:p>
    <w:p w14:paraId="7ACFFD27">
      <w:pPr>
        <w:pStyle w:val="4"/>
        <w:tabs>
          <w:tab w:val="left" w:pos="420"/>
        </w:tabs>
        <w:spacing w:before="0" w:after="0" w:line="400" w:lineRule="exact"/>
        <w:rPr>
          <w:rFonts w:ascii="仿宋" w:hAnsi="仿宋" w:eastAsia="仿宋" w:cs="仿宋"/>
          <w:bCs w:val="0"/>
          <w:sz w:val="24"/>
          <w:szCs w:val="24"/>
          <w:lang w:eastAsia="zh-CN"/>
        </w:rPr>
      </w:pPr>
      <w:bookmarkStart w:id="417" w:name="_Toc194073162"/>
      <w:bookmarkStart w:id="418" w:name="_Toc18777"/>
      <w:bookmarkStart w:id="419" w:name="_Toc11893"/>
      <w:bookmarkStart w:id="420" w:name="_Toc31471"/>
      <w:r>
        <w:rPr>
          <w:rFonts w:hint="eastAsia" w:ascii="仿宋" w:hAnsi="仿宋" w:eastAsia="仿宋" w:cs="仿宋"/>
          <w:bCs w:val="0"/>
          <w:sz w:val="24"/>
          <w:szCs w:val="24"/>
          <w:lang w:eastAsia="zh-CN"/>
        </w:rPr>
        <w:t>★52</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绿色施工安全防护</w:t>
      </w:r>
      <w:bookmarkEnd w:id="417"/>
      <w:bookmarkEnd w:id="418"/>
      <w:bookmarkEnd w:id="419"/>
      <w:bookmarkEnd w:id="420"/>
    </w:p>
    <w:p w14:paraId="2AE4168D">
      <w:pPr>
        <w:spacing w:line="400" w:lineRule="exact"/>
        <w:rPr>
          <w:rFonts w:ascii="仿宋" w:hAnsi="仿宋" w:eastAsia="仿宋" w:cs="仿宋"/>
          <w:b/>
          <w:bCs/>
          <w:lang w:eastAsia="zh-CN"/>
        </w:rPr>
      </w:pPr>
      <w:bookmarkStart w:id="421" w:name="_Toc1795"/>
      <w:r>
        <w:rPr>
          <w:rFonts w:ascii="仿宋" w:hAnsi="仿宋" w:eastAsia="仿宋" w:cs="仿宋"/>
          <w:b/>
          <w:bCs/>
        </w:rPr>
        <mc:AlternateContent>
          <mc:Choice Requires="wps">
            <w:drawing>
              <wp:anchor distT="0" distB="0" distL="114300" distR="114300" simplePos="0" relativeHeight="252032000" behindDoc="0" locked="0" layoutInCell="1" allowOverlap="1">
                <wp:simplePos x="0" y="0"/>
                <wp:positionH relativeFrom="column">
                  <wp:posOffset>-114300</wp:posOffset>
                </wp:positionH>
                <wp:positionV relativeFrom="paragraph">
                  <wp:posOffset>194945</wp:posOffset>
                </wp:positionV>
                <wp:extent cx="910590" cy="539750"/>
                <wp:effectExtent l="0" t="0" r="0" b="0"/>
                <wp:wrapNone/>
                <wp:docPr id="214" name="文本框 866"/>
                <wp:cNvGraphicFramePr/>
                <a:graphic xmlns:a="http://schemas.openxmlformats.org/drawingml/2006/main">
                  <a:graphicData uri="http://schemas.microsoft.com/office/word/2010/wordprocessingShape">
                    <wps:wsp>
                      <wps:cNvSpPr txBox="1"/>
                      <wps:spPr>
                        <a:xfrm>
                          <a:off x="0" y="0"/>
                          <a:ext cx="910590" cy="539750"/>
                        </a:xfrm>
                        <a:prstGeom prst="rect">
                          <a:avLst/>
                        </a:prstGeom>
                        <a:noFill/>
                        <a:ln w="12700">
                          <a:noFill/>
                        </a:ln>
                      </wps:spPr>
                      <wps:txbx>
                        <w:txbxContent>
                          <w:p w14:paraId="171CA28A">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绿色施工安全防护的要求</w:t>
                            </w:r>
                          </w:p>
                        </w:txbxContent>
                      </wps:txbx>
                      <wps:bodyPr rot="0" vert="horz" wrap="square" lIns="91440" tIns="45720" rIns="91440" bIns="45720" anchor="t" anchorCtr="0"/>
                    </wps:wsp>
                  </a:graphicData>
                </a:graphic>
              </wp:anchor>
            </w:drawing>
          </mc:Choice>
          <mc:Fallback>
            <w:pict>
              <v:shape id="文本框 866" o:spid="_x0000_s1026" o:spt="202" type="#_x0000_t202" style="position:absolute;left:0pt;margin-left:-9pt;margin-top:15.35pt;height:42.5pt;width:71.7pt;z-index:252032000;mso-width-relative:page;mso-height-relative:page;" filled="f" stroked="f" coordsize="21600,21600" o:gfxdata="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q5SB82QAAAAoBAAAPAAAAAAAAAAEAIAAAACIAAABkcnMvZG93bnJldi54bWxQSwECFAAUAAAA&#10;CACHTuJAC8WkQ+0BAAC+AwAADgAAAAAAAAABACAAAAAoAQAAZHJzL2Uyb0RvYy54bWxQSwUGAAAA&#10;AAYABgBZAQAAhwUAAAAA&#10;">
                <v:fill on="f" focussize="0,0"/>
                <v:stroke on="f" weight="1pt"/>
                <v:imagedata o:title=""/>
                <o:lock v:ext="edit" aspectratio="f"/>
                <v:textbox>
                  <w:txbxContent>
                    <w:p w14:paraId="171CA28A">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绿色施工安全防护的要求</w:t>
                      </w:r>
                    </w:p>
                  </w:txbxContent>
                </v:textbox>
              </v:shape>
            </w:pict>
          </mc:Fallback>
        </mc:AlternateContent>
      </w:r>
      <w:r>
        <w:rPr>
          <w:rFonts w:hint="eastAsia" w:ascii="仿宋" w:hAnsi="仿宋" w:eastAsia="仿宋" w:cs="仿宋"/>
          <w:b/>
          <w:bCs/>
          <w:lang w:eastAsia="zh-CN"/>
        </w:rPr>
        <w:t>52</w:t>
      </w:r>
      <w:r>
        <w:rPr>
          <w:rFonts w:ascii="仿宋" w:hAnsi="仿宋" w:eastAsia="仿宋" w:cs="仿宋"/>
          <w:b/>
          <w:bCs/>
          <w:lang w:eastAsia="zh-CN"/>
        </w:rPr>
        <w:t>.1</w:t>
      </w:r>
      <w:bookmarkEnd w:id="421"/>
    </w:p>
    <w:p w14:paraId="3DB8D262">
      <w:pPr>
        <w:widowControl w:val="0"/>
        <w:adjustRightInd w:val="0"/>
        <w:snapToGrid w:val="0"/>
        <w:spacing w:line="400" w:lineRule="exact"/>
        <w:ind w:left="1850" w:leftChars="771"/>
        <w:rPr>
          <w:rFonts w:ascii="仿宋" w:hAnsi="仿宋" w:eastAsia="仿宋"/>
          <w:lang w:eastAsia="zh-CN"/>
        </w:rPr>
      </w:pPr>
      <w:r>
        <w:rPr>
          <w:rFonts w:hint="eastAsia" w:ascii="仿宋" w:hAnsi="仿宋" w:eastAsia="仿宋" w:cs="仿宋"/>
          <w:lang w:eastAsia="zh-CN"/>
        </w:rPr>
        <w:t>合同当事人均应当遵守国家、省、市有关绿色施工安全防护的要求，合同当事人有特别要求的，应在专用合同条款中明确施工项目绿色施工安全防护标准化达标目标及相应事项。承包人有权拒绝发包人及监理人强令承包人违章作业、冒险施工的任何指示。</w:t>
      </w:r>
    </w:p>
    <w:p w14:paraId="70C8DDEC">
      <w:pPr>
        <w:adjustRightInd w:val="0"/>
        <w:snapToGrid w:val="0"/>
        <w:spacing w:line="400" w:lineRule="exact"/>
        <w:ind w:left="1850" w:leftChars="771"/>
        <w:rPr>
          <w:rFonts w:ascii="仿宋" w:hAnsi="仿宋" w:eastAsia="仿宋"/>
          <w:lang w:eastAsia="zh-CN"/>
        </w:rPr>
      </w:pPr>
      <w:r>
        <w:rPr>
          <w:rFonts w:hint="eastAsia" w:ascii="仿宋" w:hAnsi="仿宋" w:eastAsia="仿宋" w:cs="仿宋"/>
          <w:lang w:eastAsia="zh-CN"/>
        </w:rPr>
        <w:t>在施工过程中，如遇到地质突变、事先未知的地下施工障碍等影响施工安全的紧急情况，承包人应及时报告监理人和发包人，发包人应当及时下令停工并报政府有关行政管理部门采取应急措施。</w:t>
      </w:r>
    </w:p>
    <w:p w14:paraId="0204E483">
      <w:pPr>
        <w:adjustRightInd w:val="0"/>
        <w:snapToGrid w:val="0"/>
        <w:spacing w:line="400" w:lineRule="exact"/>
        <w:ind w:left="1850" w:leftChars="771"/>
        <w:rPr>
          <w:rFonts w:ascii="仿宋" w:hAnsi="仿宋" w:eastAsia="仿宋"/>
          <w:lang w:eastAsia="zh-CN"/>
        </w:rPr>
      </w:pPr>
      <w:r>
        <w:rPr>
          <w:rFonts w:hint="eastAsia" w:ascii="仿宋" w:hAnsi="仿宋" w:eastAsia="仿宋" w:cs="仿宋"/>
          <w:lang w:eastAsia="zh-CN"/>
        </w:rPr>
        <w:t>发包人应组织承包人和有关单位进行安全检查，授权监理人按合同约定的绿色施工安全防护内容监督、检查承包人实施绿色施工安全防护，并按照第</w:t>
      </w:r>
      <w:r>
        <w:rPr>
          <w:rFonts w:ascii="仿宋" w:hAnsi="仿宋" w:eastAsia="仿宋" w:cs="仿宋"/>
          <w:lang w:eastAsia="zh-CN"/>
        </w:rPr>
        <w:t>8</w:t>
      </w:r>
      <w:r>
        <w:rPr>
          <w:rFonts w:hint="eastAsia" w:ascii="仿宋" w:hAnsi="仿宋" w:eastAsia="仿宋" w:cs="仿宋"/>
          <w:lang w:eastAsia="zh-CN"/>
        </w:rPr>
        <w:t>5条约定及时向承包人支付绿色施工安全防护费。</w:t>
      </w:r>
    </w:p>
    <w:p w14:paraId="07614C61">
      <w:pPr>
        <w:adjustRightInd w:val="0"/>
        <w:snapToGrid w:val="0"/>
        <w:spacing w:line="400" w:lineRule="exact"/>
        <w:ind w:left="1850" w:leftChars="771"/>
        <w:rPr>
          <w:rFonts w:ascii="仿宋" w:hAnsi="仿宋" w:eastAsia="仿宋"/>
          <w:lang w:eastAsia="zh-CN"/>
        </w:rPr>
      </w:pPr>
      <w:r>
        <w:rPr>
          <w:rFonts w:hint="eastAsia" w:ascii="仿宋" w:hAnsi="仿宋" w:eastAsia="仿宋" w:cs="仿宋"/>
          <w:lang w:eastAsia="zh-CN"/>
        </w:rPr>
        <w:t>承包人应及时执行监理人发出的绿色施工安全防护的工作指令，并按合同约定的期限和绿色施工安全防护内容编制绿色施工安全防护措施计划，包括施工扬尘污染防治措施、用工实名管理等各类专项方案计划，以及淤泥运输方案并承诺使用专用运输工具运输，提交给监理人并由其报发包人批准后实施。</w:t>
      </w:r>
    </w:p>
    <w:p w14:paraId="252FF3B1">
      <w:pPr>
        <w:spacing w:line="400" w:lineRule="exact"/>
        <w:rPr>
          <w:rFonts w:ascii="仿宋" w:hAnsi="仿宋" w:eastAsia="仿宋" w:cs="仿宋"/>
          <w:b/>
          <w:bCs/>
          <w:u w:val="dotted"/>
          <w:lang w:eastAsia="zh-CN"/>
        </w:rPr>
      </w:pPr>
      <w:bookmarkStart w:id="422" w:name="_Toc28621"/>
      <w:r>
        <w:rPr>
          <w:rFonts w:hint="eastAsia" w:ascii="仿宋" w:hAnsi="仿宋" w:eastAsia="仿宋" w:cs="仿宋"/>
          <w:b/>
          <w:bCs/>
          <w:lang w:eastAsia="zh-CN"/>
        </w:rPr>
        <w:t>52</w:t>
      </w:r>
      <w:r>
        <w:rPr>
          <w:rFonts w:ascii="仿宋" w:hAnsi="仿宋" w:eastAsia="仿宋" w:cs="仿宋"/>
          <w:b/>
          <w:bCs/>
          <w:lang w:eastAsia="zh-CN"/>
        </w:rPr>
        <w:t>.2</w:t>
      </w:r>
      <w:bookmarkEnd w:id="422"/>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5D05050D">
      <w:pPr>
        <w:widowControl w:val="0"/>
        <w:adjustRightInd w:val="0"/>
        <w:snapToGrid w:val="0"/>
        <w:spacing w:line="400" w:lineRule="exact"/>
        <w:ind w:left="1850" w:leftChars="771"/>
        <w:jc w:val="both"/>
        <w:rPr>
          <w:rFonts w:ascii="仿宋" w:hAnsi="仿宋" w:eastAsia="仿宋"/>
          <w:lang w:eastAsia="zh-CN"/>
        </w:rPr>
      </w:pPr>
      <w:r>
        <w:rPr>
          <w:rFonts w:hint="eastAsia" w:ascii="仿宋" w:hAnsi="仿宋" w:eastAsia="仿宋" w:cs="仿宋"/>
          <w:lang w:eastAsia="zh-CN"/>
        </w:rPr>
        <mc:AlternateContent>
          <mc:Choice Requires="wps">
            <w:drawing>
              <wp:anchor distT="0" distB="0" distL="114300" distR="114300" simplePos="0" relativeHeight="252122112" behindDoc="0" locked="0" layoutInCell="1" allowOverlap="1">
                <wp:simplePos x="0" y="0"/>
                <wp:positionH relativeFrom="column">
                  <wp:posOffset>-114300</wp:posOffset>
                </wp:positionH>
                <wp:positionV relativeFrom="paragraph">
                  <wp:posOffset>1270</wp:posOffset>
                </wp:positionV>
                <wp:extent cx="833755" cy="647700"/>
                <wp:effectExtent l="0" t="0" r="0" b="0"/>
                <wp:wrapNone/>
                <wp:docPr id="215" name="文本框 956"/>
                <wp:cNvGraphicFramePr/>
                <a:graphic xmlns:a="http://schemas.openxmlformats.org/drawingml/2006/main">
                  <a:graphicData uri="http://schemas.microsoft.com/office/word/2010/wordprocessingShape">
                    <wps:wsp>
                      <wps:cNvSpPr txBox="1"/>
                      <wps:spPr>
                        <a:xfrm>
                          <a:off x="0" y="0"/>
                          <a:ext cx="833755" cy="647700"/>
                        </a:xfrm>
                        <a:prstGeom prst="rect">
                          <a:avLst/>
                        </a:prstGeom>
                        <a:noFill/>
                        <a:ln w="12700">
                          <a:noFill/>
                        </a:ln>
                      </wps:spPr>
                      <wps:txbx>
                        <w:txbxContent>
                          <w:p w14:paraId="799DBD7D">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用工实名制、工人工资支付分账管理</w:t>
                            </w:r>
                          </w:p>
                        </w:txbxContent>
                      </wps:txbx>
                      <wps:bodyPr rot="0" vert="horz" wrap="square" lIns="91440" tIns="45720" rIns="91440" bIns="45720" anchor="t" anchorCtr="0"/>
                    </wps:wsp>
                  </a:graphicData>
                </a:graphic>
              </wp:anchor>
            </w:drawing>
          </mc:Choice>
          <mc:Fallback>
            <w:pict>
              <v:shape id="文本框 956" o:spid="_x0000_s1026" o:spt="202" type="#_x0000_t202" style="position:absolute;left:0pt;margin-left:-9pt;margin-top:0.1pt;height:51pt;width:65.65pt;z-index:252122112;mso-width-relative:page;mso-height-relative:page;" filled="f" stroked="f" coordsize="21600,21600" o:gfxdata="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3LQ&#10;w9YAAAAIAQAADwAAAAAAAAABACAAAAAiAAAAZHJzL2Rvd25yZXYueG1sUEsBAhQAFAAAAAgAh07i&#10;QP77eKDrAQAAvgMAAA4AAAAAAAAAAQAgAAAAJQEAAGRycy9lMm9Eb2MueG1sUEsFBgAAAAAGAAYA&#10;WQEAAIIFAAAAAA==&#10;">
                <v:fill on="f" focussize="0,0"/>
                <v:stroke on="f" weight="1pt"/>
                <v:imagedata o:title=""/>
                <o:lock v:ext="edit" aspectratio="f"/>
                <v:textbox>
                  <w:txbxContent>
                    <w:p w14:paraId="799DBD7D">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用工实名制、工人工资支付分账管理</w:t>
                      </w:r>
                    </w:p>
                  </w:txbxContent>
                </v:textbox>
              </v:shape>
            </w:pict>
          </mc:Fallback>
        </mc:AlternateContent>
      </w:r>
      <w:r>
        <w:rPr>
          <w:rFonts w:hint="eastAsia" w:ascii="仿宋" w:hAnsi="仿宋" w:eastAsia="仿宋" w:cs="仿宋"/>
          <w:lang w:eastAsia="zh-CN"/>
        </w:rPr>
        <w:t>本项目按照国家、省、市有关规定落实建设项目劳动用工实名制、工人工资支付分账管理。发包人应当按照合同约定及时拨付工程款，并将人工费用及时足额拨付至农民工工资专用账户，加强对承包人按时足额支付农民工工资的监督，协调建设项目的工人工资支付事宜。承包人对建设项目劳动用工实名制和工人工资支付分账管理负总责，应当按照有关规定开设农民工工资专用账户，专项用于支付建设项目农民工工资，对分包人劳动用工和工资发放等情况进行监督。分包人对所招用农民工的实名制管理和工资支付负直接责任，配合总承包企业做好相关工作。发包人、承包人、分包人存在违反有关规定情形的，需承担相应的责任。</w:t>
      </w:r>
    </w:p>
    <w:p w14:paraId="7B577508">
      <w:pPr>
        <w:spacing w:line="400" w:lineRule="exact"/>
        <w:rPr>
          <w:rFonts w:ascii="仿宋" w:hAnsi="仿宋" w:eastAsia="仿宋" w:cs="仿宋"/>
          <w:b/>
          <w:bCs/>
          <w:u w:val="dotted"/>
          <w:lang w:eastAsia="zh-CN"/>
        </w:rPr>
      </w:pPr>
      <w:bookmarkStart w:id="423" w:name="_Toc11707"/>
      <w:r>
        <w:rPr>
          <w:rFonts w:hint="eastAsia" w:ascii="仿宋" w:hAnsi="仿宋" w:eastAsia="仿宋" w:cs="仿宋"/>
          <w:b/>
          <w:bCs/>
          <w:lang w:eastAsia="zh-CN"/>
        </w:rPr>
        <w:t>52</w:t>
      </w:r>
      <w:r>
        <w:rPr>
          <w:rFonts w:ascii="仿宋" w:hAnsi="仿宋" w:eastAsia="仿宋" w:cs="仿宋"/>
          <w:b/>
          <w:bCs/>
          <w:lang w:eastAsia="zh-CN"/>
        </w:rPr>
        <w:t>.3</w:t>
      </w:r>
      <w:bookmarkEnd w:id="423"/>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648FDCCA">
      <w:pPr>
        <w:adjustRightInd w:val="0"/>
        <w:snapToGrid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790336" behindDoc="0" locked="0" layoutInCell="1" allowOverlap="1">
                <wp:simplePos x="0" y="0"/>
                <wp:positionH relativeFrom="column">
                  <wp:posOffset>-114300</wp:posOffset>
                </wp:positionH>
                <wp:positionV relativeFrom="paragraph">
                  <wp:posOffset>1270</wp:posOffset>
                </wp:positionV>
                <wp:extent cx="853440" cy="486410"/>
                <wp:effectExtent l="0" t="0" r="0" b="0"/>
                <wp:wrapNone/>
                <wp:docPr id="216" name="文本框 867"/>
                <wp:cNvGraphicFramePr/>
                <a:graphic xmlns:a="http://schemas.openxmlformats.org/drawingml/2006/main">
                  <a:graphicData uri="http://schemas.microsoft.com/office/word/2010/wordprocessingShape">
                    <wps:wsp>
                      <wps:cNvSpPr txBox="1"/>
                      <wps:spPr>
                        <a:xfrm>
                          <a:off x="0" y="0"/>
                          <a:ext cx="853440" cy="486410"/>
                        </a:xfrm>
                        <a:prstGeom prst="rect">
                          <a:avLst/>
                        </a:prstGeom>
                        <a:noFill/>
                        <a:ln w="12700">
                          <a:noFill/>
                        </a:ln>
                      </wps:spPr>
                      <wps:txbx>
                        <w:txbxContent>
                          <w:p w14:paraId="2FA858E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发包人责任</w:t>
                            </w:r>
                          </w:p>
                        </w:txbxContent>
                      </wps:txbx>
                      <wps:bodyPr rot="0" vert="horz" wrap="square" lIns="91440" tIns="45720" rIns="91440" bIns="45720" anchor="t" anchorCtr="0"/>
                    </wps:wsp>
                  </a:graphicData>
                </a:graphic>
              </wp:anchor>
            </w:drawing>
          </mc:Choice>
          <mc:Fallback>
            <w:pict>
              <v:shape id="文本框 867" o:spid="_x0000_s1026" o:spt="202" type="#_x0000_t202" style="position:absolute;left:0pt;margin-left:-9pt;margin-top:0.1pt;height:38.3pt;width:67.2pt;z-index:251790336;mso-width-relative:page;mso-height-relative:page;" filled="f" stroked="f" coordsize="21600,21600" o:gfxdata="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IUwh&#10;69cAAAAHAQAADwAAAAAAAAABACAAAAAiAAAAZHJzL2Rvd25yZXYueG1sUEsBAhQAFAAAAAgAh07i&#10;QLi2Y17qAQAAvgMAAA4AAAAAAAAAAQAgAAAAJgEAAGRycy9lMm9Eb2MueG1sUEsFBgAAAAAGAAYA&#10;WQEAAIIFAAAAAA==&#10;">
                <v:fill on="f" focussize="0,0"/>
                <v:stroke on="f" weight="1pt"/>
                <v:imagedata o:title=""/>
                <o:lock v:ext="edit" aspectratio="f"/>
                <v:textbox>
                  <w:txbxContent>
                    <w:p w14:paraId="2FA858E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发包人责任</w:t>
                      </w:r>
                    </w:p>
                  </w:txbxContent>
                </v:textbox>
              </v:shape>
            </w:pict>
          </mc:Fallback>
        </mc:AlternateContent>
      </w:r>
      <w:r>
        <w:rPr>
          <w:rFonts w:hint="eastAsia" w:ascii="仿宋" w:hAnsi="仿宋" w:eastAsia="仿宋" w:cs="仿宋"/>
          <w:lang w:eastAsia="zh-CN"/>
        </w:rPr>
        <w:t>在合同工程实施、完成及保修期间，发包人承担下列责任：</w:t>
      </w:r>
    </w:p>
    <w:p w14:paraId="437CFFF0">
      <w:pPr>
        <w:adjustRightInd w:val="0"/>
        <w:snapToGrid w:val="0"/>
        <w:spacing w:line="400" w:lineRule="exact"/>
        <w:ind w:left="1850" w:leftChars="771"/>
        <w:jc w:val="both"/>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1</w:t>
      </w:r>
      <w:r>
        <w:rPr>
          <w:rFonts w:hint="eastAsia" w:ascii="仿宋" w:hAnsi="仿宋" w:eastAsia="仿宋" w:cs="仿宋"/>
          <w:lang w:eastAsia="zh-CN"/>
        </w:rPr>
        <w:t>）发包人应配合承包人做好绿色施工安全防护工作，定期对其现场机构全部人员进行绿色施工安全防护教育和培训。</w:t>
      </w:r>
    </w:p>
    <w:p w14:paraId="1AFC9143">
      <w:pPr>
        <w:adjustRightInd w:val="0"/>
        <w:snapToGrid w:val="0"/>
        <w:spacing w:line="400" w:lineRule="exact"/>
        <w:ind w:left="1850" w:leftChars="771"/>
        <w:jc w:val="both"/>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2</w:t>
      </w:r>
      <w:r>
        <w:rPr>
          <w:rFonts w:hint="eastAsia" w:ascii="仿宋" w:hAnsi="仿宋" w:eastAsia="仿宋" w:cs="仿宋"/>
          <w:lang w:eastAsia="zh-CN"/>
        </w:rPr>
        <w:t>）发包人应对其现场机构全部人员的安全事故承担责任，但由于承包人原因造成发包人人员安全事故的，应由承包人承担责任。</w:t>
      </w:r>
    </w:p>
    <w:p w14:paraId="6DB8E26A">
      <w:pPr>
        <w:adjustRightInd w:val="0"/>
        <w:snapToGrid w:val="0"/>
        <w:spacing w:line="400" w:lineRule="exact"/>
        <w:ind w:left="1850" w:leftChars="771"/>
        <w:jc w:val="both"/>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3</w:t>
      </w:r>
      <w:r>
        <w:rPr>
          <w:rFonts w:hint="eastAsia" w:ascii="仿宋" w:hAnsi="仿宋" w:eastAsia="仿宋" w:cs="仿宋"/>
          <w:lang w:eastAsia="zh-CN"/>
        </w:rPr>
        <w:t>）发包人有下列行为之一或由于发包人原因造成安全事故的，由发包人承担责任，由此增加的费用和延误的工期由发包人承担。</w:t>
      </w:r>
    </w:p>
    <w:p w14:paraId="7FDEAECE">
      <w:pPr>
        <w:tabs>
          <w:tab w:val="left" w:pos="1980"/>
        </w:tabs>
        <w:adjustRightInd w:val="0"/>
        <w:snapToGrid w:val="0"/>
        <w:spacing w:line="400" w:lineRule="exact"/>
        <w:ind w:left="1850" w:leftChars="771"/>
        <w:jc w:val="both"/>
        <w:rPr>
          <w:rFonts w:ascii="仿宋" w:hAnsi="仿宋" w:eastAsia="仿宋"/>
          <w:lang w:eastAsia="zh-CN"/>
        </w:rPr>
      </w:pPr>
      <w:r>
        <w:rPr>
          <w:rFonts w:hint="eastAsia" w:ascii="仿宋" w:hAnsi="仿宋" w:eastAsia="仿宋" w:cs="仿宋"/>
          <w:lang w:eastAsia="zh-CN"/>
        </w:rPr>
        <w:t>① 要求承包人违反绿色施工安全防护操作规程施工的；</w:t>
      </w:r>
    </w:p>
    <w:p w14:paraId="72299DFC">
      <w:pPr>
        <w:tabs>
          <w:tab w:val="left" w:pos="1980"/>
        </w:tabs>
        <w:adjustRightInd w:val="0"/>
        <w:snapToGrid w:val="0"/>
        <w:spacing w:line="400" w:lineRule="exact"/>
        <w:ind w:left="1850" w:leftChars="771"/>
        <w:jc w:val="both"/>
        <w:rPr>
          <w:rFonts w:ascii="仿宋" w:hAnsi="仿宋" w:eastAsia="仿宋"/>
          <w:lang w:eastAsia="zh-CN"/>
        </w:rPr>
      </w:pPr>
      <w:r>
        <w:rPr>
          <w:rFonts w:hint="eastAsia" w:ascii="仿宋" w:hAnsi="仿宋" w:eastAsia="仿宋" w:cs="仿宋"/>
          <w:lang w:eastAsia="zh-CN"/>
        </w:rPr>
        <w:t>② 对承包人提出不符合国家、省有关绿色施工安全防护法律和强制性标准规定要求的；</w:t>
      </w:r>
    </w:p>
    <w:p w14:paraId="1A21340F">
      <w:pPr>
        <w:tabs>
          <w:tab w:val="left" w:pos="1980"/>
        </w:tabs>
        <w:adjustRightInd w:val="0"/>
        <w:snapToGrid w:val="0"/>
        <w:spacing w:line="400" w:lineRule="exact"/>
        <w:ind w:left="1850" w:leftChars="771"/>
        <w:jc w:val="both"/>
        <w:rPr>
          <w:rFonts w:ascii="仿宋" w:hAnsi="仿宋" w:eastAsia="仿宋"/>
          <w:lang w:eastAsia="zh-CN"/>
        </w:rPr>
      </w:pPr>
      <w:r>
        <w:rPr>
          <w:rFonts w:hint="eastAsia" w:ascii="仿宋" w:hAnsi="仿宋" w:eastAsia="仿宋" w:cs="仿宋"/>
          <w:lang w:eastAsia="zh-CN"/>
        </w:rPr>
        <w:t>③ 明示或暗示承包人购买、租赁、使用不符合安全施工要求的安全防护用具、施工机具的。</w:t>
      </w:r>
    </w:p>
    <w:p w14:paraId="3610E16C">
      <w:pPr>
        <w:tabs>
          <w:tab w:val="left" w:pos="1980"/>
        </w:tabs>
        <w:adjustRightInd w:val="0"/>
        <w:snapToGrid w:val="0"/>
        <w:spacing w:line="400" w:lineRule="exact"/>
        <w:ind w:left="1850" w:leftChars="771"/>
        <w:jc w:val="both"/>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4</w:t>
      </w:r>
      <w:r>
        <w:rPr>
          <w:rFonts w:hint="eastAsia" w:ascii="仿宋" w:hAnsi="仿宋" w:eastAsia="仿宋" w:cs="仿宋"/>
          <w:lang w:eastAsia="zh-CN"/>
        </w:rPr>
        <w:t>）发包人应负责赔偿下列情形造成的第三者人身伤亡和财产损失。</w:t>
      </w:r>
    </w:p>
    <w:p w14:paraId="436467E9">
      <w:pPr>
        <w:tabs>
          <w:tab w:val="left" w:pos="1980"/>
        </w:tabs>
        <w:adjustRightInd w:val="0"/>
        <w:snapToGrid w:val="0"/>
        <w:spacing w:line="400" w:lineRule="exact"/>
        <w:ind w:left="1850" w:leftChars="771"/>
        <w:jc w:val="both"/>
        <w:rPr>
          <w:rFonts w:ascii="仿宋" w:hAnsi="仿宋" w:eastAsia="仿宋"/>
          <w:lang w:eastAsia="zh-CN"/>
        </w:rPr>
      </w:pPr>
      <w:r>
        <w:rPr>
          <w:rFonts w:hint="eastAsia" w:ascii="仿宋" w:hAnsi="仿宋" w:eastAsia="仿宋" w:cs="仿宋"/>
          <w:lang w:eastAsia="zh-CN"/>
        </w:rPr>
        <w:t>① 工程或工程的任何部分对土地的占用所造成的第三者财产损失；</w:t>
      </w:r>
    </w:p>
    <w:p w14:paraId="3B0CD703">
      <w:pPr>
        <w:tabs>
          <w:tab w:val="left" w:pos="1980"/>
        </w:tabs>
        <w:adjustRightInd w:val="0"/>
        <w:snapToGrid w:val="0"/>
        <w:spacing w:line="400" w:lineRule="exact"/>
        <w:ind w:left="1850" w:leftChars="771"/>
        <w:jc w:val="both"/>
        <w:rPr>
          <w:rFonts w:ascii="仿宋" w:hAnsi="仿宋" w:eastAsia="仿宋"/>
          <w:lang w:eastAsia="zh-CN"/>
        </w:rPr>
      </w:pPr>
      <w:r>
        <w:rPr>
          <w:rFonts w:hint="eastAsia" w:ascii="仿宋" w:hAnsi="仿宋" w:eastAsia="仿宋" w:cs="仿宋"/>
          <w:lang w:eastAsia="zh-CN"/>
        </w:rPr>
        <w:t>② 由于发包人原因在施工场地及其毗邻区域造成的第三者人身伤亡和财产损失。</w:t>
      </w:r>
    </w:p>
    <w:p w14:paraId="42CE7783">
      <w:pPr>
        <w:spacing w:line="400" w:lineRule="exact"/>
        <w:rPr>
          <w:rFonts w:ascii="仿宋" w:hAnsi="仿宋" w:eastAsia="仿宋" w:cs="仿宋"/>
          <w:u w:val="dotted"/>
          <w:lang w:eastAsia="zh-CN"/>
        </w:rPr>
      </w:pPr>
      <w:bookmarkStart w:id="424" w:name="_Toc17090"/>
      <w:r>
        <w:rPr>
          <w:rFonts w:hint="eastAsia" w:ascii="仿宋" w:hAnsi="仿宋" w:eastAsia="仿宋" w:cs="仿宋"/>
          <w:b/>
          <w:bCs/>
          <w:lang w:eastAsia="zh-CN"/>
        </w:rPr>
        <w:t>52</w:t>
      </w:r>
      <w:r>
        <w:rPr>
          <w:rFonts w:ascii="仿宋" w:hAnsi="仿宋" w:eastAsia="仿宋" w:cs="仿宋"/>
          <w:b/>
          <w:bCs/>
          <w:lang w:eastAsia="zh-CN"/>
        </w:rPr>
        <w:t>.4</w:t>
      </w:r>
      <w:bookmarkEnd w:id="424"/>
      <w:r>
        <w:rPr>
          <w:rFonts w:ascii="仿宋" w:hAnsi="仿宋" w:eastAsia="仿宋" w:cs="仿宋"/>
          <w:b/>
          <w:bCs/>
          <w:lang w:eastAsia="zh-CN"/>
        </w:rPr>
        <w:t xml:space="preserve"> </w:t>
      </w:r>
      <w:r>
        <w:rPr>
          <w:rFonts w:ascii="仿宋" w:hAnsi="仿宋" w:eastAsia="仿宋" w:cs="仿宋"/>
          <w:lang w:eastAsia="zh-CN"/>
        </w:rPr>
        <w:t xml:space="preserve"> </w:t>
      </w:r>
      <w:r>
        <w:rPr>
          <w:rFonts w:ascii="仿宋" w:hAnsi="仿宋" w:eastAsia="仿宋" w:cs="仿宋"/>
          <w:u w:val="dotted"/>
          <w:lang w:eastAsia="zh-CN"/>
        </w:rPr>
        <w:t xml:space="preserve">                                                                               </w:t>
      </w:r>
    </w:p>
    <w:p w14:paraId="09DFA490">
      <w:pPr>
        <w:widowControl w:val="0"/>
        <w:adjustRightInd w:val="0"/>
        <w:snapToGrid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791360" behindDoc="0" locked="0" layoutInCell="1" allowOverlap="1">
                <wp:simplePos x="0" y="0"/>
                <wp:positionH relativeFrom="column">
                  <wp:posOffset>-114300</wp:posOffset>
                </wp:positionH>
                <wp:positionV relativeFrom="paragraph">
                  <wp:posOffset>198120</wp:posOffset>
                </wp:positionV>
                <wp:extent cx="847725" cy="461645"/>
                <wp:effectExtent l="0" t="0" r="0" b="0"/>
                <wp:wrapNone/>
                <wp:docPr id="217" name="文本框 868"/>
                <wp:cNvGraphicFramePr/>
                <a:graphic xmlns:a="http://schemas.openxmlformats.org/drawingml/2006/main">
                  <a:graphicData uri="http://schemas.microsoft.com/office/word/2010/wordprocessingShape">
                    <wps:wsp>
                      <wps:cNvSpPr txBox="1"/>
                      <wps:spPr>
                        <a:xfrm>
                          <a:off x="0" y="0"/>
                          <a:ext cx="847725" cy="461645"/>
                        </a:xfrm>
                        <a:prstGeom prst="rect">
                          <a:avLst/>
                        </a:prstGeom>
                        <a:noFill/>
                        <a:ln w="12700">
                          <a:noFill/>
                        </a:ln>
                      </wps:spPr>
                      <wps:txbx>
                        <w:txbxContent>
                          <w:p w14:paraId="6242A47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txbxContent>
                      </wps:txbx>
                      <wps:bodyPr rot="0" vert="horz" wrap="square" lIns="91440" tIns="45720" rIns="91440" bIns="45720" anchor="t" anchorCtr="0"/>
                    </wps:wsp>
                  </a:graphicData>
                </a:graphic>
              </wp:anchor>
            </w:drawing>
          </mc:Choice>
          <mc:Fallback>
            <w:pict>
              <v:shape id="文本框 868" o:spid="_x0000_s1026" o:spt="202" type="#_x0000_t202" style="position:absolute;left:0pt;margin-left:-9pt;margin-top:15.6pt;height:36.35pt;width:66.75pt;z-index:251791360;mso-width-relative:page;mso-height-relative:page;" filled="f" stroked="f" coordsize="21600,21600" o:gfxdata="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w&#10;iZvV2QAAAAoBAAAPAAAAAAAAAAEAIAAAACIAAABkcnMvZG93bnJldi54bWxQSwECFAAUAAAACACH&#10;TuJAERwhv+oBAAC+AwAADgAAAAAAAAABACAAAAAoAQAAZHJzL2Uyb0RvYy54bWxQSwUGAAAAAAYA&#10;BgBZAQAAhAUAAAAA&#10;">
                <v:fill on="f" focussize="0,0"/>
                <v:stroke on="f" weight="1pt"/>
                <v:imagedata o:title=""/>
                <o:lock v:ext="edit" aspectratio="f"/>
                <v:textbox>
                  <w:txbxContent>
                    <w:p w14:paraId="6242A47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txbxContent>
                </v:textbox>
              </v:shape>
            </w:pict>
          </mc:Fallback>
        </mc:AlternateContent>
      </w:r>
      <w:r>
        <w:rPr>
          <w:rFonts w:hint="eastAsia" w:ascii="仿宋" w:hAnsi="仿宋" w:eastAsia="仿宋" w:cs="仿宋"/>
          <w:lang w:eastAsia="zh-CN"/>
        </w:rPr>
        <w:t>在合同工程实施、完成及保修期间，承包人承担下列责任：</w:t>
      </w:r>
    </w:p>
    <w:p w14:paraId="5E095E59">
      <w:pPr>
        <w:widowControl w:val="0"/>
        <w:adjustRightInd w:val="0"/>
        <w:snapToGrid w:val="0"/>
        <w:spacing w:line="400" w:lineRule="exact"/>
        <w:ind w:left="1850" w:leftChars="771"/>
        <w:jc w:val="both"/>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1</w:t>
      </w:r>
      <w:r>
        <w:rPr>
          <w:rFonts w:hint="eastAsia" w:ascii="仿宋" w:hAnsi="仿宋" w:eastAsia="仿宋" w:cs="仿宋"/>
          <w:lang w:eastAsia="zh-CN"/>
        </w:rPr>
        <w:t>）承包人应严格按照国家、省、市有关绿色施工安全防护的标准规范制定绿色施工安全防护操作规程，配备必要的安全生产和劳动保护设施，加强对承包人人员的施工安全教育和培训。</w:t>
      </w:r>
    </w:p>
    <w:p w14:paraId="1FE801A1">
      <w:pPr>
        <w:widowControl w:val="0"/>
        <w:adjustRightInd w:val="0"/>
        <w:snapToGrid w:val="0"/>
        <w:spacing w:line="400" w:lineRule="exact"/>
        <w:ind w:left="1850" w:leftChars="771"/>
        <w:jc w:val="both"/>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2</w:t>
      </w:r>
      <w:r>
        <w:rPr>
          <w:rFonts w:hint="eastAsia" w:ascii="仿宋" w:hAnsi="仿宋" w:eastAsia="仿宋" w:cs="仿宋"/>
          <w:lang w:eastAsia="zh-CN"/>
        </w:rPr>
        <w:t>）承包人应对合同工程的绿色施工安全防护负责，采取有效的安全措施消除安全事故隐患，并接受和配合政府有关部门实施的监督检查。</w:t>
      </w:r>
    </w:p>
    <w:p w14:paraId="3DFECC51">
      <w:pPr>
        <w:widowControl w:val="0"/>
        <w:adjustRightInd w:val="0"/>
        <w:snapToGrid w:val="0"/>
        <w:spacing w:line="400" w:lineRule="exact"/>
        <w:ind w:left="1850" w:leftChars="771"/>
        <w:jc w:val="both"/>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3</w:t>
      </w:r>
      <w:r>
        <w:rPr>
          <w:rFonts w:hint="eastAsia" w:ascii="仿宋" w:hAnsi="仿宋" w:eastAsia="仿宋" w:cs="仿宋"/>
          <w:lang w:eastAsia="zh-CN"/>
        </w:rPr>
        <w:t>）承包人应加强施工作业安全管理，特别应加强使用易燃、易爆、有毒与腐蚀性材料，以及爆破和地下施工等危险作业的安全管理，尽量避免人员伤亡和财产损失。</w:t>
      </w:r>
    </w:p>
    <w:p w14:paraId="1F20DC8E">
      <w:pPr>
        <w:widowControl w:val="0"/>
        <w:adjustRightInd w:val="0"/>
        <w:snapToGrid w:val="0"/>
        <w:spacing w:line="400" w:lineRule="exact"/>
        <w:ind w:left="1850" w:leftChars="771"/>
        <w:jc w:val="both"/>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4</w:t>
      </w:r>
      <w:r>
        <w:rPr>
          <w:rFonts w:hint="eastAsia" w:ascii="仿宋" w:hAnsi="仿宋" w:eastAsia="仿宋" w:cs="仿宋"/>
          <w:lang w:eastAsia="zh-CN"/>
        </w:rPr>
        <w:t>）承包人应按监理人的指令制定应对灾害的应急预案，并按预案做好安全检查，配置必要的救助物资和器材，切实保护好有关人员的人身和财产安全。</w:t>
      </w:r>
    </w:p>
    <w:p w14:paraId="3684D77D">
      <w:pPr>
        <w:widowControl w:val="0"/>
        <w:adjustRightInd w:val="0"/>
        <w:snapToGrid w:val="0"/>
        <w:spacing w:line="400" w:lineRule="exact"/>
        <w:ind w:left="1850" w:leftChars="771"/>
        <w:jc w:val="both"/>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5</w:t>
      </w:r>
      <w:r>
        <w:rPr>
          <w:rFonts w:hint="eastAsia" w:ascii="仿宋" w:hAnsi="仿宋" w:eastAsia="仿宋" w:cs="仿宋"/>
          <w:lang w:eastAsia="zh-CN"/>
        </w:rPr>
        <w:t>）承包人违反本条约定或由于承包人原因造成安全事故的，由承包人承担责任，由此增加的费用和延误的工期由承包人承担。</w:t>
      </w:r>
    </w:p>
    <w:p w14:paraId="08596A4F">
      <w:pPr>
        <w:widowControl w:val="0"/>
        <w:adjustRightInd w:val="0"/>
        <w:snapToGrid w:val="0"/>
        <w:spacing w:line="400" w:lineRule="exact"/>
        <w:ind w:left="1850" w:leftChars="771"/>
        <w:jc w:val="both"/>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6</w:t>
      </w:r>
      <w:r>
        <w:rPr>
          <w:rFonts w:hint="eastAsia" w:ascii="仿宋" w:hAnsi="仿宋" w:eastAsia="仿宋" w:cs="仿宋"/>
          <w:lang w:eastAsia="zh-CN"/>
        </w:rPr>
        <w:t>）承包人应对其履行合同所雇佣的全部人员，包括分包人人员的安全事故承担责任，但由于发包人原因造成承包人人员安全事故的，应由发包人承担责任。</w:t>
      </w:r>
    </w:p>
    <w:p w14:paraId="59200647">
      <w:pPr>
        <w:widowControl w:val="0"/>
        <w:adjustRightInd w:val="0"/>
        <w:snapToGrid w:val="0"/>
        <w:spacing w:line="400" w:lineRule="exact"/>
        <w:ind w:left="1850" w:leftChars="771"/>
        <w:jc w:val="both"/>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7</w:t>
      </w:r>
      <w:r>
        <w:rPr>
          <w:rFonts w:hint="eastAsia" w:ascii="仿宋" w:hAnsi="仿宋" w:eastAsia="仿宋" w:cs="仿宋"/>
          <w:lang w:eastAsia="zh-CN"/>
        </w:rPr>
        <w:t>）由于承包人原因在施工场地内及其毗邻区域造成的第三者人身伤亡和财产损失，由承包人负责赔偿。</w:t>
      </w:r>
    </w:p>
    <w:p w14:paraId="12DBBE9C">
      <w:pPr>
        <w:spacing w:line="400" w:lineRule="exact"/>
        <w:rPr>
          <w:rFonts w:ascii="仿宋" w:hAnsi="仿宋" w:eastAsia="仿宋" w:cs="仿宋"/>
          <w:u w:val="dotted"/>
          <w:lang w:eastAsia="zh-CN"/>
        </w:rPr>
      </w:pPr>
      <w:bookmarkStart w:id="425" w:name="_Toc12329"/>
      <w:r>
        <w:rPr>
          <w:rFonts w:hint="eastAsia" w:ascii="仿宋" w:hAnsi="仿宋" w:eastAsia="仿宋" w:cs="仿宋"/>
          <w:b/>
          <w:bCs/>
          <w:lang w:eastAsia="zh-CN"/>
        </w:rPr>
        <w:t>52</w:t>
      </w:r>
      <w:r>
        <w:rPr>
          <w:rFonts w:ascii="仿宋" w:hAnsi="仿宋" w:eastAsia="仿宋" w:cs="仿宋"/>
          <w:b/>
          <w:bCs/>
          <w:lang w:eastAsia="zh-CN"/>
        </w:rPr>
        <w:t>.5</w:t>
      </w:r>
      <w:bookmarkEnd w:id="425"/>
      <w:r>
        <w:rPr>
          <w:rFonts w:ascii="仿宋" w:hAnsi="仿宋" w:eastAsia="仿宋" w:cs="仿宋"/>
          <w:b/>
          <w:bCs/>
          <w:lang w:eastAsia="zh-CN"/>
        </w:rPr>
        <w:t xml:space="preserve"> </w:t>
      </w:r>
      <w:r>
        <w:rPr>
          <w:rFonts w:ascii="仿宋" w:hAnsi="仿宋" w:eastAsia="仿宋" w:cs="仿宋"/>
          <w:lang w:eastAsia="zh-CN"/>
        </w:rPr>
        <w:t xml:space="preserve"> </w:t>
      </w:r>
      <w:r>
        <w:rPr>
          <w:rFonts w:ascii="仿宋" w:hAnsi="仿宋" w:eastAsia="仿宋" w:cs="仿宋"/>
          <w:u w:val="dotted"/>
          <w:lang w:eastAsia="zh-CN"/>
        </w:rPr>
        <w:t xml:space="preserve">                                                                               </w:t>
      </w:r>
    </w:p>
    <w:p w14:paraId="3C3CCF3F">
      <w:pPr>
        <w:adjustRightInd w:val="0"/>
        <w:snapToGrid w:val="0"/>
        <w:spacing w:line="400" w:lineRule="exact"/>
        <w:ind w:left="1850" w:leftChars="771"/>
        <w:rPr>
          <w:rFonts w:ascii="仿宋" w:hAnsi="仿宋" w:eastAsia="仿宋"/>
          <w:lang w:eastAsia="zh-CN"/>
        </w:rPr>
      </w:pPr>
      <w:r>
        <mc:AlternateContent>
          <mc:Choice Requires="wps">
            <w:drawing>
              <wp:anchor distT="0" distB="0" distL="114300" distR="114300" simplePos="0" relativeHeight="251792384" behindDoc="0" locked="0" layoutInCell="1" allowOverlap="1">
                <wp:simplePos x="0" y="0"/>
                <wp:positionH relativeFrom="column">
                  <wp:posOffset>-114300</wp:posOffset>
                </wp:positionH>
                <wp:positionV relativeFrom="paragraph">
                  <wp:posOffset>71120</wp:posOffset>
                </wp:positionV>
                <wp:extent cx="791210" cy="519430"/>
                <wp:effectExtent l="0" t="0" r="0" b="0"/>
                <wp:wrapNone/>
                <wp:docPr id="218" name="文本框 869"/>
                <wp:cNvGraphicFramePr/>
                <a:graphic xmlns:a="http://schemas.openxmlformats.org/drawingml/2006/main">
                  <a:graphicData uri="http://schemas.microsoft.com/office/word/2010/wordprocessingShape">
                    <wps:wsp>
                      <wps:cNvSpPr txBox="1"/>
                      <wps:spPr>
                        <a:xfrm>
                          <a:off x="0" y="0"/>
                          <a:ext cx="791210" cy="519430"/>
                        </a:xfrm>
                        <a:prstGeom prst="rect">
                          <a:avLst/>
                        </a:prstGeom>
                        <a:noFill/>
                        <a:ln w="12700">
                          <a:noFill/>
                        </a:ln>
                      </wps:spPr>
                      <wps:txbx>
                        <w:txbxContent>
                          <w:p w14:paraId="69529BD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txbxContent>
                      </wps:txbx>
                      <wps:bodyPr rot="0" vert="horz" wrap="square" lIns="91440" tIns="45720" rIns="91440" bIns="45720" anchor="t" anchorCtr="0"/>
                    </wps:wsp>
                  </a:graphicData>
                </a:graphic>
              </wp:anchor>
            </w:drawing>
          </mc:Choice>
          <mc:Fallback>
            <w:pict>
              <v:shape id="文本框 869" o:spid="_x0000_s1026" o:spt="202" type="#_x0000_t202" style="position:absolute;left:0pt;margin-left:-9pt;margin-top:5.6pt;height:40.9pt;width:62.3pt;z-index:251792384;mso-width-relative:page;mso-height-relative:page;" filled="f" stroked="f" coordsize="21600,21600" o:gfxdata="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g1&#10;XtDWAAAACQEAAA8AAAAAAAAAAQAgAAAAIgAAAGRycy9kb3ducmV2LnhtbFBLAQIUABQAAAAIAIdO&#10;4kB14usE7AEAAL4DAAAOAAAAAAAAAAEAIAAAACUBAABkcnMvZTJvRG9jLnhtbFBLBQYAAAAABgAG&#10;AFkBAACDBQAAAAA=&#10;">
                <v:fill on="f" focussize="0,0"/>
                <v:stroke on="f" weight="1pt"/>
                <v:imagedata o:title=""/>
                <o:lock v:ext="edit" aspectratio="f"/>
                <v:textbox>
                  <w:txbxContent>
                    <w:p w14:paraId="69529BD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txbxContent>
                </v:textbox>
              </v:shape>
            </w:pict>
          </mc:Fallback>
        </mc:AlternateContent>
      </w:r>
      <w:r>
        <w:rPr>
          <w:rFonts w:hint="eastAsia" w:ascii="仿宋" w:hAnsi="仿宋" w:eastAsia="仿宋" w:cs="仿宋"/>
          <w:lang w:eastAsia="zh-CN"/>
        </w:rPr>
        <w:t>监理人应当审查施工组织设计中的安全技术措施或者专项施工方案是否符合建设行政主管部门的有关规定。监理人发现承包人未遵守安全生产和文明施工规定或施工现场存在安全事故隐患的，应以书面形式通知承包人整改；情况严重的，应要求承包人暂停施工，并及时报告发包人。承包人在收到监理人发出书面通知后的</w:t>
      </w:r>
      <w:r>
        <w:rPr>
          <w:rFonts w:ascii="仿宋" w:hAnsi="仿宋" w:eastAsia="仿宋" w:cs="仿宋"/>
          <w:lang w:eastAsia="zh-CN"/>
        </w:rPr>
        <w:t>48</w:t>
      </w:r>
      <w:r>
        <w:rPr>
          <w:rFonts w:hint="eastAsia" w:ascii="仿宋" w:hAnsi="仿宋" w:eastAsia="仿宋" w:cs="仿宋"/>
          <w:lang w:eastAsia="zh-CN"/>
        </w:rPr>
        <w:t>小时内仍未整改的，监理人可在报经发包人批准后委托第三方采取措施。由此发生的费用经造价咨询人核实后，由发包人从应付或将付给承包人的款项中扣除。</w:t>
      </w:r>
    </w:p>
    <w:p w14:paraId="0E2E0C1E">
      <w:pPr>
        <w:spacing w:line="400" w:lineRule="exact"/>
        <w:rPr>
          <w:rFonts w:ascii="仿宋" w:hAnsi="仿宋" w:eastAsia="仿宋" w:cs="仿宋"/>
          <w:lang w:eastAsia="zh-CN"/>
        </w:rPr>
      </w:pPr>
      <w:bookmarkStart w:id="426" w:name="_Toc22450"/>
      <w:r>
        <w:rPr>
          <w:rFonts w:hint="eastAsia" w:ascii="仿宋" w:hAnsi="仿宋" w:eastAsia="仿宋" w:cs="仿宋"/>
          <w:b/>
          <w:bCs/>
          <w:lang w:eastAsia="zh-CN"/>
        </w:rPr>
        <w:t>52</w:t>
      </w:r>
      <w:r>
        <w:rPr>
          <w:rFonts w:ascii="仿宋" w:hAnsi="仿宋" w:eastAsia="仿宋" w:cs="仿宋"/>
          <w:b/>
          <w:bCs/>
          <w:lang w:eastAsia="zh-CN"/>
        </w:rPr>
        <w:t>.6</w:t>
      </w:r>
      <w:bookmarkEnd w:id="426"/>
      <w:r>
        <w:rPr>
          <w:rFonts w:ascii="仿宋" w:hAnsi="仿宋" w:eastAsia="仿宋" w:cs="仿宋"/>
          <w:lang w:eastAsia="zh-CN"/>
        </w:rPr>
        <w:t xml:space="preserve">  </w:t>
      </w:r>
      <w:r>
        <w:rPr>
          <w:rFonts w:ascii="仿宋" w:hAnsi="仿宋" w:eastAsia="仿宋" w:cs="仿宋"/>
          <w:u w:val="dotted"/>
          <w:lang w:eastAsia="zh-CN"/>
        </w:rPr>
        <w:t xml:space="preserve">                                                                                </w:t>
      </w:r>
    </w:p>
    <w:p w14:paraId="19AA7544">
      <w:pPr>
        <w:widowControl w:val="0"/>
        <w:adjustRightInd w:val="0"/>
        <w:snapToGrid w:val="0"/>
        <w:spacing w:line="400" w:lineRule="exact"/>
        <w:ind w:left="1850" w:leftChars="771"/>
        <w:rPr>
          <w:rFonts w:ascii="仿宋" w:hAnsi="仿宋" w:eastAsia="仿宋"/>
          <w:lang w:eastAsia="zh-CN"/>
        </w:rPr>
      </w:pPr>
      <w:r>
        <mc:AlternateContent>
          <mc:Choice Requires="wps">
            <w:drawing>
              <wp:anchor distT="0" distB="0" distL="114300" distR="114300" simplePos="0" relativeHeight="251793408" behindDoc="0" locked="0" layoutInCell="1" allowOverlap="1">
                <wp:simplePos x="0" y="0"/>
                <wp:positionH relativeFrom="column">
                  <wp:posOffset>-83820</wp:posOffset>
                </wp:positionH>
                <wp:positionV relativeFrom="paragraph">
                  <wp:posOffset>11430</wp:posOffset>
                </wp:positionV>
                <wp:extent cx="693420" cy="501015"/>
                <wp:effectExtent l="0" t="0" r="0" b="0"/>
                <wp:wrapNone/>
                <wp:docPr id="219" name="文本框 870"/>
                <wp:cNvGraphicFramePr/>
                <a:graphic xmlns:a="http://schemas.openxmlformats.org/drawingml/2006/main">
                  <a:graphicData uri="http://schemas.microsoft.com/office/word/2010/wordprocessingShape">
                    <wps:wsp>
                      <wps:cNvSpPr txBox="1"/>
                      <wps:spPr>
                        <a:xfrm>
                          <a:off x="0" y="0"/>
                          <a:ext cx="693420" cy="501015"/>
                        </a:xfrm>
                        <a:prstGeom prst="rect">
                          <a:avLst/>
                        </a:prstGeom>
                        <a:noFill/>
                        <a:ln w="12700">
                          <a:noFill/>
                        </a:ln>
                      </wps:spPr>
                      <wps:txbx>
                        <w:txbxContent>
                          <w:p w14:paraId="6A19047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txbxContent>
                      </wps:txbx>
                      <wps:bodyPr rot="0" vert="horz" wrap="square" lIns="91440" tIns="45720" rIns="91440" bIns="45720" anchor="t" anchorCtr="0"/>
                    </wps:wsp>
                  </a:graphicData>
                </a:graphic>
              </wp:anchor>
            </w:drawing>
          </mc:Choice>
          <mc:Fallback>
            <w:pict>
              <v:shape id="文本框 870" o:spid="_x0000_s1026" o:spt="202" type="#_x0000_t202" style="position:absolute;left:0pt;margin-left:-6.6pt;margin-top:0.9pt;height:39.45pt;width:54.6pt;z-index:251793408;mso-width-relative:page;mso-height-relative:page;" filled="f" stroked="f" coordsize="21600,21600" o:gfxdata="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7L4aI1QAA&#10;AAcBAAAPAAAAAAAAAAEAIAAAACIAAABkcnMvZG93bnJldi54bWxQSwECFAAUAAAACACHTuJAQr1L&#10;q+gBAAC+AwAADgAAAAAAAAABACAAAAAkAQAAZHJzL2Uyb0RvYy54bWxQSwUGAAAAAAYABgBZAQAA&#10;fgUAAAAA&#10;">
                <v:fill on="f" focussize="0,0"/>
                <v:stroke on="f" weight="1pt"/>
                <v:imagedata o:title=""/>
                <o:lock v:ext="edit" aspectratio="f"/>
                <v:textbox>
                  <w:txbxContent>
                    <w:p w14:paraId="6A19047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txbxContent>
                </v:textbox>
              </v:shape>
            </w:pict>
          </mc:Fallback>
        </mc:AlternateContent>
      </w:r>
      <w:r>
        <w:rPr>
          <w:rFonts w:hint="eastAsia" w:ascii="仿宋" w:hAnsi="仿宋" w:eastAsia="仿宋" w:cs="仿宋"/>
          <w:lang w:eastAsia="zh-CN"/>
        </w:rPr>
        <w:t>合同双方当事人不仅应协助当地治安管理机构或联防组织维护施工场地的社会治安，而且应做好施工现场内人员生产生活的治安保卫工作。</w:t>
      </w:r>
    </w:p>
    <w:p w14:paraId="1D1752C8">
      <w:pPr>
        <w:widowControl w:val="0"/>
        <w:adjustRightInd w:val="0"/>
        <w:snapToGrid w:val="0"/>
        <w:spacing w:line="400" w:lineRule="exact"/>
        <w:ind w:left="1850" w:leftChars="771"/>
        <w:rPr>
          <w:rFonts w:ascii="仿宋" w:hAnsi="仿宋" w:eastAsia="仿宋"/>
          <w:lang w:eastAsia="zh-CN"/>
        </w:rPr>
      </w:pPr>
      <w:r>
        <w:rPr>
          <w:rFonts w:hint="eastAsia" w:ascii="仿宋" w:hAnsi="仿宋" w:eastAsia="仿宋" w:cs="仿宋"/>
          <w:lang w:eastAsia="zh-CN"/>
        </w:rPr>
        <w:t>除专用条款另有约定外，合同双方当事人应在工程开工后，共同编制施工场地治安管理计划，并制定应对突发治安事项的应急预案。在施工过程中，发生暴乱、爆炸等恐怖事项，以及群殴、械斗等群体性突发治安事项的，应立即向当地政府有关部门报告，积极协助当地政府有关部门采取措施平息事项，防止事态扩大，尽量减少财产损失和避免人员伤亡。</w:t>
      </w:r>
    </w:p>
    <w:p w14:paraId="7C375C23">
      <w:pPr>
        <w:spacing w:line="400" w:lineRule="exact"/>
        <w:rPr>
          <w:rFonts w:ascii="仿宋" w:hAnsi="仿宋" w:eastAsia="仿宋" w:cs="仿宋"/>
          <w:b/>
          <w:bCs/>
          <w:lang w:eastAsia="zh-CN"/>
        </w:rPr>
      </w:pPr>
      <w:bookmarkStart w:id="427" w:name="_Toc29262"/>
      <w:r>
        <w:rPr>
          <w:rFonts w:hint="eastAsia" w:ascii="仿宋" w:hAnsi="仿宋" w:eastAsia="仿宋" w:cs="仿宋"/>
          <w:b/>
          <w:bCs/>
          <w:lang w:eastAsia="zh-CN"/>
        </w:rPr>
        <w:t>52</w:t>
      </w:r>
      <w:r>
        <w:rPr>
          <w:rFonts w:ascii="仿宋" w:hAnsi="仿宋" w:eastAsia="仿宋" w:cs="仿宋"/>
          <w:b/>
          <w:bCs/>
          <w:lang w:eastAsia="zh-CN"/>
        </w:rPr>
        <w:t>.7</w:t>
      </w:r>
      <w:bookmarkEnd w:id="427"/>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28DF30C5">
      <w:pPr>
        <w:widowControl w:val="0"/>
        <w:adjustRightInd w:val="0"/>
        <w:snapToGrid w:val="0"/>
        <w:spacing w:line="400" w:lineRule="exact"/>
        <w:ind w:left="1850" w:leftChars="771"/>
        <w:rPr>
          <w:rFonts w:ascii="仿宋" w:hAnsi="仿宋" w:eastAsia="仿宋"/>
          <w:lang w:eastAsia="zh-CN"/>
        </w:rPr>
      </w:pPr>
      <w:r>
        <mc:AlternateContent>
          <mc:Choice Requires="wps">
            <w:drawing>
              <wp:anchor distT="0" distB="0" distL="114300" distR="114300" simplePos="0" relativeHeight="251794432" behindDoc="0" locked="0" layoutInCell="1" allowOverlap="1">
                <wp:simplePos x="0" y="0"/>
                <wp:positionH relativeFrom="column">
                  <wp:posOffset>-83185</wp:posOffset>
                </wp:positionH>
                <wp:positionV relativeFrom="paragraph">
                  <wp:posOffset>25400</wp:posOffset>
                </wp:positionV>
                <wp:extent cx="787400" cy="561975"/>
                <wp:effectExtent l="0" t="0" r="0" b="0"/>
                <wp:wrapNone/>
                <wp:docPr id="220" name="文本框 871"/>
                <wp:cNvGraphicFramePr/>
                <a:graphic xmlns:a="http://schemas.openxmlformats.org/drawingml/2006/main">
                  <a:graphicData uri="http://schemas.microsoft.com/office/word/2010/wordprocessingShape">
                    <wps:wsp>
                      <wps:cNvSpPr txBox="1"/>
                      <wps:spPr>
                        <a:xfrm>
                          <a:off x="0" y="0"/>
                          <a:ext cx="787400" cy="561975"/>
                        </a:xfrm>
                        <a:prstGeom prst="rect">
                          <a:avLst/>
                        </a:prstGeom>
                        <a:noFill/>
                        <a:ln w="12700">
                          <a:noFill/>
                        </a:ln>
                      </wps:spPr>
                      <wps:txbx>
                        <w:txbxContent>
                          <w:p w14:paraId="798AC8F2">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施工场地的环保、卫生要求</w:t>
                            </w:r>
                          </w:p>
                        </w:txbxContent>
                      </wps:txbx>
                      <wps:bodyPr rot="0" vert="horz" wrap="square" lIns="91440" tIns="45720" rIns="91440" bIns="45720" anchor="t" anchorCtr="0"/>
                    </wps:wsp>
                  </a:graphicData>
                </a:graphic>
              </wp:anchor>
            </w:drawing>
          </mc:Choice>
          <mc:Fallback>
            <w:pict>
              <v:shape id="文本框 871" o:spid="_x0000_s1026" o:spt="202" type="#_x0000_t202" style="position:absolute;left:0pt;margin-left:-6.55pt;margin-top:2pt;height:44.25pt;width:62pt;z-index:251794432;mso-width-relative:page;mso-height-relative:page;" filled="f" stroked="f" coordsize="21600,21600" o:gfxdata="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SOU8lNYA&#10;AAAIAQAADwAAAAAAAAABACAAAAAiAAAAZHJzL2Rvd25yZXYueG1sUEsBAhQAFAAAAAgAh07iQJVA&#10;xGjoAQAAvgMAAA4AAAAAAAAAAQAgAAAAJQEAAGRycy9lMm9Eb2MueG1sUEsFBgAAAAAGAAYAWQEA&#10;AH8FAAAAAA==&#10;">
                <v:fill on="f" focussize="0,0"/>
                <v:stroke on="f" weight="1pt"/>
                <v:imagedata o:title=""/>
                <o:lock v:ext="edit" aspectratio="f"/>
                <v:textbox>
                  <w:txbxContent>
                    <w:p w14:paraId="798AC8F2">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施工场地的环保、卫生要求</w:t>
                      </w:r>
                    </w:p>
                  </w:txbxContent>
                </v:textbox>
              </v:shape>
            </w:pict>
          </mc:Fallback>
        </mc:AlternateContent>
      </w:r>
      <w:r>
        <w:rPr>
          <w:rFonts w:hint="eastAsia" w:ascii="仿宋" w:hAnsi="仿宋" w:eastAsia="仿宋" w:cs="仿宋"/>
          <w:lang w:eastAsia="zh-CN"/>
        </w:rPr>
        <w:t>承包人应遵守国家有关环境保护、卫生监督的法律，按照合同约定采取有效措施，保证施工场地达到环境保护、卫生部门的管理要求，为现场所有人员提供并维护干净卫生的生活设施，并在颁发合同工程接收证书后的</w:t>
      </w:r>
      <w:r>
        <w:rPr>
          <w:rFonts w:ascii="仿宋" w:hAnsi="仿宋" w:eastAsia="仿宋" w:cs="仿宋"/>
          <w:lang w:eastAsia="zh-CN"/>
        </w:rPr>
        <w:t>28</w:t>
      </w:r>
      <w:r>
        <w:rPr>
          <w:rFonts w:hint="eastAsia" w:ascii="仿宋" w:hAnsi="仿宋" w:eastAsia="仿宋" w:cs="仿宋"/>
          <w:lang w:eastAsia="zh-CN"/>
        </w:rPr>
        <w:t>天内，清理现场，运走全部施工设备、剩余工程材料和垃圾，保持施工场地和合同工程的清洁整齐。否则，发包人可自行处理或委托第三方处理留下的物品，所得金额在扣除由此发生的费用之后，将余额退还给承包人。</w:t>
      </w:r>
    </w:p>
    <w:p w14:paraId="643EB02C">
      <w:pPr>
        <w:spacing w:line="400" w:lineRule="exact"/>
        <w:rPr>
          <w:rFonts w:ascii="仿宋" w:hAnsi="仿宋" w:eastAsia="仿宋"/>
          <w:lang w:eastAsia="zh-CN"/>
        </w:rPr>
      </w:pPr>
      <w:bookmarkStart w:id="428" w:name="_Toc3457"/>
      <w:r>
        <w:rPr>
          <w:rFonts w:hint="eastAsia" w:ascii="仿宋" w:hAnsi="仿宋" w:eastAsia="仿宋" w:cs="仿宋"/>
          <w:b/>
          <w:bCs/>
          <w:lang w:eastAsia="zh-CN"/>
        </w:rPr>
        <w:t>52</w:t>
      </w:r>
      <w:r>
        <w:rPr>
          <w:rFonts w:ascii="仿宋" w:hAnsi="仿宋" w:eastAsia="仿宋" w:cs="仿宋"/>
          <w:b/>
          <w:bCs/>
          <w:lang w:eastAsia="zh-CN"/>
        </w:rPr>
        <w:t>.8</w:t>
      </w:r>
      <w:bookmarkEnd w:id="428"/>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1737054C">
      <w:pPr>
        <w:widowControl w:val="0"/>
        <w:adjustRightInd w:val="0"/>
        <w:snapToGrid w:val="0"/>
        <w:spacing w:line="400" w:lineRule="exact"/>
        <w:ind w:left="1850" w:leftChars="771"/>
        <w:rPr>
          <w:rFonts w:ascii="仿宋" w:hAnsi="仿宋" w:eastAsia="仿宋"/>
          <w:caps/>
          <w:lang w:eastAsia="zh-CN"/>
        </w:rPr>
      </w:pPr>
      <w:r>
        <mc:AlternateContent>
          <mc:Choice Requires="wps">
            <w:drawing>
              <wp:anchor distT="0" distB="0" distL="114300" distR="114300" simplePos="0" relativeHeight="251795456" behindDoc="0" locked="0" layoutInCell="1" allowOverlap="1">
                <wp:simplePos x="0" y="0"/>
                <wp:positionH relativeFrom="column">
                  <wp:posOffset>-104775</wp:posOffset>
                </wp:positionH>
                <wp:positionV relativeFrom="paragraph">
                  <wp:posOffset>7620</wp:posOffset>
                </wp:positionV>
                <wp:extent cx="844550" cy="535940"/>
                <wp:effectExtent l="0" t="0" r="0" b="0"/>
                <wp:wrapNone/>
                <wp:docPr id="221" name="文本框 872"/>
                <wp:cNvGraphicFramePr/>
                <a:graphic xmlns:a="http://schemas.openxmlformats.org/drawingml/2006/main">
                  <a:graphicData uri="http://schemas.microsoft.com/office/word/2010/wordprocessingShape">
                    <wps:wsp>
                      <wps:cNvSpPr txBox="1"/>
                      <wps:spPr>
                        <a:xfrm>
                          <a:off x="0" y="0"/>
                          <a:ext cx="844550" cy="535940"/>
                        </a:xfrm>
                        <a:prstGeom prst="rect">
                          <a:avLst/>
                        </a:prstGeom>
                        <a:noFill/>
                        <a:ln w="12700">
                          <a:noFill/>
                        </a:ln>
                      </wps:spPr>
                      <wps:txbx>
                        <w:txbxContent>
                          <w:p w14:paraId="222F935F">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发包人鼓励创建文明工地</w:t>
                            </w:r>
                          </w:p>
                        </w:txbxContent>
                      </wps:txbx>
                      <wps:bodyPr rot="0" vert="horz" wrap="square" lIns="91440" tIns="45720" rIns="91440" bIns="45720" anchor="t" anchorCtr="0"/>
                    </wps:wsp>
                  </a:graphicData>
                </a:graphic>
              </wp:anchor>
            </w:drawing>
          </mc:Choice>
          <mc:Fallback>
            <w:pict>
              <v:shape id="文本框 872" o:spid="_x0000_s1026" o:spt="202" type="#_x0000_t202" style="position:absolute;left:0pt;margin-left:-8.25pt;margin-top:0.6pt;height:42.2pt;width:66.5pt;z-index:251795456;mso-width-relative:page;mso-height-relative:page;" filled="f" stroked="f" coordsize="21600,21600" o:gfxdata="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hHw61&#10;1QAAAAgBAAAPAAAAAAAAAAEAIAAAACIAAABkcnMvZG93bnJldi54bWxQSwECFAAUAAAACACHTuJA&#10;E/u0JesBAAC+AwAADgAAAAAAAAABACAAAAAkAQAAZHJzL2Uyb0RvYy54bWxQSwUGAAAAAAYABgBZ&#10;AQAAgQUAAAAA&#10;">
                <v:fill on="f" focussize="0,0"/>
                <v:stroke on="f" weight="1pt"/>
                <v:imagedata o:title=""/>
                <o:lock v:ext="edit" aspectratio="f"/>
                <v:textbox>
                  <w:txbxContent>
                    <w:p w14:paraId="222F935F">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发包人鼓励创建文明工地</w:t>
                      </w:r>
                    </w:p>
                  </w:txbxContent>
                </v:textbox>
              </v:shape>
            </w:pict>
          </mc:Fallback>
        </mc:AlternateContent>
      </w:r>
      <w:r>
        <w:rPr>
          <w:rFonts w:hint="eastAsia" w:ascii="仿宋" w:hAnsi="仿宋" w:eastAsia="仿宋" w:cs="仿宋"/>
          <w:caps/>
          <w:lang w:eastAsia="zh-CN"/>
        </w:rPr>
        <w:t>发包人应配合承包人加强</w:t>
      </w:r>
      <w:r>
        <w:rPr>
          <w:rFonts w:hint="eastAsia" w:ascii="仿宋" w:hAnsi="仿宋" w:eastAsia="仿宋" w:cs="仿宋"/>
          <w:lang w:eastAsia="zh-CN"/>
        </w:rPr>
        <w:t>绿色施工安全防护</w:t>
      </w:r>
      <w:r>
        <w:rPr>
          <w:rFonts w:hint="eastAsia" w:ascii="仿宋" w:hAnsi="仿宋" w:eastAsia="仿宋" w:cs="仿宋"/>
          <w:caps/>
          <w:lang w:eastAsia="zh-CN"/>
        </w:rPr>
        <w:t>管理，鼓励承包人创建省、市级或其他级别文明工地。对于工程获得省、市级或其他级别文明工地的，应按照第</w:t>
      </w:r>
      <w:r>
        <w:rPr>
          <w:rFonts w:ascii="仿宋" w:hAnsi="仿宋" w:eastAsia="仿宋" w:cs="仿宋"/>
          <w:caps/>
          <w:lang w:eastAsia="zh-CN"/>
        </w:rPr>
        <w:t>8</w:t>
      </w:r>
      <w:r>
        <w:rPr>
          <w:rFonts w:hint="eastAsia" w:ascii="仿宋" w:hAnsi="仿宋" w:eastAsia="仿宋" w:cs="仿宋"/>
          <w:caps/>
          <w:lang w:eastAsia="zh-CN"/>
        </w:rPr>
        <w:t>5条约定向承包人支付文明工地增加费。</w:t>
      </w:r>
    </w:p>
    <w:p w14:paraId="044192F0">
      <w:pPr>
        <w:spacing w:line="400" w:lineRule="exact"/>
        <w:rPr>
          <w:rFonts w:ascii="仿宋" w:hAnsi="仿宋" w:eastAsia="仿宋"/>
          <w:lang w:eastAsia="zh-CN"/>
        </w:rPr>
      </w:pPr>
      <w:bookmarkStart w:id="429" w:name="_Toc24255"/>
      <w:r>
        <mc:AlternateContent>
          <mc:Choice Requires="wps">
            <w:drawing>
              <wp:anchor distT="0" distB="0" distL="114300" distR="114300" simplePos="0" relativeHeight="251855872" behindDoc="0" locked="0" layoutInCell="1" allowOverlap="1">
                <wp:simplePos x="0" y="0"/>
                <wp:positionH relativeFrom="column">
                  <wp:posOffset>-114300</wp:posOffset>
                </wp:positionH>
                <wp:positionV relativeFrom="paragraph">
                  <wp:posOffset>285115</wp:posOffset>
                </wp:positionV>
                <wp:extent cx="796925" cy="488315"/>
                <wp:effectExtent l="0" t="0" r="0" b="0"/>
                <wp:wrapNone/>
                <wp:docPr id="222" name="文本框 955"/>
                <wp:cNvGraphicFramePr/>
                <a:graphic xmlns:a="http://schemas.openxmlformats.org/drawingml/2006/main">
                  <a:graphicData uri="http://schemas.microsoft.com/office/word/2010/wordprocessingShape">
                    <wps:wsp>
                      <wps:cNvSpPr txBox="1"/>
                      <wps:spPr>
                        <a:xfrm>
                          <a:off x="0" y="0"/>
                          <a:ext cx="796925" cy="488315"/>
                        </a:xfrm>
                        <a:prstGeom prst="rect">
                          <a:avLst/>
                        </a:prstGeom>
                        <a:noFill/>
                        <a:ln w="12700">
                          <a:noFill/>
                        </a:ln>
                      </wps:spPr>
                      <wps:txbx>
                        <w:txbxContent>
                          <w:p w14:paraId="5672BE2D">
                            <w:pPr>
                              <w:rPr>
                                <w:rFonts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wps:txbx>
                      <wps:bodyPr rot="0" vert="horz" wrap="square" lIns="91440" tIns="45720" rIns="91440" bIns="45720" anchor="t" anchorCtr="0"/>
                    </wps:wsp>
                  </a:graphicData>
                </a:graphic>
              </wp:anchor>
            </w:drawing>
          </mc:Choice>
          <mc:Fallback>
            <w:pict>
              <v:shape id="文本框 955" o:spid="_x0000_s1026" o:spt="202" type="#_x0000_t202" style="position:absolute;left:0pt;margin-left:-9pt;margin-top:22.45pt;height:38.45pt;width:62.75pt;z-index:251855872;mso-width-relative:page;mso-height-relative:page;" filled="f" stroked="f" coordsize="21600,21600" o:gfxdata="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sIkttNkAAAAKAQAADwAAAAAAAAABACAAAAAiAAAAZHJzL2Rvd25yZXYueG1sUEsBAhQAFAAAAAgA&#10;h07iQFFoRAvrAQAAvgMAAA4AAAAAAAAAAQAgAAAAKAEAAGRycy9lMm9Eb2MueG1sUEsFBgAAAAAG&#10;AAYAWQEAAIUFAAAAAA==&#10;">
                <v:fill on="f" focussize="0,0"/>
                <v:stroke on="f" weight="1pt"/>
                <v:imagedata o:title=""/>
                <o:lock v:ext="edit" aspectratio="f"/>
                <v:textbox>
                  <w:txbxContent>
                    <w:p w14:paraId="5672BE2D">
                      <w:pPr>
                        <w:rPr>
                          <w:rFonts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v:textbox>
              </v:shape>
            </w:pict>
          </mc:Fallback>
        </mc:AlternateContent>
      </w:r>
      <w:r>
        <w:rPr>
          <w:rFonts w:hint="eastAsia" w:ascii="仿宋" w:hAnsi="仿宋" w:eastAsia="仿宋" w:cs="仿宋"/>
          <w:b/>
          <w:bCs/>
          <w:lang w:eastAsia="zh-CN"/>
        </w:rPr>
        <w:t>52</w:t>
      </w:r>
      <w:r>
        <w:rPr>
          <w:rFonts w:ascii="仿宋" w:hAnsi="仿宋" w:eastAsia="仿宋" w:cs="仿宋"/>
          <w:b/>
          <w:bCs/>
          <w:lang w:eastAsia="zh-CN"/>
        </w:rPr>
        <w:t>.9</w:t>
      </w:r>
      <w:bookmarkEnd w:id="429"/>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6DD4F405">
      <w:pPr>
        <w:widowControl w:val="0"/>
        <w:adjustRightInd w:val="0"/>
        <w:snapToGrid w:val="0"/>
        <w:spacing w:line="400" w:lineRule="exact"/>
        <w:ind w:left="1850" w:leftChars="771"/>
        <w:jc w:val="both"/>
        <w:rPr>
          <w:rFonts w:ascii="仿宋" w:hAnsi="仿宋" w:eastAsia="仿宋"/>
          <w:lang w:eastAsia="zh-CN"/>
        </w:rPr>
      </w:pPr>
      <w:r>
        <w:rPr>
          <w:rFonts w:hint="eastAsia" w:ascii="仿宋" w:hAnsi="仿宋" w:eastAsia="仿宋" w:cs="仿宋"/>
          <w:lang w:eastAsia="zh-CN"/>
        </w:rPr>
        <w:t>承包人应按照法律规定进行施工，做好</w:t>
      </w:r>
      <w:r>
        <w:rPr>
          <w:rFonts w:hint="eastAsia" w:ascii="仿宋" w:hAnsi="仿宋" w:eastAsia="仿宋"/>
          <w:lang w:eastAsia="zh-CN"/>
        </w:rPr>
        <w:t>安全</w:t>
      </w:r>
      <w:r>
        <w:rPr>
          <w:rFonts w:hint="eastAsia" w:ascii="仿宋" w:hAnsi="仿宋" w:eastAsia="仿宋" w:cs="仿宋"/>
          <w:lang w:eastAsia="zh-CN"/>
        </w:rPr>
        <w:t>技术交底工作，施工过程中做好各项安全防护措施。承包人为实施合同而雇用的特殊工种的人员应受过专门的培训并已取得上岗证书。</w:t>
      </w:r>
    </w:p>
    <w:p w14:paraId="2ABB6611">
      <w:pPr>
        <w:widowControl w:val="0"/>
        <w:adjustRightInd w:val="0"/>
        <w:snapToGrid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承包人在动力设备、输电线路、地下管道、密封防震车间、易燃易爆地段以及临街交通要道附近施工时，施工开始前应向发包人和监理人提出安全防护措施，经发包人认可后实施。</w:t>
      </w:r>
    </w:p>
    <w:p w14:paraId="6AD9473D">
      <w:pPr>
        <w:widowControl w:val="0"/>
        <w:adjustRightInd w:val="0"/>
        <w:snapToGrid w:val="0"/>
        <w:spacing w:line="400" w:lineRule="exact"/>
        <w:ind w:left="1850" w:leftChars="771"/>
        <w:jc w:val="both"/>
        <w:rPr>
          <w:rFonts w:ascii="仿宋" w:hAnsi="仿宋" w:eastAsia="仿宋"/>
          <w:lang w:eastAsia="zh-CN"/>
        </w:rPr>
      </w:pPr>
      <w:r>
        <w:rPr>
          <w:rFonts w:hint="eastAsia" w:ascii="仿宋" w:hAnsi="仿宋" w:eastAsia="仿宋" w:cs="仿宋"/>
          <w:lang w:eastAsia="zh-CN"/>
        </w:rPr>
        <w:t>实施爆破作业，在放射、毒害性环境中施工（含储存、运输、使用）及使用毒害性、腐蚀性物品施工时，承包人应在施工前</w:t>
      </w:r>
      <w:r>
        <w:rPr>
          <w:rFonts w:ascii="仿宋" w:hAnsi="仿宋" w:eastAsia="仿宋" w:cs="仿宋"/>
          <w:lang w:eastAsia="zh-CN"/>
        </w:rPr>
        <w:t>7</w:t>
      </w:r>
      <w:r>
        <w:rPr>
          <w:rFonts w:hint="eastAsia" w:ascii="仿宋" w:hAnsi="仿宋" w:eastAsia="仿宋" w:cs="仿宋"/>
          <w:lang w:eastAsia="zh-CN"/>
        </w:rPr>
        <w:t>天以书面通知发包人和监理人，并报送相应的安全防护措施，经发包人认可后实施。</w:t>
      </w:r>
    </w:p>
    <w:p w14:paraId="1D54C610">
      <w:pPr>
        <w:widowControl w:val="0"/>
        <w:adjustRightInd w:val="0"/>
        <w:snapToGrid w:val="0"/>
        <w:spacing w:line="400" w:lineRule="exact"/>
        <w:ind w:left="1850" w:leftChars="771"/>
        <w:jc w:val="both"/>
        <w:rPr>
          <w:rFonts w:ascii="仿宋" w:hAnsi="仿宋" w:eastAsia="仿宋"/>
          <w:lang w:eastAsia="zh-CN"/>
        </w:rPr>
      </w:pPr>
      <w:r>
        <w:rPr>
          <w:rFonts w:hint="eastAsia" w:ascii="仿宋" w:hAnsi="仿宋" w:eastAsia="仿宋" w:cs="仿宋"/>
          <w:lang w:eastAsia="zh-CN"/>
        </w:rPr>
        <w:t>需单独编制危险性较大分部分项专项工程施工方案的，及要求进行专家论证的超过一定规模的危险性较大的分部分项工程，承包人应及时编制和组织论证。</w:t>
      </w:r>
    </w:p>
    <w:p w14:paraId="797C2527">
      <w:pPr>
        <w:adjustRightInd w:val="0"/>
        <w:snapToGrid w:val="0"/>
        <w:spacing w:line="400" w:lineRule="exact"/>
        <w:rPr>
          <w:rFonts w:ascii="仿宋" w:hAnsi="仿宋" w:eastAsia="仿宋" w:cs="仿宋"/>
          <w:b/>
          <w:bCs/>
          <w:u w:val="single"/>
          <w:lang w:eastAsia="zh-CN"/>
        </w:rPr>
      </w:pPr>
      <w:r>
        <w:rPr>
          <w:rFonts w:ascii="仿宋" w:hAnsi="仿宋" w:eastAsia="仿宋" w:cs="仿宋"/>
          <w:b/>
          <w:bCs/>
          <w:u w:val="single"/>
          <w:lang w:eastAsia="zh-CN"/>
        </w:rPr>
        <w:t xml:space="preserve">                                                                                     </w:t>
      </w:r>
    </w:p>
    <w:p w14:paraId="4D95A0C1">
      <w:pPr>
        <w:pStyle w:val="4"/>
        <w:tabs>
          <w:tab w:val="left" w:pos="420"/>
        </w:tabs>
        <w:spacing w:before="0" w:after="0" w:line="400" w:lineRule="exact"/>
        <w:rPr>
          <w:rFonts w:ascii="仿宋" w:hAnsi="仿宋" w:eastAsia="仿宋" w:cs="仿宋"/>
          <w:bCs w:val="0"/>
          <w:sz w:val="24"/>
          <w:szCs w:val="24"/>
          <w:lang w:eastAsia="zh-CN"/>
        </w:rPr>
      </w:pPr>
      <w:bookmarkStart w:id="430" w:name="_Toc194073163"/>
      <w:bookmarkStart w:id="431" w:name="_Toc13099"/>
      <w:bookmarkStart w:id="432" w:name="_Toc2177"/>
      <w:bookmarkStart w:id="433" w:name="_Toc28849"/>
      <w:r>
        <w:rPr>
          <w:rFonts w:hint="eastAsia" w:ascii="仿宋" w:hAnsi="仿宋" w:eastAsia="仿宋" w:cs="仿宋"/>
          <w:bCs w:val="0"/>
          <w:sz w:val="24"/>
          <w:szCs w:val="24"/>
          <w:lang w:eastAsia="zh-CN"/>
        </w:rPr>
        <w:t>53</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测量放线</w:t>
      </w:r>
      <w:bookmarkEnd w:id="430"/>
      <w:bookmarkEnd w:id="431"/>
      <w:bookmarkEnd w:id="432"/>
      <w:bookmarkEnd w:id="433"/>
    </w:p>
    <w:p w14:paraId="197C6430">
      <w:pPr>
        <w:pStyle w:val="12"/>
        <w:tabs>
          <w:tab w:val="left" w:pos="1202"/>
        </w:tabs>
        <w:adjustRightInd w:val="0"/>
        <w:snapToGrid w:val="0"/>
        <w:spacing w:line="400" w:lineRule="exact"/>
        <w:ind w:firstLine="0"/>
        <w:rPr>
          <w:rFonts w:ascii="仿宋" w:hAnsi="仿宋" w:eastAsia="仿宋" w:cs="仿宋"/>
          <w:b/>
          <w:bCs/>
          <w:lang w:eastAsia="zh-CN"/>
        </w:rPr>
      </w:pPr>
      <w:r>
        <mc:AlternateContent>
          <mc:Choice Requires="wps">
            <w:drawing>
              <wp:anchor distT="0" distB="0" distL="114300" distR="114300" simplePos="0" relativeHeight="252033024" behindDoc="0" locked="0" layoutInCell="1" allowOverlap="1">
                <wp:simplePos x="0" y="0"/>
                <wp:positionH relativeFrom="column">
                  <wp:posOffset>-114300</wp:posOffset>
                </wp:positionH>
                <wp:positionV relativeFrom="paragraph">
                  <wp:posOffset>286385</wp:posOffset>
                </wp:positionV>
                <wp:extent cx="756920" cy="495300"/>
                <wp:effectExtent l="0" t="0" r="0" b="0"/>
                <wp:wrapNone/>
                <wp:docPr id="223" name="文本框 873"/>
                <wp:cNvGraphicFramePr/>
                <a:graphic xmlns:a="http://schemas.openxmlformats.org/drawingml/2006/main">
                  <a:graphicData uri="http://schemas.microsoft.com/office/word/2010/wordprocessingShape">
                    <wps:wsp>
                      <wps:cNvSpPr txBox="1"/>
                      <wps:spPr>
                        <a:xfrm>
                          <a:off x="0" y="0"/>
                          <a:ext cx="756920" cy="495300"/>
                        </a:xfrm>
                        <a:prstGeom prst="rect">
                          <a:avLst/>
                        </a:prstGeom>
                        <a:noFill/>
                        <a:ln w="12700">
                          <a:noFill/>
                        </a:ln>
                      </wps:spPr>
                      <wps:txbx>
                        <w:txbxContent>
                          <w:p w14:paraId="1460A536">
                            <w:pPr>
                              <w:rPr>
                                <w:rFonts w:ascii="宋体"/>
                                <w:sz w:val="18"/>
                                <w:szCs w:val="18"/>
                              </w:rPr>
                            </w:pPr>
                            <w:r>
                              <w:rPr>
                                <w:rFonts w:hint="eastAsia" w:ascii="楷体_GB2312" w:hAnsi="宋体" w:eastAsia="楷体_GB2312" w:cs="楷体_GB2312"/>
                                <w:b/>
                                <w:bCs/>
                                <w:color w:val="000000"/>
                                <w:sz w:val="18"/>
                                <w:szCs w:val="18"/>
                              </w:rPr>
                              <w:t>测设施工控制网</w:t>
                            </w:r>
                          </w:p>
                        </w:txbxContent>
                      </wps:txbx>
                      <wps:bodyPr rot="0" vert="horz" wrap="square" lIns="91440" tIns="45720" rIns="91440" bIns="45720" anchor="t" anchorCtr="0"/>
                    </wps:wsp>
                  </a:graphicData>
                </a:graphic>
              </wp:anchor>
            </w:drawing>
          </mc:Choice>
          <mc:Fallback>
            <w:pict>
              <v:shape id="文本框 873" o:spid="_x0000_s1026" o:spt="202" type="#_x0000_t202" style="position:absolute;left:0pt;margin-left:-9pt;margin-top:22.55pt;height:39pt;width:59.6pt;z-index:252033024;mso-width-relative:page;mso-height-relative:page;" filled="f" stroked="f" coordsize="21600,21600" o:gfxdata="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cR&#10;5mTYAAAACgEAAA8AAAAAAAAAAQAgAAAAIgAAAGRycy9kb3ducmV2LnhtbFBLAQIUABQAAAAIAIdO&#10;4kCmfB1D6gEAAL4DAAAOAAAAAAAAAAEAIAAAACcBAABkcnMvZTJvRG9jLnhtbFBLBQYAAAAABgAG&#10;AFkBAACDBQAAAAA=&#10;">
                <v:fill on="f" focussize="0,0"/>
                <v:stroke on="f" weight="1pt"/>
                <v:imagedata o:title=""/>
                <o:lock v:ext="edit" aspectratio="f"/>
                <v:textbox>
                  <w:txbxContent>
                    <w:p w14:paraId="1460A536">
                      <w:pPr>
                        <w:rPr>
                          <w:rFonts w:ascii="宋体"/>
                          <w:sz w:val="18"/>
                          <w:szCs w:val="18"/>
                        </w:rPr>
                      </w:pPr>
                      <w:r>
                        <w:rPr>
                          <w:rFonts w:hint="eastAsia" w:ascii="楷体_GB2312" w:hAnsi="宋体" w:eastAsia="楷体_GB2312" w:cs="楷体_GB2312"/>
                          <w:b/>
                          <w:bCs/>
                          <w:color w:val="000000"/>
                          <w:sz w:val="18"/>
                          <w:szCs w:val="18"/>
                        </w:rPr>
                        <w:t>测设施工控制网</w:t>
                      </w:r>
                    </w:p>
                  </w:txbxContent>
                </v:textbox>
              </v:shape>
            </w:pict>
          </mc:Fallback>
        </mc:AlternateContent>
      </w:r>
      <w:r>
        <w:rPr>
          <w:rFonts w:hint="eastAsia" w:ascii="仿宋" w:hAnsi="仿宋" w:eastAsia="仿宋" w:cs="仿宋"/>
          <w:b/>
          <w:bCs/>
          <w:lang w:eastAsia="zh-CN"/>
        </w:rPr>
        <w:t>53</w:t>
      </w:r>
      <w:r>
        <w:rPr>
          <w:rFonts w:ascii="仿宋" w:hAnsi="仿宋" w:eastAsia="仿宋" w:cs="仿宋"/>
          <w:b/>
          <w:bCs/>
          <w:lang w:eastAsia="zh-CN"/>
        </w:rPr>
        <w:t>.1</w:t>
      </w:r>
    </w:p>
    <w:p w14:paraId="358097E2">
      <w:pPr>
        <w:widowControl w:val="0"/>
        <w:adjustRightInd w:val="0"/>
        <w:snapToGrid w:val="0"/>
        <w:spacing w:line="400" w:lineRule="exact"/>
        <w:ind w:left="1850" w:leftChars="771"/>
        <w:jc w:val="both"/>
        <w:rPr>
          <w:rFonts w:ascii="仿宋" w:hAnsi="仿宋" w:eastAsia="仿宋"/>
          <w:lang w:eastAsia="zh-CN"/>
        </w:rPr>
      </w:pPr>
      <w:r>
        <w:rPr>
          <w:rFonts w:hint="eastAsia" w:ascii="仿宋" w:hAnsi="仿宋" w:eastAsia="仿宋" w:cs="仿宋"/>
          <w:lang w:eastAsia="zh-CN"/>
        </w:rPr>
        <w:t>监理人应在发出开工令后的</w:t>
      </w:r>
      <w:r>
        <w:rPr>
          <w:rFonts w:ascii="仿宋" w:hAnsi="仿宋" w:eastAsia="仿宋" w:cs="仿宋"/>
          <w:lang w:eastAsia="zh-CN"/>
        </w:rPr>
        <w:t>7</w:t>
      </w:r>
      <w:r>
        <w:rPr>
          <w:rFonts w:hint="eastAsia" w:ascii="仿宋" w:hAnsi="仿宋" w:eastAsia="仿宋" w:cs="仿宋"/>
          <w:lang w:eastAsia="zh-CN"/>
        </w:rPr>
        <w:t>天内，向承包人提供原始基准点、基准线、基准高程等书面资料。承包人应根据国家测绘基准、测绘系统和工程测量技术规范，按照上述资料以及合同工程精度要求，测绘施工控制网，并在专用条款约定的期限内，将施工控制网资料提交承包人顾问人、监理人确认。</w:t>
      </w:r>
    </w:p>
    <w:p w14:paraId="1CEA4070">
      <w:pPr>
        <w:adjustRightInd w:val="0"/>
        <w:snapToGrid w:val="0"/>
        <w:spacing w:line="400" w:lineRule="exact"/>
        <w:rPr>
          <w:rFonts w:ascii="仿宋" w:hAnsi="仿宋" w:eastAsia="仿宋" w:cs="仿宋"/>
          <w:b/>
          <w:bCs/>
          <w:u w:val="dotted"/>
          <w:lang w:eastAsia="zh-CN"/>
        </w:rPr>
      </w:pPr>
      <w:r>
        <w:rPr>
          <w:rFonts w:hint="eastAsia" w:ascii="仿宋" w:hAnsi="仿宋" w:eastAsia="仿宋" w:cs="仿宋"/>
          <w:b/>
          <w:bCs/>
          <w:lang w:eastAsia="zh-CN"/>
        </w:rPr>
        <w:t>53</w:t>
      </w:r>
      <w:r>
        <w:rPr>
          <w:rFonts w:ascii="仿宋" w:hAnsi="仿宋" w:eastAsia="仿宋" w:cs="仿宋"/>
          <w:b/>
          <w:bCs/>
          <w:lang w:eastAsia="zh-CN"/>
        </w:rPr>
        <w:t xml:space="preserve">.2  </w:t>
      </w:r>
      <w:r>
        <w:rPr>
          <w:rFonts w:ascii="仿宋" w:hAnsi="仿宋" w:eastAsia="仿宋" w:cs="仿宋"/>
          <w:b/>
          <w:bCs/>
          <w:u w:val="dotted"/>
          <w:lang w:eastAsia="zh-CN"/>
        </w:rPr>
        <w:t xml:space="preserve">                                                                              </w:t>
      </w:r>
    </w:p>
    <w:p w14:paraId="4DA88157">
      <w:pPr>
        <w:widowControl w:val="0"/>
        <w:adjustRightInd w:val="0"/>
        <w:snapToGrid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796480" behindDoc="0" locked="0" layoutInCell="1" allowOverlap="1">
                <wp:simplePos x="0" y="0"/>
                <wp:positionH relativeFrom="column">
                  <wp:posOffset>-114300</wp:posOffset>
                </wp:positionH>
                <wp:positionV relativeFrom="paragraph">
                  <wp:posOffset>62230</wp:posOffset>
                </wp:positionV>
                <wp:extent cx="775970" cy="588645"/>
                <wp:effectExtent l="0" t="0" r="0" b="0"/>
                <wp:wrapNone/>
                <wp:docPr id="224" name="文本框 874"/>
                <wp:cNvGraphicFramePr/>
                <a:graphic xmlns:a="http://schemas.openxmlformats.org/drawingml/2006/main">
                  <a:graphicData uri="http://schemas.microsoft.com/office/word/2010/wordprocessingShape">
                    <wps:wsp>
                      <wps:cNvSpPr txBox="1"/>
                      <wps:spPr>
                        <a:xfrm>
                          <a:off x="0" y="0"/>
                          <a:ext cx="775970" cy="588645"/>
                        </a:xfrm>
                        <a:prstGeom prst="rect">
                          <a:avLst/>
                        </a:prstGeom>
                        <a:noFill/>
                        <a:ln w="12700">
                          <a:noFill/>
                        </a:ln>
                      </wps:spPr>
                      <wps:txbx>
                        <w:txbxContent>
                          <w:p w14:paraId="188B0AD7">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施工控制网（点）管理与使用</w:t>
                            </w:r>
                          </w:p>
                        </w:txbxContent>
                      </wps:txbx>
                      <wps:bodyPr rot="0" vert="horz" wrap="square" lIns="91440" tIns="45720" rIns="91440" bIns="45720" anchor="t" anchorCtr="0"/>
                    </wps:wsp>
                  </a:graphicData>
                </a:graphic>
              </wp:anchor>
            </w:drawing>
          </mc:Choice>
          <mc:Fallback>
            <w:pict>
              <v:shape id="文本框 874" o:spid="_x0000_s1026" o:spt="202" type="#_x0000_t202" style="position:absolute;left:0pt;margin-left:-9pt;margin-top:4.9pt;height:46.35pt;width:61.1pt;z-index:251796480;mso-width-relative:page;mso-height-relative:page;" filled="f" stroked="f" coordsize="21600,21600" o:gfxdata="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liUA&#10;MtcAAAAJAQAADwAAAAAAAAABACAAAAAiAAAAZHJzL2Rvd25yZXYueG1sUEsBAhQAFAAAAAgAh07i&#10;QGD8tBXqAQAAvgMAAA4AAAAAAAAAAQAgAAAAJgEAAGRycy9lMm9Eb2MueG1sUEsFBgAAAAAGAAYA&#10;WQEAAIIFAAAAAA==&#10;">
                <v:fill on="f" focussize="0,0"/>
                <v:stroke on="f" weight="1pt"/>
                <v:imagedata o:title=""/>
                <o:lock v:ext="edit" aspectratio="f"/>
                <v:textbox>
                  <w:txbxContent>
                    <w:p w14:paraId="188B0AD7">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施工控制网（点）管理与使用</w:t>
                      </w:r>
                    </w:p>
                  </w:txbxContent>
                </v:textbox>
              </v:shape>
            </w:pict>
          </mc:Fallback>
        </mc:AlternateContent>
      </w:r>
      <w:r>
        <w:rPr>
          <w:rFonts w:hint="eastAsia" w:ascii="仿宋" w:hAnsi="仿宋" w:eastAsia="仿宋" w:cs="仿宋"/>
          <w:lang w:eastAsia="zh-CN"/>
        </w:rPr>
        <w:t>承包人应负责施工控制网点的管理。施工控制网点丢失或损坏的，承包人应及时修复。承包人应承担施工控制网点的管理与修复费用，并在工程竣工后将施工控制网点移交发包人。</w:t>
      </w:r>
    </w:p>
    <w:p w14:paraId="79BF77A1">
      <w:pPr>
        <w:widowControl w:val="0"/>
        <w:adjustRightInd w:val="0"/>
        <w:snapToGrid w:val="0"/>
        <w:spacing w:line="400" w:lineRule="exact"/>
        <w:ind w:left="1850" w:leftChars="771"/>
        <w:jc w:val="both"/>
        <w:rPr>
          <w:rFonts w:ascii="仿宋" w:hAnsi="仿宋" w:eastAsia="仿宋"/>
          <w:lang w:eastAsia="zh-CN"/>
        </w:rPr>
      </w:pPr>
      <w:r>
        <w:rPr>
          <w:rFonts w:hint="eastAsia" w:ascii="仿宋" w:hAnsi="仿宋" w:eastAsia="仿宋" w:cs="仿宋"/>
          <w:lang w:eastAsia="zh-CN"/>
        </w:rPr>
        <w:t>监理工程师需要使用施工控制网的，承包人应提供必要的协助，发包人无需为此支付任何费用。</w:t>
      </w:r>
    </w:p>
    <w:p w14:paraId="05144E78">
      <w:pPr>
        <w:spacing w:line="400" w:lineRule="exact"/>
        <w:rPr>
          <w:rFonts w:ascii="仿宋" w:hAnsi="仿宋" w:eastAsia="仿宋" w:cs="仿宋"/>
          <w:b/>
          <w:bCs/>
          <w:u w:val="dotted"/>
          <w:lang w:eastAsia="zh-CN"/>
        </w:rPr>
      </w:pPr>
      <w:bookmarkStart w:id="434" w:name="_Toc28492"/>
      <w:r>
        <w:rPr>
          <w:rFonts w:hint="eastAsia" w:ascii="仿宋" w:hAnsi="仿宋" w:eastAsia="仿宋" w:cs="仿宋"/>
          <w:b/>
          <w:bCs/>
          <w:lang w:eastAsia="zh-CN"/>
        </w:rPr>
        <w:t>53</w:t>
      </w:r>
      <w:r>
        <w:rPr>
          <w:rFonts w:ascii="仿宋" w:hAnsi="仿宋" w:eastAsia="仿宋" w:cs="仿宋"/>
          <w:b/>
          <w:bCs/>
          <w:lang w:eastAsia="zh-CN"/>
        </w:rPr>
        <w:t>.3</w:t>
      </w:r>
      <w:bookmarkEnd w:id="434"/>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24E88B93">
      <w:pPr>
        <w:widowControl w:val="0"/>
        <w:adjustRightInd w:val="0"/>
        <w:snapToGrid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797504" behindDoc="0" locked="0" layoutInCell="1" allowOverlap="1">
                <wp:simplePos x="0" y="0"/>
                <wp:positionH relativeFrom="column">
                  <wp:posOffset>-114300</wp:posOffset>
                </wp:positionH>
                <wp:positionV relativeFrom="paragraph">
                  <wp:posOffset>-6350</wp:posOffset>
                </wp:positionV>
                <wp:extent cx="765810" cy="596900"/>
                <wp:effectExtent l="0" t="0" r="0" b="0"/>
                <wp:wrapNone/>
                <wp:docPr id="225" name="文本框 875"/>
                <wp:cNvGraphicFramePr/>
                <a:graphic xmlns:a="http://schemas.openxmlformats.org/drawingml/2006/main">
                  <a:graphicData uri="http://schemas.microsoft.com/office/word/2010/wordprocessingShape">
                    <wps:wsp>
                      <wps:cNvSpPr txBox="1"/>
                      <wps:spPr>
                        <a:xfrm>
                          <a:off x="0" y="0"/>
                          <a:ext cx="765810" cy="596900"/>
                        </a:xfrm>
                        <a:prstGeom prst="rect">
                          <a:avLst/>
                        </a:prstGeom>
                        <a:noFill/>
                        <a:ln w="12700">
                          <a:noFill/>
                        </a:ln>
                      </wps:spPr>
                      <wps:txbx>
                        <w:txbxContent>
                          <w:p w14:paraId="55AEF5CC">
                            <w:pPr>
                              <w:spacing w:line="200" w:lineRule="exact"/>
                              <w:rPr>
                                <w:sz w:val="18"/>
                                <w:szCs w:val="18"/>
                              </w:rPr>
                            </w:pPr>
                            <w:r>
                              <w:rPr>
                                <w:rFonts w:hint="eastAsia" w:ascii="楷体_GB2312" w:hAnsi="宋体" w:eastAsia="楷体_GB2312" w:cs="楷体_GB2312"/>
                                <w:b/>
                                <w:bCs/>
                                <w:color w:val="000000"/>
                                <w:sz w:val="18"/>
                                <w:szCs w:val="18"/>
                              </w:rPr>
                              <w:t>承包人测量放线的责任</w:t>
                            </w:r>
                          </w:p>
                        </w:txbxContent>
                      </wps:txbx>
                      <wps:bodyPr rot="0" vert="horz" wrap="square" lIns="91440" tIns="45720" rIns="91440" bIns="45720" anchor="t" anchorCtr="0"/>
                    </wps:wsp>
                  </a:graphicData>
                </a:graphic>
              </wp:anchor>
            </w:drawing>
          </mc:Choice>
          <mc:Fallback>
            <w:pict>
              <v:shape id="文本框 875" o:spid="_x0000_s1026" o:spt="202" type="#_x0000_t202" style="position:absolute;left:0pt;margin-left:-9pt;margin-top:-0.5pt;height:47pt;width:60.3pt;z-index:251797504;mso-width-relative:page;mso-height-relative:page;" filled="f" stroked="f" coordsize="21600,21600" o:gfxdata="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55p6ftYA&#10;AAAJAQAADwAAAAAAAAABACAAAAAiAAAAZHJzL2Rvd25yZXYueG1sUEsBAhQAFAAAAAgAh07iQEIL&#10;hiXoAQAAvgMAAA4AAAAAAAAAAQAgAAAAJQEAAGRycy9lMm9Eb2MueG1sUEsFBgAAAAAGAAYAWQEA&#10;AH8FAAAAAA==&#10;">
                <v:fill on="f" focussize="0,0"/>
                <v:stroke on="f" weight="1pt"/>
                <v:imagedata o:title=""/>
                <o:lock v:ext="edit" aspectratio="f"/>
                <v:textbox>
                  <w:txbxContent>
                    <w:p w14:paraId="55AEF5CC">
                      <w:pPr>
                        <w:spacing w:line="200" w:lineRule="exact"/>
                        <w:rPr>
                          <w:sz w:val="18"/>
                          <w:szCs w:val="18"/>
                        </w:rPr>
                      </w:pPr>
                      <w:r>
                        <w:rPr>
                          <w:rFonts w:hint="eastAsia" w:ascii="楷体_GB2312" w:hAnsi="宋体" w:eastAsia="楷体_GB2312" w:cs="楷体_GB2312"/>
                          <w:b/>
                          <w:bCs/>
                          <w:color w:val="000000"/>
                          <w:sz w:val="18"/>
                          <w:szCs w:val="18"/>
                        </w:rPr>
                        <w:t>承包人测量放线的责任</w:t>
                      </w:r>
                    </w:p>
                  </w:txbxContent>
                </v:textbox>
              </v:shape>
            </w:pict>
          </mc:Fallback>
        </mc:AlternateContent>
      </w:r>
      <w:r>
        <w:rPr>
          <w:rFonts w:hint="eastAsia" w:ascii="仿宋" w:hAnsi="仿宋" w:eastAsia="仿宋" w:cs="仿宋"/>
          <w:lang w:eastAsia="zh-CN"/>
        </w:rPr>
        <w:t>承包人应配置合格的人员、仪器、施工设备和其他物品，根据监理人书面确定的原始基准点、基准线、基准高程等资料，准确完成对合同工程的全部施工测量放线工作，并对工程各部分的位置、标高、尺寸或定线的正确性负责。</w:t>
      </w:r>
    </w:p>
    <w:p w14:paraId="655A9355">
      <w:pPr>
        <w:spacing w:line="400" w:lineRule="exact"/>
        <w:rPr>
          <w:rFonts w:ascii="仿宋" w:hAnsi="仿宋" w:eastAsia="仿宋" w:cs="仿宋"/>
          <w:b/>
          <w:bCs/>
          <w:u w:val="dotted"/>
          <w:lang w:eastAsia="zh-CN"/>
        </w:rPr>
      </w:pPr>
      <w:bookmarkStart w:id="435" w:name="_Toc6614"/>
      <w:r>
        <w:rPr>
          <w:rFonts w:hint="eastAsia" w:ascii="仿宋" w:hAnsi="仿宋" w:eastAsia="仿宋" w:cs="仿宋"/>
          <w:b/>
          <w:bCs/>
          <w:lang w:eastAsia="zh-CN"/>
        </w:rPr>
        <w:t>53</w:t>
      </w:r>
      <w:r>
        <w:rPr>
          <w:rFonts w:ascii="仿宋" w:hAnsi="仿宋" w:eastAsia="仿宋" w:cs="仿宋"/>
          <w:b/>
          <w:bCs/>
          <w:lang w:eastAsia="zh-CN"/>
        </w:rPr>
        <w:t>.4</w:t>
      </w:r>
      <w:bookmarkEnd w:id="435"/>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5A4582CC">
      <w:pPr>
        <w:widowControl w:val="0"/>
        <w:adjustRightInd w:val="0"/>
        <w:snapToGrid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798528" behindDoc="0" locked="0" layoutInCell="1" allowOverlap="1">
                <wp:simplePos x="0" y="0"/>
                <wp:positionH relativeFrom="column">
                  <wp:posOffset>-66675</wp:posOffset>
                </wp:positionH>
                <wp:positionV relativeFrom="paragraph">
                  <wp:posOffset>8255</wp:posOffset>
                </wp:positionV>
                <wp:extent cx="775970" cy="511810"/>
                <wp:effectExtent l="0" t="0" r="0" b="0"/>
                <wp:wrapNone/>
                <wp:docPr id="226" name="文本框 876"/>
                <wp:cNvGraphicFramePr/>
                <a:graphic xmlns:a="http://schemas.openxmlformats.org/drawingml/2006/main">
                  <a:graphicData uri="http://schemas.microsoft.com/office/word/2010/wordprocessingShape">
                    <wps:wsp>
                      <wps:cNvSpPr txBox="1"/>
                      <wps:spPr>
                        <a:xfrm>
                          <a:off x="0" y="0"/>
                          <a:ext cx="775970" cy="511810"/>
                        </a:xfrm>
                        <a:prstGeom prst="rect">
                          <a:avLst/>
                        </a:prstGeom>
                        <a:noFill/>
                        <a:ln w="12700">
                          <a:noFill/>
                        </a:ln>
                      </wps:spPr>
                      <wps:txbx>
                        <w:txbxContent>
                          <w:p w14:paraId="67D664B7">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txbxContent>
                      </wps:txbx>
                      <wps:bodyPr rot="0" vert="horz" wrap="square" lIns="91440" tIns="45720" rIns="91440" bIns="45720" anchor="t" anchorCtr="0"/>
                    </wps:wsp>
                  </a:graphicData>
                </a:graphic>
              </wp:anchor>
            </w:drawing>
          </mc:Choice>
          <mc:Fallback>
            <w:pict>
              <v:shape id="文本框 876" o:spid="_x0000_s1026" o:spt="202" type="#_x0000_t202" style="position:absolute;left:0pt;margin-left:-5.25pt;margin-top:0.65pt;height:40.3pt;width:61.1pt;z-index:251798528;mso-width-relative:page;mso-height-relative:page;" filled="f" stroked="f" coordsize="21600,21600" o:gfxdata="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fuLt&#10;CNYAAAAIAQAADwAAAAAAAAABACAAAAAiAAAAZHJzL2Rvd25yZXYueG1sUEsBAhQAFAAAAAgAh07i&#10;QA1mOOvrAQAAvgMAAA4AAAAAAAAAAQAgAAAAJQEAAGRycy9lMm9Eb2MueG1sUEsFBgAAAAAGAAYA&#10;WQEAAIIFAAAAAA==&#10;">
                <v:fill on="f" focussize="0,0"/>
                <v:stroke on="f" weight="1pt"/>
                <v:imagedata o:title=""/>
                <o:lock v:ext="edit" aspectratio="f"/>
                <v:textbox>
                  <w:txbxContent>
                    <w:p w14:paraId="67D664B7">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txbxContent>
                </v:textbox>
              </v:shape>
            </w:pict>
          </mc:Fallback>
        </mc:AlternateContent>
      </w:r>
      <w:r>
        <w:rPr>
          <w:rFonts w:hint="eastAsia" w:ascii="仿宋" w:hAnsi="仿宋" w:eastAsia="仿宋" w:cs="仿宋"/>
          <w:lang w:eastAsia="zh-CN"/>
        </w:rPr>
        <w:t>监理人有权对承包人施工测量放线工作进行检查验收。如果发现永久工程任何部分的位置、标高、尺寸或定线超过合同约定误差的，承包人应自费纠正，直到监理人认为符合合同约定为止。如果这些误差是由于监理人书面提供的数据错误导致的，发包人应当承担由此增加的费用和（或）工期延误，并向承包人支付合理利润。</w:t>
      </w:r>
    </w:p>
    <w:p w14:paraId="05F9230E">
      <w:pPr>
        <w:spacing w:line="400" w:lineRule="exact"/>
        <w:rPr>
          <w:rFonts w:ascii="仿宋" w:hAnsi="仿宋" w:eastAsia="仿宋"/>
          <w:b/>
          <w:bCs/>
          <w:lang w:eastAsia="zh-CN"/>
        </w:rPr>
      </w:pPr>
      <w:bookmarkStart w:id="436" w:name="_Toc7191"/>
      <w:r>
        <w:rPr>
          <w:rFonts w:hint="eastAsia" w:ascii="仿宋" w:hAnsi="仿宋" w:eastAsia="仿宋" w:cs="仿宋"/>
          <w:b/>
          <w:bCs/>
          <w:lang w:eastAsia="zh-CN"/>
        </w:rPr>
        <w:t>53</w:t>
      </w:r>
      <w:r>
        <w:rPr>
          <w:rFonts w:ascii="仿宋" w:hAnsi="仿宋" w:eastAsia="仿宋" w:cs="仿宋"/>
          <w:b/>
          <w:bCs/>
          <w:lang w:eastAsia="zh-CN"/>
        </w:rPr>
        <w:t xml:space="preserve">.5 </w:t>
      </w:r>
      <w:r>
        <w:rPr>
          <w:rFonts w:ascii="仿宋" w:hAnsi="仿宋" w:eastAsia="仿宋" w:cs="仿宋"/>
          <w:b/>
          <w:bCs/>
          <w:u w:val="dotted"/>
          <w:lang w:eastAsia="zh-CN"/>
        </w:rPr>
        <w:t xml:space="preserve">                                                                         </w:t>
      </w:r>
      <w:r>
        <mc:AlternateContent>
          <mc:Choice Requires="wps">
            <w:drawing>
              <wp:anchor distT="0" distB="0" distL="114300" distR="114300" simplePos="0" relativeHeight="251799552" behindDoc="0" locked="0" layoutInCell="1" allowOverlap="1">
                <wp:simplePos x="0" y="0"/>
                <wp:positionH relativeFrom="column">
                  <wp:posOffset>-114300</wp:posOffset>
                </wp:positionH>
                <wp:positionV relativeFrom="paragraph">
                  <wp:posOffset>278130</wp:posOffset>
                </wp:positionV>
                <wp:extent cx="784860" cy="509905"/>
                <wp:effectExtent l="0" t="0" r="0" b="0"/>
                <wp:wrapNone/>
                <wp:docPr id="227" name="文本框 877"/>
                <wp:cNvGraphicFramePr/>
                <a:graphic xmlns:a="http://schemas.openxmlformats.org/drawingml/2006/main">
                  <a:graphicData uri="http://schemas.microsoft.com/office/word/2010/wordprocessingShape">
                    <wps:wsp>
                      <wps:cNvSpPr txBox="1"/>
                      <wps:spPr>
                        <a:xfrm>
                          <a:off x="0" y="0"/>
                          <a:ext cx="784860" cy="509905"/>
                        </a:xfrm>
                        <a:prstGeom prst="rect">
                          <a:avLst/>
                        </a:prstGeom>
                        <a:noFill/>
                        <a:ln w="12700">
                          <a:noFill/>
                        </a:ln>
                      </wps:spPr>
                      <wps:txbx>
                        <w:txbxContent>
                          <w:p w14:paraId="79061449">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txbxContent>
                      </wps:txbx>
                      <wps:bodyPr rot="0" vert="horz" wrap="square" lIns="91440" tIns="45720" rIns="91440" bIns="45720" anchor="t" anchorCtr="0"/>
                    </wps:wsp>
                  </a:graphicData>
                </a:graphic>
              </wp:anchor>
            </w:drawing>
          </mc:Choice>
          <mc:Fallback>
            <w:pict>
              <v:shape id="文本框 877" o:spid="_x0000_s1026" o:spt="202" type="#_x0000_t202" style="position:absolute;left:0pt;margin-left:-9pt;margin-top:21.9pt;height:40.15pt;width:61.8pt;z-index:251799552;mso-width-relative:page;mso-height-relative:page;" filled="f" stroked="f" coordsize="21600,21600" o:gfxdata="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Lpud&#10;E9gAAAAKAQAADwAAAAAAAAABACAAAAAiAAAAZHJzL2Rvd25yZXYueG1sUEsBAhQAFAAAAAgAh07i&#10;QNA0fxnpAQAAvgMAAA4AAAAAAAAAAQAgAAAAJwEAAGRycy9lMm9Eb2MueG1sUEsFBgAAAAAGAAYA&#10;WQEAAIIFAAAAAA==&#10;">
                <v:fill on="f" focussize="0,0"/>
                <v:stroke on="f" weight="1pt"/>
                <v:imagedata o:title=""/>
                <o:lock v:ext="edit" aspectratio="f"/>
                <v:textbox>
                  <w:txbxContent>
                    <w:p w14:paraId="79061449">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txbxContent>
                </v:textbox>
              </v:shape>
            </w:pict>
          </mc:Fallback>
        </mc:AlternateContent>
      </w:r>
      <w:bookmarkEnd w:id="436"/>
      <w:r>
        <w:rPr>
          <w:rFonts w:ascii="仿宋" w:hAnsi="仿宋" w:eastAsia="仿宋" w:cs="仿宋"/>
          <w:b/>
          <w:bCs/>
          <w:u w:val="dotted"/>
          <w:lang w:eastAsia="zh-CN"/>
        </w:rPr>
        <w:t xml:space="preserve">      </w:t>
      </w:r>
    </w:p>
    <w:p w14:paraId="3D897FE6">
      <w:pPr>
        <w:widowControl w:val="0"/>
        <w:adjustRightInd w:val="0"/>
        <w:snapToGrid w:val="0"/>
        <w:spacing w:line="400" w:lineRule="exact"/>
        <w:ind w:left="1850" w:leftChars="771"/>
        <w:jc w:val="both"/>
        <w:rPr>
          <w:rFonts w:ascii="仿宋" w:hAnsi="仿宋" w:eastAsia="仿宋"/>
          <w:lang w:eastAsia="zh-CN"/>
        </w:rPr>
      </w:pPr>
      <w:r>
        <w:rPr>
          <w:rFonts w:hint="eastAsia" w:ascii="仿宋" w:hAnsi="仿宋" w:eastAsia="仿宋" w:cs="仿宋"/>
          <w:lang w:eastAsia="zh-CN"/>
        </w:rPr>
        <w:t>监理人对工程位置、标高、尺寸、定线的检查，不能免除承包人测量放线工作准确性应承担的任何责任和应履行的任何义务。承包人应有效地保护一切基准点、基准线和其他有关的标志，直到永久工程竣工验收合格为止。</w:t>
      </w:r>
    </w:p>
    <w:p w14:paraId="20F68D65">
      <w:pPr>
        <w:pStyle w:val="12"/>
        <w:tabs>
          <w:tab w:val="left" w:pos="2070"/>
        </w:tabs>
        <w:adjustRightInd w:val="0"/>
        <w:snapToGrid w:val="0"/>
        <w:spacing w:line="400" w:lineRule="exact"/>
        <w:ind w:firstLine="0"/>
        <w:rPr>
          <w:rFonts w:ascii="仿宋" w:hAnsi="仿宋" w:eastAsia="仿宋" w:cs="仿宋"/>
          <w:b/>
          <w:bCs/>
          <w:u w:val="single"/>
          <w:lang w:eastAsia="zh-CN"/>
        </w:rPr>
      </w:pPr>
      <w:r>
        <w:rPr>
          <w:rFonts w:ascii="仿宋" w:hAnsi="仿宋" w:eastAsia="仿宋" w:cs="仿宋"/>
          <w:b/>
          <w:bCs/>
          <w:u w:val="single"/>
          <w:lang w:eastAsia="zh-CN"/>
        </w:rPr>
        <w:t xml:space="preserve">                                                                                     </w:t>
      </w:r>
    </w:p>
    <w:p w14:paraId="2772DF51">
      <w:pPr>
        <w:pStyle w:val="4"/>
        <w:tabs>
          <w:tab w:val="left" w:pos="420"/>
        </w:tabs>
        <w:spacing w:before="0" w:after="0" w:line="400" w:lineRule="exact"/>
        <w:rPr>
          <w:rFonts w:ascii="仿宋" w:hAnsi="仿宋" w:eastAsia="仿宋" w:cs="仿宋"/>
          <w:bCs w:val="0"/>
          <w:sz w:val="24"/>
          <w:szCs w:val="24"/>
          <w:lang w:eastAsia="zh-CN"/>
        </w:rPr>
      </w:pPr>
      <w:bookmarkStart w:id="437" w:name="_Toc194073164"/>
      <w:bookmarkStart w:id="438" w:name="_Toc24183"/>
      <w:bookmarkStart w:id="439" w:name="_Toc32181"/>
      <w:bookmarkStart w:id="440" w:name="_Toc14892"/>
      <w:r>
        <w:rPr>
          <w:rFonts w:hint="eastAsia" w:ascii="仿宋" w:hAnsi="仿宋" w:eastAsia="仿宋" w:cs="仿宋"/>
          <w:bCs w:val="0"/>
          <w:sz w:val="24"/>
          <w:szCs w:val="24"/>
          <w:lang w:eastAsia="zh-CN"/>
        </w:rPr>
        <w:t>54</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钻孔与勘探性开挖</w:t>
      </w:r>
      <w:bookmarkEnd w:id="437"/>
      <w:bookmarkEnd w:id="438"/>
      <w:bookmarkEnd w:id="439"/>
      <w:bookmarkEnd w:id="440"/>
    </w:p>
    <w:p w14:paraId="2D2C1630">
      <w:pPr>
        <w:pStyle w:val="12"/>
        <w:adjustRightInd w:val="0"/>
        <w:snapToGrid w:val="0"/>
        <w:spacing w:line="400" w:lineRule="exact"/>
        <w:ind w:firstLine="0"/>
        <w:rPr>
          <w:rFonts w:ascii="仿宋" w:hAnsi="仿宋" w:eastAsia="仿宋" w:cs="仿宋"/>
          <w:b/>
          <w:bCs/>
          <w:lang w:eastAsia="zh-CN"/>
        </w:rPr>
      </w:pPr>
      <w:r>
        <w:rPr>
          <w:rFonts w:hint="eastAsia" w:ascii="仿宋" w:hAnsi="仿宋" w:eastAsia="仿宋" w:cs="仿宋"/>
          <w:b/>
          <w:bCs/>
          <w:lang w:eastAsia="zh-CN"/>
        </w:rPr>
        <w:t>54</w:t>
      </w:r>
      <w:r>
        <w:rPr>
          <w:rFonts w:ascii="仿宋" w:hAnsi="仿宋" w:eastAsia="仿宋" w:cs="仿宋"/>
          <w:b/>
          <w:bCs/>
          <w:lang w:eastAsia="zh-CN"/>
        </w:rPr>
        <w:t>.1</w:t>
      </w:r>
    </w:p>
    <w:p w14:paraId="25E0DA4B">
      <w:pPr>
        <w:widowControl w:val="0"/>
        <w:adjustRightInd w:val="0"/>
        <w:snapToGrid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2034048" behindDoc="0" locked="0" layoutInCell="1" allowOverlap="1">
                <wp:simplePos x="0" y="0"/>
                <wp:positionH relativeFrom="column">
                  <wp:posOffset>0</wp:posOffset>
                </wp:positionH>
                <wp:positionV relativeFrom="paragraph">
                  <wp:posOffset>-26035</wp:posOffset>
                </wp:positionV>
                <wp:extent cx="756920" cy="598805"/>
                <wp:effectExtent l="0" t="0" r="0" b="0"/>
                <wp:wrapNone/>
                <wp:docPr id="228" name="文本框 878"/>
                <wp:cNvGraphicFramePr/>
                <a:graphic xmlns:a="http://schemas.openxmlformats.org/drawingml/2006/main">
                  <a:graphicData uri="http://schemas.microsoft.com/office/word/2010/wordprocessingShape">
                    <wps:wsp>
                      <wps:cNvSpPr txBox="1"/>
                      <wps:spPr>
                        <a:xfrm>
                          <a:off x="0" y="0"/>
                          <a:ext cx="756920" cy="598805"/>
                        </a:xfrm>
                        <a:prstGeom prst="rect">
                          <a:avLst/>
                        </a:prstGeom>
                        <a:noFill/>
                        <a:ln w="12700">
                          <a:noFill/>
                        </a:ln>
                      </wps:spPr>
                      <wps:txbx>
                        <w:txbxContent>
                          <w:p w14:paraId="7DDF0255">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发出钻孔和勘探性开挖工作指令</w:t>
                            </w:r>
                          </w:p>
                        </w:txbxContent>
                      </wps:txbx>
                      <wps:bodyPr rot="0" vert="horz" wrap="square" lIns="91440" tIns="45720" rIns="91440" bIns="45720" anchor="t" anchorCtr="0"/>
                    </wps:wsp>
                  </a:graphicData>
                </a:graphic>
              </wp:anchor>
            </w:drawing>
          </mc:Choice>
          <mc:Fallback>
            <w:pict>
              <v:shape id="文本框 878" o:spid="_x0000_s1026" o:spt="202" type="#_x0000_t202" style="position:absolute;left:0pt;margin-left:0pt;margin-top:-2.05pt;height:47.15pt;width:59.6pt;z-index:252034048;mso-width-relative:page;mso-height-relative:page;" filled="f" stroked="f" coordsize="21600,21600" o:gfxdata="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vZWjiNUA&#10;AAAGAQAADwAAAAAAAAABACAAAAAiAAAAZHJzL2Rvd25yZXYueG1sUEsBAhQAFAAAAAgAh07iQM1M&#10;oEDpAQAAvgMAAA4AAAAAAAAAAQAgAAAAJAEAAGRycy9lMm9Eb2MueG1sUEsFBgAAAAAGAAYAWQEA&#10;AH8FAAAAAA==&#10;">
                <v:fill on="f" focussize="0,0"/>
                <v:stroke on="f" weight="1pt"/>
                <v:imagedata o:title=""/>
                <o:lock v:ext="edit" aspectratio="f"/>
                <v:textbox>
                  <w:txbxContent>
                    <w:p w14:paraId="7DDF0255">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发出钻孔和勘探性开挖工作指令</w:t>
                      </w:r>
                    </w:p>
                  </w:txbxContent>
                </v:textbox>
              </v:shape>
            </w:pict>
          </mc:Fallback>
        </mc:AlternateContent>
      </w:r>
      <w:r>
        <w:rPr>
          <w:rFonts w:hint="eastAsia" w:ascii="仿宋" w:hAnsi="仿宋" w:eastAsia="仿宋" w:cs="仿宋"/>
          <w:lang w:eastAsia="zh-CN"/>
        </w:rPr>
        <w:t>在施工过程中，如果需要承包人进行钻孔或勘探性开挖（含疏浚工作在内）工作的，监理人应就此项工作按照第63条约定书面发出专项指令。承包人在接到监理工程师指令后，应及时实施相关工作。</w:t>
      </w:r>
    </w:p>
    <w:p w14:paraId="42C5C5E6">
      <w:pPr>
        <w:pStyle w:val="12"/>
        <w:tabs>
          <w:tab w:val="left" w:pos="720"/>
          <w:tab w:val="left" w:pos="1080"/>
        </w:tabs>
        <w:adjustRightInd w:val="0"/>
        <w:snapToGrid w:val="0"/>
        <w:spacing w:line="400" w:lineRule="exact"/>
        <w:ind w:firstLine="0"/>
        <w:rPr>
          <w:rFonts w:ascii="仿宋" w:hAnsi="仿宋" w:eastAsia="仿宋"/>
          <w:lang w:eastAsia="zh-CN"/>
        </w:rPr>
      </w:pPr>
      <w:r>
        <mc:AlternateContent>
          <mc:Choice Requires="wps">
            <w:drawing>
              <wp:anchor distT="0" distB="0" distL="114300" distR="114300" simplePos="0" relativeHeight="252035072" behindDoc="0" locked="0" layoutInCell="1" allowOverlap="1">
                <wp:simplePos x="0" y="0"/>
                <wp:positionH relativeFrom="column">
                  <wp:posOffset>-47625</wp:posOffset>
                </wp:positionH>
                <wp:positionV relativeFrom="paragraph">
                  <wp:posOffset>284480</wp:posOffset>
                </wp:positionV>
                <wp:extent cx="861695" cy="591820"/>
                <wp:effectExtent l="0" t="0" r="0" b="0"/>
                <wp:wrapNone/>
                <wp:docPr id="229" name="文本框 879"/>
                <wp:cNvGraphicFramePr/>
                <a:graphic xmlns:a="http://schemas.openxmlformats.org/drawingml/2006/main">
                  <a:graphicData uri="http://schemas.microsoft.com/office/word/2010/wordprocessingShape">
                    <wps:wsp>
                      <wps:cNvSpPr txBox="1"/>
                      <wps:spPr>
                        <a:xfrm>
                          <a:off x="0" y="0"/>
                          <a:ext cx="861695" cy="591820"/>
                        </a:xfrm>
                        <a:prstGeom prst="rect">
                          <a:avLst/>
                        </a:prstGeom>
                        <a:noFill/>
                        <a:ln w="12700">
                          <a:noFill/>
                        </a:ln>
                      </wps:spPr>
                      <wps:txbx>
                        <w:txbxContent>
                          <w:p w14:paraId="00B21447">
                            <w:pPr>
                              <w:spacing w:line="200" w:lineRule="exact"/>
                              <w:rPr>
                                <w:sz w:val="18"/>
                                <w:szCs w:val="18"/>
                                <w:lang w:eastAsia="zh-CN"/>
                              </w:rPr>
                            </w:pPr>
                            <w:r>
                              <w:rPr>
                                <w:rFonts w:hint="eastAsia" w:ascii="楷体_GB2312" w:hAnsi="宋体" w:eastAsia="楷体_GB2312" w:cs="楷体_GB2312"/>
                                <w:b/>
                                <w:bCs/>
                                <w:color w:val="000000"/>
                                <w:sz w:val="18"/>
                                <w:szCs w:val="18"/>
                                <w:lang w:eastAsia="zh-CN"/>
                              </w:rPr>
                              <w:t>钻孔和勘探性开挖工作的费用</w:t>
                            </w:r>
                          </w:p>
                        </w:txbxContent>
                      </wps:txbx>
                      <wps:bodyPr rot="0" vert="horz" wrap="square" lIns="91440" tIns="45720" rIns="91440" bIns="45720" anchor="t" anchorCtr="0"/>
                    </wps:wsp>
                  </a:graphicData>
                </a:graphic>
              </wp:anchor>
            </w:drawing>
          </mc:Choice>
          <mc:Fallback>
            <w:pict>
              <v:shape id="文本框 879" o:spid="_x0000_s1026" o:spt="202" type="#_x0000_t202" style="position:absolute;left:0pt;margin-left:-3.75pt;margin-top:22.4pt;height:46.6pt;width:67.85pt;z-index:252035072;mso-width-relative:page;mso-height-relative:page;" filled="f" stroked="f" coordsize="21600,21600" o:gfxdata="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lT&#10;q6rXAAAACQEAAA8AAAAAAAAAAQAgAAAAIgAAAGRycy9kb3ducmV2LnhtbFBLAQIUABQAAAAIAIdO&#10;4kCsYuAw6wEAAL4DAAAOAAAAAAAAAAEAIAAAACYBAABkcnMvZTJvRG9jLnhtbFBLBQYAAAAABgAG&#10;AFkBAACDBQAAAAA=&#10;">
                <v:fill on="f" focussize="0,0"/>
                <v:stroke on="f" weight="1pt"/>
                <v:imagedata o:title=""/>
                <o:lock v:ext="edit" aspectratio="f"/>
                <v:textbox>
                  <w:txbxContent>
                    <w:p w14:paraId="00B21447">
                      <w:pPr>
                        <w:spacing w:line="200" w:lineRule="exact"/>
                        <w:rPr>
                          <w:sz w:val="18"/>
                          <w:szCs w:val="18"/>
                          <w:lang w:eastAsia="zh-CN"/>
                        </w:rPr>
                      </w:pPr>
                      <w:r>
                        <w:rPr>
                          <w:rFonts w:hint="eastAsia" w:ascii="楷体_GB2312" w:hAnsi="宋体" w:eastAsia="楷体_GB2312" w:cs="楷体_GB2312"/>
                          <w:b/>
                          <w:bCs/>
                          <w:color w:val="000000"/>
                          <w:sz w:val="18"/>
                          <w:szCs w:val="18"/>
                          <w:lang w:eastAsia="zh-CN"/>
                        </w:rPr>
                        <w:t>钻孔和勘探性开挖工作的费用</w:t>
                      </w:r>
                    </w:p>
                  </w:txbxContent>
                </v:textbox>
              </v:shape>
            </w:pict>
          </mc:Fallback>
        </mc:AlternateContent>
      </w:r>
      <w:r>
        <w:rPr>
          <w:rFonts w:hint="eastAsia" w:ascii="仿宋" w:hAnsi="仿宋" w:eastAsia="仿宋" w:cs="仿宋"/>
          <w:b/>
          <w:bCs/>
          <w:lang w:eastAsia="zh-CN"/>
        </w:rPr>
        <w:t>54</w:t>
      </w:r>
      <w:r>
        <w:rPr>
          <w:rFonts w:ascii="仿宋" w:hAnsi="仿宋" w:eastAsia="仿宋" w:cs="仿宋"/>
          <w:b/>
          <w:bCs/>
          <w:lang w:eastAsia="zh-CN"/>
        </w:rPr>
        <w:t xml:space="preserve">.2 </w:t>
      </w:r>
      <w:r>
        <w:rPr>
          <w:rFonts w:ascii="仿宋" w:hAnsi="仿宋" w:eastAsia="仿宋" w:cs="仿宋"/>
          <w:b/>
          <w:bCs/>
          <w:u w:val="dotted"/>
          <w:lang w:eastAsia="zh-CN"/>
        </w:rPr>
        <w:t xml:space="preserve">                                                                               </w:t>
      </w:r>
    </w:p>
    <w:p w14:paraId="1E8447FB">
      <w:pPr>
        <w:widowControl w:val="0"/>
        <w:adjustRightInd w:val="0"/>
        <w:snapToGrid w:val="0"/>
        <w:spacing w:line="400" w:lineRule="exact"/>
        <w:ind w:left="1850" w:leftChars="771"/>
        <w:jc w:val="both"/>
        <w:rPr>
          <w:rFonts w:ascii="仿宋" w:hAnsi="仿宋" w:eastAsia="仿宋"/>
          <w:lang w:eastAsia="zh-CN"/>
        </w:rPr>
      </w:pPr>
      <w:r>
        <w:rPr>
          <w:rFonts w:hint="eastAsia" w:ascii="仿宋" w:hAnsi="仿宋" w:eastAsia="仿宋" w:cs="仿宋"/>
          <w:lang w:eastAsia="zh-CN"/>
        </w:rPr>
        <w:t>除工程量清单中已列有此类工作的支付项目和额度外，此项工作所发生的一切费用，经造价咨询人核实后，由合同双方当事人按照第79条约定办理。</w:t>
      </w:r>
    </w:p>
    <w:p w14:paraId="2FD2C3AC">
      <w:pPr>
        <w:pStyle w:val="22"/>
        <w:tabs>
          <w:tab w:val="left" w:pos="540"/>
        </w:tabs>
        <w:adjustRightInd w:val="0"/>
        <w:snapToGrid w:val="0"/>
        <w:spacing w:line="400" w:lineRule="exact"/>
        <w:rPr>
          <w:rFonts w:ascii="仿宋" w:hAnsi="仿宋" w:eastAsia="仿宋"/>
          <w:b/>
          <w:bCs/>
          <w:sz w:val="24"/>
          <w:szCs w:val="24"/>
          <w:lang w:eastAsia="zh-CN"/>
        </w:rPr>
      </w:pPr>
      <w:r>
        <w:rPr>
          <w:rFonts w:ascii="仿宋" w:hAnsi="仿宋" w:eastAsia="仿宋" w:cs="仿宋"/>
          <w:b/>
          <w:bCs/>
          <w:sz w:val="24"/>
          <w:szCs w:val="24"/>
          <w:u w:val="single"/>
          <w:lang w:eastAsia="zh-CN"/>
        </w:rPr>
        <w:t xml:space="preserve">                                                                                     </w:t>
      </w:r>
    </w:p>
    <w:p w14:paraId="48F99EC4">
      <w:pPr>
        <w:pStyle w:val="4"/>
        <w:tabs>
          <w:tab w:val="left" w:pos="420"/>
        </w:tabs>
        <w:spacing w:before="0" w:after="0" w:line="400" w:lineRule="exact"/>
        <w:rPr>
          <w:rFonts w:ascii="仿宋" w:hAnsi="仿宋" w:eastAsia="仿宋" w:cs="仿宋"/>
          <w:bCs w:val="0"/>
          <w:sz w:val="24"/>
          <w:szCs w:val="24"/>
          <w:lang w:eastAsia="zh-CN"/>
        </w:rPr>
      </w:pPr>
      <w:bookmarkStart w:id="441" w:name="_Toc12858"/>
      <w:bookmarkStart w:id="442" w:name="_Toc194073165"/>
      <w:bookmarkStart w:id="443" w:name="_Toc28412"/>
      <w:bookmarkStart w:id="444" w:name="_Toc16612"/>
      <w:r>
        <w:rPr>
          <w:rFonts w:hint="eastAsia" w:ascii="仿宋" w:hAnsi="仿宋" w:eastAsia="仿宋" w:cs="仿宋"/>
          <w:bCs w:val="0"/>
          <w:sz w:val="24"/>
          <w:szCs w:val="24"/>
          <w:lang w:eastAsia="zh-CN"/>
        </w:rPr>
        <w:t>55</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发包人供应工程材料和工程设备</w:t>
      </w:r>
      <w:bookmarkEnd w:id="441"/>
      <w:bookmarkEnd w:id="442"/>
      <w:bookmarkEnd w:id="443"/>
      <w:bookmarkEnd w:id="444"/>
    </w:p>
    <w:p w14:paraId="2EFF3748">
      <w:pPr>
        <w:pStyle w:val="12"/>
        <w:adjustRightInd w:val="0"/>
        <w:snapToGrid w:val="0"/>
        <w:spacing w:line="400" w:lineRule="exact"/>
        <w:ind w:firstLine="0"/>
        <w:rPr>
          <w:rFonts w:ascii="仿宋" w:hAnsi="仿宋" w:eastAsia="仿宋" w:cs="仿宋"/>
          <w:b/>
          <w:bCs/>
          <w:lang w:eastAsia="zh-CN"/>
        </w:rPr>
      </w:pPr>
      <w:r>
        <mc:AlternateContent>
          <mc:Choice Requires="wps">
            <w:drawing>
              <wp:anchor distT="0" distB="0" distL="114300" distR="114300" simplePos="0" relativeHeight="252036096" behindDoc="0" locked="0" layoutInCell="1" allowOverlap="1">
                <wp:simplePos x="0" y="0"/>
                <wp:positionH relativeFrom="column">
                  <wp:posOffset>-114300</wp:posOffset>
                </wp:positionH>
                <wp:positionV relativeFrom="paragraph">
                  <wp:posOffset>278765</wp:posOffset>
                </wp:positionV>
                <wp:extent cx="803910" cy="495300"/>
                <wp:effectExtent l="0" t="0" r="0" b="0"/>
                <wp:wrapNone/>
                <wp:docPr id="230" name="文本框 880"/>
                <wp:cNvGraphicFramePr/>
                <a:graphic xmlns:a="http://schemas.openxmlformats.org/drawingml/2006/main">
                  <a:graphicData uri="http://schemas.microsoft.com/office/word/2010/wordprocessingShape">
                    <wps:wsp>
                      <wps:cNvSpPr txBox="1"/>
                      <wps:spPr>
                        <a:xfrm>
                          <a:off x="0" y="0"/>
                          <a:ext cx="803910" cy="495300"/>
                        </a:xfrm>
                        <a:prstGeom prst="rect">
                          <a:avLst/>
                        </a:prstGeom>
                        <a:noFill/>
                        <a:ln w="12700">
                          <a:noFill/>
                        </a:ln>
                      </wps:spPr>
                      <wps:txbx>
                        <w:txbxContent>
                          <w:p w14:paraId="02EA5C2E">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约定供应的材料和工程设备</w:t>
                            </w:r>
                          </w:p>
                        </w:txbxContent>
                      </wps:txbx>
                      <wps:bodyPr rot="0" vert="horz" wrap="square" lIns="91440" tIns="45720" rIns="91440" bIns="45720" anchor="t" anchorCtr="0"/>
                    </wps:wsp>
                  </a:graphicData>
                </a:graphic>
              </wp:anchor>
            </w:drawing>
          </mc:Choice>
          <mc:Fallback>
            <w:pict>
              <v:shape id="文本框 880" o:spid="_x0000_s1026" o:spt="202" type="#_x0000_t202" style="position:absolute;left:0pt;margin-left:-9pt;margin-top:21.95pt;height:39pt;width:63.3pt;z-index:252036096;mso-width-relative:page;mso-height-relative:page;" filled="f" stroked="f" coordsize="21600,21600" o:gfxdata="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D/z&#10;K9kAAAAKAQAADwAAAAAAAAABACAAAAAiAAAAZHJzL2Rvd25yZXYueG1sUEsBAhQAFAAAAAgAh07i&#10;QAtHTGfoAQAAvgMAAA4AAAAAAAAAAQAgAAAAKAEAAGRycy9lMm9Eb2MueG1sUEsFBgAAAAAGAAYA&#10;WQEAAIIFAAAAAA==&#10;">
                <v:fill on="f" focussize="0,0"/>
                <v:stroke on="f" weight="1pt"/>
                <v:imagedata o:title=""/>
                <o:lock v:ext="edit" aspectratio="f"/>
                <v:textbox>
                  <w:txbxContent>
                    <w:p w14:paraId="02EA5C2E">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约定供应的材料和工程设备</w:t>
                      </w:r>
                    </w:p>
                  </w:txbxContent>
                </v:textbox>
              </v:shape>
            </w:pict>
          </mc:Fallback>
        </mc:AlternateContent>
      </w:r>
      <w:r>
        <w:rPr>
          <w:rFonts w:hint="eastAsia" w:ascii="仿宋" w:hAnsi="仿宋" w:eastAsia="仿宋" w:cs="仿宋"/>
          <w:b/>
          <w:bCs/>
          <w:lang w:eastAsia="zh-CN"/>
        </w:rPr>
        <w:t>55</w:t>
      </w:r>
      <w:r>
        <w:rPr>
          <w:rFonts w:ascii="仿宋" w:hAnsi="仿宋" w:eastAsia="仿宋" w:cs="仿宋"/>
          <w:b/>
          <w:bCs/>
          <w:lang w:eastAsia="zh-CN"/>
        </w:rPr>
        <w:t>.1</w:t>
      </w:r>
    </w:p>
    <w:p w14:paraId="15184E0C">
      <w:pPr>
        <w:widowControl w:val="0"/>
        <w:adjustRightInd w:val="0"/>
        <w:snapToGrid w:val="0"/>
        <w:spacing w:line="400" w:lineRule="exact"/>
        <w:ind w:left="1850" w:leftChars="771"/>
        <w:jc w:val="both"/>
        <w:rPr>
          <w:rFonts w:ascii="仿宋" w:hAnsi="仿宋" w:eastAsia="仿宋"/>
          <w:lang w:eastAsia="zh-CN"/>
        </w:rPr>
      </w:pPr>
      <w:r>
        <w:rPr>
          <w:rFonts w:hint="eastAsia" w:ascii="仿宋" w:hAnsi="仿宋" w:eastAsia="仿宋" w:cs="仿宋"/>
          <w:lang w:eastAsia="zh-CN"/>
        </w:rPr>
        <w:t>发包人供应工程材料和工程设备的，应在供应工程材料和工程设备前，与承包人确认“发包人供应材料和工程设备一览表”，并作为本合同的附件。一览表应包括发包人供应工程材料和工程设备的品种、规格、型号、数量、单价、质量标准、交货计划和地点等内容。</w:t>
      </w:r>
    </w:p>
    <w:p w14:paraId="50A45ACF">
      <w:pPr>
        <w:pStyle w:val="12"/>
        <w:tabs>
          <w:tab w:val="left" w:pos="720"/>
          <w:tab w:val="left" w:pos="1080"/>
        </w:tabs>
        <w:adjustRightInd w:val="0"/>
        <w:snapToGrid w:val="0"/>
        <w:spacing w:line="400" w:lineRule="exact"/>
        <w:ind w:firstLine="0"/>
        <w:rPr>
          <w:rFonts w:ascii="仿宋" w:hAnsi="仿宋" w:eastAsia="仿宋"/>
          <w:lang w:eastAsia="zh-CN"/>
        </w:rPr>
      </w:pPr>
      <w:bookmarkStart w:id="445" w:name="_Toc989"/>
      <w:r>
        <w:rPr>
          <w:rFonts w:hint="eastAsia" w:ascii="仿宋" w:hAnsi="仿宋" w:eastAsia="仿宋" w:cs="仿宋"/>
          <w:b/>
          <w:bCs/>
          <w:lang w:eastAsia="zh-CN"/>
        </w:rPr>
        <w:t>55</w:t>
      </w:r>
      <w:r>
        <w:rPr>
          <w:rFonts w:ascii="仿宋" w:hAnsi="仿宋" w:eastAsia="仿宋" w:cs="仿宋"/>
          <w:b/>
          <w:bCs/>
          <w:lang w:eastAsia="zh-CN"/>
        </w:rPr>
        <w:t>.2</w:t>
      </w:r>
      <w:bookmarkEnd w:id="445"/>
      <w:r>
        <w:rPr>
          <w:rFonts w:ascii="仿宋" w:hAnsi="仿宋" w:eastAsia="仿宋" w:cs="仿宋"/>
          <w:b/>
          <w:bCs/>
          <w:lang w:eastAsia="zh-CN"/>
        </w:rPr>
        <w:t xml:space="preserve"> </w:t>
      </w:r>
      <w:r>
        <w:rPr>
          <w:rFonts w:ascii="仿宋" w:hAnsi="仿宋" w:eastAsia="仿宋" w:cs="仿宋"/>
          <w:lang w:eastAsia="zh-CN"/>
        </w:rPr>
        <w:t xml:space="preserve"> </w:t>
      </w:r>
      <w:r>
        <w:rPr>
          <w:rFonts w:ascii="仿宋" w:hAnsi="仿宋" w:eastAsia="仿宋" w:cs="仿宋"/>
          <w:u w:val="dotted"/>
          <w:lang w:eastAsia="zh-CN"/>
        </w:rPr>
        <w:t xml:space="preserve">                                                                              </w:t>
      </w:r>
    </w:p>
    <w:p w14:paraId="0CFF4C1F">
      <w:pPr>
        <w:widowControl w:val="0"/>
        <w:adjustRightInd w:val="0"/>
        <w:snapToGrid w:val="0"/>
        <w:spacing w:line="400" w:lineRule="exact"/>
        <w:ind w:left="1850" w:leftChars="771"/>
        <w:jc w:val="both"/>
        <w:rPr>
          <w:rFonts w:ascii="仿宋" w:hAnsi="仿宋" w:eastAsia="仿宋"/>
          <w:b/>
          <w:bCs/>
          <w:lang w:eastAsia="zh-CN"/>
        </w:rPr>
      </w:pPr>
      <w:r>
        <mc:AlternateContent>
          <mc:Choice Requires="wps">
            <w:drawing>
              <wp:anchor distT="0" distB="0" distL="114300" distR="114300" simplePos="0" relativeHeight="251800576" behindDoc="0" locked="0" layoutInCell="1" allowOverlap="1">
                <wp:simplePos x="0" y="0"/>
                <wp:positionH relativeFrom="column">
                  <wp:posOffset>-66675</wp:posOffset>
                </wp:positionH>
                <wp:positionV relativeFrom="paragraph">
                  <wp:posOffset>47625</wp:posOffset>
                </wp:positionV>
                <wp:extent cx="756920" cy="466725"/>
                <wp:effectExtent l="0" t="0" r="0" b="0"/>
                <wp:wrapNone/>
                <wp:docPr id="231" name="文本框 881"/>
                <wp:cNvGraphicFramePr/>
                <a:graphic xmlns:a="http://schemas.openxmlformats.org/drawingml/2006/main">
                  <a:graphicData uri="http://schemas.microsoft.com/office/word/2010/wordprocessingShape">
                    <wps:wsp>
                      <wps:cNvSpPr txBox="1"/>
                      <wps:spPr>
                        <a:xfrm>
                          <a:off x="0" y="0"/>
                          <a:ext cx="756920" cy="466725"/>
                        </a:xfrm>
                        <a:prstGeom prst="rect">
                          <a:avLst/>
                        </a:prstGeom>
                        <a:noFill/>
                        <a:ln w="12700">
                          <a:noFill/>
                        </a:ln>
                      </wps:spPr>
                      <wps:txbx>
                        <w:txbxContent>
                          <w:p w14:paraId="5CD259C9">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发包人交货日期的要求</w:t>
                            </w:r>
                          </w:p>
                        </w:txbxContent>
                      </wps:txbx>
                      <wps:bodyPr rot="0" vert="horz" wrap="square" lIns="91440" tIns="45720" rIns="91440" bIns="45720" anchor="t" anchorCtr="0"/>
                    </wps:wsp>
                  </a:graphicData>
                </a:graphic>
              </wp:anchor>
            </w:drawing>
          </mc:Choice>
          <mc:Fallback>
            <w:pict>
              <v:shape id="文本框 881" o:spid="_x0000_s1026" o:spt="202" type="#_x0000_t202" style="position:absolute;left:0pt;margin-left:-5.25pt;margin-top:3.75pt;height:36.75pt;width:59.6pt;z-index:251800576;mso-width-relative:page;mso-height-relative:page;" filled="f" stroked="f" coordsize="21600,21600" o:gfxdata="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Tjqx&#10;xNcAAAAIAQAADwAAAAAAAAABACAAAAAiAAAAZHJzL2Rvd25yZXYueG1sUEsBAhQAFAAAAAgAh07i&#10;QO4pgRbqAQAAvgMAAA4AAAAAAAAAAQAgAAAAJgEAAGRycy9lMm9Eb2MueG1sUEsFBgAAAAAGAAYA&#10;WQEAAIIFAAAAAA==&#10;">
                <v:fill on="f" focussize="0,0"/>
                <v:stroke on="f" weight="1pt"/>
                <v:imagedata o:title=""/>
                <o:lock v:ext="edit" aspectratio="f"/>
                <v:textbox>
                  <w:txbxContent>
                    <w:p w14:paraId="5CD259C9">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发包人交货日期的要求</w:t>
                      </w:r>
                    </w:p>
                  </w:txbxContent>
                </v:textbox>
              </v:shape>
            </w:pict>
          </mc:Fallback>
        </mc:AlternateContent>
      </w:r>
      <w:r>
        <w:rPr>
          <w:rFonts w:hint="eastAsia" w:ascii="仿宋" w:hAnsi="仿宋" w:eastAsia="仿宋" w:cs="仿宋"/>
          <w:lang w:eastAsia="zh-CN"/>
        </w:rPr>
        <w:t>发包人供应工程材料和工程设备的，承包人应根据合同工程进度计划向监理人提交发包人交货的日期计划。经合同双方当事人商定交货日期后，发包人应准时向承包人供应工程材料和工程设备；否则，发包人应承担由此增加的费用和（或）延误的工期，并向承包人支付合理利润。</w:t>
      </w:r>
    </w:p>
    <w:p w14:paraId="17645E5B">
      <w:pPr>
        <w:pStyle w:val="12"/>
        <w:tabs>
          <w:tab w:val="left" w:pos="720"/>
          <w:tab w:val="left" w:pos="1080"/>
        </w:tabs>
        <w:adjustRightInd w:val="0"/>
        <w:snapToGrid w:val="0"/>
        <w:spacing w:line="400" w:lineRule="exact"/>
        <w:ind w:firstLine="0"/>
        <w:rPr>
          <w:rFonts w:ascii="仿宋" w:hAnsi="仿宋" w:eastAsia="仿宋"/>
          <w:b/>
          <w:bCs/>
          <w:lang w:eastAsia="zh-CN"/>
        </w:rPr>
      </w:pPr>
      <w:bookmarkStart w:id="446" w:name="_Toc31784"/>
      <w:r>
        <w:rPr>
          <w:rFonts w:hint="eastAsia" w:ascii="仿宋" w:hAnsi="仿宋" w:eastAsia="仿宋" w:cs="仿宋"/>
          <w:b/>
          <w:bCs/>
          <w:lang w:eastAsia="zh-CN"/>
        </w:rPr>
        <w:t>55</w:t>
      </w:r>
      <w:r>
        <w:rPr>
          <w:rFonts w:ascii="仿宋" w:hAnsi="仿宋" w:eastAsia="仿宋" w:cs="仿宋"/>
          <w:b/>
          <w:bCs/>
          <w:lang w:eastAsia="zh-CN"/>
        </w:rPr>
        <w:t>.3</w:t>
      </w:r>
      <w:bookmarkEnd w:id="446"/>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506B559A">
      <w:pPr>
        <w:widowControl w:val="0"/>
        <w:adjustRightInd w:val="0"/>
        <w:snapToGrid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801600" behindDoc="0" locked="0" layoutInCell="1" allowOverlap="1">
                <wp:simplePos x="0" y="0"/>
                <wp:positionH relativeFrom="column">
                  <wp:posOffset>-114300</wp:posOffset>
                </wp:positionH>
                <wp:positionV relativeFrom="paragraph">
                  <wp:posOffset>2540</wp:posOffset>
                </wp:positionV>
                <wp:extent cx="762000" cy="484505"/>
                <wp:effectExtent l="0" t="0" r="0" b="0"/>
                <wp:wrapNone/>
                <wp:docPr id="232" name="文本框 882"/>
                <wp:cNvGraphicFramePr/>
                <a:graphic xmlns:a="http://schemas.openxmlformats.org/drawingml/2006/main">
                  <a:graphicData uri="http://schemas.microsoft.com/office/word/2010/wordprocessingShape">
                    <wps:wsp>
                      <wps:cNvSpPr txBox="1"/>
                      <wps:spPr>
                        <a:xfrm>
                          <a:off x="0" y="0"/>
                          <a:ext cx="762000" cy="484505"/>
                        </a:xfrm>
                        <a:prstGeom prst="rect">
                          <a:avLst/>
                        </a:prstGeom>
                        <a:noFill/>
                        <a:ln w="12700">
                          <a:noFill/>
                        </a:ln>
                      </wps:spPr>
                      <wps:txbx>
                        <w:txbxContent>
                          <w:p w14:paraId="6A62990B">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w:t>
                            </w:r>
                          </w:p>
                        </w:txbxContent>
                      </wps:txbx>
                      <wps:bodyPr rot="0" vert="horz" wrap="square" lIns="91440" tIns="45720" rIns="91440" bIns="45720" anchor="t" anchorCtr="0"/>
                    </wps:wsp>
                  </a:graphicData>
                </a:graphic>
              </wp:anchor>
            </w:drawing>
          </mc:Choice>
          <mc:Fallback>
            <w:pict>
              <v:shape id="文本框 882" o:spid="_x0000_s1026" o:spt="202" type="#_x0000_t202" style="position:absolute;left:0pt;margin-left:-9pt;margin-top:0.2pt;height:38.15pt;width:60pt;z-index:251801600;mso-width-relative:page;mso-height-relative:page;" filled="f" stroked="f" coordsize="21600,21600" o:gfxdata="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Ga+9l1QAA&#10;AAcBAAAPAAAAAAAAAAEAIAAAACIAAABkcnMvZG93bnJldi54bWxQSwECFAAUAAAACACHTuJAYM83&#10;xugBAAC+AwAADgAAAAAAAAABACAAAAAkAQAAZHJzL2Uyb0RvYy54bWxQSwUGAAAAAAYABgBZAQAA&#10;fgUAAAAA&#10;">
                <v:fill on="f" focussize="0,0"/>
                <v:stroke on="f" weight="1pt"/>
                <v:imagedata o:title=""/>
                <o:lock v:ext="edit" aspectratio="f"/>
                <v:textbox>
                  <w:txbxContent>
                    <w:p w14:paraId="6A62990B">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w:t>
                      </w:r>
                    </w:p>
                  </w:txbxContent>
                </v:textbox>
              </v:shape>
            </w:pict>
          </mc:Fallback>
        </mc:AlternateContent>
      </w:r>
      <w:r>
        <w:rPr>
          <w:rFonts w:hint="eastAsia" w:ascii="仿宋" w:hAnsi="仿宋" w:eastAsia="仿宋" w:cs="仿宋"/>
          <w:lang w:eastAsia="zh-CN"/>
        </w:rPr>
        <w:t>发包人应按照一览表内容和第55</w:t>
      </w:r>
      <w:r>
        <w:rPr>
          <w:rFonts w:ascii="仿宋" w:hAnsi="仿宋" w:eastAsia="仿宋" w:cs="仿宋"/>
          <w:lang w:eastAsia="zh-CN"/>
        </w:rPr>
        <w:t>.2</w:t>
      </w:r>
      <w:r>
        <w:rPr>
          <w:rFonts w:hint="eastAsia" w:ascii="仿宋" w:hAnsi="仿宋" w:eastAsia="仿宋" w:cs="仿宋"/>
          <w:lang w:eastAsia="zh-CN"/>
        </w:rPr>
        <w:t>款交货日期向承包人供应工程材料和工程设备，并提供产品质量合格证明文件，对工程材料和工程设备质量负责。发包人应在工程材料和工程设备到货前至少提前</w:t>
      </w:r>
      <w:r>
        <w:rPr>
          <w:rFonts w:ascii="仿宋" w:hAnsi="仿宋" w:eastAsia="仿宋" w:cs="仿宋"/>
          <w:lang w:eastAsia="zh-CN"/>
        </w:rPr>
        <w:t>24</w:t>
      </w:r>
      <w:r>
        <w:rPr>
          <w:rFonts w:hint="eastAsia" w:ascii="仿宋" w:hAnsi="仿宋" w:eastAsia="仿宋" w:cs="仿宋"/>
          <w:lang w:eastAsia="zh-CN"/>
        </w:rPr>
        <w:t>小时，以书面形式通知承包人和监理人，并在监理人的见证下与承包人共同清点，同时在施工现场内合理堆放。</w:t>
      </w:r>
    </w:p>
    <w:p w14:paraId="45DBF0AC">
      <w:pPr>
        <w:pStyle w:val="12"/>
        <w:tabs>
          <w:tab w:val="left" w:pos="720"/>
          <w:tab w:val="left" w:pos="1080"/>
        </w:tabs>
        <w:adjustRightInd w:val="0"/>
        <w:snapToGrid w:val="0"/>
        <w:spacing w:line="400" w:lineRule="exact"/>
        <w:ind w:firstLine="0"/>
        <w:rPr>
          <w:rFonts w:ascii="仿宋" w:hAnsi="仿宋" w:eastAsia="仿宋"/>
          <w:b/>
          <w:bCs/>
          <w:lang w:eastAsia="zh-CN"/>
        </w:rPr>
      </w:pPr>
      <w:bookmarkStart w:id="447" w:name="_Toc14207"/>
      <w:r>
        <w:rPr>
          <w:rFonts w:hint="eastAsia" w:ascii="仿宋" w:hAnsi="仿宋" w:eastAsia="仿宋" w:cs="仿宋"/>
          <w:b/>
          <w:bCs/>
          <w:lang w:eastAsia="zh-CN"/>
        </w:rPr>
        <w:t>55</w:t>
      </w:r>
      <w:r>
        <w:rPr>
          <w:rFonts w:ascii="仿宋" w:hAnsi="仿宋" w:eastAsia="仿宋" w:cs="仿宋"/>
          <w:b/>
          <w:bCs/>
          <w:lang w:eastAsia="zh-CN"/>
        </w:rPr>
        <w:t>.4</w:t>
      </w:r>
      <w:bookmarkEnd w:id="447"/>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05B462A0">
      <w:pPr>
        <w:widowControl w:val="0"/>
        <w:adjustRightInd w:val="0"/>
        <w:snapToGrid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802624" behindDoc="0" locked="0" layoutInCell="1" allowOverlap="1">
                <wp:simplePos x="0" y="0"/>
                <wp:positionH relativeFrom="column">
                  <wp:posOffset>-114300</wp:posOffset>
                </wp:positionH>
                <wp:positionV relativeFrom="paragraph">
                  <wp:posOffset>8890</wp:posOffset>
                </wp:positionV>
                <wp:extent cx="871220" cy="869950"/>
                <wp:effectExtent l="0" t="0" r="0" b="0"/>
                <wp:wrapNone/>
                <wp:docPr id="233" name="文本框 883"/>
                <wp:cNvGraphicFramePr/>
                <a:graphic xmlns:a="http://schemas.openxmlformats.org/drawingml/2006/main">
                  <a:graphicData uri="http://schemas.microsoft.com/office/word/2010/wordprocessingShape">
                    <wps:wsp>
                      <wps:cNvSpPr txBox="1"/>
                      <wps:spPr>
                        <a:xfrm>
                          <a:off x="0" y="0"/>
                          <a:ext cx="871220" cy="869950"/>
                        </a:xfrm>
                        <a:prstGeom prst="rect">
                          <a:avLst/>
                        </a:prstGeom>
                        <a:noFill/>
                        <a:ln w="12700">
                          <a:noFill/>
                        </a:ln>
                      </wps:spPr>
                      <wps:txbx>
                        <w:txbxContent>
                          <w:p w14:paraId="4CD61921">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发包人供应材料和工程设备的责任</w:t>
                            </w:r>
                          </w:p>
                        </w:txbxContent>
                      </wps:txbx>
                      <wps:bodyPr rot="0" vert="horz" wrap="square" lIns="91440" tIns="45720" rIns="91440" bIns="45720" anchor="t" anchorCtr="0"/>
                    </wps:wsp>
                  </a:graphicData>
                </a:graphic>
              </wp:anchor>
            </w:drawing>
          </mc:Choice>
          <mc:Fallback>
            <w:pict>
              <v:shape id="文本框 883" o:spid="_x0000_s1026" o:spt="202" type="#_x0000_t202" style="position:absolute;left:0pt;margin-left:-9pt;margin-top:0.7pt;height:68.5pt;width:68.6pt;z-index:251802624;mso-width-relative:page;mso-height-relative:page;" filled="f" stroked="f" coordsize="21600,21600" o:gfxdata="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sb&#10;qGrXAAAACQEAAA8AAAAAAAAAAQAgAAAAIgAAAGRycy9kb3ducmV2LnhtbFBLAQIUABQAAAAIAIdO&#10;4kDgJgnW6wEAAL4DAAAOAAAAAAAAAAEAIAAAACYBAABkcnMvZTJvRG9jLnhtbFBLBQYAAAAABgAG&#10;AFkBAACDBQAAAAA=&#10;">
                <v:fill on="f" focussize="0,0"/>
                <v:stroke on="f" weight="1pt"/>
                <v:imagedata o:title=""/>
                <o:lock v:ext="edit" aspectratio="f"/>
                <v:textbox>
                  <w:txbxContent>
                    <w:p w14:paraId="4CD61921">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发包人供应材料和工程设备的责任</w:t>
                      </w:r>
                    </w:p>
                  </w:txbxContent>
                </v:textbox>
              </v:shape>
            </w:pict>
          </mc:Fallback>
        </mc:AlternateContent>
      </w:r>
      <w:r>
        <w:rPr>
          <w:rFonts w:hint="eastAsia" w:ascii="仿宋" w:hAnsi="仿宋" w:eastAsia="仿宋" w:cs="仿宋"/>
          <w:lang w:eastAsia="zh-CN"/>
        </w:rPr>
        <w:t>发包人应保证供应的工程材料和工程设备符合标准与规范、设计要求和合同约定的要求。如不符合要求，承包人有权拒绝，并要求发包人将其运出施工现场，重新供应符合要求的产品，发包人应承担由此增加的费用和（或）延误的工期，并向承包人支付合理利润。</w:t>
      </w:r>
    </w:p>
    <w:p w14:paraId="61792108">
      <w:pPr>
        <w:pStyle w:val="12"/>
        <w:tabs>
          <w:tab w:val="left" w:pos="720"/>
          <w:tab w:val="left" w:pos="1080"/>
        </w:tabs>
        <w:adjustRightInd w:val="0"/>
        <w:snapToGrid w:val="0"/>
        <w:spacing w:line="400" w:lineRule="exact"/>
        <w:ind w:firstLine="0"/>
        <w:rPr>
          <w:rFonts w:ascii="仿宋" w:hAnsi="仿宋" w:eastAsia="仿宋"/>
          <w:lang w:eastAsia="zh-CN"/>
        </w:rPr>
      </w:pPr>
      <w:bookmarkStart w:id="448" w:name="_Toc12869"/>
      <w:r>
        <w:rPr>
          <w:rFonts w:hint="eastAsia" w:ascii="仿宋" w:hAnsi="仿宋" w:eastAsia="仿宋" w:cs="仿宋"/>
          <w:b/>
          <w:bCs/>
          <w:lang w:eastAsia="zh-CN"/>
        </w:rPr>
        <w:t>55</w:t>
      </w:r>
      <w:r>
        <w:rPr>
          <w:rFonts w:ascii="仿宋" w:hAnsi="仿宋" w:eastAsia="仿宋" w:cs="仿宋"/>
          <w:b/>
          <w:bCs/>
          <w:lang w:eastAsia="zh-CN"/>
        </w:rPr>
        <w:t>.5</w:t>
      </w:r>
      <w:bookmarkEnd w:id="448"/>
      <w:r>
        <w:rPr>
          <w:rFonts w:ascii="仿宋" w:hAnsi="仿宋" w:eastAsia="仿宋" w:cs="仿宋"/>
          <w:b/>
          <w:bCs/>
          <w:lang w:eastAsia="zh-CN"/>
        </w:rPr>
        <w:t xml:space="preserve">  </w:t>
      </w:r>
      <w:r>
        <w:rPr>
          <w:rFonts w:ascii="仿宋" w:hAnsi="仿宋" w:eastAsia="仿宋" w:cs="仿宋"/>
          <w:u w:val="dotted"/>
          <w:lang w:eastAsia="zh-CN"/>
        </w:rPr>
        <w:t xml:space="preserve">                                                                               </w:t>
      </w:r>
    </w:p>
    <w:p w14:paraId="5CE78B16">
      <w:pPr>
        <w:widowControl w:val="0"/>
        <w:adjustRightInd w:val="0"/>
        <w:snapToGrid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803648" behindDoc="0" locked="0" layoutInCell="1" allowOverlap="1">
                <wp:simplePos x="0" y="0"/>
                <wp:positionH relativeFrom="column">
                  <wp:posOffset>-114300</wp:posOffset>
                </wp:positionH>
                <wp:positionV relativeFrom="paragraph">
                  <wp:posOffset>8890</wp:posOffset>
                </wp:positionV>
                <wp:extent cx="775970" cy="659765"/>
                <wp:effectExtent l="0" t="0" r="0" b="0"/>
                <wp:wrapNone/>
                <wp:docPr id="234" name="文本框 884"/>
                <wp:cNvGraphicFramePr/>
                <a:graphic xmlns:a="http://schemas.openxmlformats.org/drawingml/2006/main">
                  <a:graphicData uri="http://schemas.microsoft.com/office/word/2010/wordprocessingShape">
                    <wps:wsp>
                      <wps:cNvSpPr txBox="1"/>
                      <wps:spPr>
                        <a:xfrm>
                          <a:off x="0" y="0"/>
                          <a:ext cx="775970" cy="659765"/>
                        </a:xfrm>
                        <a:prstGeom prst="rect">
                          <a:avLst/>
                        </a:prstGeom>
                        <a:noFill/>
                        <a:ln w="12700">
                          <a:noFill/>
                        </a:ln>
                      </wps:spPr>
                      <wps:txbx>
                        <w:txbxContent>
                          <w:p w14:paraId="1A1A43E5">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承包人保管发包人供应的材料和工程设备</w:t>
                            </w:r>
                          </w:p>
                        </w:txbxContent>
                      </wps:txbx>
                      <wps:bodyPr rot="0" vert="horz" wrap="square" lIns="91440" tIns="45720" rIns="91440" bIns="45720" anchor="t" anchorCtr="0"/>
                    </wps:wsp>
                  </a:graphicData>
                </a:graphic>
              </wp:anchor>
            </w:drawing>
          </mc:Choice>
          <mc:Fallback>
            <w:pict>
              <v:shape id="文本框 884" o:spid="_x0000_s1026" o:spt="202" type="#_x0000_t202" style="position:absolute;left:0pt;margin-left:-9pt;margin-top:0.7pt;height:51.95pt;width:61.1pt;z-index:251803648;mso-width-relative:page;mso-height-relative:page;" filled="f" stroked="f" coordsize="21600,21600" o:gfxdata="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QYkM&#10;S9cAAAAJAQAADwAAAAAAAAABACAAAAAiAAAAZHJzL2Rvd25yZXYueG1sUEsBAhQAFAAAAAgAh07i&#10;QEhLhR/qAQAAvgMAAA4AAAAAAAAAAQAgAAAAJgEAAGRycy9lMm9Eb2MueG1sUEsFBgAAAAAGAAYA&#10;WQEAAIIFAAAAAA==&#10;">
                <v:fill on="f" focussize="0,0"/>
                <v:stroke on="f" weight="1pt"/>
                <v:imagedata o:title=""/>
                <o:lock v:ext="edit" aspectratio="f"/>
                <v:textbox>
                  <w:txbxContent>
                    <w:p w14:paraId="1A1A43E5">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承包人保管发包人供应的材料和工程设备</w:t>
                      </w:r>
                    </w:p>
                  </w:txbxContent>
                </v:textbox>
              </v:shape>
            </w:pict>
          </mc:Fallback>
        </mc:AlternateContent>
      </w:r>
      <w:r>
        <w:rPr>
          <w:rFonts w:hint="eastAsia" w:ascii="仿宋" w:hAnsi="仿宋" w:eastAsia="仿宋" w:cs="仿宋"/>
          <w:lang w:eastAsia="zh-CN"/>
        </w:rPr>
        <w:t>发包人供应工程材料和工程设备的，经合同双方当事人共同清点后由承包人妥善保管，保管费由发包人承担；因承包人保管不善或承包人其它原因导致丢失或损害的，承包人应予赔偿。除工程量清单中已列有此类工作的支付项目和额度外，造价咨询人应与合同双方当事人协商确定保管费，并增加到合同价格中；协商不能达成一致的，由造价咨询人暂定，通知承包人并抄报发包人。</w:t>
      </w:r>
    </w:p>
    <w:p w14:paraId="2C193823">
      <w:pPr>
        <w:pStyle w:val="12"/>
        <w:tabs>
          <w:tab w:val="left" w:pos="720"/>
          <w:tab w:val="left" w:pos="1080"/>
        </w:tabs>
        <w:adjustRightInd w:val="0"/>
        <w:snapToGrid w:val="0"/>
        <w:spacing w:line="400" w:lineRule="exact"/>
        <w:ind w:firstLine="0"/>
        <w:rPr>
          <w:rFonts w:ascii="仿宋" w:hAnsi="仿宋" w:eastAsia="仿宋" w:cs="仿宋"/>
          <w:b/>
          <w:bCs/>
          <w:u w:val="dotted"/>
          <w:lang w:eastAsia="zh-CN"/>
        </w:rPr>
      </w:pPr>
      <w:bookmarkStart w:id="449" w:name="_Toc12103"/>
      <w:r>
        <w:rPr>
          <w:rFonts w:hint="eastAsia" w:ascii="仿宋" w:hAnsi="仿宋" w:eastAsia="仿宋" w:cs="仿宋"/>
          <w:b/>
          <w:bCs/>
          <w:lang w:eastAsia="zh-CN"/>
        </w:rPr>
        <w:t>55</w:t>
      </w:r>
      <w:r>
        <w:rPr>
          <w:rFonts w:ascii="仿宋" w:hAnsi="仿宋" w:eastAsia="仿宋" w:cs="仿宋"/>
          <w:b/>
          <w:bCs/>
          <w:lang w:eastAsia="zh-CN"/>
        </w:rPr>
        <w:t>.6</w:t>
      </w:r>
      <w:bookmarkEnd w:id="449"/>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2FCDDA0D">
      <w:pPr>
        <w:widowControl w:val="0"/>
        <w:adjustRightInd w:val="0"/>
        <w:snapToGrid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804672" behindDoc="0" locked="0" layoutInCell="1" allowOverlap="1">
                <wp:simplePos x="0" y="0"/>
                <wp:positionH relativeFrom="column">
                  <wp:posOffset>-114300</wp:posOffset>
                </wp:positionH>
                <wp:positionV relativeFrom="paragraph">
                  <wp:posOffset>18415</wp:posOffset>
                </wp:positionV>
                <wp:extent cx="765810" cy="781685"/>
                <wp:effectExtent l="0" t="0" r="0" b="0"/>
                <wp:wrapNone/>
                <wp:docPr id="235" name="文本框 885"/>
                <wp:cNvGraphicFramePr/>
                <a:graphic xmlns:a="http://schemas.openxmlformats.org/drawingml/2006/main">
                  <a:graphicData uri="http://schemas.microsoft.com/office/word/2010/wordprocessingShape">
                    <wps:wsp>
                      <wps:cNvSpPr txBox="1"/>
                      <wps:spPr>
                        <a:xfrm>
                          <a:off x="0" y="0"/>
                          <a:ext cx="765810" cy="781685"/>
                        </a:xfrm>
                        <a:prstGeom prst="rect">
                          <a:avLst/>
                        </a:prstGeom>
                        <a:noFill/>
                        <a:ln w="12700">
                          <a:noFill/>
                        </a:ln>
                      </wps:spPr>
                      <wps:txbx>
                        <w:txbxContent>
                          <w:p w14:paraId="015ECA20">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供应材料和工程设备与约定不符时发包人的责任</w:t>
                            </w:r>
                          </w:p>
                        </w:txbxContent>
                      </wps:txbx>
                      <wps:bodyPr rot="0" vert="horz" wrap="square" lIns="91440" tIns="45720" rIns="91440" bIns="45720" anchor="t" anchorCtr="0"/>
                    </wps:wsp>
                  </a:graphicData>
                </a:graphic>
              </wp:anchor>
            </w:drawing>
          </mc:Choice>
          <mc:Fallback>
            <w:pict>
              <v:shape id="文本框 885" o:spid="_x0000_s1026" o:spt="202" type="#_x0000_t202" style="position:absolute;left:0pt;margin-left:-9pt;margin-top:1.45pt;height:61.55pt;width:60.3pt;z-index:251804672;mso-width-relative:page;mso-height-relative:page;" filled="f" stroked="f" coordsize="21600,21600" o:gfxdata="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uLbEvX&#10;AAAACQEAAA8AAAAAAAAAAQAgAAAAIgAAAGRycy9kb3ducmV2LnhtbFBLAQIUABQAAAAIAIdO4kBm&#10;/bPA6AEAAL4DAAAOAAAAAAAAAAEAIAAAACYBAABkcnMvZTJvRG9jLnhtbFBLBQYAAAAABgAGAFkB&#10;AACABQAAAAA=&#10;">
                <v:fill on="f" focussize="0,0"/>
                <v:stroke on="f" weight="1pt"/>
                <v:imagedata o:title=""/>
                <o:lock v:ext="edit" aspectratio="f"/>
                <v:textbox>
                  <w:txbxContent>
                    <w:p w14:paraId="015ECA20">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供应材料和工程设备与约定不符时发包人的责任</w:t>
                      </w:r>
                    </w:p>
                  </w:txbxContent>
                </v:textbox>
              </v:shape>
            </w:pict>
          </mc:Fallback>
        </mc:AlternateContent>
      </w:r>
      <w:r>
        <w:rPr>
          <w:rFonts w:hint="eastAsia" w:ascii="仿宋" w:hAnsi="仿宋" w:eastAsia="仿宋" w:cs="仿宋"/>
          <w:lang w:eastAsia="zh-CN"/>
        </w:rPr>
        <w:t>发包人供应的工程材料和工程设备与一览表不符时，发包人应按照下列约定承担相应责任：</w:t>
      </w:r>
    </w:p>
    <w:p w14:paraId="6AF722B6">
      <w:pPr>
        <w:pStyle w:val="12"/>
        <w:adjustRightInd w:val="0"/>
        <w:snapToGrid w:val="0"/>
        <w:spacing w:line="400" w:lineRule="exact"/>
        <w:ind w:left="1850" w:leftChars="771" w:firstLine="0"/>
        <w:rPr>
          <w:rFonts w:ascii="仿宋" w:hAnsi="仿宋" w:eastAsia="仿宋"/>
          <w:lang w:eastAsia="zh-CN"/>
        </w:rPr>
      </w:pPr>
      <w:r>
        <w:rPr>
          <w:rFonts w:hint="eastAsia" w:ascii="仿宋" w:hAnsi="仿宋" w:eastAsia="仿宋" w:cs="仿宋"/>
          <w:lang w:eastAsia="zh-CN"/>
        </w:rPr>
        <w:t>（1）工程材料和工程设备的单价与一览表不符，由发包人承担所有价差；</w:t>
      </w:r>
    </w:p>
    <w:p w14:paraId="04ACAA66">
      <w:pPr>
        <w:pStyle w:val="12"/>
        <w:adjustRightInd w:val="0"/>
        <w:snapToGrid w:val="0"/>
        <w:spacing w:line="400" w:lineRule="exact"/>
        <w:ind w:left="1850" w:leftChars="771" w:firstLine="0"/>
        <w:rPr>
          <w:rFonts w:ascii="仿宋" w:hAnsi="仿宋" w:eastAsia="仿宋"/>
          <w:lang w:eastAsia="zh-CN"/>
        </w:rPr>
      </w:pPr>
      <w:r>
        <w:rPr>
          <w:rFonts w:hint="eastAsia" w:ascii="仿宋" w:hAnsi="仿宋" w:eastAsia="仿宋" w:cs="仿宋"/>
          <w:lang w:eastAsia="zh-CN"/>
        </w:rPr>
        <w:t>（2）工程材料和工程设备的品种、规格、型号、质量标准与一览表不符，承包人可以拒绝接受保管，由发包人运出施工场地并重新采购；</w:t>
      </w:r>
    </w:p>
    <w:p w14:paraId="4AF76F96">
      <w:pPr>
        <w:pStyle w:val="12"/>
        <w:adjustRightInd w:val="0"/>
        <w:snapToGrid w:val="0"/>
        <w:spacing w:line="400" w:lineRule="exact"/>
        <w:ind w:left="1850" w:leftChars="771" w:firstLine="0"/>
        <w:rPr>
          <w:rFonts w:ascii="仿宋" w:hAnsi="仿宋" w:eastAsia="仿宋"/>
          <w:lang w:eastAsia="zh-CN"/>
        </w:rPr>
      </w:pPr>
      <w:r>
        <w:rPr>
          <w:rFonts w:hint="eastAsia" w:ascii="仿宋" w:hAnsi="仿宋" w:eastAsia="仿宋" w:cs="仿宋"/>
          <w:lang w:eastAsia="zh-CN"/>
        </w:rPr>
        <w:t>（3）工程材料和工程设备的品种、规格、型号、质量标准与一览表不符，经发包人同意，承包人可代为调剂替换，由发包人承担相应费用；</w:t>
      </w:r>
    </w:p>
    <w:p w14:paraId="6535CD34">
      <w:pPr>
        <w:pStyle w:val="12"/>
        <w:adjustRightInd w:val="0"/>
        <w:snapToGrid w:val="0"/>
        <w:spacing w:line="400" w:lineRule="exact"/>
        <w:ind w:left="1850" w:leftChars="771" w:firstLine="0"/>
        <w:rPr>
          <w:rFonts w:ascii="仿宋" w:hAnsi="仿宋" w:eastAsia="仿宋"/>
          <w:lang w:eastAsia="zh-CN"/>
        </w:rPr>
      </w:pPr>
      <w:r>
        <w:rPr>
          <w:rFonts w:hint="eastAsia" w:ascii="仿宋" w:hAnsi="仿宋" w:eastAsia="仿宋" w:cs="仿宋"/>
          <w:lang w:eastAsia="zh-CN"/>
        </w:rPr>
        <w:t>（4）交货地点与一览表不符，除合同双方当事人协商确定外，由发包人重新运至一览表指定地点，并承担由此增加的费用和（或）延误的工期；</w:t>
      </w:r>
    </w:p>
    <w:p w14:paraId="1A60B5C4">
      <w:pPr>
        <w:pStyle w:val="12"/>
        <w:adjustRightInd w:val="0"/>
        <w:snapToGrid w:val="0"/>
        <w:spacing w:line="400" w:lineRule="exact"/>
        <w:ind w:left="1850" w:leftChars="771" w:firstLine="0"/>
        <w:rPr>
          <w:rFonts w:ascii="仿宋" w:hAnsi="仿宋" w:eastAsia="仿宋"/>
          <w:lang w:eastAsia="zh-CN"/>
        </w:rPr>
      </w:pPr>
      <w:r>
        <w:rPr>
          <w:rFonts w:hint="eastAsia" w:ascii="仿宋" w:hAnsi="仿宋" w:eastAsia="仿宋" w:cs="仿宋"/>
          <w:lang w:eastAsia="zh-CN"/>
        </w:rPr>
        <w:t>（5）供应数量少于一览表约定的数量时，由发包人补齐；多于一览表约定的数量时，发包人应将多出的部分运出施工场地；</w:t>
      </w:r>
    </w:p>
    <w:p w14:paraId="24173CBD">
      <w:pPr>
        <w:pStyle w:val="12"/>
        <w:adjustRightInd w:val="0"/>
        <w:snapToGrid w:val="0"/>
        <w:spacing w:line="400" w:lineRule="exact"/>
        <w:ind w:left="1850" w:leftChars="771" w:firstLine="0"/>
        <w:rPr>
          <w:rFonts w:ascii="仿宋" w:hAnsi="仿宋" w:eastAsia="仿宋"/>
          <w:lang w:eastAsia="zh-CN"/>
        </w:rPr>
      </w:pPr>
      <w:r>
        <w:rPr>
          <w:rFonts w:hint="eastAsia" w:ascii="仿宋" w:hAnsi="仿宋" w:eastAsia="仿宋" w:cs="仿宋"/>
          <w:lang w:eastAsia="zh-CN"/>
        </w:rPr>
        <w:t>（6）交货时间早于一览表约定计划和第55</w:t>
      </w:r>
      <w:r>
        <w:rPr>
          <w:rFonts w:ascii="仿宋" w:hAnsi="仿宋" w:eastAsia="仿宋" w:cs="仿宋"/>
          <w:lang w:eastAsia="zh-CN"/>
        </w:rPr>
        <w:t>.2</w:t>
      </w:r>
      <w:r>
        <w:rPr>
          <w:rFonts w:hint="eastAsia" w:ascii="仿宋" w:hAnsi="仿宋" w:eastAsia="仿宋" w:cs="仿宋"/>
          <w:lang w:eastAsia="zh-CN"/>
        </w:rPr>
        <w:t>款交货日期，由发包人承担由此发生的保管费；交货时间迟于一览表约定计划和第55</w:t>
      </w:r>
      <w:r>
        <w:rPr>
          <w:rFonts w:ascii="仿宋" w:hAnsi="仿宋" w:eastAsia="仿宋" w:cs="仿宋"/>
          <w:lang w:eastAsia="zh-CN"/>
        </w:rPr>
        <w:t>.2</w:t>
      </w:r>
      <w:r>
        <w:rPr>
          <w:rFonts w:hint="eastAsia" w:ascii="仿宋" w:hAnsi="仿宋" w:eastAsia="仿宋" w:cs="仿宋"/>
          <w:lang w:eastAsia="zh-CN"/>
        </w:rPr>
        <w:t>款交货日期，由发包人承担由此增加的费用和（或）延误的工期。</w:t>
      </w:r>
    </w:p>
    <w:p w14:paraId="1FE8CB57">
      <w:pPr>
        <w:pStyle w:val="12"/>
        <w:tabs>
          <w:tab w:val="left" w:pos="720"/>
          <w:tab w:val="left" w:pos="1080"/>
        </w:tabs>
        <w:adjustRightInd w:val="0"/>
        <w:snapToGrid w:val="0"/>
        <w:spacing w:line="400" w:lineRule="exact"/>
        <w:ind w:firstLine="0"/>
        <w:rPr>
          <w:rFonts w:ascii="仿宋" w:hAnsi="仿宋" w:eastAsia="仿宋"/>
          <w:b/>
          <w:bCs/>
          <w:lang w:eastAsia="zh-CN"/>
        </w:rPr>
      </w:pPr>
      <w:bookmarkStart w:id="450" w:name="_Toc21810"/>
      <w:r>
        <w:rPr>
          <w:rFonts w:hint="eastAsia" w:ascii="仿宋" w:hAnsi="仿宋" w:eastAsia="仿宋" w:cs="仿宋"/>
          <w:b/>
          <w:bCs/>
          <w:lang w:eastAsia="zh-CN"/>
        </w:rPr>
        <w:t>55</w:t>
      </w:r>
      <w:r>
        <w:rPr>
          <w:rFonts w:ascii="仿宋" w:hAnsi="仿宋" w:eastAsia="仿宋" w:cs="仿宋"/>
          <w:b/>
          <w:bCs/>
          <w:lang w:eastAsia="zh-CN"/>
        </w:rPr>
        <w:t>.7</w:t>
      </w:r>
      <w:bookmarkEnd w:id="450"/>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0569E3A1">
      <w:pPr>
        <w:widowControl w:val="0"/>
        <w:adjustRightInd w:val="0"/>
        <w:snapToGrid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805696" behindDoc="0" locked="0" layoutInCell="1" allowOverlap="1">
                <wp:simplePos x="0" y="0"/>
                <wp:positionH relativeFrom="column">
                  <wp:posOffset>-114300</wp:posOffset>
                </wp:positionH>
                <wp:positionV relativeFrom="paragraph">
                  <wp:posOffset>17145</wp:posOffset>
                </wp:positionV>
                <wp:extent cx="832485" cy="679450"/>
                <wp:effectExtent l="0" t="0" r="0" b="0"/>
                <wp:wrapNone/>
                <wp:docPr id="236" name="文本框 886"/>
                <wp:cNvGraphicFramePr/>
                <a:graphic xmlns:a="http://schemas.openxmlformats.org/drawingml/2006/main">
                  <a:graphicData uri="http://schemas.microsoft.com/office/word/2010/wordprocessingShape">
                    <wps:wsp>
                      <wps:cNvSpPr txBox="1"/>
                      <wps:spPr>
                        <a:xfrm>
                          <a:off x="0" y="0"/>
                          <a:ext cx="832485" cy="679450"/>
                        </a:xfrm>
                        <a:prstGeom prst="rect">
                          <a:avLst/>
                        </a:prstGeom>
                        <a:noFill/>
                        <a:ln w="12700">
                          <a:noFill/>
                        </a:ln>
                      </wps:spPr>
                      <wps:txbx>
                        <w:txbxContent>
                          <w:p w14:paraId="599ACF23">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供应材料和工程设备使用前的检验</w:t>
                            </w:r>
                          </w:p>
                        </w:txbxContent>
                      </wps:txbx>
                      <wps:bodyPr rot="0" vert="horz" wrap="square" lIns="91440" tIns="45720" rIns="91440" bIns="45720" anchor="t" anchorCtr="0"/>
                    </wps:wsp>
                  </a:graphicData>
                </a:graphic>
              </wp:anchor>
            </w:drawing>
          </mc:Choice>
          <mc:Fallback>
            <w:pict>
              <v:shape id="文本框 886" o:spid="_x0000_s1026" o:spt="202" type="#_x0000_t202" style="position:absolute;left:0pt;margin-left:-9pt;margin-top:1.35pt;height:53.5pt;width:65.55pt;z-index:251805696;mso-width-relative:page;mso-height-relative:page;" filled="f" stroked="f" coordsize="21600,21600" o:gfxdata="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N1rA6rYAAAACQEAAA8AAAAAAAAAAQAgAAAAIgAAAGRycy9kb3ducmV2LnhtbFBLAQIUABQAAAAI&#10;AIdO4kCmU3zn7QEAAL4DAAAOAAAAAAAAAAEAIAAAACcBAABkcnMvZTJvRG9jLnhtbFBLBQYAAAAA&#10;BgAGAFkBAACGBQAAAAA=&#10;">
                <v:fill on="f" focussize="0,0"/>
                <v:stroke on="f" weight="1pt"/>
                <v:imagedata o:title=""/>
                <o:lock v:ext="edit" aspectratio="f"/>
                <v:textbox>
                  <w:txbxContent>
                    <w:p w14:paraId="599ACF23">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供应材料和工程设备使用前的检验</w:t>
                      </w:r>
                    </w:p>
                  </w:txbxContent>
                </v:textbox>
              </v:shape>
            </w:pict>
          </mc:Fallback>
        </mc:AlternateContent>
      </w:r>
      <w:r>
        <w:rPr>
          <w:rFonts w:hint="eastAsia" w:ascii="仿宋" w:hAnsi="仿宋" w:eastAsia="仿宋" w:cs="仿宋"/>
          <w:lang w:eastAsia="zh-CN"/>
        </w:rPr>
        <w:t>发包人供应的工程材料和工程设备使用前，由监理人会同承包人进行检验试验，查验工程材料合格证明和产品合格证书。合同双方当事人应做好检验书面记录，并要求指定人选及时办理签认手续。不合格的，禁止在合同工程中使用。</w:t>
      </w:r>
    </w:p>
    <w:p w14:paraId="5AD7B2FE">
      <w:pPr>
        <w:pStyle w:val="12"/>
        <w:tabs>
          <w:tab w:val="left" w:pos="720"/>
          <w:tab w:val="left" w:pos="1080"/>
        </w:tabs>
        <w:adjustRightInd w:val="0"/>
        <w:snapToGrid w:val="0"/>
        <w:spacing w:line="400" w:lineRule="exact"/>
        <w:ind w:firstLine="0"/>
        <w:rPr>
          <w:rFonts w:ascii="仿宋" w:hAnsi="仿宋" w:eastAsia="仿宋"/>
          <w:b/>
          <w:bCs/>
          <w:lang w:eastAsia="zh-CN"/>
        </w:rPr>
      </w:pPr>
      <w:bookmarkStart w:id="451" w:name="_Toc7626"/>
      <w:r>
        <w:rPr>
          <w:rFonts w:hint="eastAsia" w:ascii="仿宋" w:hAnsi="仿宋" w:eastAsia="仿宋" w:cs="仿宋"/>
          <w:b/>
          <w:bCs/>
          <w:lang w:eastAsia="zh-CN"/>
        </w:rPr>
        <w:t>55</w:t>
      </w:r>
      <w:r>
        <w:rPr>
          <w:rFonts w:ascii="仿宋" w:hAnsi="仿宋" w:eastAsia="仿宋" w:cs="仿宋"/>
          <w:b/>
          <w:bCs/>
          <w:lang w:eastAsia="zh-CN"/>
        </w:rPr>
        <w:t>.8</w:t>
      </w:r>
      <w:bookmarkEnd w:id="451"/>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1C830590">
      <w:pPr>
        <w:widowControl w:val="0"/>
        <w:adjustRightInd w:val="0"/>
        <w:snapToGrid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806720" behindDoc="0" locked="0" layoutInCell="1" allowOverlap="1">
                <wp:simplePos x="0" y="0"/>
                <wp:positionH relativeFrom="column">
                  <wp:posOffset>-114300</wp:posOffset>
                </wp:positionH>
                <wp:positionV relativeFrom="paragraph">
                  <wp:posOffset>7620</wp:posOffset>
                </wp:positionV>
                <wp:extent cx="828040" cy="491490"/>
                <wp:effectExtent l="0" t="0" r="0" b="0"/>
                <wp:wrapNone/>
                <wp:docPr id="237" name="文本框 887"/>
                <wp:cNvGraphicFramePr/>
                <a:graphic xmlns:a="http://schemas.openxmlformats.org/drawingml/2006/main">
                  <a:graphicData uri="http://schemas.microsoft.com/office/word/2010/wordprocessingShape">
                    <wps:wsp>
                      <wps:cNvSpPr txBox="1"/>
                      <wps:spPr>
                        <a:xfrm>
                          <a:off x="0" y="0"/>
                          <a:ext cx="828040" cy="491490"/>
                        </a:xfrm>
                        <a:prstGeom prst="rect">
                          <a:avLst/>
                        </a:prstGeom>
                        <a:noFill/>
                        <a:ln w="12700">
                          <a:noFill/>
                        </a:ln>
                      </wps:spPr>
                      <wps:txbx>
                        <w:txbxContent>
                          <w:p w14:paraId="773CBADF">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txbxContent>
                      </wps:txbx>
                      <wps:bodyPr rot="0" vert="horz" wrap="square" lIns="91440" tIns="45720" rIns="91440" bIns="45720" anchor="t" anchorCtr="0"/>
                    </wps:wsp>
                  </a:graphicData>
                </a:graphic>
              </wp:anchor>
            </w:drawing>
          </mc:Choice>
          <mc:Fallback>
            <w:pict>
              <v:shape id="文本框 887" o:spid="_x0000_s1026" o:spt="202" type="#_x0000_t202" style="position:absolute;left:0pt;margin-left:-9pt;margin-top:0.6pt;height:38.7pt;width:65.2pt;z-index:251806720;mso-width-relative:page;mso-height-relative:page;" filled="f" stroked="f" coordsize="21600,21600" o:gfxdata="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cBvzR&#10;1gAAAAgBAAAPAAAAAAAAAAEAIAAAACIAAABkcnMvZG93bnJldi54bWxQSwECFAAUAAAACACHTuJA&#10;l+hVH+oBAAC+AwAADgAAAAAAAAABACAAAAAlAQAAZHJzL2Uyb0RvYy54bWxQSwUGAAAAAAYABgBZ&#10;AQAAgQUAAAAA&#10;">
                <v:fill on="f" focussize="0,0"/>
                <v:stroke on="f" weight="1pt"/>
                <v:imagedata o:title=""/>
                <o:lock v:ext="edit" aspectratio="f"/>
                <v:textbox>
                  <w:txbxContent>
                    <w:p w14:paraId="773CBADF">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txbxContent>
                </v:textbox>
              </v:shape>
            </w:pict>
          </mc:Fallback>
        </mc:AlternateContent>
      </w:r>
      <w:r>
        <w:rPr>
          <w:rFonts w:hint="eastAsia" w:ascii="仿宋" w:hAnsi="仿宋" w:eastAsia="仿宋" w:cs="仿宋"/>
          <w:lang w:eastAsia="zh-CN"/>
        </w:rPr>
        <w:t>发包人供应工程材料和工程设备的结算方式，由合同双方当事人在专用条款中约定。除工程量清单中已列有税金项目的计算方法和额度，可由承包人代收代缴外，均由发包人按照政府有关部门和税务部门规定缴纳税金。</w:t>
      </w:r>
    </w:p>
    <w:p w14:paraId="0E3EE4D3">
      <w:pPr>
        <w:pStyle w:val="12"/>
        <w:adjustRightInd w:val="0"/>
        <w:snapToGrid w:val="0"/>
        <w:spacing w:line="400" w:lineRule="exact"/>
        <w:ind w:firstLine="0"/>
        <w:rPr>
          <w:rFonts w:ascii="仿宋" w:hAnsi="仿宋" w:eastAsia="仿宋" w:cs="仿宋"/>
          <w:b/>
          <w:bCs/>
          <w:u w:val="single"/>
          <w:lang w:eastAsia="zh-CN"/>
        </w:rPr>
      </w:pPr>
      <w:r>
        <w:rPr>
          <w:rFonts w:ascii="仿宋" w:hAnsi="仿宋" w:eastAsia="仿宋" w:cs="仿宋"/>
          <w:b/>
          <w:bCs/>
          <w:u w:val="single"/>
          <w:lang w:eastAsia="zh-CN"/>
        </w:rPr>
        <w:t xml:space="preserve">                                                                                     </w:t>
      </w:r>
    </w:p>
    <w:p w14:paraId="460D6200">
      <w:pPr>
        <w:pStyle w:val="4"/>
        <w:tabs>
          <w:tab w:val="left" w:pos="360"/>
          <w:tab w:val="left" w:pos="420"/>
        </w:tabs>
        <w:spacing w:before="0" w:after="0" w:line="400" w:lineRule="exact"/>
        <w:rPr>
          <w:rFonts w:ascii="仿宋" w:hAnsi="仿宋" w:eastAsia="仿宋" w:cs="仿宋"/>
          <w:bCs w:val="0"/>
          <w:sz w:val="24"/>
          <w:szCs w:val="24"/>
          <w:lang w:eastAsia="zh-CN"/>
        </w:rPr>
      </w:pPr>
      <w:bookmarkStart w:id="452" w:name="_Toc194073166"/>
      <w:bookmarkStart w:id="453" w:name="_Toc6753"/>
      <w:bookmarkStart w:id="454" w:name="_Toc17966"/>
      <w:bookmarkStart w:id="455" w:name="_Toc6385"/>
      <w:r>
        <w:rPr>
          <w:rFonts w:hint="eastAsia" w:ascii="仿宋" w:hAnsi="仿宋" w:eastAsia="仿宋" w:cs="仿宋"/>
          <w:bCs w:val="0"/>
          <w:sz w:val="24"/>
          <w:szCs w:val="24"/>
          <w:lang w:eastAsia="zh-CN"/>
        </w:rPr>
        <w:t>56</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 xml:space="preserve"> 承包人购置设备及工器具、采购工程材料和工程设备</w:t>
      </w:r>
      <w:bookmarkEnd w:id="452"/>
      <w:bookmarkEnd w:id="453"/>
      <w:bookmarkEnd w:id="454"/>
      <w:bookmarkEnd w:id="455"/>
    </w:p>
    <w:p w14:paraId="106EECD6">
      <w:pPr>
        <w:spacing w:line="400" w:lineRule="exact"/>
        <w:rPr>
          <w:rFonts w:ascii="仿宋" w:hAnsi="仿宋" w:eastAsia="仿宋"/>
          <w:b/>
          <w:bCs/>
          <w:lang w:eastAsia="zh-CN"/>
        </w:rPr>
      </w:pPr>
      <w:bookmarkStart w:id="456" w:name="_Toc6410"/>
      <w:r>
        <w:rPr>
          <w:rFonts w:hint="eastAsia" w:ascii="仿宋" w:hAnsi="仿宋" w:eastAsia="仿宋" w:cs="仿宋"/>
          <w:b/>
          <w:bCs/>
        </w:rPr>
        <mc:AlternateContent>
          <mc:Choice Requires="wps">
            <w:drawing>
              <wp:anchor distT="0" distB="0" distL="114300" distR="114300" simplePos="0" relativeHeight="252037120" behindDoc="0" locked="0" layoutInCell="1" allowOverlap="1">
                <wp:simplePos x="0" y="0"/>
                <wp:positionH relativeFrom="column">
                  <wp:posOffset>-95250</wp:posOffset>
                </wp:positionH>
                <wp:positionV relativeFrom="paragraph">
                  <wp:posOffset>234950</wp:posOffset>
                </wp:positionV>
                <wp:extent cx="813435" cy="616585"/>
                <wp:effectExtent l="0" t="0" r="0" b="0"/>
                <wp:wrapNone/>
                <wp:docPr id="238" name="文本框 424"/>
                <wp:cNvGraphicFramePr/>
                <a:graphic xmlns:a="http://schemas.openxmlformats.org/drawingml/2006/main">
                  <a:graphicData uri="http://schemas.microsoft.com/office/word/2010/wordprocessingShape">
                    <wps:wsp>
                      <wps:cNvSpPr txBox="1"/>
                      <wps:spPr>
                        <a:xfrm>
                          <a:off x="0" y="0"/>
                          <a:ext cx="813435" cy="616585"/>
                        </a:xfrm>
                        <a:prstGeom prst="rect">
                          <a:avLst/>
                        </a:prstGeom>
                        <a:noFill/>
                        <a:ln w="12700">
                          <a:noFill/>
                        </a:ln>
                      </wps:spPr>
                      <wps:txbx>
                        <w:txbxContent>
                          <w:p w14:paraId="37FDCC7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承包人购置设备及工器具</w:t>
                            </w:r>
                          </w:p>
                        </w:txbxContent>
                      </wps:txbx>
                      <wps:bodyPr rot="0" vert="horz" wrap="square" lIns="91440" tIns="45720" rIns="91440" bIns="45720" anchor="t" anchorCtr="0"/>
                    </wps:wsp>
                  </a:graphicData>
                </a:graphic>
              </wp:anchor>
            </w:drawing>
          </mc:Choice>
          <mc:Fallback>
            <w:pict>
              <v:shape id="文本框 424" o:spid="_x0000_s1026" o:spt="202" type="#_x0000_t202" style="position:absolute;left:0pt;margin-left:-7.5pt;margin-top:18.5pt;height:48.55pt;width:64.05pt;z-index:252037120;mso-width-relative:page;mso-height-relative:page;" filled="f" stroked="f" coordsize="21600,21600" o:gfxdata="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3Z+ng9gAAAAKAQAADwAAAAAAAAABACAAAAAiAAAAZHJzL2Rvd25yZXYueG1sUEsBAhQAFAAAAAgA&#10;h07iQDsNAtLsAQAAvgMAAA4AAAAAAAAAAQAgAAAAJwEAAGRycy9lMm9Eb2MueG1sUEsFBgAAAAAG&#10;AAYAWQEAAIUFAAAAAA==&#10;">
                <v:fill on="f" focussize="0,0"/>
                <v:stroke on="f" weight="1pt"/>
                <v:imagedata o:title=""/>
                <o:lock v:ext="edit" aspectratio="f"/>
                <v:textbox>
                  <w:txbxContent>
                    <w:p w14:paraId="37FDCC7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承包人购置设备及工器具</w:t>
                      </w:r>
                    </w:p>
                  </w:txbxContent>
                </v:textbox>
              </v:shape>
            </w:pict>
          </mc:Fallback>
        </mc:AlternateContent>
      </w:r>
      <w:r>
        <w:rPr>
          <w:rFonts w:hint="eastAsia" w:ascii="仿宋" w:hAnsi="仿宋" w:eastAsia="仿宋" w:cs="仿宋"/>
          <w:b/>
          <w:bCs/>
          <w:lang w:eastAsia="zh-CN"/>
        </w:rPr>
        <w:t>56.1</w:t>
      </w:r>
      <w:bookmarkEnd w:id="456"/>
    </w:p>
    <w:p w14:paraId="225FFA20">
      <w:pPr>
        <w:widowControl w:val="0"/>
        <w:adjustRightInd w:val="0"/>
        <w:snapToGrid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发包人委托承包人购置发包人组织生产或运营所需的设备及工器具，其购置工程量清单、具体内容和购置要求由合同双方在协议书及专用条款中约定。</w:t>
      </w:r>
    </w:p>
    <w:p w14:paraId="33AA6C16">
      <w:pPr>
        <w:spacing w:line="400" w:lineRule="exact"/>
        <w:rPr>
          <w:rFonts w:ascii="仿宋" w:hAnsi="仿宋" w:eastAsia="仿宋" w:cs="仿宋"/>
          <w:b/>
          <w:bCs/>
          <w:lang w:eastAsia="zh-CN"/>
        </w:rPr>
      </w:pPr>
      <w:r>
        <w:rPr>
          <w:rFonts w:hint="eastAsia" w:ascii="仿宋" w:hAnsi="仿宋" w:eastAsia="仿宋" w:cs="仿宋"/>
          <w:b/>
          <w:bCs/>
          <w:lang w:eastAsia="zh-CN"/>
        </w:rPr>
        <w:t>56</w:t>
      </w:r>
      <w:r>
        <w:rPr>
          <w:rFonts w:ascii="仿宋" w:hAnsi="仿宋" w:eastAsia="仿宋" w:cs="仿宋"/>
          <w:b/>
          <w:bCs/>
          <w:lang w:eastAsia="zh-CN"/>
        </w:rPr>
        <w:t>.</w:t>
      </w:r>
      <w:r>
        <w:rPr>
          <w:rFonts w:hint="eastAsia" w:ascii="仿宋" w:hAnsi="仿宋" w:eastAsia="仿宋" w:cs="仿宋"/>
          <w:b/>
          <w:bCs/>
          <w:lang w:eastAsia="zh-CN"/>
        </w:rPr>
        <w:t>2</w:t>
      </w:r>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501D7D68">
      <w:pPr>
        <w:widowControl w:val="0"/>
        <w:adjustRightInd w:val="0"/>
        <w:snapToGrid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807744" behindDoc="0" locked="0" layoutInCell="1" allowOverlap="1">
                <wp:simplePos x="0" y="0"/>
                <wp:positionH relativeFrom="column">
                  <wp:posOffset>-114300</wp:posOffset>
                </wp:positionH>
                <wp:positionV relativeFrom="paragraph">
                  <wp:posOffset>17145</wp:posOffset>
                </wp:positionV>
                <wp:extent cx="775970" cy="467360"/>
                <wp:effectExtent l="0" t="0" r="0" b="0"/>
                <wp:wrapNone/>
                <wp:docPr id="239" name="文本框 888"/>
                <wp:cNvGraphicFramePr/>
                <a:graphic xmlns:a="http://schemas.openxmlformats.org/drawingml/2006/main">
                  <a:graphicData uri="http://schemas.microsoft.com/office/word/2010/wordprocessingShape">
                    <wps:wsp>
                      <wps:cNvSpPr txBox="1"/>
                      <wps:spPr>
                        <a:xfrm>
                          <a:off x="0" y="0"/>
                          <a:ext cx="775970" cy="467360"/>
                        </a:xfrm>
                        <a:prstGeom prst="rect">
                          <a:avLst/>
                        </a:prstGeom>
                        <a:noFill/>
                        <a:ln w="12700">
                          <a:noFill/>
                        </a:ln>
                      </wps:spPr>
                      <wps:txbx>
                        <w:txbxContent>
                          <w:p w14:paraId="33EFAF03">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w:t>
                            </w:r>
                          </w:p>
                        </w:txbxContent>
                      </wps:txbx>
                      <wps:bodyPr rot="0" vert="horz" wrap="square" lIns="91440" tIns="45720" rIns="91440" bIns="45720" anchor="t" anchorCtr="0"/>
                    </wps:wsp>
                  </a:graphicData>
                </a:graphic>
              </wp:anchor>
            </w:drawing>
          </mc:Choice>
          <mc:Fallback>
            <w:pict>
              <v:shape id="文本框 888" o:spid="_x0000_s1026" o:spt="202" type="#_x0000_t202" style="position:absolute;left:0pt;margin-left:-9pt;margin-top:1.35pt;height:36.8pt;width:61.1pt;z-index:251807744;mso-width-relative:page;mso-height-relative:page;" filled="f" stroked="f" coordsize="21600,21600" o:gfxdata="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O&#10;+S3b1wAAAAgBAAAPAAAAAAAAAAEAIAAAACIAAABkcnMvZG93bnJldi54bWxQSwECFAAUAAAACACH&#10;TuJAiEGSBuwBAAC+AwAADgAAAAAAAAABACAAAAAmAQAAZHJzL2Uyb0RvYy54bWxQSwUGAAAAAAYA&#10;BgBZAQAAhAUAAAAA&#10;">
                <v:fill on="f" focussize="0,0"/>
                <v:stroke on="f" weight="1pt"/>
                <v:imagedata o:title=""/>
                <o:lock v:ext="edit" aspectratio="f"/>
                <v:textbox>
                  <w:txbxContent>
                    <w:p w14:paraId="33EFAF03">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w:t>
                      </w:r>
                    </w:p>
                  </w:txbxContent>
                </v:textbox>
              </v:shape>
            </w:pict>
          </mc:Fallback>
        </mc:AlternateContent>
      </w:r>
      <w:r>
        <w:rPr>
          <w:rFonts w:hint="eastAsia" w:ascii="仿宋" w:hAnsi="仿宋" w:eastAsia="仿宋" w:cs="仿宋"/>
          <w:lang w:eastAsia="zh-CN"/>
        </w:rPr>
        <w:t>承包人负责采购工程材料和工程设备，应按照合同约定的标准与规范、施工图所示和发包人技术要求采购，并提供产品质量合格证明文件，对工程材料和工程设备质量负责。承包人采购的工程材料和工程设备，应与其提交的投标文件相应内容一致。承揽政府投资工程的承包人，可通过“广州市集中采购管理服务综合平台”采购工程使用的主要建材（钢筋、水泥、混凝土、装配式构件、预拌砂浆等），具体要求由双方在专用条款中约定。除专用条款另有约定外，上述工程材料和工程设备均由承包人负责运输和保管。</w:t>
      </w:r>
    </w:p>
    <w:p w14:paraId="49D6367C">
      <w:pPr>
        <w:spacing w:line="400" w:lineRule="exact"/>
        <w:rPr>
          <w:rFonts w:ascii="仿宋" w:hAnsi="仿宋" w:eastAsia="仿宋"/>
          <w:b/>
          <w:bCs/>
          <w:lang w:eastAsia="zh-CN"/>
        </w:rPr>
      </w:pPr>
      <w:bookmarkStart w:id="457" w:name="_Toc6817"/>
      <w:r>
        <w:rPr>
          <w:rFonts w:hint="eastAsia" w:ascii="仿宋" w:hAnsi="仿宋" w:eastAsia="仿宋" w:cs="仿宋"/>
          <w:b/>
          <w:bCs/>
          <w:lang w:eastAsia="zh-CN"/>
        </w:rPr>
        <w:t>56</w:t>
      </w:r>
      <w:r>
        <w:rPr>
          <w:rFonts w:ascii="仿宋" w:hAnsi="仿宋" w:eastAsia="仿宋" w:cs="仿宋"/>
          <w:b/>
          <w:bCs/>
          <w:lang w:eastAsia="zh-CN"/>
        </w:rPr>
        <w:t>.</w:t>
      </w:r>
      <w:r>
        <w:rPr>
          <w:rFonts w:hint="eastAsia" w:ascii="仿宋" w:hAnsi="仿宋" w:eastAsia="仿宋" w:cs="仿宋"/>
          <w:b/>
          <w:bCs/>
          <w:lang w:eastAsia="zh-CN"/>
        </w:rPr>
        <w:t>3</w:t>
      </w:r>
      <w:bookmarkEnd w:id="457"/>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5CF91EDA">
      <w:pPr>
        <w:widowControl w:val="0"/>
        <w:adjustRightInd w:val="0"/>
        <w:snapToGrid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808768" behindDoc="0" locked="0" layoutInCell="1" allowOverlap="1">
                <wp:simplePos x="0" y="0"/>
                <wp:positionH relativeFrom="column">
                  <wp:posOffset>-114300</wp:posOffset>
                </wp:positionH>
                <wp:positionV relativeFrom="paragraph">
                  <wp:posOffset>17145</wp:posOffset>
                </wp:positionV>
                <wp:extent cx="765810" cy="581660"/>
                <wp:effectExtent l="0" t="0" r="0" b="0"/>
                <wp:wrapNone/>
                <wp:docPr id="240" name="文本框 889"/>
                <wp:cNvGraphicFramePr/>
                <a:graphic xmlns:a="http://schemas.openxmlformats.org/drawingml/2006/main">
                  <a:graphicData uri="http://schemas.microsoft.com/office/word/2010/wordprocessingShape">
                    <wps:wsp>
                      <wps:cNvSpPr txBox="1"/>
                      <wps:spPr>
                        <a:xfrm>
                          <a:off x="0" y="0"/>
                          <a:ext cx="765810" cy="581660"/>
                        </a:xfrm>
                        <a:prstGeom prst="rect">
                          <a:avLst/>
                        </a:prstGeom>
                        <a:noFill/>
                        <a:ln w="12700">
                          <a:noFill/>
                        </a:ln>
                      </wps:spPr>
                      <wps:txbx>
                        <w:txbxContent>
                          <w:p w14:paraId="0EC626D4">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txbxContent>
                      </wps:txbx>
                      <wps:bodyPr rot="0" vert="horz" wrap="square" lIns="91440" tIns="45720" rIns="91440" bIns="45720" anchor="t" anchorCtr="0"/>
                    </wps:wsp>
                  </a:graphicData>
                </a:graphic>
              </wp:anchor>
            </w:drawing>
          </mc:Choice>
          <mc:Fallback>
            <w:pict>
              <v:shape id="文本框 889" o:spid="_x0000_s1026" o:spt="202" type="#_x0000_t202" style="position:absolute;left:0pt;margin-left:-9pt;margin-top:1.35pt;height:45.8pt;width:60.3pt;z-index:251808768;mso-width-relative:page;mso-height-relative:page;" filled="f" stroked="f" coordsize="21600,21600" o:gfxdata="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OebR&#10;ptcAAAAIAQAADwAAAAAAAAABACAAAAAiAAAAZHJzL2Rvd25yZXYueG1sUEsBAhQAFAAAAAgAh07i&#10;QEkAvavqAQAAvgMAAA4AAAAAAAAAAQAgAAAAJgEAAGRycy9lMm9Eb2MueG1sUEsFBgAAAAAGAAYA&#10;WQEAAIIFAAAAAA==&#10;">
                <v:fill on="f" focussize="0,0"/>
                <v:stroke on="f" weight="1pt"/>
                <v:imagedata o:title=""/>
                <o:lock v:ext="edit" aspectratio="f"/>
                <v:textbox>
                  <w:txbxContent>
                    <w:p w14:paraId="0EC626D4">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txbxContent>
                </v:textbox>
              </v:shape>
            </w:pict>
          </mc:Fallback>
        </mc:AlternateContent>
      </w:r>
      <w:r>
        <w:rPr>
          <w:rFonts w:hint="eastAsia" w:ascii="仿宋" w:hAnsi="仿宋" w:eastAsia="仿宋" w:cs="仿宋"/>
          <w:lang w:eastAsia="zh-CN"/>
        </w:rPr>
        <w:t>承包人应按照专用条款的约定，将各项工程材料和工程设备的供货人及品种、规格、数量和供货时间等情况以书面形式提交监理人确认，并由其报发包人批准后实施供货。承包人应在工程材料和工程设备到货前至少提前</w:t>
      </w:r>
      <w:r>
        <w:rPr>
          <w:rFonts w:ascii="仿宋" w:hAnsi="仿宋" w:eastAsia="仿宋" w:cs="仿宋"/>
          <w:lang w:eastAsia="zh-CN"/>
        </w:rPr>
        <w:t>24</w:t>
      </w:r>
      <w:r>
        <w:rPr>
          <w:rFonts w:hint="eastAsia" w:ascii="仿宋" w:hAnsi="仿宋" w:eastAsia="仿宋" w:cs="仿宋"/>
          <w:lang w:eastAsia="zh-CN"/>
        </w:rPr>
        <w:t>小时，以书面形式通知发包人和监理人，并在监理人的见证下与发包人共同清点。</w:t>
      </w:r>
    </w:p>
    <w:p w14:paraId="5390B3F9">
      <w:pPr>
        <w:spacing w:line="400" w:lineRule="exact"/>
        <w:rPr>
          <w:rFonts w:ascii="仿宋" w:hAnsi="仿宋" w:eastAsia="仿宋"/>
          <w:b/>
          <w:bCs/>
          <w:lang w:eastAsia="zh-CN"/>
        </w:rPr>
      </w:pPr>
      <w:bookmarkStart w:id="458" w:name="_Toc19602"/>
      <w:r>
        <w:rPr>
          <w:rFonts w:hint="eastAsia" w:ascii="仿宋" w:hAnsi="仿宋" w:eastAsia="仿宋" w:cs="仿宋"/>
          <w:b/>
          <w:bCs/>
          <w:lang w:eastAsia="zh-CN"/>
        </w:rPr>
        <w:t>56</w:t>
      </w:r>
      <w:r>
        <w:rPr>
          <w:rFonts w:ascii="仿宋" w:hAnsi="仿宋" w:eastAsia="仿宋" w:cs="仿宋"/>
          <w:b/>
          <w:bCs/>
          <w:lang w:eastAsia="zh-CN"/>
        </w:rPr>
        <w:t>.</w:t>
      </w:r>
      <w:r>
        <w:rPr>
          <w:rFonts w:hint="eastAsia" w:ascii="仿宋" w:hAnsi="仿宋" w:eastAsia="仿宋" w:cs="仿宋"/>
          <w:b/>
          <w:bCs/>
          <w:lang w:eastAsia="zh-CN"/>
        </w:rPr>
        <w:t>4</w:t>
      </w:r>
      <w:bookmarkEnd w:id="458"/>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1E9CD1C8">
      <w:pPr>
        <w:widowControl w:val="0"/>
        <w:adjustRightInd w:val="0"/>
        <w:snapToGrid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809792" behindDoc="0" locked="0" layoutInCell="1" allowOverlap="1">
                <wp:simplePos x="0" y="0"/>
                <wp:positionH relativeFrom="column">
                  <wp:posOffset>-114300</wp:posOffset>
                </wp:positionH>
                <wp:positionV relativeFrom="paragraph">
                  <wp:posOffset>1270</wp:posOffset>
                </wp:positionV>
                <wp:extent cx="823595" cy="641350"/>
                <wp:effectExtent l="0" t="0" r="0" b="0"/>
                <wp:wrapNone/>
                <wp:docPr id="241" name="文本框 890"/>
                <wp:cNvGraphicFramePr/>
                <a:graphic xmlns:a="http://schemas.openxmlformats.org/drawingml/2006/main">
                  <a:graphicData uri="http://schemas.microsoft.com/office/word/2010/wordprocessingShape">
                    <wps:wsp>
                      <wps:cNvSpPr txBox="1"/>
                      <wps:spPr>
                        <a:xfrm>
                          <a:off x="0" y="0"/>
                          <a:ext cx="823595" cy="641350"/>
                        </a:xfrm>
                        <a:prstGeom prst="rect">
                          <a:avLst/>
                        </a:prstGeom>
                        <a:noFill/>
                        <a:ln w="12700">
                          <a:noFill/>
                        </a:ln>
                      </wps:spPr>
                      <wps:txbx>
                        <w:txbxContent>
                          <w:p w14:paraId="3A46A78B">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承包人采购工程材料和工程设备的责任</w:t>
                            </w:r>
                          </w:p>
                        </w:txbxContent>
                      </wps:txbx>
                      <wps:bodyPr rot="0" vert="horz" wrap="square" lIns="91440" tIns="45720" rIns="91440" bIns="45720" anchor="t" anchorCtr="0"/>
                    </wps:wsp>
                  </a:graphicData>
                </a:graphic>
              </wp:anchor>
            </w:drawing>
          </mc:Choice>
          <mc:Fallback>
            <w:pict>
              <v:shape id="文本框 890" o:spid="_x0000_s1026" o:spt="202" type="#_x0000_t202" style="position:absolute;left:0pt;margin-left:-9pt;margin-top:0.1pt;height:50.5pt;width:64.85pt;z-index:251809792;mso-width-relative:page;mso-height-relative:page;" filled="f" stroked="f" coordsize="21600,21600" o:gfxdata="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JeaGs&#10;1gAAAAgBAAAPAAAAAAAAAAEAIAAAACIAAABkcnMvZG93bnJldi54bWxQSwECFAAUAAAACACHTuJA&#10;F8r5nOoBAAC+AwAADgAAAAAAAAABACAAAAAlAQAAZHJzL2Uyb0RvYy54bWxQSwUGAAAAAAYABgBZ&#10;AQAAgQUAAAAA&#10;">
                <v:fill on="f" focussize="0,0"/>
                <v:stroke on="f" weight="1pt"/>
                <v:imagedata o:title=""/>
                <o:lock v:ext="edit" aspectratio="f"/>
                <v:textbox>
                  <w:txbxContent>
                    <w:p w14:paraId="3A46A78B">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承包人采购工程材料和工程设备的责任</w:t>
                      </w:r>
                    </w:p>
                  </w:txbxContent>
                </v:textbox>
              </v:shape>
            </w:pict>
          </mc:Fallback>
        </mc:AlternateContent>
      </w:r>
      <w:r>
        <w:rPr>
          <w:rFonts w:hint="eastAsia" w:ascii="仿宋" w:hAnsi="仿宋" w:eastAsia="仿宋" w:cs="仿宋"/>
          <w:lang w:eastAsia="zh-CN"/>
        </w:rPr>
        <w:t>承包人采购的工程材料和工程设备不符合标准与规范、设计要求和合同约定的要求时，应按照监理人的指令将其运出施工场地，重新采购符合要求的产品，由此增加的费用和（或）延误的工期由承包人承担。</w:t>
      </w:r>
    </w:p>
    <w:p w14:paraId="0FB59CDF">
      <w:pPr>
        <w:spacing w:line="400" w:lineRule="exact"/>
        <w:rPr>
          <w:rFonts w:ascii="仿宋" w:hAnsi="仿宋" w:eastAsia="仿宋"/>
          <w:b/>
          <w:bCs/>
          <w:lang w:eastAsia="zh-CN"/>
        </w:rPr>
      </w:pPr>
      <w:bookmarkStart w:id="459" w:name="_Toc527"/>
      <w:r>
        <w:rPr>
          <w:rFonts w:hint="eastAsia" w:ascii="仿宋" w:hAnsi="仿宋" w:eastAsia="仿宋" w:cs="仿宋"/>
          <w:b/>
          <w:bCs/>
          <w:lang w:eastAsia="zh-CN"/>
        </w:rPr>
        <w:t>56</w:t>
      </w:r>
      <w:r>
        <w:rPr>
          <w:rFonts w:ascii="仿宋" w:hAnsi="仿宋" w:eastAsia="仿宋" w:cs="仿宋"/>
          <w:b/>
          <w:bCs/>
          <w:lang w:eastAsia="zh-CN"/>
        </w:rPr>
        <w:t>.</w:t>
      </w:r>
      <w:r>
        <w:rPr>
          <w:rFonts w:hint="eastAsia" w:ascii="仿宋" w:hAnsi="仿宋" w:eastAsia="仿宋" w:cs="仿宋"/>
          <w:b/>
          <w:bCs/>
          <w:lang w:eastAsia="zh-CN"/>
        </w:rPr>
        <w:t>5</w:t>
      </w:r>
      <w:bookmarkEnd w:id="459"/>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0CB8F18F">
      <w:pPr>
        <w:widowControl w:val="0"/>
        <w:adjustRightInd w:val="0"/>
        <w:snapToGrid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810816" behindDoc="0" locked="0" layoutInCell="1" allowOverlap="1">
                <wp:simplePos x="0" y="0"/>
                <wp:positionH relativeFrom="column">
                  <wp:posOffset>-114300</wp:posOffset>
                </wp:positionH>
                <wp:positionV relativeFrom="paragraph">
                  <wp:posOffset>-5080</wp:posOffset>
                </wp:positionV>
                <wp:extent cx="765810" cy="661035"/>
                <wp:effectExtent l="0" t="0" r="0" b="0"/>
                <wp:wrapNone/>
                <wp:docPr id="242" name="文本框 891"/>
                <wp:cNvGraphicFramePr/>
                <a:graphic xmlns:a="http://schemas.openxmlformats.org/drawingml/2006/main">
                  <a:graphicData uri="http://schemas.microsoft.com/office/word/2010/wordprocessingShape">
                    <wps:wsp>
                      <wps:cNvSpPr txBox="1"/>
                      <wps:spPr>
                        <a:xfrm>
                          <a:off x="0" y="0"/>
                          <a:ext cx="765810" cy="661035"/>
                        </a:xfrm>
                        <a:prstGeom prst="rect">
                          <a:avLst/>
                        </a:prstGeom>
                        <a:noFill/>
                        <a:ln w="12700">
                          <a:noFill/>
                        </a:ln>
                      </wps:spPr>
                      <wps:txbx>
                        <w:txbxContent>
                          <w:p w14:paraId="093BE467">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承包人使用采购的工程材料和工程设备的责任</w:t>
                            </w:r>
                          </w:p>
                        </w:txbxContent>
                      </wps:txbx>
                      <wps:bodyPr rot="0" vert="horz" wrap="square" lIns="91440" tIns="45720" rIns="91440" bIns="45720" anchor="t" anchorCtr="0"/>
                    </wps:wsp>
                  </a:graphicData>
                </a:graphic>
              </wp:anchor>
            </w:drawing>
          </mc:Choice>
          <mc:Fallback>
            <w:pict>
              <v:shape id="文本框 891" o:spid="_x0000_s1026" o:spt="202" type="#_x0000_t202" style="position:absolute;left:0pt;margin-left:-9pt;margin-top:-0.4pt;height:52.05pt;width:60.3pt;z-index:251810816;mso-width-relative:page;mso-height-relative:page;" filled="f" stroked="f" coordsize="21600,21600" o:gfxdata="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IPw+z&#10;1gAAAAkBAAAPAAAAAAAAAAEAIAAAACIAAABkcnMvZG93bnJldi54bWxQSwECFAAUAAAACACHTuJA&#10;Jl10EOoBAAC+AwAADgAAAAAAAAABACAAAAAlAQAAZHJzL2Uyb0RvYy54bWxQSwUGAAAAAAYABgBZ&#10;AQAAgQUAAAAA&#10;">
                <v:fill on="f" focussize="0,0"/>
                <v:stroke on="f" weight="1pt"/>
                <v:imagedata o:title=""/>
                <o:lock v:ext="edit" aspectratio="f"/>
                <v:textbox>
                  <w:txbxContent>
                    <w:p w14:paraId="093BE467">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承包人使用采购的工程材料和工程设备的责任</w:t>
                      </w:r>
                    </w:p>
                  </w:txbxContent>
                </v:textbox>
              </v:shape>
            </w:pict>
          </mc:Fallback>
        </mc:AlternateContent>
      </w:r>
      <w:r>
        <w:rPr>
          <w:rFonts w:hint="eastAsia" w:ascii="仿宋" w:hAnsi="仿宋" w:eastAsia="仿宋" w:cs="仿宋"/>
          <w:lang w:eastAsia="zh-CN"/>
        </w:rPr>
        <w:t>监理人发现承包人使用不符合标准与规范、设计要求和合同约定的工程材料和工程设备时，应迅速发出指令要求承包人立即停止使用，并拆除、修复或重新采购，由此增加的费用和（或）延误的工期由承包人承担。</w:t>
      </w:r>
    </w:p>
    <w:p w14:paraId="1D7E20E6">
      <w:pPr>
        <w:spacing w:line="400" w:lineRule="exact"/>
        <w:rPr>
          <w:rFonts w:ascii="仿宋" w:hAnsi="仿宋" w:eastAsia="仿宋"/>
          <w:lang w:eastAsia="zh-CN"/>
        </w:rPr>
      </w:pPr>
      <w:bookmarkStart w:id="460" w:name="_Toc29015"/>
      <w:r>
        <mc:AlternateContent>
          <mc:Choice Requires="wps">
            <w:drawing>
              <wp:anchor distT="0" distB="0" distL="114300" distR="114300" simplePos="0" relativeHeight="252038144" behindDoc="0" locked="0" layoutInCell="1" allowOverlap="1">
                <wp:simplePos x="0" y="0"/>
                <wp:positionH relativeFrom="column">
                  <wp:posOffset>-114300</wp:posOffset>
                </wp:positionH>
                <wp:positionV relativeFrom="paragraph">
                  <wp:posOffset>242570</wp:posOffset>
                </wp:positionV>
                <wp:extent cx="794385" cy="525780"/>
                <wp:effectExtent l="0" t="0" r="0" b="0"/>
                <wp:wrapNone/>
                <wp:docPr id="243" name="文本框 892"/>
                <wp:cNvGraphicFramePr/>
                <a:graphic xmlns:a="http://schemas.openxmlformats.org/drawingml/2006/main">
                  <a:graphicData uri="http://schemas.microsoft.com/office/word/2010/wordprocessingShape">
                    <wps:wsp>
                      <wps:cNvSpPr txBox="1"/>
                      <wps:spPr>
                        <a:xfrm>
                          <a:off x="0" y="0"/>
                          <a:ext cx="794385" cy="525780"/>
                        </a:xfrm>
                        <a:prstGeom prst="rect">
                          <a:avLst/>
                        </a:prstGeom>
                        <a:noFill/>
                        <a:ln w="12700">
                          <a:noFill/>
                        </a:ln>
                      </wps:spPr>
                      <wps:txbx>
                        <w:txbxContent>
                          <w:p w14:paraId="72143571">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承包人不执行指令的责任</w:t>
                            </w:r>
                          </w:p>
                        </w:txbxContent>
                      </wps:txbx>
                      <wps:bodyPr rot="0" vert="horz" wrap="square" lIns="91440" tIns="45720" rIns="91440" bIns="45720" anchor="t" anchorCtr="0"/>
                    </wps:wsp>
                  </a:graphicData>
                </a:graphic>
              </wp:anchor>
            </w:drawing>
          </mc:Choice>
          <mc:Fallback>
            <w:pict>
              <v:shape id="文本框 892" o:spid="_x0000_s1026" o:spt="202" type="#_x0000_t202" style="position:absolute;left:0pt;margin-left:-9pt;margin-top:19.1pt;height:41.4pt;width:62.55pt;z-index:252038144;mso-width-relative:page;mso-height-relative:page;" filled="f" stroked="f" coordsize="21600,21600" o:gfxdata="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zBg+PYAAAACgEAAA8AAAAAAAAAAQAgAAAAIgAAAGRycy9kb3ducmV2LnhtbFBLAQIUABQAAAAI&#10;AIdO4kAvd5Ub7QEAAL4DAAAOAAAAAAAAAAEAIAAAACcBAABkcnMvZTJvRG9jLnhtbFBLBQYAAAAA&#10;BgAGAFkBAACGBQAAAAA=&#10;">
                <v:fill on="f" focussize="0,0"/>
                <v:stroke on="f" weight="1pt"/>
                <v:imagedata o:title=""/>
                <o:lock v:ext="edit" aspectratio="f"/>
                <v:textbox>
                  <w:txbxContent>
                    <w:p w14:paraId="72143571">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承包人不执行指令的责任</w:t>
                      </w:r>
                    </w:p>
                  </w:txbxContent>
                </v:textbox>
              </v:shape>
            </w:pict>
          </mc:Fallback>
        </mc:AlternateContent>
      </w:r>
      <w:r>
        <w:rPr>
          <w:rFonts w:hint="eastAsia" w:ascii="仿宋" w:hAnsi="仿宋" w:eastAsia="仿宋" w:cs="仿宋"/>
          <w:b/>
          <w:bCs/>
          <w:lang w:eastAsia="zh-CN"/>
        </w:rPr>
        <w:t>56</w:t>
      </w:r>
      <w:r>
        <w:rPr>
          <w:rFonts w:ascii="仿宋" w:hAnsi="仿宋" w:eastAsia="仿宋" w:cs="仿宋"/>
          <w:b/>
          <w:bCs/>
          <w:lang w:eastAsia="zh-CN"/>
        </w:rPr>
        <w:t>.</w:t>
      </w:r>
      <w:r>
        <w:rPr>
          <w:rFonts w:hint="eastAsia" w:ascii="仿宋" w:hAnsi="仿宋" w:eastAsia="仿宋" w:cs="仿宋"/>
          <w:b/>
          <w:bCs/>
          <w:lang w:eastAsia="zh-CN"/>
        </w:rPr>
        <w:t>6</w:t>
      </w:r>
      <w:bookmarkEnd w:id="460"/>
      <w:r>
        <w:rPr>
          <w:rFonts w:ascii="仿宋" w:hAnsi="仿宋" w:eastAsia="仿宋" w:cs="仿宋"/>
          <w:lang w:eastAsia="zh-CN"/>
        </w:rPr>
        <w:t xml:space="preserve"> </w:t>
      </w:r>
      <w:r>
        <w:rPr>
          <w:rFonts w:ascii="仿宋" w:hAnsi="仿宋" w:eastAsia="仿宋" w:cs="仿宋"/>
          <w:u w:val="dotted"/>
          <w:lang w:eastAsia="zh-CN"/>
        </w:rPr>
        <w:t xml:space="preserve">                                                                                </w:t>
      </w:r>
    </w:p>
    <w:p w14:paraId="7E50ECAC">
      <w:pPr>
        <w:widowControl w:val="0"/>
        <w:adjustRightInd w:val="0"/>
        <w:snapToGrid w:val="0"/>
        <w:spacing w:line="400" w:lineRule="exact"/>
        <w:ind w:left="1850" w:leftChars="771"/>
        <w:jc w:val="both"/>
        <w:rPr>
          <w:rFonts w:ascii="仿宋" w:hAnsi="仿宋" w:eastAsia="仿宋"/>
          <w:lang w:eastAsia="zh-CN"/>
        </w:rPr>
      </w:pPr>
      <w:r>
        <w:rPr>
          <w:rFonts w:hint="eastAsia" w:ascii="仿宋" w:hAnsi="仿宋" w:eastAsia="仿宋" w:cs="仿宋"/>
          <w:lang w:eastAsia="zh-CN"/>
        </w:rPr>
        <w:t>如果承包人不执行监理人依据第56.4款和第56.5款约定发出的指令</w:t>
      </w:r>
      <w:r>
        <w:rPr>
          <w:rFonts w:ascii="仿宋" w:hAnsi="仿宋" w:eastAsia="仿宋" w:cs="仿宋"/>
          <w:lang w:eastAsia="zh-CN"/>
        </w:rPr>
        <w:t>,</w:t>
      </w:r>
      <w:r>
        <w:rPr>
          <w:rFonts w:hint="eastAsia" w:ascii="仿宋" w:hAnsi="仿宋" w:eastAsia="仿宋" w:cs="仿宋"/>
          <w:lang w:eastAsia="zh-CN"/>
        </w:rPr>
        <w:t>则发包人可自行或委托第三方执行该指令，由此发生的费用由承包人承担。该笔款项经造价咨询人核实后，由发包人从应付或将付给承包人的工程款中扣除。</w:t>
      </w:r>
    </w:p>
    <w:p w14:paraId="3EBC61AB">
      <w:pPr>
        <w:spacing w:line="400" w:lineRule="exact"/>
        <w:rPr>
          <w:rFonts w:ascii="仿宋" w:hAnsi="仿宋" w:eastAsia="仿宋" w:cs="仿宋"/>
          <w:b/>
          <w:bCs/>
          <w:lang w:eastAsia="zh-CN"/>
        </w:rPr>
      </w:pPr>
      <w:bookmarkStart w:id="461" w:name="_Toc24372"/>
      <w:r>
        <w:rPr>
          <w:rFonts w:hint="eastAsia" w:ascii="仿宋" w:hAnsi="仿宋" w:eastAsia="仿宋" w:cs="仿宋"/>
          <w:b/>
          <w:bCs/>
          <w:lang w:eastAsia="zh-CN"/>
        </w:rPr>
        <w:t>56</w:t>
      </w:r>
      <w:r>
        <w:rPr>
          <w:rFonts w:ascii="仿宋" w:hAnsi="仿宋" w:eastAsia="仿宋" w:cs="仿宋"/>
          <w:b/>
          <w:bCs/>
          <w:lang w:eastAsia="zh-CN"/>
        </w:rPr>
        <w:t>.</w:t>
      </w:r>
      <w:r>
        <w:rPr>
          <w:rFonts w:hint="eastAsia" w:ascii="仿宋" w:hAnsi="仿宋" w:eastAsia="仿宋" w:cs="仿宋"/>
          <w:b/>
          <w:bCs/>
          <w:lang w:eastAsia="zh-CN"/>
        </w:rPr>
        <w:t>7</w:t>
      </w:r>
      <w:bookmarkEnd w:id="461"/>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59886BBD">
      <w:pPr>
        <w:widowControl w:val="0"/>
        <w:adjustRightInd w:val="0"/>
        <w:snapToGrid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811840" behindDoc="0" locked="0" layoutInCell="1" allowOverlap="1">
                <wp:simplePos x="0" y="0"/>
                <wp:positionH relativeFrom="column">
                  <wp:posOffset>-114300</wp:posOffset>
                </wp:positionH>
                <wp:positionV relativeFrom="paragraph">
                  <wp:posOffset>45720</wp:posOffset>
                </wp:positionV>
                <wp:extent cx="832485" cy="544195"/>
                <wp:effectExtent l="0" t="0" r="0" b="0"/>
                <wp:wrapNone/>
                <wp:docPr id="244" name="文本框 893"/>
                <wp:cNvGraphicFramePr/>
                <a:graphic xmlns:a="http://schemas.openxmlformats.org/drawingml/2006/main">
                  <a:graphicData uri="http://schemas.microsoft.com/office/word/2010/wordprocessingShape">
                    <wps:wsp>
                      <wps:cNvSpPr txBox="1"/>
                      <wps:spPr>
                        <a:xfrm>
                          <a:off x="0" y="0"/>
                          <a:ext cx="832485" cy="544195"/>
                        </a:xfrm>
                        <a:prstGeom prst="rect">
                          <a:avLst/>
                        </a:prstGeom>
                        <a:noFill/>
                        <a:ln w="12700">
                          <a:noFill/>
                        </a:ln>
                      </wps:spPr>
                      <wps:txbx>
                        <w:txbxContent>
                          <w:p w14:paraId="597F9E75">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使用替换工程材料的申请与批准</w:t>
                            </w:r>
                          </w:p>
                        </w:txbxContent>
                      </wps:txbx>
                      <wps:bodyPr rot="0" vert="horz" wrap="square" lIns="91440" tIns="45720" rIns="91440" bIns="45720" anchor="t" anchorCtr="0"/>
                    </wps:wsp>
                  </a:graphicData>
                </a:graphic>
              </wp:anchor>
            </w:drawing>
          </mc:Choice>
          <mc:Fallback>
            <w:pict>
              <v:shape id="文本框 893" o:spid="_x0000_s1026" o:spt="202" type="#_x0000_t202" style="position:absolute;left:0pt;margin-left:-9pt;margin-top:3.6pt;height:42.85pt;width:65.55pt;z-index:251811840;mso-width-relative:page;mso-height-relative:page;" filled="f" stroked="f" coordsize="21600,21600" o:gfxdata="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c8D&#10;rNcAAAAIAQAADwAAAAAAAAABACAAAAAiAAAAZHJzL2Rvd25yZXYueG1sUEsBAhQAFAAAAAgAh07i&#10;QLsTE3LqAQAAvgMAAA4AAAAAAAAAAQAgAAAAJgEAAGRycy9lMm9Eb2MueG1sUEsFBgAAAAAGAAYA&#10;WQEAAIIFAAAAAA==&#10;">
                <v:fill on="f" focussize="0,0"/>
                <v:stroke on="f" weight="1pt"/>
                <v:imagedata o:title=""/>
                <o:lock v:ext="edit" aspectratio="f"/>
                <v:textbox>
                  <w:txbxContent>
                    <w:p w14:paraId="597F9E75">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使用替换工程材料的申请与批准</w:t>
                      </w:r>
                    </w:p>
                  </w:txbxContent>
                </v:textbox>
              </v:shape>
            </w:pict>
          </mc:Fallback>
        </mc:AlternateContent>
      </w:r>
      <w:r>
        <w:rPr>
          <w:rFonts w:hint="eastAsia" w:ascii="仿宋" w:hAnsi="仿宋" w:eastAsia="仿宋" w:cs="仿宋"/>
          <w:lang w:eastAsia="zh-CN"/>
        </w:rPr>
        <w:t>承包人申请使用替换工程材料的，替换工程材料的材质、档次不得低于原设计明确的材质、档次，并作为变更事项报经监理人同意、发包人批准后方可实施，但合同价格不予调整。</w:t>
      </w:r>
    </w:p>
    <w:p w14:paraId="7F377C49">
      <w:pPr>
        <w:spacing w:line="400" w:lineRule="exact"/>
        <w:rPr>
          <w:rFonts w:ascii="仿宋" w:hAnsi="仿宋" w:eastAsia="仿宋"/>
          <w:b/>
          <w:bCs/>
          <w:lang w:eastAsia="zh-CN"/>
        </w:rPr>
      </w:pPr>
      <w:bookmarkStart w:id="462" w:name="_Toc25004"/>
      <w:r>
        <w:rPr>
          <w:rFonts w:hint="eastAsia" w:ascii="仿宋" w:hAnsi="仿宋" w:eastAsia="仿宋" w:cs="仿宋"/>
          <w:b/>
          <w:bCs/>
          <w:lang w:eastAsia="zh-CN"/>
        </w:rPr>
        <w:t>56</w:t>
      </w:r>
      <w:r>
        <w:rPr>
          <w:rFonts w:ascii="仿宋" w:hAnsi="仿宋" w:eastAsia="仿宋" w:cs="仿宋"/>
          <w:b/>
          <w:bCs/>
          <w:lang w:eastAsia="zh-CN"/>
        </w:rPr>
        <w:t>.</w:t>
      </w:r>
      <w:r>
        <w:rPr>
          <w:rFonts w:hint="eastAsia" w:ascii="仿宋" w:hAnsi="仿宋" w:eastAsia="仿宋" w:cs="仿宋"/>
          <w:b/>
          <w:bCs/>
          <w:lang w:eastAsia="zh-CN"/>
        </w:rPr>
        <w:t>8</w:t>
      </w:r>
      <w:bookmarkEnd w:id="462"/>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23D145DC">
      <w:pPr>
        <w:widowControl w:val="0"/>
        <w:adjustRightInd w:val="0"/>
        <w:snapToGrid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812864" behindDoc="0" locked="0" layoutInCell="1" allowOverlap="1">
                <wp:simplePos x="0" y="0"/>
                <wp:positionH relativeFrom="column">
                  <wp:posOffset>-114300</wp:posOffset>
                </wp:positionH>
                <wp:positionV relativeFrom="paragraph">
                  <wp:posOffset>30480</wp:posOffset>
                </wp:positionV>
                <wp:extent cx="822325" cy="714375"/>
                <wp:effectExtent l="0" t="0" r="0" b="0"/>
                <wp:wrapNone/>
                <wp:docPr id="245" name="文本框 894"/>
                <wp:cNvGraphicFramePr/>
                <a:graphic xmlns:a="http://schemas.openxmlformats.org/drawingml/2006/main">
                  <a:graphicData uri="http://schemas.microsoft.com/office/word/2010/wordprocessingShape">
                    <wps:wsp>
                      <wps:cNvSpPr txBox="1"/>
                      <wps:spPr>
                        <a:xfrm>
                          <a:off x="0" y="0"/>
                          <a:ext cx="822325" cy="714375"/>
                        </a:xfrm>
                        <a:prstGeom prst="rect">
                          <a:avLst/>
                        </a:prstGeom>
                        <a:noFill/>
                        <a:ln w="12700">
                          <a:noFill/>
                        </a:ln>
                      </wps:spPr>
                      <wps:txbx>
                        <w:txbxContent>
                          <w:p w14:paraId="7D3E1D4F">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采购工程材料和工程设备使用前的检验</w:t>
                            </w:r>
                          </w:p>
                        </w:txbxContent>
                      </wps:txbx>
                      <wps:bodyPr rot="0" vert="horz" wrap="square" lIns="91440" tIns="45720" rIns="91440" bIns="45720" anchor="t" anchorCtr="0"/>
                    </wps:wsp>
                  </a:graphicData>
                </a:graphic>
              </wp:anchor>
            </w:drawing>
          </mc:Choice>
          <mc:Fallback>
            <w:pict>
              <v:shape id="文本框 894" o:spid="_x0000_s1026" o:spt="202" type="#_x0000_t202" style="position:absolute;left:0pt;margin-left:-9pt;margin-top:2.4pt;height:56.25pt;width:64.75pt;z-index:251812864;mso-width-relative:page;mso-height-relative:page;" filled="f" stroked="f" coordsize="21600,21600" o:gfxdata="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lSzV&#10;dtcAAAAJAQAADwAAAAAAAAABACAAAAAiAAAAZHJzL2Rvd25yZXYueG1sUEsBAhQAFAAAAAgAh07i&#10;QDRZgNvqAQAAvgMAAA4AAAAAAAAAAQAgAAAAJgEAAGRycy9lMm9Eb2MueG1sUEsFBgAAAAAGAAYA&#10;WQEAAIIFAAAAAA==&#10;">
                <v:fill on="f" focussize="0,0"/>
                <v:stroke on="f" weight="1pt"/>
                <v:imagedata o:title=""/>
                <o:lock v:ext="edit" aspectratio="f"/>
                <v:textbox>
                  <w:txbxContent>
                    <w:p w14:paraId="7D3E1D4F">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采购工程材料和工程设备使用前的检验</w:t>
                      </w:r>
                    </w:p>
                  </w:txbxContent>
                </v:textbox>
              </v:shape>
            </w:pict>
          </mc:Fallback>
        </mc:AlternateContent>
      </w:r>
      <w:r>
        <w:rPr>
          <w:rFonts w:hint="eastAsia" w:ascii="仿宋" w:hAnsi="仿宋" w:eastAsia="仿宋" w:cs="仿宋"/>
          <w:lang w:eastAsia="zh-CN"/>
        </w:rPr>
        <w:t>承包人采购的工程材料和工程设备在使用前，应会同监理人进行检验试验，查验工程材料合格证明和产品合格证书。合同双方当事人应做好检验书面记录，并要求指定人选及时办理签认手续。不合格的，禁止在合同工程中使用。</w:t>
      </w:r>
    </w:p>
    <w:p w14:paraId="38FB8264">
      <w:pPr>
        <w:spacing w:line="400" w:lineRule="exact"/>
        <w:rPr>
          <w:rFonts w:ascii="仿宋" w:hAnsi="仿宋" w:eastAsia="仿宋"/>
          <w:b/>
          <w:bCs/>
          <w:lang w:eastAsia="zh-CN"/>
        </w:rPr>
      </w:pPr>
      <w:bookmarkStart w:id="463" w:name="_Toc14474"/>
      <w:r>
        <mc:AlternateContent>
          <mc:Choice Requires="wps">
            <w:drawing>
              <wp:anchor distT="0" distB="0" distL="114300" distR="114300" simplePos="0" relativeHeight="252039168" behindDoc="0" locked="0" layoutInCell="1" allowOverlap="1">
                <wp:simplePos x="0" y="0"/>
                <wp:positionH relativeFrom="column">
                  <wp:posOffset>-114300</wp:posOffset>
                </wp:positionH>
                <wp:positionV relativeFrom="paragraph">
                  <wp:posOffset>207010</wp:posOffset>
                </wp:positionV>
                <wp:extent cx="775335" cy="610235"/>
                <wp:effectExtent l="0" t="0" r="0" b="0"/>
                <wp:wrapNone/>
                <wp:docPr id="246" name="文本框 895"/>
                <wp:cNvGraphicFramePr/>
                <a:graphic xmlns:a="http://schemas.openxmlformats.org/drawingml/2006/main">
                  <a:graphicData uri="http://schemas.microsoft.com/office/word/2010/wordprocessingShape">
                    <wps:wsp>
                      <wps:cNvSpPr txBox="1"/>
                      <wps:spPr>
                        <a:xfrm>
                          <a:off x="0" y="0"/>
                          <a:ext cx="775335" cy="610235"/>
                        </a:xfrm>
                        <a:prstGeom prst="rect">
                          <a:avLst/>
                        </a:prstGeom>
                        <a:noFill/>
                        <a:ln w="12700">
                          <a:noFill/>
                        </a:ln>
                      </wps:spPr>
                      <wps:txbx>
                        <w:txbxContent>
                          <w:p w14:paraId="3216BA4E">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禁止指定采购工程材料和工程设备</w:t>
                            </w:r>
                          </w:p>
                        </w:txbxContent>
                      </wps:txbx>
                      <wps:bodyPr rot="0" vert="horz" wrap="square" lIns="91440" tIns="45720" rIns="91440" bIns="45720" anchor="t" anchorCtr="0"/>
                    </wps:wsp>
                  </a:graphicData>
                </a:graphic>
              </wp:anchor>
            </w:drawing>
          </mc:Choice>
          <mc:Fallback>
            <w:pict>
              <v:shape id="文本框 895" o:spid="_x0000_s1026" o:spt="202" type="#_x0000_t202" style="position:absolute;left:0pt;margin-left:-9pt;margin-top:16.3pt;height:48.05pt;width:61.05pt;z-index:252039168;mso-width-relative:page;mso-height-relative:page;" filled="f" stroked="f" coordsize="21600,21600" o:gfxdata="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j&#10;nVvt2QAAAAoBAAAPAAAAAAAAAAEAIAAAACIAAABkcnMvZG93bnJldi54bWxQSwECFAAUAAAACACH&#10;TuJAiGQbuOoBAAC+AwAADgAAAAAAAAABACAAAAAoAQAAZHJzL2Uyb0RvYy54bWxQSwUGAAAAAAYA&#10;BgBZAQAAhAUAAAAA&#10;">
                <v:fill on="f" focussize="0,0"/>
                <v:stroke on="f" weight="1pt"/>
                <v:imagedata o:title=""/>
                <o:lock v:ext="edit" aspectratio="f"/>
                <v:textbox>
                  <w:txbxContent>
                    <w:p w14:paraId="3216BA4E">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禁止指定采购工程材料和工程设备</w:t>
                      </w:r>
                    </w:p>
                  </w:txbxContent>
                </v:textbox>
              </v:shape>
            </w:pict>
          </mc:Fallback>
        </mc:AlternateContent>
      </w:r>
      <w:r>
        <w:rPr>
          <w:rFonts w:hint="eastAsia" w:ascii="仿宋" w:hAnsi="仿宋" w:eastAsia="仿宋" w:cs="仿宋"/>
          <w:b/>
          <w:bCs/>
          <w:lang w:eastAsia="zh-CN"/>
        </w:rPr>
        <w:t>56</w:t>
      </w:r>
      <w:r>
        <w:rPr>
          <w:rFonts w:ascii="仿宋" w:hAnsi="仿宋" w:eastAsia="仿宋" w:cs="仿宋"/>
          <w:b/>
          <w:bCs/>
          <w:lang w:eastAsia="zh-CN"/>
        </w:rPr>
        <w:t>.</w:t>
      </w:r>
      <w:r>
        <w:rPr>
          <w:rFonts w:hint="eastAsia" w:ascii="仿宋" w:hAnsi="仿宋" w:eastAsia="仿宋" w:cs="仿宋"/>
          <w:b/>
          <w:bCs/>
          <w:lang w:eastAsia="zh-CN"/>
        </w:rPr>
        <w:t>9</w:t>
      </w:r>
      <w:bookmarkEnd w:id="463"/>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33EB2ED2">
      <w:pPr>
        <w:widowControl w:val="0"/>
        <w:adjustRightInd w:val="0"/>
        <w:snapToGrid w:val="0"/>
        <w:spacing w:line="400" w:lineRule="exact"/>
        <w:ind w:left="1850" w:leftChars="771"/>
        <w:jc w:val="both"/>
        <w:rPr>
          <w:rFonts w:ascii="仿宋" w:hAnsi="仿宋" w:eastAsia="仿宋"/>
          <w:lang w:eastAsia="zh-CN"/>
        </w:rPr>
      </w:pPr>
      <w:r>
        <w:rPr>
          <w:rFonts w:hint="eastAsia" w:ascii="仿宋" w:hAnsi="仿宋" w:eastAsia="仿宋" w:cs="仿宋"/>
          <w:lang w:eastAsia="zh-CN"/>
        </w:rPr>
        <w:t>承包人采购工程材料和工程设备的，除专用条款另有约定外，发包人不得指定生产厂家或供应商。</w:t>
      </w:r>
    </w:p>
    <w:p w14:paraId="1D8AEC49">
      <w:pPr>
        <w:pStyle w:val="12"/>
        <w:adjustRightInd w:val="0"/>
        <w:snapToGrid w:val="0"/>
        <w:spacing w:line="400" w:lineRule="exact"/>
        <w:ind w:firstLine="0"/>
        <w:rPr>
          <w:rFonts w:ascii="仿宋" w:hAnsi="仿宋" w:eastAsia="仿宋" w:cs="仿宋"/>
          <w:b/>
          <w:bCs/>
          <w:u w:val="single"/>
          <w:lang w:eastAsia="zh-CN"/>
        </w:rPr>
      </w:pPr>
      <w:r>
        <w:rPr>
          <w:rFonts w:ascii="仿宋" w:hAnsi="仿宋" w:eastAsia="仿宋" w:cs="仿宋"/>
          <w:b/>
          <w:bCs/>
          <w:u w:val="single"/>
          <w:lang w:eastAsia="zh-CN"/>
        </w:rPr>
        <w:t xml:space="preserve">                                                                                     </w:t>
      </w:r>
    </w:p>
    <w:p w14:paraId="54EF5722">
      <w:pPr>
        <w:pStyle w:val="4"/>
        <w:tabs>
          <w:tab w:val="left" w:pos="420"/>
        </w:tabs>
        <w:spacing w:before="0" w:after="0" w:line="400" w:lineRule="exact"/>
        <w:rPr>
          <w:rFonts w:ascii="仿宋" w:hAnsi="仿宋" w:eastAsia="仿宋" w:cs="仿宋"/>
          <w:bCs w:val="0"/>
          <w:sz w:val="24"/>
          <w:szCs w:val="24"/>
          <w:lang w:eastAsia="zh-CN"/>
        </w:rPr>
      </w:pPr>
      <w:bookmarkStart w:id="464" w:name="_Toc1164"/>
      <w:bookmarkStart w:id="465" w:name="_Toc27659"/>
      <w:bookmarkStart w:id="466" w:name="_Toc194073167"/>
      <w:bookmarkStart w:id="467" w:name="_Toc19231"/>
      <w:r>
        <w:rPr>
          <w:rFonts w:ascii="仿宋" w:hAnsi="仿宋" w:eastAsia="仿宋" w:cs="仿宋"/>
          <w:bCs w:val="0"/>
          <w:sz w:val="24"/>
          <w:szCs w:val="24"/>
          <w:lang w:eastAsia="zh-CN"/>
        </w:rPr>
        <w:t>5</w:t>
      </w:r>
      <w:r>
        <w:rPr>
          <w:rFonts w:hint="eastAsia" w:ascii="仿宋" w:hAnsi="仿宋" w:eastAsia="仿宋" w:cs="仿宋"/>
          <w:bCs w:val="0"/>
          <w:sz w:val="24"/>
          <w:szCs w:val="24"/>
          <w:lang w:eastAsia="zh-CN"/>
        </w:rPr>
        <w:t>7</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设备及工器具的验收、工程材料和工程设备的检验试验</w:t>
      </w:r>
      <w:bookmarkEnd w:id="464"/>
      <w:bookmarkEnd w:id="465"/>
      <w:bookmarkEnd w:id="466"/>
      <w:bookmarkEnd w:id="467"/>
    </w:p>
    <w:p w14:paraId="6BD02855">
      <w:pPr>
        <w:pStyle w:val="12"/>
        <w:adjustRightInd w:val="0"/>
        <w:snapToGrid w:val="0"/>
        <w:spacing w:line="400" w:lineRule="exact"/>
        <w:ind w:firstLine="0"/>
        <w:rPr>
          <w:rFonts w:ascii="仿宋" w:hAnsi="仿宋" w:eastAsia="仿宋" w:cs="仿宋"/>
          <w:b/>
          <w:bCs/>
          <w:lang w:eastAsia="zh-CN"/>
        </w:rPr>
      </w:pPr>
      <w:r>
        <w:rPr>
          <w:rFonts w:ascii="仿宋" w:hAnsi="仿宋" w:eastAsia="仿宋" w:cs="仿宋"/>
          <w:b/>
          <w:bCs/>
          <w:lang w:eastAsia="zh-CN"/>
        </w:rPr>
        <w:t>5</w:t>
      </w:r>
      <w:r>
        <w:rPr>
          <w:rFonts w:hint="eastAsia" w:ascii="仿宋" w:hAnsi="仿宋" w:eastAsia="仿宋" w:cs="仿宋"/>
          <w:b/>
          <w:bCs/>
          <w:lang w:eastAsia="zh-CN"/>
        </w:rPr>
        <w:t>7</w:t>
      </w:r>
      <w:r>
        <w:rPr>
          <w:rFonts w:ascii="仿宋" w:hAnsi="仿宋" w:eastAsia="仿宋" w:cs="仿宋"/>
          <w:b/>
          <w:bCs/>
          <w:lang w:eastAsia="zh-CN"/>
        </w:rPr>
        <w:t>.1</w:t>
      </w:r>
    </w:p>
    <w:p w14:paraId="6E1D0407">
      <w:pPr>
        <w:widowControl w:val="0"/>
        <w:adjustRightInd w:val="0"/>
        <w:snapToGrid w:val="0"/>
        <w:spacing w:line="400" w:lineRule="exact"/>
        <w:ind w:left="1850" w:leftChars="771"/>
        <w:jc w:val="both"/>
        <w:rPr>
          <w:rFonts w:ascii="仿宋" w:hAnsi="仿宋" w:eastAsia="仿宋"/>
          <w:lang w:eastAsia="zh-CN"/>
        </w:rPr>
      </w:pPr>
      <w:r>
        <w:rPr>
          <w:rFonts w:hint="eastAsia" w:ascii="仿宋" w:hAnsi="仿宋" w:eastAsia="仿宋" w:cs="仿宋"/>
        </w:rPr>
        <mc:AlternateContent>
          <mc:Choice Requires="wps">
            <w:drawing>
              <wp:anchor distT="0" distB="0" distL="114300" distR="114300" simplePos="0" relativeHeight="251977728" behindDoc="0" locked="0" layoutInCell="1" allowOverlap="1">
                <wp:simplePos x="0" y="0"/>
                <wp:positionH relativeFrom="column">
                  <wp:posOffset>-114300</wp:posOffset>
                </wp:positionH>
                <wp:positionV relativeFrom="paragraph">
                  <wp:posOffset>635</wp:posOffset>
                </wp:positionV>
                <wp:extent cx="851535" cy="518795"/>
                <wp:effectExtent l="0" t="0" r="0" b="0"/>
                <wp:wrapNone/>
                <wp:docPr id="247" name="文本框 1130"/>
                <wp:cNvGraphicFramePr/>
                <a:graphic xmlns:a="http://schemas.openxmlformats.org/drawingml/2006/main">
                  <a:graphicData uri="http://schemas.microsoft.com/office/word/2010/wordprocessingShape">
                    <wps:wsp>
                      <wps:cNvSpPr txBox="1"/>
                      <wps:spPr>
                        <a:xfrm>
                          <a:off x="0" y="0"/>
                          <a:ext cx="851535" cy="518795"/>
                        </a:xfrm>
                        <a:prstGeom prst="rect">
                          <a:avLst/>
                        </a:prstGeom>
                        <a:noFill/>
                        <a:ln w="12700">
                          <a:noFill/>
                        </a:ln>
                      </wps:spPr>
                      <wps:txbx>
                        <w:txbxContent>
                          <w:p w14:paraId="2BBE8CC6">
                            <w:pPr>
                              <w:spacing w:line="200" w:lineRule="exact"/>
                              <w:rPr>
                                <w:rFonts w:ascii="楷体_GB2312" w:hAnsi="宋体" w:eastAsia="楷体_GB2312"/>
                                <w:b/>
                                <w:bCs/>
                                <w:color w:val="000000"/>
                                <w:sz w:val="18"/>
                                <w:szCs w:val="18"/>
                              </w:rPr>
                            </w:pPr>
                            <w:r>
                              <w:rPr>
                                <w:rFonts w:hint="eastAsia" w:ascii="楷体_GB2312" w:hAnsi="宋体" w:eastAsia="楷体_GB2312"/>
                                <w:b/>
                                <w:bCs/>
                                <w:color w:val="000000"/>
                                <w:sz w:val="18"/>
                                <w:szCs w:val="18"/>
                              </w:rPr>
                              <w:t>设备及工器具的验收</w:t>
                            </w:r>
                          </w:p>
                        </w:txbxContent>
                      </wps:txbx>
                      <wps:bodyPr rot="0" vert="horz" wrap="square" lIns="91440" tIns="45720" rIns="91440" bIns="45720" anchor="t" anchorCtr="0"/>
                    </wps:wsp>
                  </a:graphicData>
                </a:graphic>
              </wp:anchor>
            </w:drawing>
          </mc:Choice>
          <mc:Fallback>
            <w:pict>
              <v:shape id="文本框 1130" o:spid="_x0000_s1026" o:spt="202" type="#_x0000_t202" style="position:absolute;left:0pt;margin-left:-9pt;margin-top:0.05pt;height:40.85pt;width:67.05pt;z-index:251977728;mso-width-relative:page;mso-height-relative:page;" filled="f" stroked="f" coordsize="21600,21600" o:gfxdata="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Zm5dLdQA&#10;AAAHAQAADwAAAAAAAAABACAAAAAiAAAAZHJzL2Rvd25yZXYueG1sUEsBAhQAFAAAAAgAh07iQMGC&#10;qBLqAQAAvwMAAA4AAAAAAAAAAQAgAAAAIwEAAGRycy9lMm9Eb2MueG1sUEsFBgAAAAAGAAYAWQEA&#10;AH8FAAAAAA==&#10;">
                <v:fill on="f" focussize="0,0"/>
                <v:stroke on="f" weight="1pt"/>
                <v:imagedata o:title=""/>
                <o:lock v:ext="edit" aspectratio="f"/>
                <v:textbox>
                  <w:txbxContent>
                    <w:p w14:paraId="2BBE8CC6">
                      <w:pPr>
                        <w:spacing w:line="200" w:lineRule="exact"/>
                        <w:rPr>
                          <w:rFonts w:ascii="楷体_GB2312" w:hAnsi="宋体" w:eastAsia="楷体_GB2312"/>
                          <w:b/>
                          <w:bCs/>
                          <w:color w:val="000000"/>
                          <w:sz w:val="18"/>
                          <w:szCs w:val="18"/>
                        </w:rPr>
                      </w:pPr>
                      <w:r>
                        <w:rPr>
                          <w:rFonts w:hint="eastAsia" w:ascii="楷体_GB2312" w:hAnsi="宋体" w:eastAsia="楷体_GB2312"/>
                          <w:b/>
                          <w:bCs/>
                          <w:color w:val="000000"/>
                          <w:sz w:val="18"/>
                          <w:szCs w:val="18"/>
                        </w:rPr>
                        <w:t>设备及工器具的验收</w:t>
                      </w:r>
                    </w:p>
                  </w:txbxContent>
                </v:textbox>
              </v:shape>
            </w:pict>
          </mc:Fallback>
        </mc:AlternateContent>
      </w:r>
      <w:r>
        <w:rPr>
          <w:rFonts w:hint="eastAsia" w:ascii="仿宋" w:hAnsi="仿宋" w:eastAsia="仿宋" w:cs="仿宋"/>
          <w:lang w:eastAsia="zh-CN"/>
        </w:rPr>
        <w:t>承包人购置的设备及工器具全部到场安放、组装完毕后，发包人应及时组织设备及工器具验收或试车，承包人应参与验收或试车，并为发包人开展相关验收或试车工作提供便利和协助。除专用条款另有约定外，验收程序可遵照本通用条款第57.2款～第57.7款约定执行，试车程序可遵照本通用条款第62条“工程试车”约定执行。</w:t>
      </w:r>
    </w:p>
    <w:p w14:paraId="7940A86D">
      <w:pPr>
        <w:spacing w:line="400" w:lineRule="exact"/>
        <w:rPr>
          <w:rFonts w:ascii="仿宋" w:hAnsi="仿宋" w:eastAsia="仿宋" w:cs="仿宋"/>
          <w:b/>
          <w:bCs/>
          <w:lang w:eastAsia="zh-CN"/>
        </w:rPr>
      </w:pPr>
      <w:bookmarkStart w:id="468" w:name="_Toc16990"/>
      <w:r>
        <w:rPr>
          <w:rFonts w:ascii="仿宋" w:hAnsi="仿宋" w:eastAsia="仿宋" w:cs="仿宋"/>
          <w:b/>
          <w:bCs/>
          <w:lang w:eastAsia="zh-CN"/>
        </w:rPr>
        <w:t>5</w:t>
      </w:r>
      <w:r>
        <w:rPr>
          <w:rFonts w:hint="eastAsia" w:ascii="仿宋" w:hAnsi="仿宋" w:eastAsia="仿宋" w:cs="仿宋"/>
          <w:b/>
          <w:bCs/>
          <w:lang w:eastAsia="zh-CN"/>
        </w:rPr>
        <w:t>7</w:t>
      </w:r>
      <w:r>
        <w:rPr>
          <w:rFonts w:ascii="仿宋" w:hAnsi="仿宋" w:eastAsia="仿宋" w:cs="仿宋"/>
          <w:b/>
          <w:bCs/>
          <w:lang w:eastAsia="zh-CN"/>
        </w:rPr>
        <w:t>.</w:t>
      </w:r>
      <w:r>
        <w:rPr>
          <w:rFonts w:hint="eastAsia" w:ascii="仿宋" w:hAnsi="仿宋" w:eastAsia="仿宋" w:cs="仿宋"/>
          <w:b/>
          <w:bCs/>
          <w:lang w:eastAsia="zh-CN"/>
        </w:rPr>
        <w:t>2</w:t>
      </w:r>
      <w:bookmarkEnd w:id="468"/>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62941201">
      <w:pPr>
        <w:widowControl w:val="0"/>
        <w:adjustRightInd w:val="0"/>
        <w:snapToGrid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813888" behindDoc="0" locked="0" layoutInCell="1" allowOverlap="1">
                <wp:simplePos x="0" y="0"/>
                <wp:positionH relativeFrom="column">
                  <wp:posOffset>-114300</wp:posOffset>
                </wp:positionH>
                <wp:positionV relativeFrom="paragraph">
                  <wp:posOffset>635</wp:posOffset>
                </wp:positionV>
                <wp:extent cx="766445" cy="536575"/>
                <wp:effectExtent l="0" t="0" r="0" b="0"/>
                <wp:wrapNone/>
                <wp:docPr id="248" name="文本框 896"/>
                <wp:cNvGraphicFramePr/>
                <a:graphic xmlns:a="http://schemas.openxmlformats.org/drawingml/2006/main">
                  <a:graphicData uri="http://schemas.microsoft.com/office/word/2010/wordprocessingShape">
                    <wps:wsp>
                      <wps:cNvSpPr txBox="1"/>
                      <wps:spPr>
                        <a:xfrm>
                          <a:off x="0" y="0"/>
                          <a:ext cx="766445" cy="536575"/>
                        </a:xfrm>
                        <a:prstGeom prst="rect">
                          <a:avLst/>
                        </a:prstGeom>
                        <a:noFill/>
                        <a:ln w="12700">
                          <a:noFill/>
                        </a:ln>
                      </wps:spPr>
                      <wps:txbx>
                        <w:txbxContent>
                          <w:p w14:paraId="54B1186F">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txbxContent>
                      </wps:txbx>
                      <wps:bodyPr rot="0" vert="horz" wrap="square" lIns="91440" tIns="45720" rIns="91440" bIns="45720" anchor="t" anchorCtr="0"/>
                    </wps:wsp>
                  </a:graphicData>
                </a:graphic>
              </wp:anchor>
            </w:drawing>
          </mc:Choice>
          <mc:Fallback>
            <w:pict>
              <v:shape id="文本框 896" o:spid="_x0000_s1026" o:spt="202" type="#_x0000_t202" style="position:absolute;left:0pt;margin-left:-9pt;margin-top:0.05pt;height:42.25pt;width:60.35pt;z-index:251813888;mso-width-relative:page;mso-height-relative:page;" filled="f" stroked="f" coordsize="21600,21600" o:gfxdata="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42CNL&#10;1QAAAAcBAAAPAAAAAAAAAAEAIAAAACIAAABkcnMvZG93bnJldi54bWxQSwECFAAUAAAACACHTuJA&#10;6oP8EesBAAC+AwAADgAAAAAAAAABACAAAAAkAQAAZHJzL2Uyb0RvYy54bWxQSwUGAAAAAAYABgBZ&#10;AQAAgQUAAAAA&#10;">
                <v:fill on="f" focussize="0,0"/>
                <v:stroke on="f" weight="1pt"/>
                <v:imagedata o:title=""/>
                <o:lock v:ext="edit" aspectratio="f"/>
                <v:textbox>
                  <w:txbxContent>
                    <w:p w14:paraId="54B1186F">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txbxContent>
                </v:textbox>
              </v:shape>
            </w:pict>
          </mc:Fallback>
        </mc:AlternateContent>
      </w:r>
      <w:r>
        <w:rPr>
          <w:rFonts w:hint="eastAsia" w:ascii="仿宋" w:hAnsi="仿宋" w:eastAsia="仿宋" w:cs="仿宋"/>
          <w:lang w:eastAsia="zh-CN"/>
        </w:rPr>
        <w:t>监理人及其委派的代表可进入施工场地、工程材料和工程设备的制造、加工或制配车间等场所参加工程材料和工程设备等产品的检验试验。承包人应为他们进入上述场所及开展相关工作提供便利和协助。</w:t>
      </w:r>
    </w:p>
    <w:p w14:paraId="490F6519">
      <w:pPr>
        <w:spacing w:line="400" w:lineRule="exact"/>
        <w:rPr>
          <w:rFonts w:ascii="仿宋" w:hAnsi="仿宋" w:eastAsia="仿宋" w:cs="仿宋"/>
          <w:b/>
          <w:bCs/>
          <w:u w:val="dotted"/>
          <w:lang w:eastAsia="zh-CN"/>
        </w:rPr>
      </w:pPr>
      <w:bookmarkStart w:id="469" w:name="_Toc14797"/>
      <w:r>
        <w:rPr>
          <w:rFonts w:ascii="仿宋" w:hAnsi="仿宋" w:eastAsia="仿宋" w:cs="仿宋"/>
          <w:b/>
          <w:bCs/>
          <w:lang w:eastAsia="zh-CN"/>
        </w:rPr>
        <w:t>5</w:t>
      </w:r>
      <w:r>
        <w:rPr>
          <w:rFonts w:hint="eastAsia" w:ascii="仿宋" w:hAnsi="仿宋" w:eastAsia="仿宋" w:cs="仿宋"/>
          <w:b/>
          <w:bCs/>
          <w:lang w:eastAsia="zh-CN"/>
        </w:rPr>
        <w:t>7</w:t>
      </w:r>
      <w:r>
        <w:rPr>
          <w:rFonts w:ascii="仿宋" w:hAnsi="仿宋" w:eastAsia="仿宋" w:cs="仿宋"/>
          <w:b/>
          <w:bCs/>
          <w:lang w:eastAsia="zh-CN"/>
        </w:rPr>
        <w:t>.</w:t>
      </w:r>
      <w:r>
        <w:rPr>
          <w:rFonts w:hint="eastAsia" w:ascii="仿宋" w:hAnsi="仿宋" w:eastAsia="仿宋" w:cs="仿宋"/>
          <w:b/>
          <w:bCs/>
          <w:lang w:eastAsia="zh-CN"/>
        </w:rPr>
        <w:t>3</w:t>
      </w:r>
      <w:bookmarkEnd w:id="469"/>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4166FCD2">
      <w:pPr>
        <w:widowControl w:val="0"/>
        <w:adjustRightInd w:val="0"/>
        <w:snapToGrid w:val="0"/>
        <w:spacing w:line="400" w:lineRule="exact"/>
        <w:ind w:left="1850" w:leftChars="771"/>
        <w:jc w:val="both"/>
        <w:rPr>
          <w:rFonts w:ascii="仿宋" w:hAnsi="仿宋" w:eastAsia="仿宋" w:cs="仿宋"/>
          <w:lang w:eastAsia="zh-CN"/>
        </w:rPr>
      </w:pPr>
      <w:r>
        <w:rPr>
          <w:rFonts w:ascii="仿宋" w:hAnsi="仿宋" w:eastAsia="仿宋" w:cs="仿宋"/>
        </w:rPr>
        <mc:AlternateContent>
          <mc:Choice Requires="wps">
            <w:drawing>
              <wp:anchor distT="0" distB="0" distL="114300" distR="114300" simplePos="0" relativeHeight="251814912" behindDoc="0" locked="0" layoutInCell="1" allowOverlap="1">
                <wp:simplePos x="0" y="0"/>
                <wp:positionH relativeFrom="column">
                  <wp:posOffset>-114300</wp:posOffset>
                </wp:positionH>
                <wp:positionV relativeFrom="paragraph">
                  <wp:posOffset>154305</wp:posOffset>
                </wp:positionV>
                <wp:extent cx="832485" cy="1264920"/>
                <wp:effectExtent l="0" t="0" r="0" b="0"/>
                <wp:wrapNone/>
                <wp:docPr id="249" name="文本框 897"/>
                <wp:cNvGraphicFramePr/>
                <a:graphic xmlns:a="http://schemas.openxmlformats.org/drawingml/2006/main">
                  <a:graphicData uri="http://schemas.microsoft.com/office/word/2010/wordprocessingShape">
                    <wps:wsp>
                      <wps:cNvSpPr txBox="1"/>
                      <wps:spPr>
                        <a:xfrm>
                          <a:off x="0" y="0"/>
                          <a:ext cx="832485" cy="1264920"/>
                        </a:xfrm>
                        <a:prstGeom prst="rect">
                          <a:avLst/>
                        </a:prstGeom>
                        <a:noFill/>
                        <a:ln w="12700">
                          <a:noFill/>
                        </a:ln>
                      </wps:spPr>
                      <wps:txbx>
                        <w:txbxContent>
                          <w:p w14:paraId="2745B92E">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工程材料和工程设备的见证取样与不见证取样检验试验</w:t>
                            </w:r>
                          </w:p>
                        </w:txbxContent>
                      </wps:txbx>
                      <wps:bodyPr rot="0" vert="horz" wrap="square" lIns="91440" tIns="45720" rIns="91440" bIns="45720" anchor="t" anchorCtr="0"/>
                    </wps:wsp>
                  </a:graphicData>
                </a:graphic>
              </wp:anchor>
            </w:drawing>
          </mc:Choice>
          <mc:Fallback>
            <w:pict>
              <v:shape id="文本框 897" o:spid="_x0000_s1026" o:spt="202" type="#_x0000_t202" style="position:absolute;left:0pt;margin-left:-9pt;margin-top:12.15pt;height:99.6pt;width:65.55pt;z-index:251814912;mso-width-relative:page;mso-height-relative:page;" filled="f" stroked="f" coordsize="21600,21600" o:gfxdata="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WA0ZZ9gAAAAKAQAADwAAAAAAAAABACAAAAAiAAAAZHJzL2Rvd25yZXYueG1sUEsBAhQAFAAAAAgA&#10;h07iQGvhq2XsAQAAvwMAAA4AAAAAAAAAAQAgAAAAJwEAAGRycy9lMm9Eb2MueG1sUEsFBgAAAAAG&#10;AAYAWQEAAIUFAAAAAA==&#10;">
                <v:fill on="f" focussize="0,0"/>
                <v:stroke on="f" weight="1pt"/>
                <v:imagedata o:title=""/>
                <o:lock v:ext="edit" aspectratio="f"/>
                <v:textbox>
                  <w:txbxContent>
                    <w:p w14:paraId="2745B92E">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工程材料和工程设备的见证取样与不见证取样检验试验</w:t>
                      </w:r>
                    </w:p>
                  </w:txbxContent>
                </v:textbox>
              </v:shape>
            </w:pict>
          </mc:Fallback>
        </mc:AlternateContent>
      </w:r>
      <w:r>
        <w:rPr>
          <w:rFonts w:hint="eastAsia" w:ascii="仿宋" w:hAnsi="仿宋" w:eastAsia="仿宋" w:cs="仿宋"/>
          <w:lang w:eastAsia="zh-CN"/>
        </w:rPr>
        <w:t>工程材料和工程设备等产品的检验试验见证取样和不见证取样的要求：</w:t>
      </w:r>
    </w:p>
    <w:p w14:paraId="6430FB5B">
      <w:pPr>
        <w:widowControl w:val="0"/>
        <w:adjustRightInd w:val="0"/>
        <w:snapToGrid w:val="0"/>
        <w:spacing w:line="400" w:lineRule="exact"/>
        <w:ind w:left="1850" w:leftChars="771"/>
        <w:jc w:val="both"/>
        <w:rPr>
          <w:rFonts w:ascii="仿宋" w:hAnsi="仿宋" w:eastAsia="仿宋"/>
          <w:b/>
          <w:bCs/>
          <w:lang w:eastAsia="zh-CN"/>
        </w:rPr>
      </w:pPr>
      <w:r>
        <w:rPr>
          <w:rFonts w:hint="eastAsia" w:ascii="仿宋" w:hAnsi="仿宋" w:eastAsia="仿宋" w:cs="仿宋"/>
          <w:lang w:eastAsia="zh-CN"/>
        </w:rPr>
        <w:t>（1）作为工程质量验收依据的工程材料、工程设备、装配式构件检测，应当由发包人委托的检测机构检测，不得违规减少依法应由发包人委托的检测项目和数量，非发包人委托的检测机构出具的检测报告不得作为工程质量验收依据。</w:t>
      </w:r>
    </w:p>
    <w:p w14:paraId="3A0BE039">
      <w:pPr>
        <w:widowControl w:val="0"/>
        <w:adjustRightInd w:val="0"/>
        <w:snapToGrid w:val="0"/>
        <w:spacing w:line="400" w:lineRule="exact"/>
        <w:ind w:left="1850" w:leftChars="771"/>
        <w:jc w:val="both"/>
        <w:rPr>
          <w:lang w:eastAsia="zh-CN"/>
        </w:rPr>
      </w:pPr>
      <w:r>
        <w:rPr>
          <w:rFonts w:hint="eastAsia" w:ascii="仿宋" w:hAnsi="仿宋" w:eastAsia="仿宋" w:cs="仿宋"/>
          <w:lang w:eastAsia="zh-CN"/>
        </w:rPr>
        <w:t>（2）对于见证取样、送检或试验工作，必须是监理人或其委派的代表在场时进行，监理人或其委派的代表未发出延期指令也未能按时到场的，承包人必须停止取样、送检或试验工作并通知发包人代表；由此增加的费用和（或）延误的工期由发包人承担，并向承包人支付合理利润。</w:t>
      </w:r>
    </w:p>
    <w:p w14:paraId="5F19BEC2">
      <w:pPr>
        <w:widowControl w:val="0"/>
        <w:adjustRightInd w:val="0"/>
        <w:snapToGrid w:val="0"/>
        <w:spacing w:line="400" w:lineRule="exact"/>
        <w:ind w:left="1850" w:leftChars="771"/>
        <w:jc w:val="both"/>
        <w:rPr>
          <w:rFonts w:ascii="仿宋" w:hAnsi="仿宋" w:eastAsia="仿宋"/>
          <w:lang w:eastAsia="zh-CN"/>
        </w:rPr>
      </w:pPr>
      <w:r>
        <w:rPr>
          <w:rFonts w:hint="eastAsia" w:ascii="仿宋" w:hAnsi="仿宋" w:eastAsia="仿宋" w:cs="仿宋"/>
          <w:lang w:eastAsia="zh-CN"/>
        </w:rPr>
        <w:t>（3）标准规范规定、结构安全要求或合同约定需要进行见证取样检验试验的工程材料和工程设备等产品，承包人应在取样前至少提前</w:t>
      </w:r>
      <w:r>
        <w:rPr>
          <w:rFonts w:ascii="仿宋" w:hAnsi="仿宋" w:eastAsia="仿宋" w:cs="仿宋"/>
          <w:lang w:eastAsia="zh-CN"/>
        </w:rPr>
        <w:t>24</w:t>
      </w:r>
      <w:r>
        <w:rPr>
          <w:rFonts w:hint="eastAsia" w:ascii="仿宋" w:hAnsi="仿宋" w:eastAsia="仿宋" w:cs="仿宋"/>
          <w:lang w:eastAsia="zh-CN"/>
        </w:rPr>
        <w:t>小时通知监理人参加，并在监理人的见证下现场取样，同时送至具有相应资质等级的质量检测机构进行检验试验。</w:t>
      </w:r>
    </w:p>
    <w:p w14:paraId="7B166A97">
      <w:pPr>
        <w:widowControl w:val="0"/>
        <w:adjustRightInd w:val="0"/>
        <w:snapToGrid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4）标准与规范没要求或合同没约定进行见证取样检验试验的工程材料和工程设备等产品，承包人和监理人应按照合同约定进行工程材料和工程设备等产品的检验试验。承包人和监理人应事先协商确定检验试验的时间和地点，并按时到场参加检验试验。如果监理人或其委派的代表不能按时到场参加的，监理人应至少提前</w:t>
      </w:r>
      <w:r>
        <w:rPr>
          <w:rFonts w:ascii="仿宋" w:hAnsi="仿宋" w:eastAsia="仿宋" w:cs="仿宋"/>
          <w:lang w:eastAsia="zh-CN"/>
        </w:rPr>
        <w:t>24</w:t>
      </w:r>
      <w:r>
        <w:rPr>
          <w:rFonts w:hint="eastAsia" w:ascii="仿宋" w:hAnsi="仿宋" w:eastAsia="仿宋" w:cs="仿宋"/>
          <w:lang w:eastAsia="zh-CN"/>
        </w:rPr>
        <w:t>小时发出延期检验试验指令并书面说明理由，延期不得超过</w:t>
      </w:r>
      <w:r>
        <w:rPr>
          <w:rFonts w:ascii="仿宋" w:hAnsi="仿宋" w:eastAsia="仿宋" w:cs="仿宋"/>
          <w:lang w:eastAsia="zh-CN"/>
        </w:rPr>
        <w:t>48</w:t>
      </w:r>
      <w:r>
        <w:rPr>
          <w:rFonts w:hint="eastAsia" w:ascii="仿宋" w:hAnsi="仿宋" w:eastAsia="仿宋" w:cs="仿宋"/>
          <w:lang w:eastAsia="zh-CN"/>
        </w:rPr>
        <w:t>小时。如果监理人或其委派的代表未发出延期指令也未能按时到场检验试验，承包人可自行检验试验，并认为该检验试验是经监理人同意下完成的；检验试验完成后，承包人应立即向监理人提交检验试验结果的有效证据，监理人应予认可。</w:t>
      </w:r>
    </w:p>
    <w:p w14:paraId="366BBCBD">
      <w:pPr>
        <w:spacing w:line="400" w:lineRule="exact"/>
        <w:rPr>
          <w:rFonts w:ascii="仿宋" w:hAnsi="仿宋" w:eastAsia="仿宋"/>
          <w:lang w:eastAsia="zh-CN"/>
        </w:rPr>
      </w:pPr>
      <w:bookmarkStart w:id="470" w:name="_Toc15753"/>
      <w:r>
        <w:rPr>
          <w:rFonts w:ascii="仿宋" w:hAnsi="仿宋" w:eastAsia="仿宋" w:cs="仿宋"/>
          <w:b/>
          <w:bCs/>
          <w:lang w:eastAsia="zh-CN"/>
        </w:rPr>
        <w:t>5</w:t>
      </w:r>
      <w:r>
        <w:rPr>
          <w:rFonts w:hint="eastAsia" w:ascii="仿宋" w:hAnsi="仿宋" w:eastAsia="仿宋" w:cs="仿宋"/>
          <w:b/>
          <w:bCs/>
          <w:lang w:eastAsia="zh-CN"/>
        </w:rPr>
        <w:t>7</w:t>
      </w:r>
      <w:r>
        <w:rPr>
          <w:rFonts w:ascii="仿宋" w:hAnsi="仿宋" w:eastAsia="仿宋" w:cs="仿宋"/>
          <w:b/>
          <w:bCs/>
          <w:lang w:eastAsia="zh-CN"/>
        </w:rPr>
        <w:t>.</w:t>
      </w:r>
      <w:r>
        <w:rPr>
          <w:rFonts w:hint="eastAsia" w:ascii="仿宋" w:hAnsi="仿宋" w:eastAsia="仿宋" w:cs="仿宋"/>
          <w:b/>
          <w:bCs/>
          <w:lang w:eastAsia="zh-CN"/>
        </w:rPr>
        <w:t>4</w:t>
      </w:r>
      <w:bookmarkEnd w:id="470"/>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51B0E65F">
      <w:pPr>
        <w:widowControl w:val="0"/>
        <w:adjustRightInd w:val="0"/>
        <w:snapToGrid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815936" behindDoc="0" locked="0" layoutInCell="1" allowOverlap="1">
                <wp:simplePos x="0" y="0"/>
                <wp:positionH relativeFrom="column">
                  <wp:posOffset>-66675</wp:posOffset>
                </wp:positionH>
                <wp:positionV relativeFrom="paragraph">
                  <wp:posOffset>11430</wp:posOffset>
                </wp:positionV>
                <wp:extent cx="814070" cy="473710"/>
                <wp:effectExtent l="0" t="0" r="0" b="0"/>
                <wp:wrapNone/>
                <wp:docPr id="250" name="文本框 898"/>
                <wp:cNvGraphicFramePr/>
                <a:graphic xmlns:a="http://schemas.openxmlformats.org/drawingml/2006/main">
                  <a:graphicData uri="http://schemas.microsoft.com/office/word/2010/wordprocessingShape">
                    <wps:wsp>
                      <wps:cNvSpPr txBox="1"/>
                      <wps:spPr>
                        <a:xfrm>
                          <a:off x="0" y="0"/>
                          <a:ext cx="814070" cy="473710"/>
                        </a:xfrm>
                        <a:prstGeom prst="rect">
                          <a:avLst/>
                        </a:prstGeom>
                        <a:noFill/>
                        <a:ln w="12700">
                          <a:noFill/>
                        </a:ln>
                      </wps:spPr>
                      <wps:txbx>
                        <w:txbxContent>
                          <w:p w14:paraId="6C7B3EF8">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工程材料和工程设备的使用</w:t>
                            </w:r>
                          </w:p>
                        </w:txbxContent>
                      </wps:txbx>
                      <wps:bodyPr rot="0" vert="horz" wrap="square" lIns="91440" tIns="45720" rIns="91440" bIns="45720" anchor="t" anchorCtr="0"/>
                    </wps:wsp>
                  </a:graphicData>
                </a:graphic>
              </wp:anchor>
            </w:drawing>
          </mc:Choice>
          <mc:Fallback>
            <w:pict>
              <v:shape id="文本框 898" o:spid="_x0000_s1026" o:spt="202" type="#_x0000_t202" style="position:absolute;left:0pt;margin-left:-5.25pt;margin-top:0.9pt;height:37.3pt;width:64.1pt;z-index:251815936;mso-width-relative:page;mso-height-relative:page;" filled="f" stroked="f" coordsize="21600,21600" o:gfxdata="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in2uD&#10;1gAAAAgBAAAPAAAAAAAAAAEAIAAAACIAAABkcnMvZG93bnJldi54bWxQSwECFAAUAAAACACHTuJA&#10;j0en6OoBAAC+AwAADgAAAAAAAAABACAAAAAlAQAAZHJzL2Uyb0RvYy54bWxQSwUGAAAAAAYABgBZ&#10;AQAAgQUAAAAA&#10;">
                <v:fill on="f" focussize="0,0"/>
                <v:stroke on="f" weight="1pt"/>
                <v:imagedata o:title=""/>
                <o:lock v:ext="edit" aspectratio="f"/>
                <v:textbox>
                  <w:txbxContent>
                    <w:p w14:paraId="6C7B3EF8">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工程材料和工程设备的使用</w:t>
                      </w:r>
                    </w:p>
                  </w:txbxContent>
                </v:textbox>
              </v:shape>
            </w:pict>
          </mc:Fallback>
        </mc:AlternateContent>
      </w:r>
      <w:r>
        <w:rPr>
          <w:rFonts w:hint="eastAsia" w:ascii="仿宋" w:hAnsi="仿宋" w:eastAsia="仿宋" w:cs="仿宋"/>
          <w:lang w:eastAsia="zh-CN"/>
        </w:rPr>
        <w:t>工程材料和工程设备等产品检验试验合格的，可在合同工程中使用。工程材料和工程设备等产品检验试验不合格的，禁止在合同工程中使用，并及时清出施工场地。</w:t>
      </w:r>
    </w:p>
    <w:p w14:paraId="29023BD5">
      <w:pPr>
        <w:spacing w:line="400" w:lineRule="exact"/>
        <w:rPr>
          <w:rFonts w:ascii="仿宋" w:hAnsi="仿宋" w:eastAsia="仿宋"/>
          <w:u w:val="dotted"/>
          <w:lang w:eastAsia="zh-CN"/>
        </w:rPr>
      </w:pPr>
      <w:bookmarkStart w:id="471" w:name="_Toc9196"/>
      <w:r>
        <w:rPr>
          <w:rFonts w:ascii="仿宋" w:hAnsi="仿宋" w:eastAsia="仿宋" w:cs="仿宋"/>
          <w:b/>
          <w:bCs/>
          <w:lang w:eastAsia="zh-CN"/>
        </w:rPr>
        <w:t>5</w:t>
      </w:r>
      <w:r>
        <w:rPr>
          <w:rFonts w:hint="eastAsia" w:ascii="仿宋" w:hAnsi="仿宋" w:eastAsia="仿宋" w:cs="仿宋"/>
          <w:b/>
          <w:bCs/>
          <w:lang w:eastAsia="zh-CN"/>
        </w:rPr>
        <w:t>7</w:t>
      </w:r>
      <w:r>
        <w:rPr>
          <w:rFonts w:ascii="仿宋" w:hAnsi="仿宋" w:eastAsia="仿宋" w:cs="仿宋"/>
          <w:b/>
          <w:bCs/>
          <w:lang w:eastAsia="zh-CN"/>
        </w:rPr>
        <w:t>.</w:t>
      </w:r>
      <w:r>
        <w:rPr>
          <w:rFonts w:hint="eastAsia" w:ascii="仿宋" w:hAnsi="仿宋" w:eastAsia="仿宋" w:cs="仿宋"/>
          <w:b/>
          <w:bCs/>
          <w:lang w:eastAsia="zh-CN"/>
        </w:rPr>
        <w:t>5</w:t>
      </w:r>
      <w:bookmarkEnd w:id="471"/>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3931B1C0">
      <w:pPr>
        <w:widowControl w:val="0"/>
        <w:adjustRightInd w:val="0"/>
        <w:snapToGrid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816960" behindDoc="0" locked="0" layoutInCell="1" allowOverlap="1">
                <wp:simplePos x="0" y="0"/>
                <wp:positionH relativeFrom="column">
                  <wp:posOffset>-114300</wp:posOffset>
                </wp:positionH>
                <wp:positionV relativeFrom="paragraph">
                  <wp:posOffset>15240</wp:posOffset>
                </wp:positionV>
                <wp:extent cx="861695" cy="748030"/>
                <wp:effectExtent l="0" t="0" r="0" b="0"/>
                <wp:wrapNone/>
                <wp:docPr id="251" name="文本框 899"/>
                <wp:cNvGraphicFramePr/>
                <a:graphic xmlns:a="http://schemas.openxmlformats.org/drawingml/2006/main">
                  <a:graphicData uri="http://schemas.microsoft.com/office/word/2010/wordprocessingShape">
                    <wps:wsp>
                      <wps:cNvSpPr txBox="1"/>
                      <wps:spPr>
                        <a:xfrm>
                          <a:off x="0" y="0"/>
                          <a:ext cx="861695" cy="748030"/>
                        </a:xfrm>
                        <a:prstGeom prst="rect">
                          <a:avLst/>
                        </a:prstGeom>
                        <a:noFill/>
                        <a:ln w="12700">
                          <a:noFill/>
                        </a:ln>
                      </wps:spPr>
                      <wps:txbx>
                        <w:txbxContent>
                          <w:p w14:paraId="7435F3F5">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工程材料和工程设备的检验试验费用</w:t>
                            </w:r>
                          </w:p>
                        </w:txbxContent>
                      </wps:txbx>
                      <wps:bodyPr rot="0" vert="horz" wrap="square" lIns="91440" tIns="45720" rIns="91440" bIns="45720" anchor="t" anchorCtr="0"/>
                    </wps:wsp>
                  </a:graphicData>
                </a:graphic>
              </wp:anchor>
            </w:drawing>
          </mc:Choice>
          <mc:Fallback>
            <w:pict>
              <v:shape id="文本框 899" o:spid="_x0000_s1026" o:spt="202" type="#_x0000_t202" style="position:absolute;left:0pt;margin-left:-9pt;margin-top:1.2pt;height:58.9pt;width:67.85pt;z-index:251816960;mso-width-relative:page;mso-height-relative:page;" filled="f" stroked="f" coordsize="21600,21600" o:gfxdata="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FZ&#10;QoDXAAAACQEAAA8AAAAAAAAAAQAgAAAAIgAAAGRycy9kb3ducmV2LnhtbFBLAQIUABQAAAAIAIdO&#10;4kDrlHdn6wEAAL4DAAAOAAAAAAAAAAEAIAAAACYBAABkcnMvZTJvRG9jLnhtbFBLBQYAAAAABgAG&#10;AFkBAACDBQAAAAA=&#10;">
                <v:fill on="f" focussize="0,0"/>
                <v:stroke on="f" weight="1pt"/>
                <v:imagedata o:title=""/>
                <o:lock v:ext="edit" aspectratio="f"/>
                <v:textbox>
                  <w:txbxContent>
                    <w:p w14:paraId="7435F3F5">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工程材料和工程设备的检验试验费用</w:t>
                      </w:r>
                    </w:p>
                  </w:txbxContent>
                </v:textbox>
              </v:shape>
            </w:pict>
          </mc:Fallback>
        </mc:AlternateContent>
      </w:r>
      <w:r>
        <w:rPr>
          <w:rFonts w:hint="eastAsia" w:ascii="仿宋" w:hAnsi="仿宋" w:eastAsia="仿宋" w:cs="仿宋"/>
          <w:lang w:eastAsia="zh-CN"/>
        </w:rPr>
        <w:t>除合同价格已包括外，工程材料和工程设备等产品的检验试验费，按照实际发生的费用计算。</w:t>
      </w:r>
    </w:p>
    <w:p w14:paraId="0AD2DC1D">
      <w:pPr>
        <w:widowControl w:val="0"/>
        <w:adjustRightInd w:val="0"/>
        <w:snapToGrid w:val="0"/>
        <w:spacing w:line="400" w:lineRule="exact"/>
        <w:ind w:left="1850" w:leftChars="771"/>
        <w:jc w:val="both"/>
        <w:rPr>
          <w:rFonts w:ascii="仿宋" w:hAnsi="仿宋" w:eastAsia="仿宋" w:cs="仿宋"/>
          <w:strike/>
          <w:lang w:eastAsia="zh-CN"/>
        </w:rPr>
      </w:pPr>
      <w:r>
        <w:rPr>
          <w:rFonts w:hint="eastAsia" w:ascii="仿宋" w:hAnsi="仿宋" w:eastAsia="仿宋" w:cs="仿宋"/>
          <w:lang w:eastAsia="zh-CN"/>
        </w:rPr>
        <w:t>（</w:t>
      </w:r>
      <w:r>
        <w:rPr>
          <w:rFonts w:ascii="仿宋" w:hAnsi="仿宋" w:eastAsia="仿宋" w:cs="仿宋"/>
          <w:lang w:eastAsia="zh-CN"/>
        </w:rPr>
        <w:t>1</w:t>
      </w:r>
      <w:r>
        <w:rPr>
          <w:rFonts w:hint="eastAsia" w:ascii="仿宋" w:hAnsi="仿宋" w:eastAsia="仿宋" w:cs="仿宋"/>
          <w:lang w:eastAsia="zh-CN"/>
        </w:rPr>
        <w:t>）现场使用前工程材料和工程设备等产品的检验试验，发包人供应的，检验试验费由发包人承担；承包人采购的，检验试验费由承包人承担。</w:t>
      </w:r>
    </w:p>
    <w:p w14:paraId="35B9A430">
      <w:pPr>
        <w:widowControl w:val="0"/>
        <w:adjustRightInd w:val="0"/>
        <w:snapToGrid w:val="0"/>
        <w:spacing w:line="400" w:lineRule="exact"/>
        <w:ind w:left="1850" w:leftChars="771"/>
        <w:jc w:val="both"/>
        <w:rPr>
          <w:rFonts w:ascii="仿宋" w:hAnsi="仿宋" w:eastAsia="仿宋"/>
          <w:b/>
          <w:bCs/>
          <w:lang w:eastAsia="zh-CN"/>
        </w:rPr>
      </w:pPr>
      <w:r>
        <w:rPr>
          <w:rFonts w:hint="eastAsia" w:ascii="仿宋" w:hAnsi="仿宋" w:eastAsia="仿宋" w:cs="仿宋"/>
          <w:lang w:eastAsia="zh-CN"/>
        </w:rPr>
        <w:t>（2）作为工程质量验收依据的工程材料、工程设备、装配式构件检测，依法应由发包人委托的，发包人应按时足额支付检测费用；承包人自行委托的检测机构出具的检测报告不得作为工程质量验收依据，其费用由承包人自行承担。</w:t>
      </w:r>
    </w:p>
    <w:p w14:paraId="7CCC9294">
      <w:pPr>
        <w:spacing w:line="400" w:lineRule="exact"/>
        <w:rPr>
          <w:rFonts w:ascii="仿宋" w:hAnsi="仿宋" w:eastAsia="仿宋"/>
          <w:b/>
          <w:bCs/>
          <w:lang w:eastAsia="zh-CN"/>
        </w:rPr>
      </w:pPr>
      <w:bookmarkStart w:id="472" w:name="_Toc19693"/>
      <w:r>
        <w:rPr>
          <w:rFonts w:ascii="仿宋" w:hAnsi="仿宋" w:eastAsia="仿宋" w:cs="仿宋"/>
          <w:b/>
          <w:bCs/>
          <w:lang w:eastAsia="zh-CN"/>
        </w:rPr>
        <w:t>5</w:t>
      </w:r>
      <w:r>
        <w:rPr>
          <w:rFonts w:hint="eastAsia" w:ascii="仿宋" w:hAnsi="仿宋" w:eastAsia="仿宋" w:cs="仿宋"/>
          <w:b/>
          <w:bCs/>
          <w:lang w:eastAsia="zh-CN"/>
        </w:rPr>
        <w:t>7</w:t>
      </w:r>
      <w:r>
        <w:rPr>
          <w:rFonts w:ascii="仿宋" w:hAnsi="仿宋" w:eastAsia="仿宋" w:cs="仿宋"/>
          <w:b/>
          <w:bCs/>
          <w:lang w:eastAsia="zh-CN"/>
        </w:rPr>
        <w:t>.</w:t>
      </w:r>
      <w:r>
        <w:rPr>
          <w:rFonts w:hint="eastAsia" w:ascii="仿宋" w:hAnsi="仿宋" w:eastAsia="仿宋" w:cs="仿宋"/>
          <w:b/>
          <w:bCs/>
          <w:lang w:eastAsia="zh-CN"/>
        </w:rPr>
        <w:t>6</w:t>
      </w:r>
      <w:bookmarkEnd w:id="472"/>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25BC3E0C">
      <w:pPr>
        <w:widowControl w:val="0"/>
        <w:adjustRightInd w:val="0"/>
        <w:snapToGrid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817984" behindDoc="0" locked="0" layoutInCell="1" allowOverlap="1">
                <wp:simplePos x="0" y="0"/>
                <wp:positionH relativeFrom="column">
                  <wp:posOffset>-114300</wp:posOffset>
                </wp:positionH>
                <wp:positionV relativeFrom="paragraph">
                  <wp:posOffset>8255</wp:posOffset>
                </wp:positionV>
                <wp:extent cx="784860" cy="558800"/>
                <wp:effectExtent l="0" t="0" r="0" b="0"/>
                <wp:wrapNone/>
                <wp:docPr id="252" name="文本框 900"/>
                <wp:cNvGraphicFramePr/>
                <a:graphic xmlns:a="http://schemas.openxmlformats.org/drawingml/2006/main">
                  <a:graphicData uri="http://schemas.microsoft.com/office/word/2010/wordprocessingShape">
                    <wps:wsp>
                      <wps:cNvSpPr txBox="1"/>
                      <wps:spPr>
                        <a:xfrm>
                          <a:off x="0" y="0"/>
                          <a:ext cx="784860" cy="558800"/>
                        </a:xfrm>
                        <a:prstGeom prst="rect">
                          <a:avLst/>
                        </a:prstGeom>
                        <a:noFill/>
                        <a:ln w="12700">
                          <a:noFill/>
                        </a:ln>
                      </wps:spPr>
                      <wps:txbx>
                        <w:txbxContent>
                          <w:p w14:paraId="4DD149BF">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再次检验试验及其费用承担</w:t>
                            </w:r>
                          </w:p>
                        </w:txbxContent>
                      </wps:txbx>
                      <wps:bodyPr rot="0" vert="horz" wrap="square" lIns="91440" tIns="45720" rIns="91440" bIns="45720" anchor="t" anchorCtr="0"/>
                    </wps:wsp>
                  </a:graphicData>
                </a:graphic>
              </wp:anchor>
            </w:drawing>
          </mc:Choice>
          <mc:Fallback>
            <w:pict>
              <v:shape id="文本框 900" o:spid="_x0000_s1026" o:spt="202" type="#_x0000_t202" style="position:absolute;left:0pt;margin-left:-9pt;margin-top:0.65pt;height:44pt;width:61.8pt;z-index:251817984;mso-width-relative:page;mso-height-relative:page;" filled="f" stroked="f" coordsize="21600,21600" o:gfxdata="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K73YunWAAAA&#10;CAEAAA8AAAAAAAAAAQAgAAAAIgAAAGRycy9kb3ducmV2LnhtbFBLAQIUABQAAAAIAIdO4kDvIegX&#10;5gEAAL4DAAAOAAAAAAAAAAEAIAAAACUBAABkcnMvZTJvRG9jLnhtbFBLBQYAAAAABgAGAFkBAAB9&#10;BQAAAAA=&#10;">
                <v:fill on="f" focussize="0,0"/>
                <v:stroke on="f" weight="1pt"/>
                <v:imagedata o:title=""/>
                <o:lock v:ext="edit" aspectratio="f"/>
                <v:textbox>
                  <w:txbxContent>
                    <w:p w14:paraId="4DD149BF">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再次检验试验及其费用承担</w:t>
                      </w:r>
                    </w:p>
                  </w:txbxContent>
                </v:textbox>
              </v:shape>
            </w:pict>
          </mc:Fallback>
        </mc:AlternateContent>
      </w:r>
      <w:r>
        <w:rPr>
          <w:rFonts w:hint="eastAsia" w:ascii="仿宋" w:hAnsi="仿宋" w:eastAsia="仿宋" w:cs="仿宋"/>
          <w:lang w:eastAsia="zh-CN"/>
        </w:rPr>
        <w:t>监理人对承包人自行检验试验结果有疑问的，可要求承包人共同对工程材料和工程设备等再次检验试验。</w:t>
      </w:r>
    </w:p>
    <w:p w14:paraId="4C0B245E">
      <w:pPr>
        <w:widowControl w:val="0"/>
        <w:adjustRightInd w:val="0"/>
        <w:snapToGrid w:val="0"/>
        <w:spacing w:line="400" w:lineRule="exact"/>
        <w:ind w:left="1850" w:leftChars="771"/>
        <w:jc w:val="both"/>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1</w:t>
      </w:r>
      <w:r>
        <w:rPr>
          <w:rFonts w:hint="eastAsia" w:ascii="仿宋" w:hAnsi="仿宋" w:eastAsia="仿宋" w:cs="仿宋"/>
          <w:lang w:eastAsia="zh-CN"/>
        </w:rPr>
        <w:t>）合格的，再次检验试验费和（或）延误的工期由发包人承担，并向承包人支付合理利润。</w:t>
      </w:r>
    </w:p>
    <w:p w14:paraId="3E28E6E3">
      <w:pPr>
        <w:widowControl w:val="0"/>
        <w:adjustRightInd w:val="0"/>
        <w:snapToGrid w:val="0"/>
        <w:spacing w:line="400" w:lineRule="exact"/>
        <w:ind w:left="1850" w:leftChars="771"/>
        <w:jc w:val="both"/>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2</w:t>
      </w:r>
      <w:r>
        <w:rPr>
          <w:rFonts w:hint="eastAsia" w:ascii="仿宋" w:hAnsi="仿宋" w:eastAsia="仿宋" w:cs="仿宋"/>
          <w:lang w:eastAsia="zh-CN"/>
        </w:rPr>
        <w:t>）不合格的，发包人供应的，再次检验试验费和（或）延误的工期由发包人承担，并向承包人支付合理利润；承包人采购的，再次检验试验费和（或）延误的工期由承包人承担。</w:t>
      </w:r>
    </w:p>
    <w:p w14:paraId="62C9CB1F">
      <w:pPr>
        <w:spacing w:line="400" w:lineRule="exact"/>
        <w:rPr>
          <w:rFonts w:ascii="仿宋" w:hAnsi="仿宋" w:eastAsia="仿宋"/>
          <w:lang w:eastAsia="zh-CN"/>
        </w:rPr>
      </w:pPr>
      <w:bookmarkStart w:id="473" w:name="_Toc27295"/>
      <w:r>
        <w:rPr>
          <w:rFonts w:ascii="仿宋" w:hAnsi="仿宋" w:eastAsia="仿宋" w:cs="仿宋"/>
          <w:b/>
          <w:bCs/>
          <w:lang w:eastAsia="zh-CN"/>
        </w:rPr>
        <w:t>5</w:t>
      </w:r>
      <w:r>
        <w:rPr>
          <w:rFonts w:hint="eastAsia" w:ascii="仿宋" w:hAnsi="仿宋" w:eastAsia="仿宋" w:cs="仿宋"/>
          <w:b/>
          <w:bCs/>
          <w:lang w:eastAsia="zh-CN"/>
        </w:rPr>
        <w:t>7</w:t>
      </w:r>
      <w:r>
        <w:rPr>
          <w:rFonts w:ascii="仿宋" w:hAnsi="仿宋" w:eastAsia="仿宋" w:cs="仿宋"/>
          <w:b/>
          <w:bCs/>
          <w:lang w:eastAsia="zh-CN"/>
        </w:rPr>
        <w:t>.</w:t>
      </w:r>
      <w:r>
        <w:rPr>
          <w:rFonts w:hint="eastAsia" w:ascii="仿宋" w:hAnsi="仿宋" w:eastAsia="仿宋" w:cs="仿宋"/>
          <w:b/>
          <w:bCs/>
          <w:lang w:eastAsia="zh-CN"/>
        </w:rPr>
        <w:t>7</w:t>
      </w:r>
      <w:r>
        <w:rPr>
          <w:rFonts w:ascii="仿宋" w:hAnsi="仿宋" w:eastAsia="仿宋" w:cs="仿宋"/>
          <w:b/>
          <w:bCs/>
          <w:lang w:eastAsia="zh-CN"/>
        </w:rPr>
        <w:t xml:space="preserve"> </w:t>
      </w:r>
      <w:r>
        <w:rPr>
          <w:rFonts w:ascii="仿宋" w:hAnsi="仿宋" w:eastAsia="仿宋" w:cs="仿宋"/>
          <w:b/>
          <w:bCs/>
          <w:u w:val="dotted"/>
          <w:lang w:eastAsia="zh-CN"/>
        </w:rPr>
        <w:t xml:space="preserve">                                                                           </w:t>
      </w:r>
      <w:r>
        <mc:AlternateContent>
          <mc:Choice Requires="wps">
            <w:drawing>
              <wp:anchor distT="0" distB="0" distL="114300" distR="114300" simplePos="0" relativeHeight="251819008" behindDoc="0" locked="0" layoutInCell="1" allowOverlap="1">
                <wp:simplePos x="0" y="0"/>
                <wp:positionH relativeFrom="column">
                  <wp:posOffset>-114300</wp:posOffset>
                </wp:positionH>
                <wp:positionV relativeFrom="paragraph">
                  <wp:posOffset>245110</wp:posOffset>
                </wp:positionV>
                <wp:extent cx="814070" cy="576580"/>
                <wp:effectExtent l="0" t="0" r="0" b="0"/>
                <wp:wrapNone/>
                <wp:docPr id="253" name="文本框 901"/>
                <wp:cNvGraphicFramePr/>
                <a:graphic xmlns:a="http://schemas.openxmlformats.org/drawingml/2006/main">
                  <a:graphicData uri="http://schemas.microsoft.com/office/word/2010/wordprocessingShape">
                    <wps:wsp>
                      <wps:cNvSpPr txBox="1"/>
                      <wps:spPr>
                        <a:xfrm>
                          <a:off x="0" y="0"/>
                          <a:ext cx="814070" cy="576580"/>
                        </a:xfrm>
                        <a:prstGeom prst="rect">
                          <a:avLst/>
                        </a:prstGeom>
                        <a:noFill/>
                        <a:ln w="12700">
                          <a:noFill/>
                        </a:ln>
                      </wps:spPr>
                      <wps:txbx>
                        <w:txbxContent>
                          <w:p w14:paraId="3F1D8CD7">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工程材料和工程设备质量有争议的处理</w:t>
                            </w:r>
                          </w:p>
                        </w:txbxContent>
                      </wps:txbx>
                      <wps:bodyPr rot="0" vert="horz" wrap="square" lIns="91440" tIns="45720" rIns="91440" bIns="45720" anchor="t" anchorCtr="0"/>
                    </wps:wsp>
                  </a:graphicData>
                </a:graphic>
              </wp:anchor>
            </w:drawing>
          </mc:Choice>
          <mc:Fallback>
            <w:pict>
              <v:shape id="文本框 901" o:spid="_x0000_s1026" o:spt="202" type="#_x0000_t202" style="position:absolute;left:0pt;margin-left:-9pt;margin-top:19.3pt;height:45.4pt;width:64.1pt;z-index:251819008;mso-width-relative:page;mso-height-relative:page;" filled="f" stroked="f" coordsize="21600,21600" o:gfxdata="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4aG7NdkAAAAKAQAADwAAAAAAAAABACAAAAAiAAAAZHJzL2Rvd25yZXYueG1sUEsBAhQAFAAAAAgA&#10;h07iQHn/llbrAQAAvgMAAA4AAAAAAAAAAQAgAAAAKAEAAGRycy9lMm9Eb2MueG1sUEsFBgAAAAAG&#10;AAYAWQEAAIUFAAAAAA==&#10;">
                <v:fill on="f" focussize="0,0"/>
                <v:stroke on="f" weight="1pt"/>
                <v:imagedata o:title=""/>
                <o:lock v:ext="edit" aspectratio="f"/>
                <v:textbox>
                  <w:txbxContent>
                    <w:p w14:paraId="3F1D8CD7">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工程材料和工程设备质量有争议的处理</w:t>
                      </w:r>
                    </w:p>
                  </w:txbxContent>
                </v:textbox>
              </v:shape>
            </w:pict>
          </mc:Fallback>
        </mc:AlternateContent>
      </w:r>
      <w:bookmarkEnd w:id="473"/>
      <w:r>
        <w:rPr>
          <w:rFonts w:ascii="仿宋" w:hAnsi="仿宋" w:eastAsia="仿宋" w:cs="仿宋"/>
          <w:b/>
          <w:bCs/>
          <w:u w:val="dotted"/>
          <w:lang w:eastAsia="zh-CN"/>
        </w:rPr>
        <w:t xml:space="preserve">    </w:t>
      </w:r>
    </w:p>
    <w:p w14:paraId="3AAE0F80">
      <w:pPr>
        <w:widowControl w:val="0"/>
        <w:adjustRightInd w:val="0"/>
        <w:snapToGrid w:val="0"/>
        <w:spacing w:line="400" w:lineRule="exact"/>
        <w:ind w:left="1850" w:leftChars="771"/>
        <w:jc w:val="both"/>
        <w:rPr>
          <w:rFonts w:ascii="仿宋" w:hAnsi="仿宋" w:eastAsia="仿宋"/>
          <w:lang w:eastAsia="zh-CN"/>
        </w:rPr>
      </w:pPr>
      <w:r>
        <w:rPr>
          <w:rFonts w:hint="eastAsia" w:ascii="仿宋" w:hAnsi="仿宋" w:eastAsia="仿宋" w:cs="仿宋"/>
          <w:lang w:eastAsia="zh-CN"/>
        </w:rPr>
        <w:t>合同双方当事人对工程材料和工程设备等产品质量有争议的，所需的检验试验费由责任方承担。双方均有责任的，由双方根据其责任划分分别承担。</w:t>
      </w:r>
    </w:p>
    <w:p w14:paraId="4FA32CAC">
      <w:pPr>
        <w:pStyle w:val="12"/>
        <w:adjustRightInd w:val="0"/>
        <w:snapToGrid w:val="0"/>
        <w:spacing w:line="400" w:lineRule="exact"/>
        <w:ind w:firstLine="0"/>
        <w:rPr>
          <w:rFonts w:ascii="仿宋" w:hAnsi="仿宋" w:eastAsia="仿宋" w:cs="仿宋"/>
          <w:u w:val="single"/>
          <w:lang w:eastAsia="zh-CN"/>
        </w:rPr>
      </w:pPr>
      <w:r>
        <w:rPr>
          <w:rFonts w:ascii="仿宋" w:hAnsi="仿宋" w:eastAsia="仿宋" w:cs="仿宋"/>
          <w:b/>
          <w:bCs/>
          <w:u w:val="single"/>
          <w:lang w:eastAsia="zh-CN"/>
        </w:rPr>
        <w:t xml:space="preserve">                                                                                  </w:t>
      </w:r>
      <w:r>
        <w:rPr>
          <w:rFonts w:ascii="仿宋" w:hAnsi="仿宋" w:eastAsia="仿宋" w:cs="仿宋"/>
          <w:u w:val="single"/>
          <w:lang w:eastAsia="zh-CN"/>
        </w:rPr>
        <w:t xml:space="preserve">   </w:t>
      </w:r>
    </w:p>
    <w:p w14:paraId="0A5BA42D">
      <w:pPr>
        <w:pStyle w:val="4"/>
        <w:tabs>
          <w:tab w:val="left" w:pos="420"/>
        </w:tabs>
        <w:spacing w:before="0" w:after="0" w:line="400" w:lineRule="exact"/>
        <w:rPr>
          <w:rFonts w:ascii="仿宋" w:hAnsi="仿宋" w:eastAsia="仿宋" w:cs="仿宋"/>
          <w:bCs w:val="0"/>
          <w:sz w:val="24"/>
          <w:szCs w:val="24"/>
          <w:lang w:eastAsia="zh-CN"/>
        </w:rPr>
      </w:pPr>
      <w:bookmarkStart w:id="474" w:name="_Toc26362"/>
      <w:bookmarkStart w:id="475" w:name="_Toc194073168"/>
      <w:bookmarkStart w:id="476" w:name="_Toc30034"/>
      <w:bookmarkStart w:id="477" w:name="_Toc18624"/>
      <w:r>
        <w:rPr>
          <w:rFonts w:ascii="仿宋" w:hAnsi="仿宋" w:eastAsia="仿宋" w:cs="仿宋"/>
          <w:bCs w:val="0"/>
          <w:sz w:val="24"/>
          <w:szCs w:val="24"/>
          <w:lang w:eastAsia="zh-CN"/>
        </w:rPr>
        <w:t>5</w:t>
      </w:r>
      <w:r>
        <w:rPr>
          <w:rFonts w:hint="eastAsia" w:ascii="仿宋" w:hAnsi="仿宋" w:eastAsia="仿宋" w:cs="仿宋"/>
          <w:bCs w:val="0"/>
          <w:sz w:val="24"/>
          <w:szCs w:val="24"/>
          <w:lang w:eastAsia="zh-CN"/>
        </w:rPr>
        <w:t>8</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施工设备和临时设施</w:t>
      </w:r>
      <w:bookmarkEnd w:id="474"/>
      <w:bookmarkEnd w:id="475"/>
      <w:bookmarkEnd w:id="476"/>
      <w:bookmarkEnd w:id="477"/>
    </w:p>
    <w:p w14:paraId="50B2D948">
      <w:pPr>
        <w:spacing w:line="400" w:lineRule="exact"/>
        <w:rPr>
          <w:rFonts w:ascii="仿宋" w:hAnsi="仿宋" w:eastAsia="仿宋" w:cs="仿宋"/>
          <w:b/>
          <w:bCs/>
          <w:lang w:eastAsia="zh-CN"/>
        </w:rPr>
      </w:pPr>
      <w:bookmarkStart w:id="478" w:name="_Toc3020"/>
      <w:r>
        <w:rPr>
          <w:rFonts w:ascii="仿宋" w:hAnsi="仿宋" w:eastAsia="仿宋" w:cs="仿宋"/>
          <w:b/>
          <w:bCs/>
          <w:lang w:eastAsia="zh-CN"/>
        </w:rPr>
        <w:t>5</w:t>
      </w:r>
      <w:r>
        <w:rPr>
          <w:rFonts w:hint="eastAsia" w:ascii="仿宋" w:hAnsi="仿宋" w:eastAsia="仿宋" w:cs="仿宋"/>
          <w:b/>
          <w:bCs/>
          <w:lang w:eastAsia="zh-CN"/>
        </w:rPr>
        <w:t>8</w:t>
      </w:r>
      <w:r>
        <w:rPr>
          <w:rFonts w:ascii="仿宋" w:hAnsi="仿宋" w:eastAsia="仿宋" w:cs="仿宋"/>
          <w:b/>
          <w:bCs/>
          <w:lang w:eastAsia="zh-CN"/>
        </w:rPr>
        <w:t>.1</w:t>
      </w:r>
      <w:bookmarkEnd w:id="478"/>
    </w:p>
    <w:p w14:paraId="11019E3C">
      <w:pPr>
        <w:widowControl w:val="0"/>
        <w:adjustRightInd w:val="0"/>
        <w:snapToGrid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820032" behindDoc="0" locked="0" layoutInCell="1" allowOverlap="1">
                <wp:simplePos x="0" y="0"/>
                <wp:positionH relativeFrom="column">
                  <wp:posOffset>-73660</wp:posOffset>
                </wp:positionH>
                <wp:positionV relativeFrom="paragraph">
                  <wp:posOffset>5715</wp:posOffset>
                </wp:positionV>
                <wp:extent cx="831215" cy="579120"/>
                <wp:effectExtent l="0" t="0" r="0" b="0"/>
                <wp:wrapNone/>
                <wp:docPr id="254" name="文本框 902"/>
                <wp:cNvGraphicFramePr/>
                <a:graphic xmlns:a="http://schemas.openxmlformats.org/drawingml/2006/main">
                  <a:graphicData uri="http://schemas.microsoft.com/office/word/2010/wordprocessingShape">
                    <wps:wsp>
                      <wps:cNvSpPr txBox="1"/>
                      <wps:spPr>
                        <a:xfrm>
                          <a:off x="0" y="0"/>
                          <a:ext cx="831215" cy="579120"/>
                        </a:xfrm>
                        <a:prstGeom prst="rect">
                          <a:avLst/>
                        </a:prstGeom>
                        <a:noFill/>
                        <a:ln w="12700">
                          <a:noFill/>
                        </a:ln>
                      </wps:spPr>
                      <wps:txbx>
                        <w:txbxContent>
                          <w:p w14:paraId="13D70F87">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承包人配置的施工设备和临时设施</w:t>
                            </w:r>
                          </w:p>
                        </w:txbxContent>
                      </wps:txbx>
                      <wps:bodyPr rot="0" vert="horz" wrap="square" lIns="91440" tIns="45720" rIns="91440" bIns="45720" anchor="t" anchorCtr="0"/>
                    </wps:wsp>
                  </a:graphicData>
                </a:graphic>
              </wp:anchor>
            </w:drawing>
          </mc:Choice>
          <mc:Fallback>
            <w:pict>
              <v:shape id="文本框 902" o:spid="_x0000_s1026" o:spt="202" type="#_x0000_t202" style="position:absolute;left:0pt;margin-left:-5.8pt;margin-top:0.45pt;height:45.6pt;width:65.45pt;z-index:251820032;mso-width-relative:page;mso-height-relative:page;" filled="f" stroked="f" coordsize="21600,21600" o:gfxdata="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vwbBdMA&#10;AAAHAQAADwAAAAAAAAABACAAAAAiAAAAZHJzL2Rvd25yZXYueG1sUEsBAhQAFAAAAAgAh07iQHs9&#10;8OjrAQAAvgMAAA4AAAAAAAAAAQAgAAAAIgEAAGRycy9lMm9Eb2MueG1sUEsFBgAAAAAGAAYAWQEA&#10;AH8FAAAAAA==&#10;">
                <v:fill on="f" focussize="0,0"/>
                <v:stroke on="f" weight="1pt"/>
                <v:imagedata o:title=""/>
                <o:lock v:ext="edit" aspectratio="f"/>
                <v:textbox>
                  <w:txbxContent>
                    <w:p w14:paraId="13D70F87">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承包人配置的施工设备和临时设施</w:t>
                      </w:r>
                    </w:p>
                  </w:txbxContent>
                </v:textbox>
              </v:shape>
            </w:pict>
          </mc:Fallback>
        </mc:AlternateContent>
      </w:r>
      <w:r>
        <w:rPr>
          <w:rFonts w:hint="eastAsia" w:ascii="仿宋" w:hAnsi="仿宋" w:eastAsia="仿宋" w:cs="仿宋"/>
          <w:lang w:eastAsia="zh-CN"/>
        </w:rPr>
        <w:t>承包人应按合同工程进度计划的要求，及时配置施工设备和修建临时设施。除专用条款另有约定外，承包人应自行承担修建临时设施的费用。需要临时占地的，发包人应办理其申请手续并承担相应费用。</w:t>
      </w:r>
    </w:p>
    <w:p w14:paraId="03F23282">
      <w:pPr>
        <w:widowControl w:val="0"/>
        <w:adjustRightInd w:val="0"/>
        <w:snapToGrid w:val="0"/>
        <w:spacing w:line="400" w:lineRule="exact"/>
        <w:ind w:left="1850" w:leftChars="771"/>
        <w:jc w:val="both"/>
        <w:rPr>
          <w:rFonts w:ascii="仿宋" w:hAnsi="仿宋" w:eastAsia="仿宋"/>
          <w:lang w:eastAsia="zh-CN"/>
        </w:rPr>
      </w:pPr>
      <w:r>
        <w:rPr>
          <w:rFonts w:hint="eastAsia" w:ascii="仿宋" w:hAnsi="仿宋" w:eastAsia="仿宋" w:cs="仿宋"/>
          <w:lang w:eastAsia="zh-CN"/>
        </w:rPr>
        <w:t>进入施工场地的承包人施工设备，需经监理人核查后才能投入使用。承包人更换合同约定范围施工设备的，应经监理人同意并由其报发包人批准后方可实施。</w:t>
      </w:r>
    </w:p>
    <w:p w14:paraId="4297DF52">
      <w:pPr>
        <w:spacing w:line="400" w:lineRule="exact"/>
        <w:rPr>
          <w:rFonts w:ascii="仿宋" w:hAnsi="仿宋" w:eastAsia="仿宋"/>
          <w:lang w:eastAsia="zh-CN"/>
        </w:rPr>
      </w:pPr>
      <w:bookmarkStart w:id="479" w:name="_Toc233"/>
      <w:r>
        <w:rPr>
          <w:rFonts w:ascii="仿宋" w:hAnsi="仿宋" w:eastAsia="仿宋" w:cs="仿宋"/>
          <w:b/>
          <w:bCs/>
          <w:lang w:eastAsia="zh-CN"/>
        </w:rPr>
        <w:t>5</w:t>
      </w:r>
      <w:r>
        <w:rPr>
          <w:rFonts w:hint="eastAsia" w:ascii="仿宋" w:hAnsi="仿宋" w:eastAsia="仿宋" w:cs="仿宋"/>
          <w:b/>
          <w:bCs/>
          <w:lang w:eastAsia="zh-CN"/>
        </w:rPr>
        <w:t>8</w:t>
      </w:r>
      <w:r>
        <w:rPr>
          <w:rFonts w:ascii="仿宋" w:hAnsi="仿宋" w:eastAsia="仿宋" w:cs="仿宋"/>
          <w:b/>
          <w:bCs/>
          <w:lang w:eastAsia="zh-CN"/>
        </w:rPr>
        <w:t>.2</w:t>
      </w:r>
      <w:bookmarkEnd w:id="479"/>
      <w:r>
        <w:rPr>
          <w:rFonts w:ascii="仿宋" w:hAnsi="仿宋" w:eastAsia="仿宋" w:cs="仿宋"/>
          <w:b/>
          <w:bCs/>
          <w:lang w:eastAsia="zh-CN"/>
        </w:rPr>
        <w:t xml:space="preserve"> </w:t>
      </w:r>
      <w:r>
        <w:rPr>
          <w:rFonts w:ascii="仿宋" w:hAnsi="仿宋" w:eastAsia="仿宋" w:cs="仿宋"/>
          <w:u w:val="dotted"/>
          <w:lang w:eastAsia="zh-CN"/>
        </w:rPr>
        <w:t xml:space="preserve">                                                                                </w:t>
      </w:r>
    </w:p>
    <w:p w14:paraId="2ABEAC30">
      <w:pPr>
        <w:widowControl w:val="0"/>
        <w:adjustRightInd w:val="0"/>
        <w:snapToGrid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2040192" behindDoc="0" locked="0" layoutInCell="1" allowOverlap="1">
                <wp:simplePos x="0" y="0"/>
                <wp:positionH relativeFrom="column">
                  <wp:posOffset>-66675</wp:posOffset>
                </wp:positionH>
                <wp:positionV relativeFrom="paragraph">
                  <wp:posOffset>18415</wp:posOffset>
                </wp:positionV>
                <wp:extent cx="844550" cy="526415"/>
                <wp:effectExtent l="0" t="0" r="0" b="0"/>
                <wp:wrapNone/>
                <wp:docPr id="255" name="文本框 903"/>
                <wp:cNvGraphicFramePr/>
                <a:graphic xmlns:a="http://schemas.openxmlformats.org/drawingml/2006/main">
                  <a:graphicData uri="http://schemas.microsoft.com/office/word/2010/wordprocessingShape">
                    <wps:wsp>
                      <wps:cNvSpPr txBox="1"/>
                      <wps:spPr>
                        <a:xfrm>
                          <a:off x="0" y="0"/>
                          <a:ext cx="844550" cy="526415"/>
                        </a:xfrm>
                        <a:prstGeom prst="rect">
                          <a:avLst/>
                        </a:prstGeom>
                        <a:noFill/>
                        <a:ln w="12700">
                          <a:noFill/>
                        </a:ln>
                      </wps:spPr>
                      <wps:txbx>
                        <w:txbxContent>
                          <w:p w14:paraId="4963BD90">
                            <w:pPr>
                              <w:spacing w:line="200" w:lineRule="exact"/>
                              <w:rPr>
                                <w:sz w:val="18"/>
                                <w:szCs w:val="18"/>
                                <w:lang w:eastAsia="zh-CN"/>
                              </w:rPr>
                            </w:pPr>
                            <w:r>
                              <w:rPr>
                                <w:rFonts w:hint="eastAsia" w:ascii="楷体_GB2312" w:hAnsi="宋体" w:eastAsia="楷体_GB2312" w:cs="楷体_GB2312"/>
                                <w:b/>
                                <w:bCs/>
                                <w:color w:val="000000"/>
                                <w:sz w:val="18"/>
                                <w:szCs w:val="18"/>
                                <w:lang w:eastAsia="zh-CN"/>
                              </w:rPr>
                              <w:t>发包人提供的施工设备和临时设施</w:t>
                            </w:r>
                          </w:p>
                        </w:txbxContent>
                      </wps:txbx>
                      <wps:bodyPr rot="0" vert="horz" wrap="square" lIns="91440" tIns="45720" rIns="91440" bIns="45720" anchor="t" anchorCtr="0"/>
                    </wps:wsp>
                  </a:graphicData>
                </a:graphic>
              </wp:anchor>
            </w:drawing>
          </mc:Choice>
          <mc:Fallback>
            <w:pict>
              <v:shape id="文本框 903" o:spid="_x0000_s1026" o:spt="202" type="#_x0000_t202" style="position:absolute;left:0pt;margin-left:-5.25pt;margin-top:1.45pt;height:41.45pt;width:66.5pt;z-index:252040192;mso-width-relative:page;mso-height-relative:page;" filled="f" stroked="f" coordsize="21600,21600" o:gfxdata="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PyfTDW&#10;AAAACAEAAA8AAAAAAAAAAQAgAAAAIgAAAGRycy9kb3ducmV2LnhtbFBLAQIUABQAAAAIAIdO4kC2&#10;VxKw6QEAAL4DAAAOAAAAAAAAAAEAIAAAACUBAABkcnMvZTJvRG9jLnhtbFBLBQYAAAAABgAGAFkB&#10;AACABQAAAAA=&#10;">
                <v:fill on="f" focussize="0,0"/>
                <v:stroke on="f" weight="1pt"/>
                <v:imagedata o:title=""/>
                <o:lock v:ext="edit" aspectratio="f"/>
                <v:textbox>
                  <w:txbxContent>
                    <w:p w14:paraId="4963BD90">
                      <w:pPr>
                        <w:spacing w:line="200" w:lineRule="exact"/>
                        <w:rPr>
                          <w:sz w:val="18"/>
                          <w:szCs w:val="18"/>
                          <w:lang w:eastAsia="zh-CN"/>
                        </w:rPr>
                      </w:pPr>
                      <w:r>
                        <w:rPr>
                          <w:rFonts w:hint="eastAsia" w:ascii="楷体_GB2312" w:hAnsi="宋体" w:eastAsia="楷体_GB2312" w:cs="楷体_GB2312"/>
                          <w:b/>
                          <w:bCs/>
                          <w:color w:val="000000"/>
                          <w:sz w:val="18"/>
                          <w:szCs w:val="18"/>
                          <w:lang w:eastAsia="zh-CN"/>
                        </w:rPr>
                        <w:t>发包人提供的施工设备和临时设施</w:t>
                      </w:r>
                    </w:p>
                  </w:txbxContent>
                </v:textbox>
              </v:shape>
            </w:pict>
          </mc:Fallback>
        </mc:AlternateContent>
      </w:r>
      <w:r>
        <w:rPr>
          <w:rFonts w:hint="eastAsia" w:ascii="仿宋" w:hAnsi="仿宋" w:eastAsia="仿宋" w:cs="仿宋"/>
          <w:lang w:eastAsia="zh-CN"/>
        </w:rPr>
        <w:t>如果发包人提供施工设备或临时设施的，合同双方当事人应在专用条款中约定施工设备或临时设施的品种、规格、型号和提供的时间、地点等内容。</w:t>
      </w:r>
    </w:p>
    <w:p w14:paraId="585991C2">
      <w:pPr>
        <w:spacing w:line="400" w:lineRule="exact"/>
        <w:rPr>
          <w:rFonts w:ascii="仿宋" w:hAnsi="仿宋" w:eastAsia="仿宋"/>
          <w:b/>
          <w:bCs/>
          <w:lang w:eastAsia="zh-CN"/>
        </w:rPr>
      </w:pPr>
      <w:bookmarkStart w:id="480" w:name="_Toc8979"/>
      <w:r>
        <w:rPr>
          <w:rFonts w:ascii="仿宋" w:hAnsi="仿宋" w:eastAsia="仿宋" w:cs="仿宋"/>
          <w:b/>
          <w:bCs/>
          <w:lang w:eastAsia="zh-CN"/>
        </w:rPr>
        <w:t>5</w:t>
      </w:r>
      <w:r>
        <w:rPr>
          <w:rFonts w:hint="eastAsia" w:ascii="仿宋" w:hAnsi="仿宋" w:eastAsia="仿宋" w:cs="仿宋"/>
          <w:b/>
          <w:bCs/>
          <w:lang w:eastAsia="zh-CN"/>
        </w:rPr>
        <w:t>8</w:t>
      </w:r>
      <w:r>
        <w:rPr>
          <w:rFonts w:ascii="仿宋" w:hAnsi="仿宋" w:eastAsia="仿宋" w:cs="仿宋"/>
          <w:b/>
          <w:bCs/>
          <w:lang w:eastAsia="zh-CN"/>
        </w:rPr>
        <w:t>.3</w:t>
      </w:r>
      <w:bookmarkEnd w:id="480"/>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047BACC0">
      <w:pPr>
        <w:widowControl w:val="0"/>
        <w:adjustRightInd w:val="0"/>
        <w:snapToGrid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821056" behindDoc="0" locked="0" layoutInCell="1" allowOverlap="1">
                <wp:simplePos x="0" y="0"/>
                <wp:positionH relativeFrom="column">
                  <wp:posOffset>-73660</wp:posOffset>
                </wp:positionH>
                <wp:positionV relativeFrom="paragraph">
                  <wp:posOffset>8890</wp:posOffset>
                </wp:positionV>
                <wp:extent cx="796925" cy="509905"/>
                <wp:effectExtent l="0" t="0" r="0" b="0"/>
                <wp:wrapNone/>
                <wp:docPr id="256" name="文本框 904"/>
                <wp:cNvGraphicFramePr/>
                <a:graphic xmlns:a="http://schemas.openxmlformats.org/drawingml/2006/main">
                  <a:graphicData uri="http://schemas.microsoft.com/office/word/2010/wordprocessingShape">
                    <wps:wsp>
                      <wps:cNvSpPr txBox="1"/>
                      <wps:spPr>
                        <a:xfrm>
                          <a:off x="0" y="0"/>
                          <a:ext cx="796925" cy="509905"/>
                        </a:xfrm>
                        <a:prstGeom prst="rect">
                          <a:avLst/>
                        </a:prstGeom>
                        <a:noFill/>
                        <a:ln w="12700">
                          <a:noFill/>
                        </a:ln>
                      </wps:spPr>
                      <wps:txbx>
                        <w:txbxContent>
                          <w:p w14:paraId="3540D6C3">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承包人增加或更换施工设备</w:t>
                            </w:r>
                          </w:p>
                        </w:txbxContent>
                      </wps:txbx>
                      <wps:bodyPr rot="0" vert="horz" wrap="square" lIns="91440" tIns="45720" rIns="91440" bIns="45720" anchor="t" anchorCtr="0"/>
                    </wps:wsp>
                  </a:graphicData>
                </a:graphic>
              </wp:anchor>
            </w:drawing>
          </mc:Choice>
          <mc:Fallback>
            <w:pict>
              <v:shape id="文本框 904" o:spid="_x0000_s1026" o:spt="202" type="#_x0000_t202" style="position:absolute;left:0pt;margin-left:-5.8pt;margin-top:0.7pt;height:40.15pt;width:62.75pt;z-index:251821056;mso-width-relative:page;mso-height-relative:page;" filled="f" stroked="f" coordsize="21600,21600" o:gfxdata="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mFjF7W&#10;AAAACAEAAA8AAAAAAAAAAQAgAAAAIgAAAGRycy9kb3ducmV2LnhtbFBLAQIUABQAAAAIAIdO4kDi&#10;cyX66QEAAL4DAAAOAAAAAAAAAAEAIAAAACUBAABkcnMvZTJvRG9jLnhtbFBLBQYAAAAABgAGAFkB&#10;AACABQAAAAA=&#10;">
                <v:fill on="f" focussize="0,0"/>
                <v:stroke on="f" weight="1pt"/>
                <v:imagedata o:title=""/>
                <o:lock v:ext="edit" aspectratio="f"/>
                <v:textbox>
                  <w:txbxContent>
                    <w:p w14:paraId="3540D6C3">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承包人增加或更换施工设备</w:t>
                      </w:r>
                    </w:p>
                  </w:txbxContent>
                </v:textbox>
              </v:shape>
            </w:pict>
          </mc:Fallback>
        </mc:AlternateContent>
      </w:r>
      <w:r>
        <w:rPr>
          <w:rFonts w:hint="eastAsia" w:ascii="仿宋" w:hAnsi="仿宋" w:eastAsia="仿宋" w:cs="仿宋"/>
          <w:lang w:eastAsia="zh-CN"/>
        </w:rPr>
        <w:t>如果承包人使用的施工设备不能满足合同工程进度计划和（或）质量要求的，监理人有权要求承包人增加或更换施工设备，承包人应及时增加或更换，由此增加的费用和（或）延误的工期由承包人承担。</w:t>
      </w:r>
    </w:p>
    <w:p w14:paraId="254ED6AC">
      <w:pPr>
        <w:spacing w:line="400" w:lineRule="exact"/>
        <w:rPr>
          <w:rFonts w:ascii="仿宋" w:hAnsi="仿宋" w:eastAsia="仿宋"/>
          <w:b/>
          <w:bCs/>
          <w:lang w:eastAsia="zh-CN"/>
        </w:rPr>
      </w:pPr>
      <w:bookmarkStart w:id="481" w:name="_Toc4997"/>
      <w:r>
        <w:rPr>
          <w:rFonts w:ascii="仿宋" w:hAnsi="仿宋" w:eastAsia="仿宋" w:cs="仿宋"/>
          <w:b/>
          <w:bCs/>
          <w:lang w:eastAsia="zh-CN"/>
        </w:rPr>
        <w:t>5</w:t>
      </w:r>
      <w:r>
        <w:rPr>
          <w:rFonts w:hint="eastAsia" w:ascii="仿宋" w:hAnsi="仿宋" w:eastAsia="仿宋" w:cs="仿宋"/>
          <w:b/>
          <w:bCs/>
          <w:lang w:eastAsia="zh-CN"/>
        </w:rPr>
        <w:t>8</w:t>
      </w:r>
      <w:r>
        <w:rPr>
          <w:rFonts w:ascii="仿宋" w:hAnsi="仿宋" w:eastAsia="仿宋" w:cs="仿宋"/>
          <w:b/>
          <w:bCs/>
          <w:lang w:eastAsia="zh-CN"/>
        </w:rPr>
        <w:t>.4</w:t>
      </w:r>
      <w:bookmarkEnd w:id="481"/>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6AF85720">
      <w:pPr>
        <w:widowControl w:val="0"/>
        <w:adjustRightInd w:val="0"/>
        <w:snapToGrid w:val="0"/>
        <w:spacing w:line="400" w:lineRule="exact"/>
        <w:ind w:left="1850" w:leftChars="771"/>
        <w:jc w:val="both"/>
        <w:rPr>
          <w:rFonts w:ascii="仿宋" w:hAnsi="仿宋" w:eastAsia="仿宋"/>
          <w:lang w:eastAsia="zh-CN"/>
        </w:rPr>
      </w:pPr>
      <w:r>
        <w:rPr>
          <w:rFonts w:hint="eastAsia" w:ascii="仿宋" w:hAnsi="仿宋" w:eastAsia="仿宋" w:cs="仿宋"/>
          <w:lang w:eastAsia="zh-CN"/>
        </w:rPr>
        <w:t>运至施工现场的施工设备和在施工现场修建的临时设施，均应视为专门用于实施合同工程。除经监理人同意并由其报发包人批准，承包人可根据合同工程进度计划撤走闲置的施工设备</w:t>
      </w:r>
      <w:r>
        <mc:AlternateContent>
          <mc:Choice Requires="wps">
            <w:drawing>
              <wp:anchor distT="0" distB="0" distL="114300" distR="114300" simplePos="0" relativeHeight="251822080" behindDoc="0" locked="0" layoutInCell="1" allowOverlap="1">
                <wp:simplePos x="0" y="0"/>
                <wp:positionH relativeFrom="column">
                  <wp:posOffset>-114300</wp:posOffset>
                </wp:positionH>
                <wp:positionV relativeFrom="paragraph">
                  <wp:posOffset>46355</wp:posOffset>
                </wp:positionV>
                <wp:extent cx="813435" cy="595630"/>
                <wp:effectExtent l="0" t="0" r="0" b="0"/>
                <wp:wrapNone/>
                <wp:docPr id="257" name="文本框 905"/>
                <wp:cNvGraphicFramePr/>
                <a:graphic xmlns:a="http://schemas.openxmlformats.org/drawingml/2006/main">
                  <a:graphicData uri="http://schemas.microsoft.com/office/word/2010/wordprocessingShape">
                    <wps:wsp>
                      <wps:cNvSpPr txBox="1"/>
                      <wps:spPr>
                        <a:xfrm>
                          <a:off x="0" y="0"/>
                          <a:ext cx="813435" cy="595630"/>
                        </a:xfrm>
                        <a:prstGeom prst="rect">
                          <a:avLst/>
                        </a:prstGeom>
                        <a:noFill/>
                        <a:ln w="12700">
                          <a:noFill/>
                        </a:ln>
                      </wps:spPr>
                      <wps:txbx>
                        <w:txbxContent>
                          <w:p w14:paraId="3A66B7CB">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施工设备和临时设施的使用要求</w:t>
                            </w:r>
                          </w:p>
                        </w:txbxContent>
                      </wps:txbx>
                      <wps:bodyPr rot="0" vert="horz" wrap="square" lIns="91440" tIns="45720" rIns="91440" bIns="45720" anchor="t" anchorCtr="0"/>
                    </wps:wsp>
                  </a:graphicData>
                </a:graphic>
              </wp:anchor>
            </w:drawing>
          </mc:Choice>
          <mc:Fallback>
            <w:pict>
              <v:shape id="文本框 905" o:spid="_x0000_s1026" o:spt="202" type="#_x0000_t202" style="position:absolute;left:0pt;margin-left:-9pt;margin-top:3.65pt;height:46.9pt;width:64.05pt;z-index:251822080;mso-width-relative:page;mso-height-relative:page;" filled="f" stroked="f" coordsize="21600,21600" o:gfxdata="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Botnt9cAAAAJAQAADwAAAAAAAAABACAAAAAiAAAAZHJzL2Rvd25yZXYueG1sUEsBAhQAFAAAAAgA&#10;h07iQDErNH3tAQAAvgMAAA4AAAAAAAAAAQAgAAAAJgEAAGRycy9lMm9Eb2MueG1sUEsFBgAAAAAG&#10;AAYAWQEAAIUFAAAAAA==&#10;">
                <v:fill on="f" focussize="0,0"/>
                <v:stroke on="f" weight="1pt"/>
                <v:imagedata o:title=""/>
                <o:lock v:ext="edit" aspectratio="f"/>
                <v:textbox>
                  <w:txbxContent>
                    <w:p w14:paraId="3A66B7CB">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施工设备和临时设施的使用要求</w:t>
                      </w:r>
                    </w:p>
                  </w:txbxContent>
                </v:textbox>
              </v:shape>
            </w:pict>
          </mc:Fallback>
        </mc:AlternateContent>
      </w:r>
      <w:r>
        <w:rPr>
          <w:rFonts w:hint="eastAsia" w:ascii="仿宋" w:hAnsi="仿宋" w:eastAsia="仿宋" w:cs="仿宋"/>
          <w:lang w:eastAsia="zh-CN"/>
        </w:rPr>
        <w:t>外，承包人不得将上述施工设备和临时设施中的任何部分运出施工场地或挪作他用。</w:t>
      </w:r>
    </w:p>
    <w:p w14:paraId="183E846D">
      <w:pPr>
        <w:pStyle w:val="22"/>
        <w:tabs>
          <w:tab w:val="left" w:pos="540"/>
        </w:tabs>
        <w:adjustRightInd w:val="0"/>
        <w:snapToGrid w:val="0"/>
        <w:spacing w:line="400" w:lineRule="exact"/>
        <w:rPr>
          <w:rFonts w:ascii="仿宋" w:hAnsi="仿宋" w:eastAsia="仿宋" w:cs="仿宋"/>
          <w:b/>
          <w:bCs/>
          <w:sz w:val="24"/>
          <w:szCs w:val="24"/>
          <w:u w:val="single"/>
          <w:lang w:eastAsia="zh-CN"/>
        </w:rPr>
      </w:pPr>
      <w:r>
        <w:rPr>
          <w:rFonts w:ascii="仿宋" w:hAnsi="仿宋" w:eastAsia="仿宋" w:cs="仿宋"/>
          <w:b/>
          <w:bCs/>
          <w:sz w:val="24"/>
          <w:szCs w:val="24"/>
          <w:u w:val="single"/>
          <w:lang w:eastAsia="zh-CN"/>
        </w:rPr>
        <w:t xml:space="preserve">                                          </w:t>
      </w:r>
      <w:r>
        <w:rPr>
          <w:rFonts w:hint="eastAsia" w:ascii="仿宋" w:hAnsi="仿宋" w:eastAsia="仿宋" w:cs="仿宋"/>
          <w:b/>
          <w:bCs/>
          <w:sz w:val="24"/>
          <w:szCs w:val="24"/>
          <w:u w:val="single"/>
          <w:lang w:eastAsia="zh-CN"/>
        </w:rPr>
        <w:t xml:space="preserve">    </w:t>
      </w:r>
      <w:r>
        <w:rPr>
          <w:rFonts w:ascii="仿宋" w:hAnsi="仿宋" w:eastAsia="仿宋" w:cs="仿宋"/>
          <w:b/>
          <w:bCs/>
          <w:sz w:val="24"/>
          <w:szCs w:val="24"/>
          <w:u w:val="single"/>
          <w:lang w:eastAsia="zh-CN"/>
        </w:rPr>
        <w:t xml:space="preserve">                                      </w:t>
      </w:r>
    </w:p>
    <w:p w14:paraId="4A9E1285">
      <w:pPr>
        <w:pStyle w:val="4"/>
        <w:tabs>
          <w:tab w:val="left" w:pos="420"/>
        </w:tabs>
        <w:spacing w:before="0" w:after="0" w:line="400" w:lineRule="exact"/>
        <w:rPr>
          <w:rFonts w:ascii="仿宋" w:hAnsi="仿宋" w:eastAsia="仿宋" w:cs="仿宋"/>
          <w:bCs w:val="0"/>
          <w:sz w:val="24"/>
          <w:szCs w:val="24"/>
          <w:lang w:eastAsia="zh-CN"/>
        </w:rPr>
      </w:pPr>
      <w:bookmarkStart w:id="482" w:name="_Toc863"/>
      <w:bookmarkStart w:id="483" w:name="_Toc194073169"/>
      <w:bookmarkStart w:id="484" w:name="_Toc15243"/>
      <w:bookmarkStart w:id="485" w:name="_Toc2509"/>
      <w:r>
        <w:rPr>
          <w:rFonts w:hint="eastAsia" w:ascii="仿宋" w:hAnsi="仿宋" w:eastAsia="仿宋" w:cs="仿宋"/>
          <w:bCs w:val="0"/>
          <w:sz w:val="24"/>
          <w:szCs w:val="24"/>
          <w:lang w:eastAsia="zh-CN"/>
        </w:rPr>
        <w:t>★59</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工程质量检查</w:t>
      </w:r>
      <w:bookmarkEnd w:id="482"/>
      <w:bookmarkEnd w:id="483"/>
      <w:bookmarkEnd w:id="484"/>
      <w:bookmarkEnd w:id="485"/>
    </w:p>
    <w:p w14:paraId="6431A338">
      <w:pPr>
        <w:spacing w:line="400" w:lineRule="exact"/>
        <w:rPr>
          <w:rFonts w:ascii="仿宋" w:hAnsi="仿宋" w:eastAsia="仿宋" w:cs="仿宋"/>
          <w:b/>
          <w:bCs/>
          <w:lang w:eastAsia="zh-CN"/>
        </w:rPr>
      </w:pPr>
      <w:bookmarkStart w:id="486" w:name="_Toc8383"/>
      <w:r>
        <w:rPr>
          <w:rFonts w:hint="eastAsia" w:ascii="仿宋" w:hAnsi="仿宋" w:eastAsia="仿宋" w:cs="仿宋"/>
          <w:b/>
          <w:bCs/>
          <w:lang w:eastAsia="zh-CN"/>
        </w:rPr>
        <w:t>59</w:t>
      </w:r>
      <w:r>
        <w:rPr>
          <w:rFonts w:ascii="仿宋" w:hAnsi="仿宋" w:eastAsia="仿宋" w:cs="仿宋"/>
          <w:b/>
          <w:bCs/>
          <w:lang w:eastAsia="zh-CN"/>
        </w:rPr>
        <w:t>.1</w:t>
      </w:r>
      <w:bookmarkEnd w:id="486"/>
    </w:p>
    <w:p w14:paraId="0877768D">
      <w:pPr>
        <w:widowControl w:val="0"/>
        <w:adjustRightInd w:val="0"/>
        <w:snapToGrid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823104" behindDoc="0" locked="0" layoutInCell="1" allowOverlap="1">
                <wp:simplePos x="0" y="0"/>
                <wp:positionH relativeFrom="column">
                  <wp:posOffset>-73660</wp:posOffset>
                </wp:positionH>
                <wp:positionV relativeFrom="paragraph">
                  <wp:posOffset>5715</wp:posOffset>
                </wp:positionV>
                <wp:extent cx="782955" cy="556895"/>
                <wp:effectExtent l="0" t="0" r="0" b="0"/>
                <wp:wrapNone/>
                <wp:docPr id="258" name="文本框 906"/>
                <wp:cNvGraphicFramePr/>
                <a:graphic xmlns:a="http://schemas.openxmlformats.org/drawingml/2006/main">
                  <a:graphicData uri="http://schemas.microsoft.com/office/word/2010/wordprocessingShape">
                    <wps:wsp>
                      <wps:cNvSpPr txBox="1"/>
                      <wps:spPr>
                        <a:xfrm>
                          <a:off x="0" y="0"/>
                          <a:ext cx="782955" cy="556895"/>
                        </a:xfrm>
                        <a:prstGeom prst="rect">
                          <a:avLst/>
                        </a:prstGeom>
                        <a:noFill/>
                        <a:ln w="12700">
                          <a:noFill/>
                        </a:ln>
                      </wps:spPr>
                      <wps:txbx>
                        <w:txbxContent>
                          <w:p w14:paraId="401EE908">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承包人对工程质量检查的义务</w:t>
                            </w:r>
                          </w:p>
                        </w:txbxContent>
                      </wps:txbx>
                      <wps:bodyPr rot="0" vert="horz" wrap="square" lIns="91440" tIns="45720" rIns="91440" bIns="45720" anchor="t" anchorCtr="0"/>
                    </wps:wsp>
                  </a:graphicData>
                </a:graphic>
              </wp:anchor>
            </w:drawing>
          </mc:Choice>
          <mc:Fallback>
            <w:pict>
              <v:shape id="文本框 906" o:spid="_x0000_s1026" o:spt="202" type="#_x0000_t202" style="position:absolute;left:0pt;margin-left:-5.8pt;margin-top:0.45pt;height:43.85pt;width:61.65pt;z-index:251823104;mso-width-relative:page;mso-height-relative:page;" filled="f" stroked="f" coordsize="21600,21600" o:gfxdata="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uNcE69QA&#10;AAAHAQAADwAAAAAAAAABACAAAAAiAAAAZHJzL2Rvd25yZXYueG1sUEsBAhQAFAAAAAgAh07iQFWf&#10;urnqAQAAvgMAAA4AAAAAAAAAAQAgAAAAIwEAAGRycy9lMm9Eb2MueG1sUEsFBgAAAAAGAAYAWQEA&#10;AH8FAAAAAA==&#10;">
                <v:fill on="f" focussize="0,0"/>
                <v:stroke on="f" weight="1pt"/>
                <v:imagedata o:title=""/>
                <o:lock v:ext="edit" aspectratio="f"/>
                <v:textbox>
                  <w:txbxContent>
                    <w:p w14:paraId="401EE908">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承包人对工程质量检查的义务</w:t>
                      </w:r>
                    </w:p>
                  </w:txbxContent>
                </v:textbox>
              </v:shape>
            </w:pict>
          </mc:Fallback>
        </mc:AlternateContent>
      </w:r>
      <w:r>
        <w:rPr>
          <w:rFonts w:hint="eastAsia" w:ascii="仿宋" w:hAnsi="仿宋" w:eastAsia="仿宋" w:cs="仿宋"/>
          <w:lang w:eastAsia="zh-CN"/>
        </w:rPr>
        <w:t>承包人应按照标准与规范、设计要求以及监理人依据合同约定发出的指令施工，确保工程质量，随时接受监理工程师的检查，并为监理工程师的检查（包括监理工程师到施工场地，或合同约定的其他地方察看和查阅施工原始记录等）提供便利和协助。</w:t>
      </w:r>
    </w:p>
    <w:p w14:paraId="682D2588">
      <w:pPr>
        <w:spacing w:line="400" w:lineRule="exact"/>
        <w:rPr>
          <w:rFonts w:ascii="仿宋" w:hAnsi="仿宋" w:eastAsia="仿宋"/>
          <w:b/>
          <w:bCs/>
          <w:lang w:eastAsia="zh-CN"/>
        </w:rPr>
      </w:pPr>
      <w:bookmarkStart w:id="487" w:name="_Toc26104"/>
      <w:r>
        <w:rPr>
          <w:rFonts w:hint="eastAsia" w:ascii="仿宋" w:hAnsi="仿宋" w:eastAsia="仿宋" w:cs="仿宋"/>
          <w:b/>
          <w:bCs/>
          <w:lang w:eastAsia="zh-CN"/>
        </w:rPr>
        <w:t>59</w:t>
      </w:r>
      <w:r>
        <w:rPr>
          <w:rFonts w:ascii="仿宋" w:hAnsi="仿宋" w:eastAsia="仿宋" w:cs="仿宋"/>
          <w:b/>
          <w:bCs/>
          <w:lang w:eastAsia="zh-CN"/>
        </w:rPr>
        <w:t>.2</w:t>
      </w:r>
      <w:bookmarkEnd w:id="487"/>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6D76DA7C">
      <w:pPr>
        <w:widowControl w:val="0"/>
        <w:adjustRightInd w:val="0"/>
        <w:snapToGrid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824128" behindDoc="0" locked="0" layoutInCell="1" allowOverlap="1">
                <wp:simplePos x="0" y="0"/>
                <wp:positionH relativeFrom="column">
                  <wp:posOffset>-73660</wp:posOffset>
                </wp:positionH>
                <wp:positionV relativeFrom="paragraph">
                  <wp:posOffset>8890</wp:posOffset>
                </wp:positionV>
                <wp:extent cx="824865" cy="556895"/>
                <wp:effectExtent l="0" t="0" r="0" b="0"/>
                <wp:wrapNone/>
                <wp:docPr id="259" name="文本框 907"/>
                <wp:cNvGraphicFramePr/>
                <a:graphic xmlns:a="http://schemas.openxmlformats.org/drawingml/2006/main">
                  <a:graphicData uri="http://schemas.microsoft.com/office/word/2010/wordprocessingShape">
                    <wps:wsp>
                      <wps:cNvSpPr txBox="1"/>
                      <wps:spPr>
                        <a:xfrm>
                          <a:off x="0" y="0"/>
                          <a:ext cx="824865" cy="556895"/>
                        </a:xfrm>
                        <a:prstGeom prst="rect">
                          <a:avLst/>
                        </a:prstGeom>
                        <a:noFill/>
                        <a:ln w="12700">
                          <a:noFill/>
                        </a:ln>
                      </wps:spPr>
                      <wps:txbx>
                        <w:txbxContent>
                          <w:p w14:paraId="3FE71F63">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txbxContent>
                      </wps:txbx>
                      <wps:bodyPr rot="0" vert="horz" wrap="square" lIns="91440" tIns="45720" rIns="91440" bIns="45720" anchor="t" anchorCtr="0"/>
                    </wps:wsp>
                  </a:graphicData>
                </a:graphic>
              </wp:anchor>
            </w:drawing>
          </mc:Choice>
          <mc:Fallback>
            <w:pict>
              <v:shape id="文本框 907" o:spid="_x0000_s1026" o:spt="202" type="#_x0000_t202" style="position:absolute;left:0pt;margin-left:-5.8pt;margin-top:0.7pt;height:43.85pt;width:64.95pt;z-index:251824128;mso-width-relative:page;mso-height-relative:page;" filled="f" stroked="f" coordsize="21600,21600" o:gfxdata="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V2BO&#10;1gAAAAgBAAAPAAAAAAAAAAEAIAAAACIAAABkcnMvZG93bnJldi54bWxQSwECFAAUAAAACACHTuJA&#10;W37HkuoBAAC+AwAADgAAAAAAAAABACAAAAAlAQAAZHJzL2Uyb0RvYy54bWxQSwUGAAAAAAYABgBZ&#10;AQAAgQUAAAAA&#10;">
                <v:fill on="f" focussize="0,0"/>
                <v:stroke on="f" weight="1pt"/>
                <v:imagedata o:title=""/>
                <o:lock v:ext="edit" aspectratio="f"/>
                <v:textbox>
                  <w:txbxContent>
                    <w:p w14:paraId="3FE71F63">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txbxContent>
                </v:textbox>
              </v:shape>
            </w:pict>
          </mc:Fallback>
        </mc:AlternateContent>
      </w:r>
      <w:r>
        <w:rPr>
          <w:rFonts w:hint="eastAsia" w:ascii="仿宋" w:hAnsi="仿宋" w:eastAsia="仿宋" w:cs="仿宋"/>
          <w:lang w:eastAsia="zh-CN"/>
        </w:rPr>
        <w:t>承包人应按照合同约定对合同工程的所有部位及其施工工艺进行全过程的质量检查，并做好详细记录，编制工程质量报表，提交监理人核实并由其报发包人审批。发包人应通知监理人及时对合同工程的所有部位及其施工工艺进行检查；发现质量不合格的，监理人应迅速向承包人发出书面指令，通知承包人立即拆除和重新施工。即使经监理人检查，也不能免除承包人按照合同约定应承担的任何责任和应履行的任何义务。</w:t>
      </w:r>
    </w:p>
    <w:p w14:paraId="2593BACC">
      <w:pPr>
        <w:spacing w:line="400" w:lineRule="exact"/>
        <w:rPr>
          <w:rFonts w:ascii="仿宋" w:hAnsi="仿宋" w:eastAsia="仿宋"/>
          <w:b/>
          <w:bCs/>
          <w:lang w:eastAsia="zh-CN"/>
        </w:rPr>
      </w:pPr>
      <w:bookmarkStart w:id="488" w:name="_Toc20962"/>
      <w:r>
        <w:rPr>
          <w:rFonts w:hint="eastAsia" w:ascii="仿宋" w:hAnsi="仿宋" w:eastAsia="仿宋" w:cs="仿宋"/>
          <w:b/>
          <w:bCs/>
          <w:lang w:eastAsia="zh-CN"/>
        </w:rPr>
        <w:t>59</w:t>
      </w:r>
      <w:r>
        <w:rPr>
          <w:rFonts w:ascii="仿宋" w:hAnsi="仿宋" w:eastAsia="仿宋" w:cs="仿宋"/>
          <w:b/>
          <w:bCs/>
          <w:lang w:eastAsia="zh-CN"/>
        </w:rPr>
        <w:t>.3</w:t>
      </w:r>
      <w:bookmarkEnd w:id="488"/>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24ABD932">
      <w:pPr>
        <w:widowControl w:val="0"/>
        <w:adjustRightInd w:val="0"/>
        <w:snapToGrid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825152" behindDoc="0" locked="0" layoutInCell="1" allowOverlap="1">
                <wp:simplePos x="0" y="0"/>
                <wp:positionH relativeFrom="column">
                  <wp:posOffset>-73660</wp:posOffset>
                </wp:positionH>
                <wp:positionV relativeFrom="paragraph">
                  <wp:posOffset>8890</wp:posOffset>
                </wp:positionV>
                <wp:extent cx="844550" cy="576580"/>
                <wp:effectExtent l="0" t="0" r="0" b="0"/>
                <wp:wrapNone/>
                <wp:docPr id="260" name="文本框 908"/>
                <wp:cNvGraphicFramePr/>
                <a:graphic xmlns:a="http://schemas.openxmlformats.org/drawingml/2006/main">
                  <a:graphicData uri="http://schemas.microsoft.com/office/word/2010/wordprocessingShape">
                    <wps:wsp>
                      <wps:cNvSpPr txBox="1"/>
                      <wps:spPr>
                        <a:xfrm>
                          <a:off x="0" y="0"/>
                          <a:ext cx="844550" cy="576580"/>
                        </a:xfrm>
                        <a:prstGeom prst="rect">
                          <a:avLst/>
                        </a:prstGeom>
                        <a:noFill/>
                        <a:ln w="12700">
                          <a:noFill/>
                        </a:ln>
                      </wps:spPr>
                      <wps:txbx>
                        <w:txbxContent>
                          <w:p w14:paraId="457ED1F2">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工程质量不达标准的处理和责任</w:t>
                            </w:r>
                          </w:p>
                        </w:txbxContent>
                      </wps:txbx>
                      <wps:bodyPr rot="0" vert="horz" wrap="square" lIns="91440" tIns="45720" rIns="91440" bIns="45720" anchor="t" anchorCtr="0"/>
                    </wps:wsp>
                  </a:graphicData>
                </a:graphic>
              </wp:anchor>
            </w:drawing>
          </mc:Choice>
          <mc:Fallback>
            <w:pict>
              <v:shape id="文本框 908" o:spid="_x0000_s1026" o:spt="202" type="#_x0000_t202" style="position:absolute;left:0pt;margin-left:-5.8pt;margin-top:0.7pt;height:45.4pt;width:66.5pt;z-index:251825152;mso-width-relative:page;mso-height-relative:page;" filled="f" stroked="f" coordsize="21600,21600" o:gfxdata="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xWTvV&#10;AAAACAEAAA8AAAAAAAAAAQAgAAAAIgAAAGRycy9kb3ducmV2LnhtbFBLAQIUABQAAAAIAIdO4kC0&#10;8cv26gEAAL4DAAAOAAAAAAAAAAEAIAAAACQBAABkcnMvZTJvRG9jLnhtbFBLBQYAAAAABgAGAFkB&#10;AACABQAAAAA=&#10;">
                <v:fill on="f" focussize="0,0"/>
                <v:stroke on="f" weight="1pt"/>
                <v:imagedata o:title=""/>
                <o:lock v:ext="edit" aspectratio="f"/>
                <v:textbox>
                  <w:txbxContent>
                    <w:p w14:paraId="457ED1F2">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工程质量不达标准的处理和责任</w:t>
                      </w:r>
                    </w:p>
                  </w:txbxContent>
                </v:textbox>
              </v:shape>
            </w:pict>
          </mc:Fallback>
        </mc:AlternateContent>
      </w:r>
      <w:r>
        <w:rPr>
          <w:rFonts w:hint="eastAsia" w:ascii="仿宋" w:hAnsi="仿宋" w:eastAsia="仿宋" w:cs="仿宋"/>
          <w:lang w:eastAsia="zh-CN"/>
        </w:rPr>
        <w:t>发现工程质量达不到合同约定验收标准，承包人应拆除和重新施工，直到符合合同约定验收标准为止。因承包人的原因达不到合同约定验收标准的，由此增加的费用和（或）延误的工期由承包人承担；因发包人的原因达不到合同约定验收标准的，包括承包人拆除和重新施工费用在内的由此增加的费用和（或）延误的工期由发包人承担，并向承包人支付合理利润。</w:t>
      </w:r>
    </w:p>
    <w:p w14:paraId="2607D3A5">
      <w:pPr>
        <w:spacing w:line="400" w:lineRule="exact"/>
        <w:rPr>
          <w:rFonts w:ascii="仿宋" w:hAnsi="仿宋" w:eastAsia="仿宋"/>
          <w:b/>
          <w:bCs/>
          <w:lang w:eastAsia="zh-CN"/>
        </w:rPr>
      </w:pPr>
      <w:bookmarkStart w:id="489" w:name="_Toc20500"/>
      <w:r>
        <w:rPr>
          <w:rFonts w:hint="eastAsia" w:ascii="仿宋" w:hAnsi="仿宋" w:eastAsia="仿宋" w:cs="仿宋"/>
          <w:b/>
          <w:bCs/>
          <w:lang w:eastAsia="zh-CN"/>
        </w:rPr>
        <w:t>59</w:t>
      </w:r>
      <w:r>
        <w:rPr>
          <w:rFonts w:ascii="仿宋" w:hAnsi="仿宋" w:eastAsia="仿宋" w:cs="仿宋"/>
          <w:b/>
          <w:bCs/>
          <w:lang w:eastAsia="zh-CN"/>
        </w:rPr>
        <w:t>.4</w:t>
      </w:r>
      <w:bookmarkEnd w:id="489"/>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379640DD">
      <w:pPr>
        <w:widowControl w:val="0"/>
        <w:adjustRightInd w:val="0"/>
        <w:snapToGrid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826176" behindDoc="0" locked="0" layoutInCell="1" allowOverlap="1">
                <wp:simplePos x="0" y="0"/>
                <wp:positionH relativeFrom="column">
                  <wp:posOffset>-114300</wp:posOffset>
                </wp:positionH>
                <wp:positionV relativeFrom="paragraph">
                  <wp:posOffset>46355</wp:posOffset>
                </wp:positionV>
                <wp:extent cx="784860" cy="437515"/>
                <wp:effectExtent l="0" t="0" r="0" b="0"/>
                <wp:wrapNone/>
                <wp:docPr id="261" name="文本框 909"/>
                <wp:cNvGraphicFramePr/>
                <a:graphic xmlns:a="http://schemas.openxmlformats.org/drawingml/2006/main">
                  <a:graphicData uri="http://schemas.microsoft.com/office/word/2010/wordprocessingShape">
                    <wps:wsp>
                      <wps:cNvSpPr txBox="1"/>
                      <wps:spPr>
                        <a:xfrm>
                          <a:off x="0" y="0"/>
                          <a:ext cx="784860" cy="437515"/>
                        </a:xfrm>
                        <a:prstGeom prst="rect">
                          <a:avLst/>
                        </a:prstGeom>
                        <a:noFill/>
                        <a:ln w="12700">
                          <a:noFill/>
                        </a:ln>
                      </wps:spPr>
                      <wps:txbx>
                        <w:txbxContent>
                          <w:p w14:paraId="60569BB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txbxContent>
                      </wps:txbx>
                      <wps:bodyPr rot="0" vert="horz" wrap="square" lIns="91440" tIns="45720" rIns="91440" bIns="45720" anchor="t" anchorCtr="0"/>
                    </wps:wsp>
                  </a:graphicData>
                </a:graphic>
              </wp:anchor>
            </w:drawing>
          </mc:Choice>
          <mc:Fallback>
            <w:pict>
              <v:shape id="文本框 909" o:spid="_x0000_s1026" o:spt="202" type="#_x0000_t202" style="position:absolute;left:0pt;margin-left:-9pt;margin-top:3.65pt;height:34.45pt;width:61.8pt;z-index:251826176;mso-width-relative:page;mso-height-relative:page;" filled="f" stroked="f" coordsize="21600,21600" o:gfxdata="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59si6&#10;1wAAAAgBAAAPAAAAAAAAAAEAIAAAACIAAABkcnMvZG93bnJldi54bWxQSwECFAAUAAAACACHTuJA&#10;zu7fHOkBAAC+AwAADgAAAAAAAAABACAAAAAmAQAAZHJzL2Uyb0RvYy54bWxQSwUGAAAAAAYABgBZ&#10;AQAAgQUAAAAA&#10;">
                <v:fill on="f" focussize="0,0"/>
                <v:stroke on="f" weight="1pt"/>
                <v:imagedata o:title=""/>
                <o:lock v:ext="edit" aspectratio="f"/>
                <v:textbox>
                  <w:txbxContent>
                    <w:p w14:paraId="60569BB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txbxContent>
                </v:textbox>
              </v:shape>
            </w:pict>
          </mc:Fallback>
        </mc:AlternateContent>
      </w:r>
      <w:r>
        <w:rPr>
          <w:rFonts w:hint="eastAsia" w:ascii="仿宋" w:hAnsi="仿宋" w:eastAsia="仿宋" w:cs="仿宋"/>
          <w:lang w:eastAsia="zh-CN"/>
        </w:rPr>
        <w:t>监理人对合同工程质量的检查，不得影响承包人的正常施工。如影响施工正常进行，承包人应向发包人、监理人发出书面改正通知；监理人应及时予以改正，否则承包人有权提出并得到补偿。</w:t>
      </w:r>
    </w:p>
    <w:p w14:paraId="696F53AB">
      <w:pPr>
        <w:spacing w:line="400" w:lineRule="exact"/>
        <w:rPr>
          <w:rFonts w:ascii="仿宋" w:hAnsi="仿宋" w:eastAsia="仿宋"/>
          <w:b/>
          <w:bCs/>
          <w:lang w:eastAsia="zh-CN"/>
        </w:rPr>
      </w:pPr>
      <w:bookmarkStart w:id="490" w:name="_Toc29086"/>
      <w:r>
        <w:rPr>
          <w:rFonts w:hint="eastAsia" w:ascii="仿宋" w:hAnsi="仿宋" w:eastAsia="仿宋" w:cs="仿宋"/>
          <w:b/>
          <w:bCs/>
          <w:lang w:eastAsia="zh-CN"/>
        </w:rPr>
        <w:t>59</w:t>
      </w:r>
      <w:r>
        <w:rPr>
          <w:rFonts w:ascii="仿宋" w:hAnsi="仿宋" w:eastAsia="仿宋" w:cs="仿宋"/>
          <w:b/>
          <w:bCs/>
          <w:lang w:eastAsia="zh-CN"/>
        </w:rPr>
        <w:t>.5</w:t>
      </w:r>
      <w:bookmarkEnd w:id="490"/>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73C26811">
      <w:pPr>
        <w:widowControl w:val="0"/>
        <w:adjustRightInd w:val="0"/>
        <w:snapToGrid w:val="0"/>
        <w:spacing w:line="400" w:lineRule="exact"/>
        <w:ind w:left="1850" w:leftChars="771"/>
        <w:jc w:val="both"/>
        <w:rPr>
          <w:rFonts w:ascii="仿宋" w:hAnsi="仿宋" w:eastAsia="仿宋" w:cs="仿宋"/>
          <w:lang w:eastAsia="zh-CN"/>
        </w:rPr>
      </w:pPr>
      <w:r>
        <mc:AlternateContent>
          <mc:Choice Requires="wps">
            <w:drawing>
              <wp:anchor distT="0" distB="0" distL="114300" distR="114300" simplePos="0" relativeHeight="251827200" behindDoc="0" locked="0" layoutInCell="1" allowOverlap="1">
                <wp:simplePos x="0" y="0"/>
                <wp:positionH relativeFrom="column">
                  <wp:posOffset>-114300</wp:posOffset>
                </wp:positionH>
                <wp:positionV relativeFrom="paragraph">
                  <wp:posOffset>46355</wp:posOffset>
                </wp:positionV>
                <wp:extent cx="803910" cy="628015"/>
                <wp:effectExtent l="0" t="0" r="0" b="0"/>
                <wp:wrapNone/>
                <wp:docPr id="262" name="文本框 910"/>
                <wp:cNvGraphicFramePr/>
                <a:graphic xmlns:a="http://schemas.openxmlformats.org/drawingml/2006/main">
                  <a:graphicData uri="http://schemas.microsoft.com/office/word/2010/wordprocessingShape">
                    <wps:wsp>
                      <wps:cNvSpPr txBox="1"/>
                      <wps:spPr>
                        <a:xfrm>
                          <a:off x="0" y="0"/>
                          <a:ext cx="803910" cy="628015"/>
                        </a:xfrm>
                        <a:prstGeom prst="rect">
                          <a:avLst/>
                        </a:prstGeom>
                        <a:noFill/>
                        <a:ln w="12700">
                          <a:noFill/>
                        </a:ln>
                      </wps:spPr>
                      <wps:txbx>
                        <w:txbxContent>
                          <w:p w14:paraId="08746F0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txbxContent>
                      </wps:txbx>
                      <wps:bodyPr rot="0" vert="horz" wrap="square" lIns="91440" tIns="45720" rIns="91440" bIns="45720" anchor="t" anchorCtr="0"/>
                    </wps:wsp>
                  </a:graphicData>
                </a:graphic>
              </wp:anchor>
            </w:drawing>
          </mc:Choice>
          <mc:Fallback>
            <w:pict>
              <v:shape id="文本框 910" o:spid="_x0000_s1026" o:spt="202" type="#_x0000_t202" style="position:absolute;left:0pt;margin-left:-9pt;margin-top:3.65pt;height:49.45pt;width:63.3pt;z-index:251827200;mso-width-relative:page;mso-height-relative:page;" filled="f" stroked="f" coordsize="21600,21600" o:gfxdata="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xX7AY9cA&#10;AAAJAQAADwAAAAAAAAABACAAAAAiAAAAZHJzL2Rvd25yZXYueG1sUEsBAhQAFAAAAAgAh07iQN9g&#10;9/znAQAAvgMAAA4AAAAAAAAAAQAgAAAAJgEAAGRycy9lMm9Eb2MueG1sUEsFBgAAAAAGAAYAWQEA&#10;AH8FAAAAAA==&#10;">
                <v:fill on="f" focussize="0,0"/>
                <v:stroke on="f" weight="1pt"/>
                <v:imagedata o:title=""/>
                <o:lock v:ext="edit" aspectratio="f"/>
                <v:textbox>
                  <w:txbxContent>
                    <w:p w14:paraId="08746F0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txbxContent>
                </v:textbox>
              </v:shape>
            </w:pict>
          </mc:Fallback>
        </mc:AlternateContent>
      </w:r>
      <w:r>
        <w:rPr>
          <w:rFonts w:hint="eastAsia" w:ascii="仿宋" w:hAnsi="仿宋" w:eastAsia="仿宋" w:cs="仿宋"/>
          <w:lang w:eastAsia="zh-CN"/>
        </w:rPr>
        <w:t>如合同有约定或监理人发出书面指令，承包人应进行现场工艺试验。监理人报发包人批准后，认为有必要进行大型现场工艺试验的，承包人应根据监理人提出的书面要求，编制工艺试验措施计划，提交监理人确认并由其报发包人审批。除工程量清单中已经列有此类工作的支付项目和额度外，由此增加的费用和（或）延误的工期由发包人承担。</w:t>
      </w:r>
    </w:p>
    <w:p w14:paraId="43233E7A">
      <w:pPr>
        <w:spacing w:line="400" w:lineRule="exact"/>
        <w:rPr>
          <w:rFonts w:ascii="仿宋" w:hAnsi="仿宋" w:eastAsia="仿宋" w:cs="仿宋"/>
          <w:b/>
          <w:bCs/>
          <w:u w:val="single"/>
          <w:lang w:eastAsia="zh-CN"/>
        </w:rPr>
      </w:pPr>
      <w:r>
        <w:rPr>
          <w:rFonts w:ascii="仿宋" w:hAnsi="仿宋" w:eastAsia="仿宋" w:cs="仿宋"/>
          <w:b/>
          <w:bCs/>
          <w:u w:val="single"/>
          <w:lang w:eastAsia="zh-CN"/>
        </w:rPr>
        <w:t xml:space="preserve">                                                                                     </w:t>
      </w:r>
    </w:p>
    <w:p w14:paraId="5CDF820C">
      <w:pPr>
        <w:pStyle w:val="4"/>
        <w:tabs>
          <w:tab w:val="left" w:pos="420"/>
        </w:tabs>
        <w:spacing w:before="0" w:after="0" w:line="400" w:lineRule="exact"/>
        <w:rPr>
          <w:rFonts w:ascii="仿宋" w:hAnsi="仿宋" w:eastAsia="仿宋" w:cs="仿宋"/>
          <w:bCs w:val="0"/>
          <w:sz w:val="24"/>
          <w:szCs w:val="24"/>
          <w:lang w:eastAsia="zh-CN"/>
        </w:rPr>
      </w:pPr>
      <w:bookmarkStart w:id="491" w:name="_Toc3308"/>
      <w:bookmarkStart w:id="492" w:name="_Toc11661"/>
      <w:bookmarkStart w:id="493" w:name="_Toc194073170"/>
      <w:bookmarkStart w:id="494" w:name="_Toc30089"/>
      <w:r>
        <w:rPr>
          <w:rFonts w:hint="eastAsia" w:ascii="仿宋" w:hAnsi="仿宋" w:eastAsia="仿宋" w:cs="仿宋"/>
          <w:bCs w:val="0"/>
          <w:sz w:val="24"/>
          <w:szCs w:val="24"/>
          <w:lang w:eastAsia="zh-CN"/>
        </w:rPr>
        <w:t>★60</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隐蔽工程和中间验收</w:t>
      </w:r>
      <w:bookmarkEnd w:id="491"/>
      <w:bookmarkEnd w:id="492"/>
      <w:bookmarkEnd w:id="493"/>
      <w:bookmarkEnd w:id="494"/>
    </w:p>
    <w:p w14:paraId="7F209625">
      <w:pPr>
        <w:pStyle w:val="12"/>
        <w:tabs>
          <w:tab w:val="left" w:pos="1320"/>
        </w:tabs>
        <w:adjustRightInd w:val="0"/>
        <w:snapToGrid w:val="0"/>
        <w:spacing w:line="400" w:lineRule="exact"/>
        <w:ind w:firstLine="0"/>
        <w:rPr>
          <w:rFonts w:ascii="仿宋" w:hAnsi="仿宋" w:eastAsia="仿宋" w:cs="仿宋"/>
          <w:b/>
          <w:bCs/>
          <w:lang w:eastAsia="zh-CN"/>
        </w:rPr>
      </w:pPr>
      <w:r>
        <w:rPr>
          <w:rFonts w:hint="eastAsia" w:ascii="仿宋" w:hAnsi="仿宋" w:eastAsia="仿宋" w:cs="仿宋"/>
          <w:b/>
          <w:bCs/>
          <w:lang w:eastAsia="zh-CN"/>
        </w:rPr>
        <w:t>60</w:t>
      </w:r>
      <w:r>
        <w:rPr>
          <w:rFonts w:ascii="仿宋" w:hAnsi="仿宋" w:eastAsia="仿宋" w:cs="仿宋"/>
          <w:b/>
          <w:bCs/>
          <w:lang w:eastAsia="zh-CN"/>
        </w:rPr>
        <w:t>.1</w:t>
      </w:r>
    </w:p>
    <w:p w14:paraId="4509EC3C">
      <w:pPr>
        <w:widowControl w:val="0"/>
        <w:adjustRightInd w:val="0"/>
        <w:snapToGrid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828224" behindDoc="0" locked="0" layoutInCell="1" allowOverlap="1">
                <wp:simplePos x="0" y="0"/>
                <wp:positionH relativeFrom="column">
                  <wp:posOffset>-73660</wp:posOffset>
                </wp:positionH>
                <wp:positionV relativeFrom="paragraph">
                  <wp:posOffset>17780</wp:posOffset>
                </wp:positionV>
                <wp:extent cx="796290" cy="570230"/>
                <wp:effectExtent l="0" t="0" r="0" b="0"/>
                <wp:wrapNone/>
                <wp:docPr id="263" name="文本框 911"/>
                <wp:cNvGraphicFramePr/>
                <a:graphic xmlns:a="http://schemas.openxmlformats.org/drawingml/2006/main">
                  <a:graphicData uri="http://schemas.microsoft.com/office/word/2010/wordprocessingShape">
                    <wps:wsp>
                      <wps:cNvSpPr txBox="1"/>
                      <wps:spPr>
                        <a:xfrm>
                          <a:off x="0" y="0"/>
                          <a:ext cx="796290" cy="570230"/>
                        </a:xfrm>
                        <a:prstGeom prst="rect">
                          <a:avLst/>
                        </a:prstGeom>
                        <a:noFill/>
                        <a:ln w="12700">
                          <a:noFill/>
                        </a:ln>
                      </wps:spPr>
                      <wps:txbx>
                        <w:txbxContent>
                          <w:p w14:paraId="3CD4FBE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隐蔽工程和中间验收的通知</w:t>
                            </w:r>
                          </w:p>
                        </w:txbxContent>
                      </wps:txbx>
                      <wps:bodyPr rot="0" vert="horz" wrap="square" lIns="91440" tIns="45720" rIns="91440" bIns="45720" anchor="t" anchorCtr="0"/>
                    </wps:wsp>
                  </a:graphicData>
                </a:graphic>
              </wp:anchor>
            </w:drawing>
          </mc:Choice>
          <mc:Fallback>
            <w:pict>
              <v:shape id="文本框 911" o:spid="_x0000_s1026" o:spt="202" type="#_x0000_t202" style="position:absolute;left:0pt;margin-left:-5.8pt;margin-top:1.4pt;height:44.9pt;width:62.7pt;z-index:251828224;mso-width-relative:page;mso-height-relative:page;" filled="f" stroked="f" coordsize="21600,21600" o:gfxdata="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0G&#10;AMXWAAAACAEAAA8AAAAAAAAAAQAgAAAAIgAAAGRycy9kb3ducmV2LnhtbFBLAQIUABQAAAAIAIdO&#10;4kBscswX7AEAAL4DAAAOAAAAAAAAAAEAIAAAACUBAABkcnMvZTJvRG9jLnhtbFBLBQYAAAAABgAG&#10;AFkBAACDBQAAAAA=&#10;">
                <v:fill on="f" focussize="0,0"/>
                <v:stroke on="f" weight="1pt"/>
                <v:imagedata o:title=""/>
                <o:lock v:ext="edit" aspectratio="f"/>
                <v:textbox>
                  <w:txbxContent>
                    <w:p w14:paraId="3CD4FBE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隐蔽工程和中间验收的通知</w:t>
                      </w:r>
                    </w:p>
                  </w:txbxContent>
                </v:textbox>
              </v:shape>
            </w:pict>
          </mc:Fallback>
        </mc:AlternateContent>
      </w:r>
      <w:r>
        <w:rPr>
          <w:rFonts w:hint="eastAsia" w:ascii="仿宋" w:hAnsi="仿宋" w:eastAsia="仿宋" w:cs="仿宋"/>
          <w:lang w:eastAsia="zh-CN"/>
        </w:rPr>
        <w:t>没有经监理人验收同意，任何分部分项工程均不得覆盖或隐蔽。隐蔽工程覆盖前或中间验收部位具备专用条款约定的验收条件时，承包人应进行自检，并在隐蔽或中间验收前</w:t>
      </w:r>
      <w:r>
        <w:rPr>
          <w:rFonts w:ascii="仿宋" w:hAnsi="仿宋" w:eastAsia="仿宋" w:cs="仿宋"/>
          <w:lang w:eastAsia="zh-CN"/>
        </w:rPr>
        <w:t>48</w:t>
      </w:r>
      <w:r>
        <w:rPr>
          <w:rFonts w:hint="eastAsia" w:ascii="仿宋" w:hAnsi="仿宋" w:eastAsia="仿宋" w:cs="仿宋"/>
          <w:lang w:eastAsia="zh-CN"/>
        </w:rPr>
        <w:t>小时向监理人提出隐蔽工程或中间验收申请，通知监理人验收。通知的内容包括工程隐蔽或中间验收的内容、时间、地点，以及自检记录和必要的验收资料。承包人应准备施工记录、验收表格，并提供必要的资料和协助。</w:t>
      </w:r>
    </w:p>
    <w:p w14:paraId="190E8D8E">
      <w:pPr>
        <w:spacing w:line="400" w:lineRule="exact"/>
        <w:rPr>
          <w:rFonts w:ascii="仿宋" w:hAnsi="仿宋" w:eastAsia="仿宋"/>
          <w:lang w:eastAsia="zh-CN"/>
        </w:rPr>
      </w:pPr>
      <w:r>
        <w:rPr>
          <w:rFonts w:ascii="仿宋" w:hAnsi="仿宋" w:eastAsia="仿宋" w:cs="仿宋"/>
          <w:b/>
          <w:bCs/>
        </w:rPr>
        <mc:AlternateContent>
          <mc:Choice Requires="wps">
            <w:drawing>
              <wp:anchor distT="0" distB="0" distL="114300" distR="114300" simplePos="0" relativeHeight="252041216" behindDoc="0" locked="0" layoutInCell="1" allowOverlap="1">
                <wp:simplePos x="0" y="0"/>
                <wp:positionH relativeFrom="column">
                  <wp:posOffset>-114300</wp:posOffset>
                </wp:positionH>
                <wp:positionV relativeFrom="paragraph">
                  <wp:posOffset>281940</wp:posOffset>
                </wp:positionV>
                <wp:extent cx="785495" cy="464820"/>
                <wp:effectExtent l="0" t="0" r="0" b="0"/>
                <wp:wrapNone/>
                <wp:docPr id="264" name="文本框 912"/>
                <wp:cNvGraphicFramePr/>
                <a:graphic xmlns:a="http://schemas.openxmlformats.org/drawingml/2006/main">
                  <a:graphicData uri="http://schemas.microsoft.com/office/word/2010/wordprocessingShape">
                    <wps:wsp>
                      <wps:cNvSpPr txBox="1"/>
                      <wps:spPr>
                        <a:xfrm>
                          <a:off x="0" y="0"/>
                          <a:ext cx="785495" cy="464820"/>
                        </a:xfrm>
                        <a:prstGeom prst="rect">
                          <a:avLst/>
                        </a:prstGeom>
                        <a:noFill/>
                        <a:ln w="12700">
                          <a:noFill/>
                        </a:ln>
                      </wps:spPr>
                      <wps:txbx>
                        <w:txbxContent>
                          <w:p w14:paraId="38C5767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txbxContent>
                      </wps:txbx>
                      <wps:bodyPr rot="0" vert="horz" wrap="square" lIns="91440" tIns="45720" rIns="91440" bIns="45720" anchor="t" anchorCtr="0"/>
                    </wps:wsp>
                  </a:graphicData>
                </a:graphic>
              </wp:anchor>
            </w:drawing>
          </mc:Choice>
          <mc:Fallback>
            <w:pict>
              <v:shape id="文本框 912" o:spid="_x0000_s1026" o:spt="202" type="#_x0000_t202" style="position:absolute;left:0pt;margin-left:-9pt;margin-top:22.2pt;height:36.6pt;width:61.85pt;z-index:252041216;mso-width-relative:page;mso-height-relative:page;" filled="f" stroked="f" coordsize="21600,21600" o:gfxdata="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vCQMKNkAAAAKAQAADwAAAAAAAAABACAAAAAiAAAAZHJzL2Rvd25yZXYueG1sUEsBAhQAFAAAAAgA&#10;h07iQNGkjbzrAQAAvgMAAA4AAAAAAAAAAQAgAAAAKAEAAGRycy9lMm9Eb2MueG1sUEsFBgAAAAAG&#10;AAYAWQEAAIUFAAAAAA==&#10;">
                <v:fill on="f" focussize="0,0"/>
                <v:stroke on="f" weight="1pt"/>
                <v:imagedata o:title=""/>
                <o:lock v:ext="edit" aspectratio="f"/>
                <v:textbox>
                  <w:txbxContent>
                    <w:p w14:paraId="38C5767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txbxContent>
                </v:textbox>
              </v:shape>
            </w:pict>
          </mc:Fallback>
        </mc:AlternateContent>
      </w:r>
      <w:r>
        <w:rPr>
          <w:rFonts w:hint="eastAsia" w:ascii="仿宋" w:hAnsi="仿宋" w:eastAsia="仿宋" w:cs="仿宋"/>
          <w:b/>
          <w:bCs/>
          <w:lang w:eastAsia="zh-CN"/>
        </w:rPr>
        <w:t>60</w:t>
      </w:r>
      <w:r>
        <w:rPr>
          <w:rFonts w:ascii="仿宋" w:hAnsi="仿宋" w:eastAsia="仿宋" w:cs="仿宋"/>
          <w:b/>
          <w:bCs/>
          <w:lang w:eastAsia="zh-CN"/>
        </w:rPr>
        <w:t xml:space="preserve">.2  </w:t>
      </w:r>
      <w:r>
        <w:rPr>
          <w:rFonts w:ascii="仿宋" w:hAnsi="仿宋" w:eastAsia="仿宋" w:cs="仿宋"/>
          <w:u w:val="dotted"/>
          <w:lang w:eastAsia="zh-CN"/>
        </w:rPr>
        <w:t xml:space="preserve">                                                                               </w:t>
      </w:r>
    </w:p>
    <w:p w14:paraId="6635DA88">
      <w:pPr>
        <w:widowControl w:val="0"/>
        <w:adjustRightInd w:val="0"/>
        <w:snapToGrid w:val="0"/>
        <w:spacing w:line="400" w:lineRule="exact"/>
        <w:ind w:left="1850" w:leftChars="771"/>
        <w:jc w:val="both"/>
        <w:rPr>
          <w:rFonts w:ascii="仿宋" w:hAnsi="仿宋" w:eastAsia="仿宋"/>
          <w:lang w:eastAsia="zh-CN"/>
        </w:rPr>
      </w:pPr>
      <w:r>
        <w:rPr>
          <w:rFonts w:hint="eastAsia" w:ascii="仿宋" w:hAnsi="仿宋" w:eastAsia="仿宋" w:cs="仿宋"/>
          <w:lang w:eastAsia="zh-CN"/>
        </w:rPr>
        <w:t>如果监理人不能按时参加验收，应至少提前</w:t>
      </w:r>
      <w:r>
        <w:rPr>
          <w:rFonts w:ascii="仿宋" w:hAnsi="仿宋" w:eastAsia="仿宋" w:cs="仿宋"/>
          <w:lang w:eastAsia="zh-CN"/>
        </w:rPr>
        <w:t>24</w:t>
      </w:r>
      <w:r>
        <w:rPr>
          <w:rFonts w:hint="eastAsia" w:ascii="仿宋" w:hAnsi="仿宋" w:eastAsia="仿宋" w:cs="仿宋"/>
          <w:lang w:eastAsia="zh-CN"/>
        </w:rPr>
        <w:t>小时发出延期验收指令并书面说明理由，延期不得超过</w:t>
      </w:r>
      <w:r>
        <w:rPr>
          <w:rFonts w:ascii="仿宋" w:hAnsi="仿宋" w:eastAsia="仿宋" w:cs="仿宋"/>
          <w:lang w:eastAsia="zh-CN"/>
        </w:rPr>
        <w:t>48</w:t>
      </w:r>
      <w:r>
        <w:rPr>
          <w:rFonts w:hint="eastAsia" w:ascii="仿宋" w:hAnsi="仿宋" w:eastAsia="仿宋" w:cs="仿宋"/>
          <w:lang w:eastAsia="zh-CN"/>
        </w:rPr>
        <w:t>小时。如果监理人或其委派的代表未发出延期验收指令也未到场验收，承包人必须停止验收并通知发包人代表；由此增加的费用和（或）延误的工期由发包人承担，并向承包人支付合理利润。</w:t>
      </w:r>
    </w:p>
    <w:p w14:paraId="15DEE061">
      <w:pPr>
        <w:spacing w:line="400" w:lineRule="exact"/>
        <w:rPr>
          <w:rFonts w:ascii="仿宋" w:hAnsi="仿宋" w:eastAsia="仿宋"/>
          <w:lang w:eastAsia="zh-CN"/>
        </w:rPr>
      </w:pPr>
      <w:r>
        <mc:AlternateContent>
          <mc:Choice Requires="wps">
            <w:drawing>
              <wp:anchor distT="0" distB="0" distL="114300" distR="114300" simplePos="0" relativeHeight="251829248" behindDoc="0" locked="0" layoutInCell="1" allowOverlap="1">
                <wp:simplePos x="0" y="0"/>
                <wp:positionH relativeFrom="column">
                  <wp:posOffset>-114300</wp:posOffset>
                </wp:positionH>
                <wp:positionV relativeFrom="paragraph">
                  <wp:posOffset>300355</wp:posOffset>
                </wp:positionV>
                <wp:extent cx="813435" cy="624840"/>
                <wp:effectExtent l="0" t="0" r="0" b="0"/>
                <wp:wrapNone/>
                <wp:docPr id="265" name="文本框 913"/>
                <wp:cNvGraphicFramePr/>
                <a:graphic xmlns:a="http://schemas.openxmlformats.org/drawingml/2006/main">
                  <a:graphicData uri="http://schemas.microsoft.com/office/word/2010/wordprocessingShape">
                    <wps:wsp>
                      <wps:cNvSpPr txBox="1"/>
                      <wps:spPr>
                        <a:xfrm>
                          <a:off x="0" y="0"/>
                          <a:ext cx="813435" cy="624840"/>
                        </a:xfrm>
                        <a:prstGeom prst="rect">
                          <a:avLst/>
                        </a:prstGeom>
                        <a:noFill/>
                        <a:ln w="12700">
                          <a:noFill/>
                        </a:ln>
                      </wps:spPr>
                      <wps:txbx>
                        <w:txbxContent>
                          <w:p w14:paraId="5DCD2BF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txbxContent>
                      </wps:txbx>
                      <wps:bodyPr rot="0" vert="horz" wrap="square" lIns="91440" tIns="45720" rIns="91440" bIns="45720" anchor="t" anchorCtr="0"/>
                    </wps:wsp>
                  </a:graphicData>
                </a:graphic>
              </wp:anchor>
            </w:drawing>
          </mc:Choice>
          <mc:Fallback>
            <w:pict>
              <v:shape id="文本框 913" o:spid="_x0000_s1026" o:spt="202" type="#_x0000_t202" style="position:absolute;left:0pt;margin-left:-9pt;margin-top:23.65pt;height:49.2pt;width:64.05pt;z-index:251829248;mso-width-relative:page;mso-height-relative:page;" filled="f" stroked="f" coordsize="21600,21600" o:gfxdata="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GamzM2QAAAAoBAAAPAAAAAAAAAAEAIAAAACIAAABkcnMvZG93bnJldi54bWxQSwECFAAUAAAA&#10;CACHTuJAscKCRO0BAAC+AwAADgAAAAAAAAABACAAAAAoAQAAZHJzL2Uyb0RvYy54bWxQSwUGAAAA&#10;AAYABgBZAQAAhwUAAAAA&#10;">
                <v:fill on="f" focussize="0,0"/>
                <v:stroke on="f" weight="1pt"/>
                <v:imagedata o:title=""/>
                <o:lock v:ext="edit" aspectratio="f"/>
                <v:textbox>
                  <w:txbxContent>
                    <w:p w14:paraId="5DCD2BF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txbxContent>
                </v:textbox>
              </v:shape>
            </w:pict>
          </mc:Fallback>
        </mc:AlternateContent>
      </w:r>
      <w:r>
        <w:rPr>
          <w:rFonts w:hint="eastAsia" w:ascii="仿宋" w:hAnsi="仿宋" w:eastAsia="仿宋" w:cs="仿宋"/>
          <w:b/>
          <w:bCs/>
          <w:lang w:eastAsia="zh-CN"/>
        </w:rPr>
        <w:t>60</w:t>
      </w:r>
      <w:r>
        <w:rPr>
          <w:rFonts w:ascii="仿宋" w:hAnsi="仿宋" w:eastAsia="仿宋" w:cs="仿宋"/>
          <w:b/>
          <w:bCs/>
          <w:lang w:eastAsia="zh-CN"/>
        </w:rPr>
        <w:t xml:space="preserve">.3 </w:t>
      </w:r>
      <w:r>
        <w:rPr>
          <w:rFonts w:ascii="仿宋" w:hAnsi="仿宋" w:eastAsia="仿宋" w:cs="仿宋"/>
          <w:lang w:eastAsia="zh-CN"/>
        </w:rPr>
        <w:t xml:space="preserve"> </w:t>
      </w:r>
      <w:r>
        <w:rPr>
          <w:rFonts w:ascii="仿宋" w:hAnsi="仿宋" w:eastAsia="仿宋" w:cs="仿宋"/>
          <w:u w:val="dotted"/>
          <w:lang w:eastAsia="zh-CN"/>
        </w:rPr>
        <w:t xml:space="preserve">                                                                              </w:t>
      </w:r>
    </w:p>
    <w:p w14:paraId="02DBE539">
      <w:pPr>
        <w:widowControl w:val="0"/>
        <w:adjustRightInd w:val="0"/>
        <w:snapToGrid w:val="0"/>
        <w:spacing w:line="400" w:lineRule="exact"/>
        <w:ind w:left="1850" w:leftChars="771"/>
        <w:jc w:val="both"/>
        <w:rPr>
          <w:rFonts w:ascii="仿宋" w:hAnsi="仿宋" w:eastAsia="仿宋"/>
          <w:lang w:eastAsia="zh-CN"/>
        </w:rPr>
      </w:pPr>
      <w:r>
        <w:rPr>
          <w:rFonts w:hint="eastAsia" w:ascii="仿宋" w:hAnsi="仿宋" w:eastAsia="仿宋" w:cs="仿宋"/>
          <w:lang w:eastAsia="zh-CN"/>
        </w:rPr>
        <w:t>验收合格的，监理工程师应在验收记录上签字，并形成验收文件，承包人可进行隐蔽或继续施工。验收合格</w:t>
      </w:r>
      <w:r>
        <w:rPr>
          <w:rFonts w:ascii="仿宋" w:hAnsi="仿宋" w:eastAsia="仿宋" w:cs="仿宋"/>
          <w:lang w:eastAsia="zh-CN"/>
        </w:rPr>
        <w:t>24</w:t>
      </w:r>
      <w:r>
        <w:rPr>
          <w:rFonts w:hint="eastAsia" w:ascii="仿宋" w:hAnsi="仿宋" w:eastAsia="仿宋" w:cs="仿宋"/>
          <w:lang w:eastAsia="zh-CN"/>
        </w:rPr>
        <w:t>小时后，监理工程师仍不在验收记录上签字，视为监理工程师已认可验收记录。</w:t>
      </w:r>
    </w:p>
    <w:p w14:paraId="173A250F">
      <w:pPr>
        <w:widowControl w:val="0"/>
        <w:adjustRightInd w:val="0"/>
        <w:snapToGrid w:val="0"/>
        <w:spacing w:line="400" w:lineRule="exact"/>
        <w:ind w:left="1850" w:leftChars="771"/>
        <w:jc w:val="both"/>
        <w:rPr>
          <w:rFonts w:ascii="仿宋" w:hAnsi="仿宋" w:eastAsia="仿宋"/>
          <w:lang w:eastAsia="zh-CN"/>
        </w:rPr>
      </w:pPr>
      <w:r>
        <w:rPr>
          <w:rFonts w:hint="eastAsia" w:ascii="仿宋" w:hAnsi="仿宋" w:eastAsia="仿宋" w:cs="仿宋"/>
          <w:lang w:eastAsia="zh-CN"/>
        </w:rPr>
        <w:t>验收不合格的，承包人应按照监理人的指令修改后重新验收，由此增加的费用和（或）延误的工期由承包人承担。</w:t>
      </w:r>
    </w:p>
    <w:p w14:paraId="7B6E19A0">
      <w:pPr>
        <w:spacing w:line="400" w:lineRule="exact"/>
        <w:rPr>
          <w:rFonts w:ascii="仿宋" w:hAnsi="仿宋" w:eastAsia="仿宋"/>
          <w:lang w:eastAsia="zh-CN"/>
        </w:rPr>
      </w:pPr>
      <w:r>
        <w:rPr>
          <w:rFonts w:ascii="仿宋" w:hAnsi="仿宋" w:eastAsia="仿宋" w:cs="仿宋"/>
          <w:b/>
          <w:bCs/>
        </w:rPr>
        <mc:AlternateContent>
          <mc:Choice Requires="wps">
            <w:drawing>
              <wp:anchor distT="0" distB="0" distL="114300" distR="114300" simplePos="0" relativeHeight="252042240" behindDoc="0" locked="0" layoutInCell="1" allowOverlap="1">
                <wp:simplePos x="0" y="0"/>
                <wp:positionH relativeFrom="column">
                  <wp:posOffset>-114300</wp:posOffset>
                </wp:positionH>
                <wp:positionV relativeFrom="paragraph">
                  <wp:posOffset>245110</wp:posOffset>
                </wp:positionV>
                <wp:extent cx="804545" cy="401320"/>
                <wp:effectExtent l="0" t="0" r="0" b="0"/>
                <wp:wrapNone/>
                <wp:docPr id="266" name="文本框 914"/>
                <wp:cNvGraphicFramePr/>
                <a:graphic xmlns:a="http://schemas.openxmlformats.org/drawingml/2006/main">
                  <a:graphicData uri="http://schemas.microsoft.com/office/word/2010/wordprocessingShape">
                    <wps:wsp>
                      <wps:cNvSpPr txBox="1"/>
                      <wps:spPr>
                        <a:xfrm>
                          <a:off x="0" y="0"/>
                          <a:ext cx="804545" cy="401320"/>
                        </a:xfrm>
                        <a:prstGeom prst="rect">
                          <a:avLst/>
                        </a:prstGeom>
                        <a:noFill/>
                        <a:ln w="12700">
                          <a:noFill/>
                        </a:ln>
                      </wps:spPr>
                      <wps:txbx>
                        <w:txbxContent>
                          <w:p w14:paraId="238A05E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txbxContent>
                      </wps:txbx>
                      <wps:bodyPr rot="0" vert="horz" wrap="square" lIns="91440" tIns="45720" rIns="91440" bIns="45720" anchor="t" anchorCtr="0"/>
                    </wps:wsp>
                  </a:graphicData>
                </a:graphic>
              </wp:anchor>
            </w:drawing>
          </mc:Choice>
          <mc:Fallback>
            <w:pict>
              <v:shape id="文本框 914" o:spid="_x0000_s1026" o:spt="202" type="#_x0000_t202" style="position:absolute;left:0pt;margin-left:-9pt;margin-top:19.3pt;height:31.6pt;width:63.35pt;z-index:252042240;mso-width-relative:page;mso-height-relative:page;" filled="f" stroked="f" coordsize="21600,21600" o:gfxdata="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pJ&#10;sznXAAAACgEAAA8AAAAAAAAAAQAgAAAAIgAAAGRycy9kb3ducmV2LnhtbFBLAQIUABQAAAAIAIdO&#10;4kB2Jha06wEAAL4DAAAOAAAAAAAAAAEAIAAAACYBAABkcnMvZTJvRG9jLnhtbFBLBQYAAAAABgAG&#10;AFkBAACDBQAAAAA=&#10;">
                <v:fill on="f" focussize="0,0"/>
                <v:stroke on="f" weight="1pt"/>
                <v:imagedata o:title=""/>
                <o:lock v:ext="edit" aspectratio="f"/>
                <v:textbox>
                  <w:txbxContent>
                    <w:p w14:paraId="238A05E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txbxContent>
                </v:textbox>
              </v:shape>
            </w:pict>
          </mc:Fallback>
        </mc:AlternateContent>
      </w:r>
      <w:r>
        <w:rPr>
          <w:rFonts w:hint="eastAsia" w:ascii="仿宋" w:hAnsi="仿宋" w:eastAsia="仿宋" w:cs="仿宋"/>
          <w:b/>
          <w:bCs/>
          <w:lang w:eastAsia="zh-CN"/>
        </w:rPr>
        <w:t>60</w:t>
      </w:r>
      <w:r>
        <w:rPr>
          <w:rFonts w:ascii="仿宋" w:hAnsi="仿宋" w:eastAsia="仿宋" w:cs="仿宋"/>
          <w:b/>
          <w:bCs/>
          <w:lang w:eastAsia="zh-CN"/>
        </w:rPr>
        <w:t xml:space="preserve">.4    </w:t>
      </w:r>
      <w:r>
        <w:rPr>
          <w:rFonts w:ascii="仿宋" w:hAnsi="仿宋" w:eastAsia="仿宋" w:cs="仿宋"/>
          <w:u w:val="dotted"/>
          <w:lang w:eastAsia="zh-CN"/>
        </w:rPr>
        <w:t xml:space="preserve">                                                                             </w:t>
      </w:r>
    </w:p>
    <w:p w14:paraId="2539B9DD">
      <w:pPr>
        <w:widowControl w:val="0"/>
        <w:adjustRightInd w:val="0"/>
        <w:snapToGrid w:val="0"/>
        <w:spacing w:line="400" w:lineRule="exact"/>
        <w:ind w:left="1850" w:leftChars="771"/>
        <w:jc w:val="both"/>
        <w:rPr>
          <w:lang w:eastAsia="zh-CN"/>
        </w:rPr>
      </w:pPr>
      <w:r>
        <w:rPr>
          <w:rFonts w:hint="eastAsia" w:ascii="仿宋" w:hAnsi="仿宋" w:eastAsia="仿宋" w:cs="仿宋"/>
          <w:lang w:eastAsia="zh-CN"/>
        </w:rPr>
        <w:t>如监理工程师有指令，承包人应对隐蔽工程进行拍摄或照相，保证监理工程师能充分检查和测量隐蔽的工程。</w:t>
      </w:r>
    </w:p>
    <w:p w14:paraId="61FF3FD6">
      <w:pPr>
        <w:spacing w:line="400" w:lineRule="exact"/>
        <w:rPr>
          <w:rFonts w:ascii="仿宋" w:hAnsi="仿宋" w:eastAsia="仿宋"/>
          <w:b/>
          <w:bCs/>
          <w:lang w:eastAsia="zh-CN"/>
        </w:rPr>
      </w:pPr>
      <w:r>
        <w:rPr>
          <w:rFonts w:ascii="仿宋" w:hAnsi="仿宋" w:eastAsia="仿宋" w:cs="仿宋"/>
          <w:b/>
          <w:bCs/>
        </w:rPr>
        <mc:AlternateContent>
          <mc:Choice Requires="wps">
            <w:drawing>
              <wp:anchor distT="0" distB="0" distL="114300" distR="114300" simplePos="0" relativeHeight="252043264" behindDoc="0" locked="0" layoutInCell="1" allowOverlap="1">
                <wp:simplePos x="0" y="0"/>
                <wp:positionH relativeFrom="column">
                  <wp:posOffset>-114300</wp:posOffset>
                </wp:positionH>
                <wp:positionV relativeFrom="paragraph">
                  <wp:posOffset>245110</wp:posOffset>
                </wp:positionV>
                <wp:extent cx="575945" cy="249555"/>
                <wp:effectExtent l="0" t="0" r="0" b="0"/>
                <wp:wrapNone/>
                <wp:docPr id="267" name="文本框 915"/>
                <wp:cNvGraphicFramePr/>
                <a:graphic xmlns:a="http://schemas.openxmlformats.org/drawingml/2006/main">
                  <a:graphicData uri="http://schemas.microsoft.com/office/word/2010/wordprocessingShape">
                    <wps:wsp>
                      <wps:cNvSpPr txBox="1"/>
                      <wps:spPr>
                        <a:xfrm>
                          <a:off x="0" y="0"/>
                          <a:ext cx="575945" cy="249555"/>
                        </a:xfrm>
                        <a:prstGeom prst="rect">
                          <a:avLst/>
                        </a:prstGeom>
                        <a:noFill/>
                        <a:ln w="12700">
                          <a:noFill/>
                        </a:ln>
                      </wps:spPr>
                      <wps:txbx>
                        <w:txbxContent>
                          <w:p w14:paraId="37CF7D93">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txbxContent>
                      </wps:txbx>
                      <wps:bodyPr rot="0" vert="horz" wrap="square" lIns="91440" tIns="45720" rIns="91440" bIns="45720" anchor="t" anchorCtr="0"/>
                    </wps:wsp>
                  </a:graphicData>
                </a:graphic>
              </wp:anchor>
            </w:drawing>
          </mc:Choice>
          <mc:Fallback>
            <w:pict>
              <v:shape id="文本框 915" o:spid="_x0000_s1026" o:spt="202" type="#_x0000_t202" style="position:absolute;left:0pt;margin-left:-9pt;margin-top:19.3pt;height:19.65pt;width:45.35pt;z-index:252043264;mso-width-relative:page;mso-height-relative:page;" filled="f" stroked="f" coordsize="21600,21600" o:gfxdata="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Nhr&#10;c9fYAAAACAEAAA8AAAAAAAAAAQAgAAAAIgAAAGRycy9kb3ducmV2LnhtbFBLAQIUABQAAAAIAIdO&#10;4kA+9een6gEAAL4DAAAOAAAAAAAAAAEAIAAAACcBAABkcnMvZTJvRG9jLnhtbFBLBQYAAAAABgAG&#10;AFkBAACDBQAAAAA=&#10;">
                <v:fill on="f" focussize="0,0"/>
                <v:stroke on="f" weight="1pt"/>
                <v:imagedata o:title=""/>
                <o:lock v:ext="edit" aspectratio="f"/>
                <v:textbox>
                  <w:txbxContent>
                    <w:p w14:paraId="37CF7D93">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txbxContent>
                </v:textbox>
              </v:shape>
            </w:pict>
          </mc:Fallback>
        </mc:AlternateContent>
      </w:r>
      <w:r>
        <w:rPr>
          <w:rFonts w:hint="eastAsia" w:ascii="仿宋" w:hAnsi="仿宋" w:eastAsia="仿宋" w:cs="仿宋"/>
          <w:b/>
          <w:bCs/>
          <w:lang w:eastAsia="zh-CN"/>
        </w:rPr>
        <w:t>60</w:t>
      </w:r>
      <w:r>
        <w:rPr>
          <w:rFonts w:ascii="仿宋" w:hAnsi="仿宋" w:eastAsia="仿宋" w:cs="仿宋"/>
          <w:b/>
          <w:bCs/>
          <w:lang w:eastAsia="zh-CN"/>
        </w:rPr>
        <w:t xml:space="preserve">.5  </w:t>
      </w:r>
      <w:r>
        <w:rPr>
          <w:rFonts w:ascii="仿宋" w:hAnsi="仿宋" w:eastAsia="仿宋" w:cs="仿宋"/>
          <w:b/>
          <w:bCs/>
          <w:u w:val="dotted"/>
          <w:lang w:eastAsia="zh-CN"/>
        </w:rPr>
        <w:t xml:space="preserve">                                                                               </w:t>
      </w:r>
    </w:p>
    <w:p w14:paraId="6F39EE3D">
      <w:pPr>
        <w:widowControl w:val="0"/>
        <w:adjustRightInd w:val="0"/>
        <w:snapToGrid w:val="0"/>
        <w:spacing w:line="400" w:lineRule="exact"/>
        <w:ind w:left="1850" w:leftChars="771"/>
        <w:jc w:val="both"/>
        <w:rPr>
          <w:rFonts w:ascii="仿宋" w:hAnsi="仿宋" w:eastAsia="仿宋"/>
          <w:u w:val="single"/>
          <w:lang w:eastAsia="zh-CN"/>
        </w:rPr>
      </w:pPr>
      <w:r>
        <w:rPr>
          <w:rFonts w:hint="eastAsia" w:ascii="仿宋" w:hAnsi="仿宋" w:eastAsia="仿宋" w:cs="仿宋"/>
          <w:lang w:eastAsia="zh-CN"/>
        </w:rPr>
        <w:t>承包人未通知监理工程师到场验收，私自将隐蔽工程覆盖的，监理工程师有权指令承包人进行钻孔探测或剥露验收，由此增加的费用和（或）延误的工期由承包人承担。</w:t>
      </w:r>
    </w:p>
    <w:p w14:paraId="26B58EBD">
      <w:pPr>
        <w:pStyle w:val="12"/>
        <w:adjustRightInd w:val="0"/>
        <w:snapToGrid w:val="0"/>
        <w:spacing w:line="400" w:lineRule="exact"/>
        <w:ind w:firstLine="0"/>
        <w:rPr>
          <w:rFonts w:ascii="仿宋" w:hAnsi="仿宋" w:eastAsia="仿宋" w:cs="仿宋"/>
          <w:b/>
          <w:bCs/>
          <w:u w:val="single"/>
          <w:lang w:eastAsia="zh-CN"/>
        </w:rPr>
      </w:pPr>
      <w:r>
        <w:rPr>
          <w:rFonts w:ascii="仿宋" w:hAnsi="仿宋" w:eastAsia="仿宋" w:cs="仿宋"/>
          <w:b/>
          <w:bCs/>
          <w:u w:val="single"/>
          <w:lang w:eastAsia="zh-CN"/>
        </w:rPr>
        <w:t xml:space="preserve">                                                                                     </w:t>
      </w:r>
    </w:p>
    <w:p w14:paraId="4444E5FD">
      <w:pPr>
        <w:pStyle w:val="4"/>
        <w:tabs>
          <w:tab w:val="left" w:pos="420"/>
        </w:tabs>
        <w:spacing w:before="0" w:after="0" w:line="400" w:lineRule="exact"/>
        <w:rPr>
          <w:rFonts w:ascii="仿宋" w:hAnsi="仿宋" w:eastAsia="仿宋" w:cs="仿宋"/>
          <w:bCs w:val="0"/>
          <w:sz w:val="24"/>
          <w:szCs w:val="24"/>
          <w:lang w:eastAsia="zh-CN"/>
        </w:rPr>
      </w:pPr>
      <w:bookmarkStart w:id="495" w:name="_Toc4535"/>
      <w:bookmarkStart w:id="496" w:name="_Toc194073171"/>
      <w:bookmarkStart w:id="497" w:name="_Toc3576"/>
      <w:bookmarkStart w:id="498" w:name="_Toc20383"/>
      <w:r>
        <w:rPr>
          <w:rFonts w:hint="eastAsia" w:ascii="仿宋" w:hAnsi="仿宋" w:eastAsia="仿宋" w:cs="仿宋"/>
          <w:bCs w:val="0"/>
          <w:sz w:val="24"/>
          <w:szCs w:val="24"/>
          <w:lang w:eastAsia="zh-CN"/>
        </w:rPr>
        <w:t>★61</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重新验收和额外检查检验</w:t>
      </w:r>
      <w:bookmarkEnd w:id="495"/>
      <w:bookmarkEnd w:id="496"/>
      <w:bookmarkEnd w:id="497"/>
      <w:bookmarkEnd w:id="498"/>
    </w:p>
    <w:p w14:paraId="0271208A">
      <w:pPr>
        <w:pStyle w:val="12"/>
        <w:adjustRightInd w:val="0"/>
        <w:snapToGrid w:val="0"/>
        <w:spacing w:line="400" w:lineRule="exact"/>
        <w:ind w:firstLine="0"/>
        <w:rPr>
          <w:rFonts w:ascii="仿宋" w:hAnsi="仿宋" w:eastAsia="仿宋" w:cs="仿宋"/>
          <w:b/>
          <w:bCs/>
          <w:lang w:eastAsia="zh-CN"/>
        </w:rPr>
      </w:pPr>
      <w:r>
        <w:rPr>
          <w:rFonts w:hint="eastAsia" w:ascii="仿宋" w:hAnsi="仿宋" w:eastAsia="仿宋" w:cs="仿宋"/>
          <w:b/>
          <w:bCs/>
          <w:lang w:eastAsia="zh-CN"/>
        </w:rPr>
        <w:t>61</w:t>
      </w:r>
      <w:r>
        <w:rPr>
          <w:rFonts w:ascii="仿宋" w:hAnsi="仿宋" w:eastAsia="仿宋" w:cs="仿宋"/>
          <w:b/>
          <w:bCs/>
          <w:lang w:eastAsia="zh-CN"/>
        </w:rPr>
        <w:t>.1</w:t>
      </w:r>
    </w:p>
    <w:p w14:paraId="1213C6AA">
      <w:pPr>
        <w:widowControl w:val="0"/>
        <w:adjustRightInd w:val="0"/>
        <w:snapToGrid w:val="0"/>
        <w:spacing w:line="400" w:lineRule="exact"/>
        <w:ind w:left="1850" w:leftChars="771"/>
        <w:jc w:val="both"/>
        <w:rPr>
          <w:rFonts w:ascii="仿宋" w:hAnsi="仿宋" w:eastAsia="仿宋"/>
          <w:lang w:eastAsia="zh-CN"/>
        </w:rPr>
      </w:pPr>
      <w:r>
        <w:rPr>
          <w:rFonts w:ascii="仿宋" w:hAnsi="仿宋" w:eastAsia="仿宋" w:cs="仿宋"/>
          <w:b/>
          <w:bCs/>
        </w:rPr>
        <mc:AlternateContent>
          <mc:Choice Requires="wps">
            <w:drawing>
              <wp:anchor distT="0" distB="0" distL="114300" distR="114300" simplePos="0" relativeHeight="252044288" behindDoc="0" locked="0" layoutInCell="1" allowOverlap="1">
                <wp:simplePos x="0" y="0"/>
                <wp:positionH relativeFrom="column">
                  <wp:posOffset>-114300</wp:posOffset>
                </wp:positionH>
                <wp:positionV relativeFrom="paragraph">
                  <wp:posOffset>65405</wp:posOffset>
                </wp:positionV>
                <wp:extent cx="817245" cy="521970"/>
                <wp:effectExtent l="0" t="0" r="0" b="0"/>
                <wp:wrapNone/>
                <wp:docPr id="268" name="文本框 916"/>
                <wp:cNvGraphicFramePr/>
                <a:graphic xmlns:a="http://schemas.openxmlformats.org/drawingml/2006/main">
                  <a:graphicData uri="http://schemas.microsoft.com/office/word/2010/wordprocessingShape">
                    <wps:wsp>
                      <wps:cNvSpPr txBox="1"/>
                      <wps:spPr>
                        <a:xfrm>
                          <a:off x="0" y="0"/>
                          <a:ext cx="817245" cy="521970"/>
                        </a:xfrm>
                        <a:prstGeom prst="rect">
                          <a:avLst/>
                        </a:prstGeom>
                        <a:noFill/>
                        <a:ln w="12700">
                          <a:noFill/>
                        </a:ln>
                      </wps:spPr>
                      <wps:txbx>
                        <w:txbxContent>
                          <w:p w14:paraId="242249E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txbxContent>
                      </wps:txbx>
                      <wps:bodyPr rot="0" vert="horz" wrap="square" lIns="91440" tIns="45720" rIns="91440" bIns="45720" anchor="t" anchorCtr="0"/>
                    </wps:wsp>
                  </a:graphicData>
                </a:graphic>
              </wp:anchor>
            </w:drawing>
          </mc:Choice>
          <mc:Fallback>
            <w:pict>
              <v:shape id="文本框 916" o:spid="_x0000_s1026" o:spt="202" type="#_x0000_t202" style="position:absolute;left:0pt;margin-left:-9pt;margin-top:5.15pt;height:41.1pt;width:64.35pt;z-index:252044288;mso-width-relative:page;mso-height-relative:page;" filled="f" stroked="f" coordsize="21600,21600" o:gfxdata="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WM&#10;BJbXAAAACQEAAA8AAAAAAAAAAQAgAAAAIgAAAGRycy9kb3ducmV2LnhtbFBLAQIUABQAAAAIAIdO&#10;4kCkHwEy6wEAAL4DAAAOAAAAAAAAAAEAIAAAACYBAABkcnMvZTJvRG9jLnhtbFBLBQYAAAAABgAG&#10;AFkBAACDBQAAAAA=&#10;">
                <v:fill on="f" focussize="0,0"/>
                <v:stroke on="f" weight="1pt"/>
                <v:imagedata o:title=""/>
                <o:lock v:ext="edit" aspectratio="f"/>
                <v:textbox>
                  <w:txbxContent>
                    <w:p w14:paraId="242249E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txbxContent>
                </v:textbox>
              </v:shape>
            </w:pict>
          </mc:Fallback>
        </mc:AlternateContent>
      </w:r>
      <w:r>
        <w:rPr>
          <w:rFonts w:hint="eastAsia" w:ascii="仿宋" w:hAnsi="仿宋" w:eastAsia="仿宋" w:cs="仿宋"/>
          <w:lang w:eastAsia="zh-CN"/>
        </w:rPr>
        <w:t>当监理工程师对已经覆盖的隐蔽工程有疑问，要求重新验收时，承包人应按照要求对已覆盖的部位进行钻孔探测或剥露，并在验收后重新覆盖恢复原状。验收合格的，由此增加的费用和（或）延误的工期由发包人承担，并向承包人支付合理利润；验收不合格的，承包人应按照监理工程师的指令重新返工，直到验收合格为止，由此增加的费用和（或）延误的工期由承包人承担。</w:t>
      </w:r>
    </w:p>
    <w:p w14:paraId="26BE388A">
      <w:pPr>
        <w:pStyle w:val="12"/>
        <w:tabs>
          <w:tab w:val="left" w:pos="540"/>
          <w:tab w:val="left" w:pos="720"/>
        </w:tabs>
        <w:adjustRightInd w:val="0"/>
        <w:snapToGrid w:val="0"/>
        <w:spacing w:line="400" w:lineRule="exact"/>
        <w:ind w:firstLine="0"/>
        <w:rPr>
          <w:rFonts w:ascii="仿宋" w:hAnsi="仿宋" w:eastAsia="仿宋"/>
          <w:b/>
          <w:bCs/>
          <w:lang w:eastAsia="zh-CN"/>
        </w:rPr>
      </w:pPr>
      <w:r>
        <w:rPr>
          <w:rFonts w:hint="eastAsia" w:ascii="仿宋" w:hAnsi="仿宋" w:eastAsia="仿宋" w:cs="仿宋"/>
          <w:b/>
          <w:bCs/>
          <w:lang w:eastAsia="zh-CN"/>
        </w:rPr>
        <w:t>62</w:t>
      </w:r>
      <w:r>
        <w:rPr>
          <w:rFonts w:ascii="仿宋" w:hAnsi="仿宋" w:eastAsia="仿宋" w:cs="仿宋"/>
          <w:b/>
          <w:bCs/>
          <w:lang w:eastAsia="zh-CN"/>
        </w:rPr>
        <w:t xml:space="preserve">.2 </w:t>
      </w:r>
      <w:r>
        <w:rPr>
          <w:rFonts w:ascii="仿宋" w:hAnsi="仿宋" w:eastAsia="仿宋" w:cs="仿宋"/>
          <w:b/>
          <w:bCs/>
          <w:u w:val="dotted"/>
          <w:lang w:eastAsia="zh-CN"/>
        </w:rPr>
        <w:t xml:space="preserve">                                                                                </w:t>
      </w:r>
    </w:p>
    <w:p w14:paraId="63D915FB">
      <w:pPr>
        <w:widowControl w:val="0"/>
        <w:adjustRightInd w:val="0"/>
        <w:snapToGrid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830272" behindDoc="0" locked="0" layoutInCell="1" allowOverlap="1">
                <wp:simplePos x="0" y="0"/>
                <wp:positionH relativeFrom="column">
                  <wp:posOffset>-114300</wp:posOffset>
                </wp:positionH>
                <wp:positionV relativeFrom="paragraph">
                  <wp:posOffset>7620</wp:posOffset>
                </wp:positionV>
                <wp:extent cx="791210" cy="528320"/>
                <wp:effectExtent l="0" t="0" r="0" b="0"/>
                <wp:wrapNone/>
                <wp:docPr id="269" name="文本框 917"/>
                <wp:cNvGraphicFramePr/>
                <a:graphic xmlns:a="http://schemas.openxmlformats.org/drawingml/2006/main">
                  <a:graphicData uri="http://schemas.microsoft.com/office/word/2010/wordprocessingShape">
                    <wps:wsp>
                      <wps:cNvSpPr txBox="1"/>
                      <wps:spPr>
                        <a:xfrm>
                          <a:off x="0" y="0"/>
                          <a:ext cx="791210" cy="528320"/>
                        </a:xfrm>
                        <a:prstGeom prst="rect">
                          <a:avLst/>
                        </a:prstGeom>
                        <a:noFill/>
                        <a:ln w="12700">
                          <a:noFill/>
                        </a:ln>
                      </wps:spPr>
                      <wps:txbx>
                        <w:txbxContent>
                          <w:p w14:paraId="725BE03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txbxContent>
                      </wps:txbx>
                      <wps:bodyPr rot="0" vert="horz" wrap="square" lIns="91440" tIns="45720" rIns="91440" bIns="45720" anchor="t" anchorCtr="0"/>
                    </wps:wsp>
                  </a:graphicData>
                </a:graphic>
              </wp:anchor>
            </w:drawing>
          </mc:Choice>
          <mc:Fallback>
            <w:pict>
              <v:shape id="文本框 917" o:spid="_x0000_s1026" o:spt="202" type="#_x0000_t202" style="position:absolute;left:0pt;margin-left:-9pt;margin-top:0.6pt;height:41.6pt;width:62.3pt;z-index:251830272;mso-width-relative:page;mso-height-relative:page;" filled="f" stroked="f" coordsize="21600,21600" o:gfxdata="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qmj&#10;gtYAAAAIAQAADwAAAAAAAAABACAAAAAiAAAAZHJzL2Rvd25yZXYueG1sUEsBAhQAFAAAAAgAh07i&#10;QOSO0j/rAQAAvgMAAA4AAAAAAAAAAQAgAAAAJQEAAGRycy9lMm9Eb2MueG1sUEsFBgAAAAAGAAYA&#10;WQEAAIIFAAAAAA==&#10;">
                <v:fill on="f" focussize="0,0"/>
                <v:stroke on="f" weight="1pt"/>
                <v:imagedata o:title=""/>
                <o:lock v:ext="edit" aspectratio="f"/>
                <v:textbox>
                  <w:txbxContent>
                    <w:p w14:paraId="725BE03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txbxContent>
                </v:textbox>
              </v:shape>
            </w:pict>
          </mc:Fallback>
        </mc:AlternateContent>
      </w:r>
      <w:r>
        <w:rPr>
          <w:rFonts w:hint="eastAsia" w:ascii="仿宋" w:hAnsi="仿宋" w:eastAsia="仿宋" w:cs="仿宋"/>
          <w:lang w:eastAsia="zh-CN"/>
        </w:rPr>
        <w:t>当监理工程师指令承包人进行合同中没有约定的检查检验，以核实合同工程某一部位或某种工程材料和工程设备等产品是否有缺陷时，承包人应按照要求进行检查检验。存在缺陷的，分别按照第</w:t>
      </w:r>
      <w:r>
        <w:rPr>
          <w:rFonts w:ascii="仿宋" w:hAnsi="仿宋" w:eastAsia="仿宋" w:cs="仿宋"/>
          <w:lang w:eastAsia="zh-CN"/>
        </w:rPr>
        <w:t>5</w:t>
      </w:r>
      <w:r>
        <w:rPr>
          <w:rFonts w:hint="eastAsia" w:ascii="仿宋" w:hAnsi="仿宋" w:eastAsia="仿宋" w:cs="仿宋"/>
          <w:lang w:eastAsia="zh-CN"/>
        </w:rPr>
        <w:t>7.7款、第59</w:t>
      </w:r>
      <w:r>
        <w:rPr>
          <w:rFonts w:ascii="仿宋" w:hAnsi="仿宋" w:eastAsia="仿宋" w:cs="仿宋"/>
          <w:lang w:eastAsia="zh-CN"/>
        </w:rPr>
        <w:t>.3</w:t>
      </w:r>
      <w:r>
        <w:rPr>
          <w:rFonts w:hint="eastAsia" w:ascii="仿宋" w:hAnsi="仿宋" w:eastAsia="仿宋" w:cs="仿宋"/>
          <w:lang w:eastAsia="zh-CN"/>
        </w:rPr>
        <w:t>款约定处理；没有缺陷的，检查检验的费用和（或）延误的工期由发包人承担，并向承包人支付合理利润。</w:t>
      </w:r>
    </w:p>
    <w:p w14:paraId="0DB1928B">
      <w:pPr>
        <w:adjustRightInd w:val="0"/>
        <w:snapToGrid w:val="0"/>
        <w:spacing w:line="400" w:lineRule="exact"/>
        <w:rPr>
          <w:rFonts w:ascii="仿宋" w:hAnsi="仿宋" w:eastAsia="仿宋"/>
          <w:b/>
          <w:bCs/>
          <w:u w:val="single"/>
          <w:lang w:eastAsia="zh-CN"/>
        </w:rPr>
      </w:pPr>
      <w:r>
        <w:rPr>
          <w:rFonts w:ascii="仿宋" w:hAnsi="仿宋" w:eastAsia="仿宋" w:cs="仿宋"/>
          <w:b/>
          <w:bCs/>
          <w:u w:val="single"/>
          <w:lang w:eastAsia="zh-CN"/>
        </w:rPr>
        <w:t xml:space="preserve">                                                                                     </w:t>
      </w:r>
    </w:p>
    <w:p w14:paraId="62A82480">
      <w:pPr>
        <w:pStyle w:val="4"/>
        <w:tabs>
          <w:tab w:val="left" w:pos="420"/>
        </w:tabs>
        <w:spacing w:before="0" w:after="0" w:line="400" w:lineRule="exact"/>
        <w:rPr>
          <w:rFonts w:ascii="仿宋" w:hAnsi="仿宋" w:eastAsia="仿宋" w:cs="仿宋"/>
          <w:bCs w:val="0"/>
          <w:sz w:val="24"/>
          <w:szCs w:val="24"/>
          <w:lang w:eastAsia="zh-CN"/>
        </w:rPr>
      </w:pPr>
      <w:bookmarkStart w:id="499" w:name="_Toc24078"/>
      <w:bookmarkStart w:id="500" w:name="_Toc17401"/>
      <w:bookmarkStart w:id="501" w:name="_Toc194073172"/>
      <w:bookmarkStart w:id="502" w:name="_Toc11181"/>
      <w:r>
        <w:rPr>
          <w:rFonts w:hint="eastAsia" w:ascii="仿宋" w:hAnsi="仿宋" w:eastAsia="仿宋" w:cs="仿宋"/>
          <w:bCs w:val="0"/>
          <w:sz w:val="24"/>
          <w:szCs w:val="24"/>
          <w:lang w:eastAsia="zh-CN"/>
        </w:rPr>
        <w:t>62</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工程试车</w:t>
      </w:r>
      <w:bookmarkEnd w:id="499"/>
      <w:bookmarkEnd w:id="500"/>
      <w:bookmarkEnd w:id="501"/>
      <w:bookmarkEnd w:id="502"/>
    </w:p>
    <w:p w14:paraId="1A9BAB64">
      <w:pPr>
        <w:spacing w:line="400" w:lineRule="exact"/>
        <w:rPr>
          <w:rFonts w:ascii="仿宋" w:hAnsi="仿宋" w:eastAsia="仿宋"/>
          <w:b/>
          <w:bCs/>
          <w:lang w:eastAsia="zh-CN"/>
        </w:rPr>
      </w:pPr>
      <w:bookmarkStart w:id="503" w:name="_Toc32034"/>
      <w:r>
        <w:rPr>
          <w:rFonts w:hint="eastAsia" w:ascii="仿宋" w:hAnsi="仿宋" w:eastAsia="仿宋" w:cs="仿宋"/>
          <w:b/>
          <w:bCs/>
          <w:lang w:eastAsia="zh-CN"/>
        </w:rPr>
        <w:t>62</w:t>
      </w:r>
      <w:r>
        <w:rPr>
          <w:rFonts w:ascii="仿宋" w:hAnsi="仿宋" w:eastAsia="仿宋" w:cs="仿宋"/>
          <w:b/>
          <w:bCs/>
          <w:lang w:eastAsia="zh-CN"/>
        </w:rPr>
        <w:t>.1</w:t>
      </w:r>
      <w:bookmarkEnd w:id="503"/>
    </w:p>
    <w:p w14:paraId="571BF134">
      <w:pPr>
        <w:widowControl w:val="0"/>
        <w:adjustRightInd w:val="0"/>
        <w:snapToGrid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831296" behindDoc="0" locked="0" layoutInCell="1" allowOverlap="1">
                <wp:simplePos x="0" y="0"/>
                <wp:positionH relativeFrom="column">
                  <wp:posOffset>-114300</wp:posOffset>
                </wp:positionH>
                <wp:positionV relativeFrom="paragraph">
                  <wp:posOffset>16510</wp:posOffset>
                </wp:positionV>
                <wp:extent cx="846455" cy="300355"/>
                <wp:effectExtent l="0" t="0" r="0" b="0"/>
                <wp:wrapNone/>
                <wp:docPr id="270" name="文本框 918"/>
                <wp:cNvGraphicFramePr/>
                <a:graphic xmlns:a="http://schemas.openxmlformats.org/drawingml/2006/main">
                  <a:graphicData uri="http://schemas.microsoft.com/office/word/2010/wordprocessingShape">
                    <wps:wsp>
                      <wps:cNvSpPr txBox="1"/>
                      <wps:spPr>
                        <a:xfrm>
                          <a:off x="0" y="0"/>
                          <a:ext cx="846455" cy="300355"/>
                        </a:xfrm>
                        <a:prstGeom prst="rect">
                          <a:avLst/>
                        </a:prstGeom>
                        <a:noFill/>
                        <a:ln w="12700">
                          <a:noFill/>
                        </a:ln>
                      </wps:spPr>
                      <wps:txbx>
                        <w:txbxContent>
                          <w:p w14:paraId="20E3BAFE">
                            <w:pPr>
                              <w:rPr>
                                <w:rFonts w:ascii="楷体_GB2312" w:hAnsi="宋体" w:eastAsia="楷体_GB2312"/>
                                <w:sz w:val="18"/>
                                <w:szCs w:val="18"/>
                              </w:rPr>
                            </w:pPr>
                            <w:r>
                              <w:rPr>
                                <w:rFonts w:hint="eastAsia" w:ascii="楷体_GB2312" w:hAnsi="宋体" w:eastAsia="楷体_GB2312" w:cs="楷体_GB2312"/>
                                <w:b/>
                                <w:bCs/>
                                <w:color w:val="000000"/>
                                <w:sz w:val="18"/>
                                <w:szCs w:val="18"/>
                              </w:rPr>
                              <w:t>试车内容</w:t>
                            </w:r>
                          </w:p>
                        </w:txbxContent>
                      </wps:txbx>
                      <wps:bodyPr rot="0" vert="horz" wrap="square" lIns="91440" tIns="45720" rIns="91440" bIns="45720" anchor="t" anchorCtr="0"/>
                    </wps:wsp>
                  </a:graphicData>
                </a:graphic>
              </wp:anchor>
            </w:drawing>
          </mc:Choice>
          <mc:Fallback>
            <w:pict>
              <v:shape id="文本框 918" o:spid="_x0000_s1026" o:spt="202" type="#_x0000_t202" style="position:absolute;left:0pt;margin-left:-9pt;margin-top:1.3pt;height:23.65pt;width:66.65pt;z-index:251831296;mso-width-relative:page;mso-height-relative:page;" filled="f" stroked="f" coordsize="21600,21600" o:gfxdata="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X7&#10;9zjYAAAACAEAAA8AAAAAAAAAAQAgAAAAIgAAAGRycy9kb3ducmV2LnhtbFBLAQIUABQAAAAIAIdO&#10;4kCpaiVw6gEAAL4DAAAOAAAAAAAAAAEAIAAAACcBAABkcnMvZTJvRG9jLnhtbFBLBQYAAAAABgAG&#10;AFkBAACDBQAAAAA=&#10;">
                <v:fill on="f" focussize="0,0"/>
                <v:stroke on="f" weight="1pt"/>
                <v:imagedata o:title=""/>
                <o:lock v:ext="edit" aspectratio="f"/>
                <v:textbox>
                  <w:txbxContent>
                    <w:p w14:paraId="20E3BAFE">
                      <w:pPr>
                        <w:rPr>
                          <w:rFonts w:ascii="楷体_GB2312" w:hAnsi="宋体" w:eastAsia="楷体_GB2312"/>
                          <w:sz w:val="18"/>
                          <w:szCs w:val="18"/>
                        </w:rPr>
                      </w:pPr>
                      <w:r>
                        <w:rPr>
                          <w:rFonts w:hint="eastAsia" w:ascii="楷体_GB2312" w:hAnsi="宋体" w:eastAsia="楷体_GB2312" w:cs="楷体_GB2312"/>
                          <w:b/>
                          <w:bCs/>
                          <w:color w:val="000000"/>
                          <w:sz w:val="18"/>
                          <w:szCs w:val="18"/>
                        </w:rPr>
                        <w:t>试车内容</w:t>
                      </w:r>
                    </w:p>
                  </w:txbxContent>
                </v:textbox>
              </v:shape>
            </w:pict>
          </mc:Fallback>
        </mc:AlternateContent>
      </w:r>
      <w:r>
        <w:rPr>
          <w:rFonts w:hint="eastAsia" w:ascii="仿宋" w:hAnsi="仿宋" w:eastAsia="仿宋" w:cs="仿宋"/>
          <w:lang w:eastAsia="zh-CN"/>
        </w:rPr>
        <w:t>按照合同约定需要试车的，试车的内容应与承包人承包的安装范围相一致。</w:t>
      </w:r>
    </w:p>
    <w:p w14:paraId="149AF057">
      <w:pPr>
        <w:spacing w:line="400" w:lineRule="exact"/>
        <w:rPr>
          <w:rFonts w:ascii="仿宋" w:hAnsi="仿宋" w:eastAsia="仿宋" w:cs="仿宋"/>
          <w:b/>
          <w:bCs/>
          <w:u w:val="dotted"/>
          <w:lang w:eastAsia="zh-CN"/>
        </w:rPr>
      </w:pPr>
      <w:bookmarkStart w:id="504" w:name="_Toc28883"/>
      <w:r>
        <w:rPr>
          <w:rFonts w:hint="eastAsia" w:ascii="仿宋" w:hAnsi="仿宋" w:eastAsia="仿宋" w:cs="仿宋"/>
          <w:b/>
          <w:bCs/>
          <w:lang w:eastAsia="zh-CN"/>
        </w:rPr>
        <w:t>62</w:t>
      </w:r>
      <w:r>
        <w:rPr>
          <w:rFonts w:ascii="仿宋" w:hAnsi="仿宋" w:eastAsia="仿宋" w:cs="仿宋"/>
          <w:b/>
          <w:bCs/>
          <w:lang w:eastAsia="zh-CN"/>
        </w:rPr>
        <w:t>.2</w:t>
      </w:r>
      <w:bookmarkEnd w:id="504"/>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367294A1">
      <w:pPr>
        <w:widowControl w:val="0"/>
        <w:adjustRightInd w:val="0"/>
        <w:snapToGrid w:val="0"/>
        <w:spacing w:line="400" w:lineRule="exact"/>
        <w:ind w:left="1850" w:leftChars="771"/>
        <w:jc w:val="both"/>
        <w:rPr>
          <w:rFonts w:ascii="仿宋" w:hAnsi="仿宋" w:eastAsia="仿宋"/>
          <w:lang w:eastAsia="zh-CN"/>
        </w:rPr>
      </w:pPr>
      <w:r>
        <w:rPr>
          <w:rFonts w:hint="eastAsia" w:ascii="仿宋" w:hAnsi="仿宋" w:eastAsia="仿宋" w:cs="仿宋"/>
          <w:lang w:eastAsia="zh-CN"/>
        </w:rPr>
        <w:t>发包人应为承包人试车提供便利和协助</w:t>
      </w:r>
      <w:r>
        <mc:AlternateContent>
          <mc:Choice Requires="wps">
            <w:drawing>
              <wp:anchor distT="0" distB="0" distL="114300" distR="114300" simplePos="0" relativeHeight="251832320" behindDoc="0" locked="0" layoutInCell="1" allowOverlap="1">
                <wp:simplePos x="0" y="0"/>
                <wp:positionH relativeFrom="column">
                  <wp:posOffset>-114300</wp:posOffset>
                </wp:positionH>
                <wp:positionV relativeFrom="paragraph">
                  <wp:posOffset>3175</wp:posOffset>
                </wp:positionV>
                <wp:extent cx="785495" cy="504190"/>
                <wp:effectExtent l="0" t="0" r="0" b="0"/>
                <wp:wrapNone/>
                <wp:docPr id="271" name="文本框 919"/>
                <wp:cNvGraphicFramePr/>
                <a:graphic xmlns:a="http://schemas.openxmlformats.org/drawingml/2006/main">
                  <a:graphicData uri="http://schemas.microsoft.com/office/word/2010/wordprocessingShape">
                    <wps:wsp>
                      <wps:cNvSpPr txBox="1"/>
                      <wps:spPr>
                        <a:xfrm>
                          <a:off x="0" y="0"/>
                          <a:ext cx="785495" cy="504190"/>
                        </a:xfrm>
                        <a:prstGeom prst="rect">
                          <a:avLst/>
                        </a:prstGeom>
                        <a:noFill/>
                        <a:ln w="12700">
                          <a:noFill/>
                        </a:ln>
                      </wps:spPr>
                      <wps:txbx>
                        <w:txbxContent>
                          <w:p w14:paraId="17503CB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txbxContent>
                      </wps:txbx>
                      <wps:bodyPr rot="0" vert="horz" wrap="square" lIns="91440" tIns="45720" rIns="91440" bIns="45720" anchor="t" anchorCtr="0"/>
                    </wps:wsp>
                  </a:graphicData>
                </a:graphic>
              </wp:anchor>
            </w:drawing>
          </mc:Choice>
          <mc:Fallback>
            <w:pict>
              <v:shape id="文本框 919" o:spid="_x0000_s1026" o:spt="202" type="#_x0000_t202" style="position:absolute;left:0pt;margin-left:-9pt;margin-top:0.25pt;height:39.7pt;width:61.85pt;z-index:251832320;mso-width-relative:page;mso-height-relative:page;" filled="f" stroked="f" coordsize="21600,21600" o:gfxdata="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x&#10;bKHO1wAAAAcBAAAPAAAAAAAAAAEAIAAAACIAAABkcnMvZG93bnJldi54bWxQSwECFAAUAAAACACH&#10;TuJAcYYss+wBAAC+AwAADgAAAAAAAAABACAAAAAmAQAAZHJzL2Uyb0RvYy54bWxQSwUGAAAAAAYA&#10;BgBZAQAAhAUAAAAA&#10;">
                <v:fill on="f" focussize="0,0"/>
                <v:stroke on="f" weight="1pt"/>
                <v:imagedata o:title=""/>
                <o:lock v:ext="edit" aspectratio="f"/>
                <v:textbox>
                  <w:txbxContent>
                    <w:p w14:paraId="17503CB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txbxContent>
                </v:textbox>
              </v:shape>
            </w:pict>
          </mc:Fallback>
        </mc:AlternateContent>
      </w:r>
      <w:r>
        <w:rPr>
          <w:rFonts w:hint="eastAsia" w:ascii="仿宋" w:hAnsi="仿宋" w:eastAsia="仿宋" w:cs="仿宋"/>
          <w:lang w:eastAsia="zh-CN"/>
        </w:rPr>
        <w:t>，设备安装工程具备单机无负荷试车条件时，承包人应组织试车，并在试车前</w:t>
      </w:r>
      <w:r>
        <w:rPr>
          <w:rFonts w:ascii="仿宋" w:hAnsi="仿宋" w:eastAsia="仿宋" w:cs="仿宋"/>
          <w:lang w:eastAsia="zh-CN"/>
        </w:rPr>
        <w:t>48</w:t>
      </w:r>
      <w:r>
        <w:rPr>
          <w:rFonts w:hint="eastAsia" w:ascii="仿宋" w:hAnsi="仿宋" w:eastAsia="仿宋" w:cs="仿宋"/>
          <w:lang w:eastAsia="zh-CN"/>
        </w:rPr>
        <w:t>小时以书面形式通知监理人。通知包括试车内容、时间和地点。承包人应自行准备试车记录。</w:t>
      </w:r>
    </w:p>
    <w:p w14:paraId="597757A7">
      <w:pPr>
        <w:widowControl w:val="0"/>
        <w:adjustRightInd w:val="0"/>
        <w:snapToGrid w:val="0"/>
        <w:spacing w:line="400" w:lineRule="exact"/>
        <w:ind w:left="1850" w:leftChars="771"/>
        <w:jc w:val="both"/>
        <w:rPr>
          <w:rFonts w:ascii="仿宋" w:hAnsi="仿宋" w:eastAsia="仿宋"/>
          <w:lang w:eastAsia="zh-CN"/>
        </w:rPr>
      </w:pPr>
      <w:r>
        <w:rPr>
          <w:rFonts w:hint="eastAsia" w:ascii="仿宋" w:hAnsi="仿宋" w:eastAsia="仿宋" w:cs="仿宋"/>
          <w:lang w:eastAsia="zh-CN"/>
        </w:rPr>
        <w:t>监理人不能按时参加试车的，应在开始试车前至少提前</w:t>
      </w:r>
      <w:r>
        <w:rPr>
          <w:rFonts w:ascii="仿宋" w:hAnsi="仿宋" w:eastAsia="仿宋" w:cs="仿宋"/>
          <w:lang w:eastAsia="zh-CN"/>
        </w:rPr>
        <w:t>24</w:t>
      </w:r>
      <w:r>
        <w:rPr>
          <w:rFonts w:hint="eastAsia" w:ascii="仿宋" w:hAnsi="仿宋" w:eastAsia="仿宋" w:cs="仿宋"/>
          <w:lang w:eastAsia="zh-CN"/>
        </w:rPr>
        <w:t>小时发出延期试车指令并书面说明理由，延期不能超过</w:t>
      </w:r>
      <w:r>
        <w:rPr>
          <w:rFonts w:ascii="仿宋" w:hAnsi="仿宋" w:eastAsia="仿宋" w:cs="仿宋"/>
          <w:lang w:eastAsia="zh-CN"/>
        </w:rPr>
        <w:t>48</w:t>
      </w:r>
      <w:r>
        <w:rPr>
          <w:rFonts w:hint="eastAsia" w:ascii="仿宋" w:hAnsi="仿宋" w:eastAsia="仿宋" w:cs="仿宋"/>
          <w:lang w:eastAsia="zh-CN"/>
        </w:rPr>
        <w:t>小时。监理人未发出延期试车指令也未能按时参加试车的，承包人可自行试车，并认为试车是经监理人同意下完成的。试车完成后，承包人应立即向监理人提交试车记录，监理人应予认可。</w:t>
      </w:r>
    </w:p>
    <w:p w14:paraId="4E75AC9F">
      <w:pPr>
        <w:spacing w:line="400" w:lineRule="exact"/>
        <w:rPr>
          <w:rFonts w:ascii="仿宋" w:hAnsi="仿宋" w:eastAsia="仿宋" w:cs="仿宋"/>
          <w:u w:val="dotted"/>
          <w:lang w:eastAsia="zh-CN"/>
        </w:rPr>
      </w:pPr>
      <w:bookmarkStart w:id="505" w:name="_Toc18884"/>
      <w:r>
        <w:rPr>
          <w:rFonts w:hint="eastAsia" w:ascii="仿宋" w:hAnsi="仿宋" w:eastAsia="仿宋" w:cs="仿宋"/>
          <w:b/>
          <w:bCs/>
          <w:lang w:eastAsia="zh-CN"/>
        </w:rPr>
        <w:t>62</w:t>
      </w:r>
      <w:r>
        <w:rPr>
          <w:rFonts w:ascii="仿宋" w:hAnsi="仿宋" w:eastAsia="仿宋" w:cs="仿宋"/>
          <w:b/>
          <w:bCs/>
          <w:lang w:eastAsia="zh-CN"/>
        </w:rPr>
        <w:t>.3</w:t>
      </w:r>
      <w:bookmarkEnd w:id="505"/>
      <w:r>
        <w:rPr>
          <w:rFonts w:ascii="仿宋" w:hAnsi="仿宋" w:eastAsia="仿宋" w:cs="仿宋"/>
          <w:b/>
          <w:bCs/>
          <w:lang w:eastAsia="zh-CN"/>
        </w:rPr>
        <w:t xml:space="preserve"> </w:t>
      </w:r>
      <w:r>
        <w:rPr>
          <w:rFonts w:ascii="仿宋" w:hAnsi="仿宋" w:eastAsia="仿宋" w:cs="仿宋"/>
          <w:lang w:eastAsia="zh-CN"/>
        </w:rPr>
        <w:t xml:space="preserve"> </w:t>
      </w:r>
      <w:r>
        <w:rPr>
          <w:rFonts w:ascii="仿宋" w:hAnsi="仿宋" w:eastAsia="仿宋" w:cs="仿宋"/>
          <w:u w:val="dotted"/>
          <w:lang w:eastAsia="zh-CN"/>
        </w:rPr>
        <w:t xml:space="preserve">                                                                               </w:t>
      </w:r>
    </w:p>
    <w:p w14:paraId="19F28A0E">
      <w:pPr>
        <w:widowControl w:val="0"/>
        <w:adjustRightInd w:val="0"/>
        <w:snapToGrid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833344" behindDoc="0" locked="0" layoutInCell="1" allowOverlap="1">
                <wp:simplePos x="0" y="0"/>
                <wp:positionH relativeFrom="column">
                  <wp:posOffset>-73660</wp:posOffset>
                </wp:positionH>
                <wp:positionV relativeFrom="paragraph">
                  <wp:posOffset>635</wp:posOffset>
                </wp:positionV>
                <wp:extent cx="824865" cy="601345"/>
                <wp:effectExtent l="0" t="0" r="0" b="0"/>
                <wp:wrapNone/>
                <wp:docPr id="272" name="文本框 920"/>
                <wp:cNvGraphicFramePr/>
                <a:graphic xmlns:a="http://schemas.openxmlformats.org/drawingml/2006/main">
                  <a:graphicData uri="http://schemas.microsoft.com/office/word/2010/wordprocessingShape">
                    <wps:wsp>
                      <wps:cNvSpPr txBox="1"/>
                      <wps:spPr>
                        <a:xfrm>
                          <a:off x="0" y="0"/>
                          <a:ext cx="824865" cy="601345"/>
                        </a:xfrm>
                        <a:prstGeom prst="rect">
                          <a:avLst/>
                        </a:prstGeom>
                        <a:noFill/>
                        <a:ln w="12700">
                          <a:noFill/>
                        </a:ln>
                      </wps:spPr>
                      <wps:txbx>
                        <w:txbxContent>
                          <w:p w14:paraId="11244C0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txbxContent>
                      </wps:txbx>
                      <wps:bodyPr rot="0" vert="horz" wrap="square" lIns="91440" tIns="45720" rIns="91440" bIns="45720" anchor="t" anchorCtr="0"/>
                    </wps:wsp>
                  </a:graphicData>
                </a:graphic>
              </wp:anchor>
            </w:drawing>
          </mc:Choice>
          <mc:Fallback>
            <w:pict>
              <v:shape id="文本框 920" o:spid="_x0000_s1026" o:spt="202" type="#_x0000_t202" style="position:absolute;left:0pt;margin-left:-5.8pt;margin-top:0.05pt;height:47.35pt;width:64.95pt;z-index:251833344;mso-width-relative:page;mso-height-relative:page;" filled="f" stroked="f" coordsize="21600,21600" o:gfxdata="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xbBuLtQA&#10;AAAHAQAADwAAAAAAAAABACAAAAAiAAAAZHJzL2Rvd25yZXYueG1sUEsBAhQAFAAAAAgAh07iQNWf&#10;ixXqAQAAvgMAAA4AAAAAAAAAAQAgAAAAIwEAAGRycy9lMm9Eb2MueG1sUEsFBgAAAAAGAAYAWQEA&#10;AH8FAAAAAA==&#10;">
                <v:fill on="f" focussize="0,0"/>
                <v:stroke on="f" weight="1pt"/>
                <v:imagedata o:title=""/>
                <o:lock v:ext="edit" aspectratio="f"/>
                <v:textbox>
                  <w:txbxContent>
                    <w:p w14:paraId="11244C0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txbxContent>
                </v:textbox>
              </v:shape>
            </w:pict>
          </mc:Fallback>
        </mc:AlternateContent>
      </w:r>
      <w:r>
        <w:rPr>
          <w:rFonts w:hint="eastAsia" w:ascii="仿宋" w:hAnsi="仿宋" w:eastAsia="仿宋" w:cs="仿宋"/>
          <w:lang w:eastAsia="zh-CN"/>
        </w:rPr>
        <w:t>单机试车合格，监理工程师应在试车记录上签字，承包人可继续施工或申请办理竣工验收手续。单机试车合格</w:t>
      </w:r>
      <w:r>
        <w:rPr>
          <w:rFonts w:ascii="仿宋" w:hAnsi="仿宋" w:eastAsia="仿宋" w:cs="仿宋"/>
          <w:lang w:eastAsia="zh-CN"/>
        </w:rPr>
        <w:t>24</w:t>
      </w:r>
      <w:r>
        <w:rPr>
          <w:rFonts w:hint="eastAsia" w:ascii="仿宋" w:hAnsi="仿宋" w:eastAsia="仿宋" w:cs="仿宋"/>
          <w:lang w:eastAsia="zh-CN"/>
        </w:rPr>
        <w:t>小时后，监理工程师仍不在试车记录上签字的，视为监理工程师已认可试车记录。</w:t>
      </w:r>
    </w:p>
    <w:p w14:paraId="0BDE1574">
      <w:pPr>
        <w:spacing w:line="400" w:lineRule="exact"/>
        <w:rPr>
          <w:rFonts w:ascii="仿宋" w:hAnsi="仿宋" w:eastAsia="仿宋" w:cs="仿宋"/>
          <w:b/>
          <w:bCs/>
          <w:u w:val="dotted"/>
          <w:lang w:eastAsia="zh-CN"/>
        </w:rPr>
      </w:pPr>
      <w:bookmarkStart w:id="506" w:name="_Toc13716"/>
      <w:r>
        <w:rPr>
          <w:rFonts w:hint="eastAsia" w:ascii="仿宋" w:hAnsi="仿宋" w:eastAsia="仿宋" w:cs="仿宋"/>
          <w:b/>
          <w:bCs/>
          <w:lang w:eastAsia="zh-CN"/>
        </w:rPr>
        <w:t>62</w:t>
      </w:r>
      <w:r>
        <w:rPr>
          <w:rFonts w:ascii="仿宋" w:hAnsi="仿宋" w:eastAsia="仿宋" w:cs="仿宋"/>
          <w:b/>
          <w:bCs/>
          <w:lang w:eastAsia="zh-CN"/>
        </w:rPr>
        <w:t>.4</w:t>
      </w:r>
      <w:bookmarkEnd w:id="506"/>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750BBA94">
      <w:pPr>
        <w:widowControl w:val="0"/>
        <w:adjustRightInd w:val="0"/>
        <w:snapToGrid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834368" behindDoc="0" locked="0" layoutInCell="1" allowOverlap="1">
                <wp:simplePos x="0" y="0"/>
                <wp:positionH relativeFrom="column">
                  <wp:posOffset>-73660</wp:posOffset>
                </wp:positionH>
                <wp:positionV relativeFrom="paragraph">
                  <wp:posOffset>11430</wp:posOffset>
                </wp:positionV>
                <wp:extent cx="844550" cy="662305"/>
                <wp:effectExtent l="0" t="0" r="0" b="0"/>
                <wp:wrapNone/>
                <wp:docPr id="273" name="文本框 921"/>
                <wp:cNvGraphicFramePr/>
                <a:graphic xmlns:a="http://schemas.openxmlformats.org/drawingml/2006/main">
                  <a:graphicData uri="http://schemas.microsoft.com/office/word/2010/wordprocessingShape">
                    <wps:wsp>
                      <wps:cNvSpPr txBox="1"/>
                      <wps:spPr>
                        <a:xfrm>
                          <a:off x="0" y="0"/>
                          <a:ext cx="844550" cy="662305"/>
                        </a:xfrm>
                        <a:prstGeom prst="rect">
                          <a:avLst/>
                        </a:prstGeom>
                        <a:noFill/>
                        <a:ln w="12700">
                          <a:noFill/>
                        </a:ln>
                      </wps:spPr>
                      <wps:txbx>
                        <w:txbxContent>
                          <w:p w14:paraId="6DF2327C">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联动试车通知和结果的确认</w:t>
                            </w:r>
                          </w:p>
                        </w:txbxContent>
                      </wps:txbx>
                      <wps:bodyPr rot="0" vert="horz" wrap="square" lIns="91440" tIns="45720" rIns="91440" bIns="45720" anchor="t" anchorCtr="0"/>
                    </wps:wsp>
                  </a:graphicData>
                </a:graphic>
              </wp:anchor>
            </w:drawing>
          </mc:Choice>
          <mc:Fallback>
            <w:pict>
              <v:shape id="文本框 921" o:spid="_x0000_s1026" o:spt="202" type="#_x0000_t202" style="position:absolute;left:0pt;margin-left:-5.8pt;margin-top:0.9pt;height:52.15pt;width:66.5pt;z-index:251834368;mso-width-relative:page;mso-height-relative:page;" filled="f" stroked="f" coordsize="21600,21600" o:gfxdata="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3onAo&#10;1gAAAAkBAAAPAAAAAAAAAAEAIAAAACIAAABkcnMvZG93bnJldi54bWxQSwECFAAUAAAACACHTuJA&#10;Css6huoBAAC+AwAADgAAAAAAAAABACAAAAAlAQAAZHJzL2Uyb0RvYy54bWxQSwUGAAAAAAYABgBZ&#10;AQAAgQUAAAAA&#10;">
                <v:fill on="f" focussize="0,0"/>
                <v:stroke on="f" weight="1pt"/>
                <v:imagedata o:title=""/>
                <o:lock v:ext="edit" aspectratio="f"/>
                <v:textbox>
                  <w:txbxContent>
                    <w:p w14:paraId="6DF2327C">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联动试车通知和结果的确认</w:t>
                      </w:r>
                    </w:p>
                  </w:txbxContent>
                </v:textbox>
              </v:shape>
            </w:pict>
          </mc:Fallback>
        </mc:AlternateContent>
      </w:r>
      <w:r>
        <w:rPr>
          <w:rFonts w:hint="eastAsia" w:ascii="仿宋" w:hAnsi="仿宋" w:eastAsia="仿宋" w:cs="仿宋"/>
          <w:lang w:eastAsia="zh-CN"/>
        </w:rPr>
        <w:t>设备安装工程具备联动无负荷试车条件时，发包人应组织试车，并在试车前</w:t>
      </w:r>
      <w:r>
        <w:rPr>
          <w:rFonts w:ascii="仿宋" w:hAnsi="仿宋" w:eastAsia="仿宋" w:cs="仿宋"/>
          <w:lang w:eastAsia="zh-CN"/>
        </w:rPr>
        <w:t>48</w:t>
      </w:r>
      <w:r>
        <w:rPr>
          <w:rFonts w:hint="eastAsia" w:ascii="仿宋" w:hAnsi="仿宋" w:eastAsia="仿宋" w:cs="仿宋"/>
          <w:lang w:eastAsia="zh-CN"/>
        </w:rPr>
        <w:t>小时以书面形式通知承包人。通知包括试车内容、时间、地点和对承包人的要求，承包人应按照要求做好准备工作。试车合格，合同双方当事人均应在试车记录上签字。</w:t>
      </w:r>
    </w:p>
    <w:p w14:paraId="46A09FD3">
      <w:pPr>
        <w:spacing w:line="400" w:lineRule="exact"/>
        <w:rPr>
          <w:rFonts w:ascii="仿宋" w:hAnsi="仿宋" w:eastAsia="仿宋" w:cs="仿宋"/>
          <w:b/>
          <w:bCs/>
          <w:u w:val="dotted"/>
          <w:lang w:eastAsia="zh-CN"/>
        </w:rPr>
      </w:pPr>
      <w:bookmarkStart w:id="507" w:name="_Toc5680"/>
      <w:r>
        <w:rPr>
          <w:rFonts w:hint="eastAsia" w:ascii="仿宋" w:hAnsi="仿宋" w:eastAsia="仿宋" w:cs="仿宋"/>
          <w:b/>
          <w:bCs/>
          <w:lang w:eastAsia="zh-CN"/>
        </w:rPr>
        <w:t>62</w:t>
      </w:r>
      <w:r>
        <w:rPr>
          <w:rFonts w:ascii="仿宋" w:hAnsi="仿宋" w:eastAsia="仿宋" w:cs="仿宋"/>
          <w:b/>
          <w:bCs/>
          <w:lang w:eastAsia="zh-CN"/>
        </w:rPr>
        <w:t>.5</w:t>
      </w:r>
      <w:bookmarkEnd w:id="507"/>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757AE68F">
      <w:pPr>
        <w:widowControl w:val="0"/>
        <w:adjustRightInd w:val="0"/>
        <w:snapToGrid w:val="0"/>
        <w:spacing w:line="400" w:lineRule="exact"/>
        <w:ind w:left="1850" w:leftChars="771"/>
        <w:jc w:val="both"/>
        <w:rPr>
          <w:rFonts w:ascii="仿宋" w:hAnsi="仿宋" w:eastAsia="仿宋" w:cs="仿宋"/>
          <w:lang w:eastAsia="zh-CN"/>
        </w:rPr>
      </w:pPr>
      <w:r>
        <mc:AlternateContent>
          <mc:Choice Requires="wps">
            <w:drawing>
              <wp:anchor distT="0" distB="0" distL="114300" distR="114300" simplePos="0" relativeHeight="251835392" behindDoc="0" locked="0" layoutInCell="1" allowOverlap="1">
                <wp:simplePos x="0" y="0"/>
                <wp:positionH relativeFrom="column">
                  <wp:posOffset>-114300</wp:posOffset>
                </wp:positionH>
                <wp:positionV relativeFrom="paragraph">
                  <wp:posOffset>-6350</wp:posOffset>
                </wp:positionV>
                <wp:extent cx="831850" cy="667385"/>
                <wp:effectExtent l="0" t="0" r="0" b="0"/>
                <wp:wrapNone/>
                <wp:docPr id="274" name="文本框 922"/>
                <wp:cNvGraphicFramePr/>
                <a:graphic xmlns:a="http://schemas.openxmlformats.org/drawingml/2006/main">
                  <a:graphicData uri="http://schemas.microsoft.com/office/word/2010/wordprocessingShape">
                    <wps:wsp>
                      <wps:cNvSpPr txBox="1"/>
                      <wps:spPr>
                        <a:xfrm>
                          <a:off x="0" y="0"/>
                          <a:ext cx="831850" cy="667385"/>
                        </a:xfrm>
                        <a:prstGeom prst="rect">
                          <a:avLst/>
                        </a:prstGeom>
                        <a:noFill/>
                        <a:ln w="12700">
                          <a:noFill/>
                        </a:ln>
                      </wps:spPr>
                      <wps:txbx>
                        <w:txbxContent>
                          <w:p w14:paraId="1D3AC1E9">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试车费用和不达要求处理</w:t>
                            </w:r>
                          </w:p>
                        </w:txbxContent>
                      </wps:txbx>
                      <wps:bodyPr rot="0" vert="horz" wrap="square" lIns="91440" tIns="45720" rIns="91440" bIns="45720" anchor="t" anchorCtr="0"/>
                    </wps:wsp>
                  </a:graphicData>
                </a:graphic>
              </wp:anchor>
            </w:drawing>
          </mc:Choice>
          <mc:Fallback>
            <w:pict>
              <v:shape id="文本框 922" o:spid="_x0000_s1026" o:spt="202" type="#_x0000_t202" style="position:absolute;left:0pt;margin-left:-9pt;margin-top:-0.5pt;height:52.55pt;width:65.5pt;z-index:251835392;mso-width-relative:page;mso-height-relative:page;" filled="f" stroked="f" coordsize="21600,21600" o:gfxdata="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MExifV&#10;AAAACgEAAA8AAAAAAAAAAQAgAAAAIgAAAGRycy9kb3ducmV2LnhtbFBLAQIUABQAAAAIAIdO4kC9&#10;jsuN6gEAAL4DAAAOAAAAAAAAAAEAIAAAACQBAABkcnMvZTJvRG9jLnhtbFBLBQYAAAAABgAGAFkB&#10;AACABQAAAAA=&#10;">
                <v:fill on="f" focussize="0,0"/>
                <v:stroke on="f" weight="1pt"/>
                <v:imagedata o:title=""/>
                <o:lock v:ext="edit" aspectratio="f"/>
                <v:textbox>
                  <w:txbxContent>
                    <w:p w14:paraId="1D3AC1E9">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试车费用和不达要求处理</w:t>
                      </w:r>
                    </w:p>
                  </w:txbxContent>
                </v:textbox>
              </v:shape>
            </w:pict>
          </mc:Fallback>
        </mc:AlternateContent>
      </w:r>
      <w:r>
        <w:rPr>
          <w:rFonts w:hint="eastAsia" w:ascii="仿宋" w:hAnsi="仿宋" w:eastAsia="仿宋" w:cs="仿宋"/>
          <w:lang w:eastAsia="zh-CN"/>
        </w:rPr>
        <w:t>试车费用，除已含在合同价格外，由发包人承担。试车达不到验收要求的，按照下列约定处理：</w:t>
      </w:r>
    </w:p>
    <w:p w14:paraId="7D647772">
      <w:pPr>
        <w:widowControl w:val="0"/>
        <w:numPr>
          <w:ilvl w:val="0"/>
          <w:numId w:val="21"/>
        </w:numPr>
        <w:tabs>
          <w:tab w:val="left" w:pos="1080"/>
          <w:tab w:val="left" w:pos="1620"/>
        </w:tabs>
        <w:adjustRightInd w:val="0"/>
        <w:snapToGrid w:val="0"/>
        <w:spacing w:line="400" w:lineRule="exact"/>
        <w:ind w:left="1850" w:leftChars="771" w:firstLine="0"/>
        <w:jc w:val="both"/>
        <w:rPr>
          <w:rFonts w:ascii="仿宋" w:hAnsi="仿宋" w:eastAsia="仿宋"/>
          <w:lang w:eastAsia="zh-CN"/>
        </w:rPr>
      </w:pPr>
      <w:r>
        <w:rPr>
          <w:rFonts w:hint="eastAsia" w:ascii="仿宋" w:hAnsi="仿宋" w:eastAsia="仿宋" w:cs="仿宋"/>
          <w:lang w:eastAsia="zh-CN"/>
        </w:rPr>
        <w:t>由于设计原因试车达不到验收要求，发包人应要求承包人修改设计，承包人按照修改后的设计重新安装。发包人承担修改设计、拆除及重新安装的全部费用和延误的工期。</w:t>
      </w:r>
    </w:p>
    <w:p w14:paraId="2B6438C2">
      <w:pPr>
        <w:widowControl w:val="0"/>
        <w:numPr>
          <w:ilvl w:val="0"/>
          <w:numId w:val="21"/>
        </w:numPr>
        <w:tabs>
          <w:tab w:val="left" w:pos="1080"/>
          <w:tab w:val="left" w:pos="1620"/>
        </w:tabs>
        <w:adjustRightInd w:val="0"/>
        <w:snapToGrid w:val="0"/>
        <w:spacing w:line="400" w:lineRule="exact"/>
        <w:ind w:left="1850" w:leftChars="771" w:firstLine="0"/>
        <w:jc w:val="both"/>
        <w:rPr>
          <w:rFonts w:ascii="仿宋" w:hAnsi="仿宋" w:eastAsia="仿宋"/>
          <w:lang w:eastAsia="zh-CN"/>
        </w:rPr>
      </w:pPr>
      <w:r>
        <w:rPr>
          <w:rFonts w:hint="eastAsia" w:ascii="仿宋" w:hAnsi="仿宋" w:eastAsia="仿宋" w:cs="仿宋"/>
          <w:lang w:eastAsia="zh-CN"/>
        </w:rPr>
        <w:t>由于设备制造质量原因试车达不到验收要求，由该责任方重新购置或修理，承包人负责拆除和重新安装。设备由承包人采购的，由承包人承担修理或重新采购、拆除及重新安装的费用和延误的工期；设备由发包人供应的，发包人承担上述各项费用和延误的工期。</w:t>
      </w:r>
    </w:p>
    <w:p w14:paraId="19F9A9ED">
      <w:pPr>
        <w:widowControl w:val="0"/>
        <w:numPr>
          <w:ilvl w:val="0"/>
          <w:numId w:val="21"/>
        </w:numPr>
        <w:tabs>
          <w:tab w:val="left" w:pos="1080"/>
          <w:tab w:val="left" w:pos="1620"/>
        </w:tabs>
        <w:adjustRightInd w:val="0"/>
        <w:snapToGrid w:val="0"/>
        <w:spacing w:line="400" w:lineRule="exact"/>
        <w:ind w:left="1850" w:leftChars="771" w:firstLine="0"/>
        <w:jc w:val="both"/>
        <w:rPr>
          <w:rFonts w:ascii="仿宋" w:hAnsi="仿宋" w:eastAsia="仿宋"/>
          <w:lang w:eastAsia="zh-CN"/>
        </w:rPr>
      </w:pPr>
      <w:r>
        <w:rPr>
          <w:rFonts w:hint="eastAsia" w:ascii="仿宋" w:hAnsi="仿宋" w:eastAsia="仿宋" w:cs="仿宋"/>
          <w:lang w:eastAsia="zh-CN"/>
        </w:rPr>
        <w:t>由于承包人施工原因试车达不到验收要求，承包人应按照监理人要求重新安装和试车，并承担拆除、重新安装和重新试车的费用和延误的工期。</w:t>
      </w:r>
    </w:p>
    <w:p w14:paraId="4B9E86CE">
      <w:pPr>
        <w:spacing w:line="400" w:lineRule="exact"/>
        <w:rPr>
          <w:rFonts w:ascii="仿宋" w:hAnsi="仿宋" w:eastAsia="仿宋" w:cs="仿宋"/>
          <w:b/>
          <w:bCs/>
          <w:u w:val="dotted"/>
          <w:lang w:eastAsia="zh-CN"/>
        </w:rPr>
      </w:pPr>
      <w:bookmarkStart w:id="508" w:name="_Toc12391"/>
      <w:r>
        <w:rPr>
          <w:rFonts w:hint="eastAsia" w:ascii="仿宋" w:hAnsi="仿宋" w:eastAsia="仿宋" w:cs="仿宋"/>
          <w:b/>
          <w:bCs/>
          <w:lang w:eastAsia="zh-CN"/>
        </w:rPr>
        <w:t>62</w:t>
      </w:r>
      <w:r>
        <w:rPr>
          <w:rFonts w:ascii="仿宋" w:hAnsi="仿宋" w:eastAsia="仿宋" w:cs="仿宋"/>
          <w:b/>
          <w:bCs/>
          <w:lang w:eastAsia="zh-CN"/>
        </w:rPr>
        <w:t>.6</w:t>
      </w:r>
      <w:bookmarkEnd w:id="508"/>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384D8896">
      <w:pPr>
        <w:pStyle w:val="33"/>
        <w:widowControl w:val="0"/>
        <w:adjustRightInd w:val="0"/>
        <w:snapToGrid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836416" behindDoc="0" locked="0" layoutInCell="1" allowOverlap="1">
                <wp:simplePos x="0" y="0"/>
                <wp:positionH relativeFrom="column">
                  <wp:posOffset>-114300</wp:posOffset>
                </wp:positionH>
                <wp:positionV relativeFrom="paragraph">
                  <wp:posOffset>10160</wp:posOffset>
                </wp:positionV>
                <wp:extent cx="751205" cy="491490"/>
                <wp:effectExtent l="0" t="0" r="0" b="0"/>
                <wp:wrapNone/>
                <wp:docPr id="275" name="文本框 923"/>
                <wp:cNvGraphicFramePr/>
                <a:graphic xmlns:a="http://schemas.openxmlformats.org/drawingml/2006/main">
                  <a:graphicData uri="http://schemas.microsoft.com/office/word/2010/wordprocessingShape">
                    <wps:wsp>
                      <wps:cNvSpPr txBox="1"/>
                      <wps:spPr>
                        <a:xfrm>
                          <a:off x="0" y="0"/>
                          <a:ext cx="751205" cy="491490"/>
                        </a:xfrm>
                        <a:prstGeom prst="rect">
                          <a:avLst/>
                        </a:prstGeom>
                        <a:noFill/>
                        <a:ln w="12700">
                          <a:noFill/>
                        </a:ln>
                      </wps:spPr>
                      <wps:txbx>
                        <w:txbxContent>
                          <w:p w14:paraId="46B3C52B">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txbxContent>
                      </wps:txbx>
                      <wps:bodyPr rot="0" vert="horz" wrap="square" lIns="91440" tIns="45720" rIns="91440" bIns="45720" anchor="t" anchorCtr="0"/>
                    </wps:wsp>
                  </a:graphicData>
                </a:graphic>
              </wp:anchor>
            </w:drawing>
          </mc:Choice>
          <mc:Fallback>
            <w:pict>
              <v:shape id="文本框 923" o:spid="_x0000_s1026" o:spt="202" type="#_x0000_t202" style="position:absolute;left:0pt;margin-left:-9pt;margin-top:0.8pt;height:38.7pt;width:59.15pt;z-index:251836416;mso-width-relative:page;mso-height-relative:page;" filled="f" stroked="f" coordsize="21600,21600" o:gfxdata="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guu&#10;o9YAAAAIAQAADwAAAAAAAAABACAAAAAiAAAAZHJzL2Rvd25yZXYueG1sUEsBAhQAFAAAAAgAh07i&#10;QM7Ux3nrAQAAvgMAAA4AAAAAAAAAAQAgAAAAJQEAAGRycy9lMm9Eb2MueG1sUEsFBgAAAAAGAAYA&#10;WQEAAIIFAAAAAA==&#10;">
                <v:fill on="f" focussize="0,0"/>
                <v:stroke on="f" weight="1pt"/>
                <v:imagedata o:title=""/>
                <o:lock v:ext="edit" aspectratio="f"/>
                <v:textbox>
                  <w:txbxContent>
                    <w:p w14:paraId="46B3C52B">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txbxContent>
                </v:textbox>
              </v:shape>
            </w:pict>
          </mc:Fallback>
        </mc:AlternateContent>
      </w:r>
      <w:r>
        <w:rPr>
          <w:rFonts w:hint="eastAsia" w:ascii="仿宋" w:hAnsi="仿宋" w:eastAsia="仿宋" w:cs="仿宋"/>
          <w:lang w:eastAsia="zh-CN"/>
        </w:rPr>
        <w:t>投料试车应在永久工程竣工验收后，由发包人负责。如果发包人要求在永久工程竣工验收前进行试车或需要承包人配合时，应事先取得承包人同意，并另行签订补充协议。</w:t>
      </w:r>
    </w:p>
    <w:p w14:paraId="22DADC14">
      <w:pPr>
        <w:pStyle w:val="12"/>
        <w:adjustRightInd w:val="0"/>
        <w:snapToGrid w:val="0"/>
        <w:spacing w:line="400" w:lineRule="exact"/>
        <w:ind w:firstLine="0"/>
        <w:rPr>
          <w:rFonts w:ascii="仿宋" w:hAnsi="仿宋" w:eastAsia="仿宋" w:cs="仿宋"/>
          <w:b/>
          <w:bCs/>
          <w:u w:val="single"/>
          <w:lang w:eastAsia="zh-CN"/>
        </w:rPr>
      </w:pPr>
      <w:r>
        <w:rPr>
          <w:rFonts w:ascii="仿宋" w:hAnsi="仿宋" w:eastAsia="仿宋" w:cs="仿宋"/>
          <w:b/>
          <w:bCs/>
          <w:u w:val="single"/>
          <w:lang w:eastAsia="zh-CN"/>
        </w:rPr>
        <w:t xml:space="preserve">                                                                                     </w:t>
      </w:r>
    </w:p>
    <w:p w14:paraId="73FFBDFE">
      <w:pPr>
        <w:pStyle w:val="4"/>
        <w:tabs>
          <w:tab w:val="left" w:pos="420"/>
        </w:tabs>
        <w:spacing w:before="0" w:after="0" w:line="400" w:lineRule="exact"/>
        <w:rPr>
          <w:rFonts w:ascii="仿宋" w:hAnsi="仿宋" w:eastAsia="仿宋" w:cs="仿宋"/>
          <w:bCs w:val="0"/>
          <w:sz w:val="24"/>
          <w:szCs w:val="24"/>
          <w:lang w:eastAsia="zh-CN"/>
        </w:rPr>
      </w:pPr>
      <w:bookmarkStart w:id="509" w:name="_Toc194073173"/>
      <w:bookmarkStart w:id="510" w:name="_Toc27770"/>
      <w:bookmarkStart w:id="511" w:name="_Toc27577"/>
      <w:bookmarkStart w:id="512" w:name="_Toc20995"/>
      <w:r>
        <w:rPr>
          <w:rFonts w:hint="eastAsia" w:ascii="仿宋" w:hAnsi="仿宋" w:eastAsia="仿宋" w:cs="仿宋"/>
          <w:bCs w:val="0"/>
          <w:sz w:val="24"/>
          <w:szCs w:val="24"/>
          <w:lang w:eastAsia="zh-CN"/>
        </w:rPr>
        <w:t>★63</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工程变更</w:t>
      </w:r>
      <w:bookmarkEnd w:id="509"/>
      <w:bookmarkEnd w:id="510"/>
      <w:bookmarkEnd w:id="511"/>
      <w:bookmarkEnd w:id="512"/>
    </w:p>
    <w:p w14:paraId="23B274B3">
      <w:pPr>
        <w:pStyle w:val="22"/>
        <w:adjustRightInd w:val="0"/>
        <w:snapToGrid w:val="0"/>
        <w:spacing w:line="400" w:lineRule="exact"/>
        <w:rPr>
          <w:rFonts w:ascii="仿宋" w:hAnsi="仿宋" w:eastAsia="仿宋" w:cs="仿宋"/>
          <w:b/>
          <w:bCs/>
          <w:sz w:val="24"/>
          <w:szCs w:val="24"/>
          <w:lang w:eastAsia="zh-CN"/>
        </w:rPr>
      </w:pPr>
      <w:r>
        <w:rPr>
          <w:rFonts w:hint="eastAsia" w:ascii="仿宋" w:hAnsi="仿宋" w:eastAsia="仿宋" w:cs="仿宋"/>
          <w:b/>
          <w:bCs/>
          <w:sz w:val="24"/>
          <w:szCs w:val="24"/>
          <w:lang w:eastAsia="zh-CN"/>
        </w:rPr>
        <w:t>63</w:t>
      </w:r>
      <w:r>
        <w:rPr>
          <w:rFonts w:ascii="仿宋" w:hAnsi="仿宋" w:eastAsia="仿宋" w:cs="仿宋"/>
          <w:b/>
          <w:bCs/>
          <w:sz w:val="24"/>
          <w:szCs w:val="24"/>
          <w:lang w:eastAsia="zh-CN"/>
        </w:rPr>
        <w:t>.1</w:t>
      </w:r>
    </w:p>
    <w:p w14:paraId="6C39D008">
      <w:pPr>
        <w:pStyle w:val="22"/>
        <w:widowControl w:val="0"/>
        <w:adjustRightInd w:val="0"/>
        <w:snapToGrid w:val="0"/>
        <w:spacing w:line="400" w:lineRule="exact"/>
        <w:ind w:left="1850" w:leftChars="771"/>
        <w:jc w:val="both"/>
        <w:rPr>
          <w:rFonts w:ascii="仿宋" w:hAnsi="仿宋" w:eastAsia="仿宋"/>
          <w:sz w:val="24"/>
          <w:szCs w:val="24"/>
          <w:lang w:eastAsia="zh-CN"/>
        </w:rPr>
      </w:pPr>
      <w:r>
        <mc:AlternateContent>
          <mc:Choice Requires="wps">
            <w:drawing>
              <wp:anchor distT="0" distB="0" distL="114300" distR="114300" simplePos="0" relativeHeight="251837440" behindDoc="0" locked="0" layoutInCell="1" allowOverlap="1">
                <wp:simplePos x="0" y="0"/>
                <wp:positionH relativeFrom="column">
                  <wp:posOffset>-114300</wp:posOffset>
                </wp:positionH>
                <wp:positionV relativeFrom="paragraph">
                  <wp:posOffset>1270</wp:posOffset>
                </wp:positionV>
                <wp:extent cx="809625" cy="405765"/>
                <wp:effectExtent l="0" t="0" r="0" b="0"/>
                <wp:wrapNone/>
                <wp:docPr id="276" name="文本框 924"/>
                <wp:cNvGraphicFramePr/>
                <a:graphic xmlns:a="http://schemas.openxmlformats.org/drawingml/2006/main">
                  <a:graphicData uri="http://schemas.microsoft.com/office/word/2010/wordprocessingShape">
                    <wps:wsp>
                      <wps:cNvSpPr txBox="1"/>
                      <wps:spPr>
                        <a:xfrm>
                          <a:off x="0" y="0"/>
                          <a:ext cx="809625" cy="405765"/>
                        </a:xfrm>
                        <a:prstGeom prst="rect">
                          <a:avLst/>
                        </a:prstGeom>
                        <a:noFill/>
                        <a:ln w="12700">
                          <a:noFill/>
                        </a:ln>
                      </wps:spPr>
                      <wps:txbx>
                        <w:txbxContent>
                          <w:p w14:paraId="01BDD26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txbxContent>
                      </wps:txbx>
                      <wps:bodyPr rot="0" vert="horz" wrap="square" lIns="91440" tIns="45720" rIns="91440" bIns="45720" anchor="t" anchorCtr="0"/>
                    </wps:wsp>
                  </a:graphicData>
                </a:graphic>
              </wp:anchor>
            </w:drawing>
          </mc:Choice>
          <mc:Fallback>
            <w:pict>
              <v:shape id="文本框 924" o:spid="_x0000_s1026" o:spt="202" type="#_x0000_t202" style="position:absolute;left:0pt;margin-left:-9pt;margin-top:0.1pt;height:31.95pt;width:63.75pt;z-index:251837440;mso-width-relative:page;mso-height-relative:page;" filled="f" stroked="f" coordsize="21600,21600" o:gfxdata="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w/Vtk&#10;1gAAAAcBAAAPAAAAAAAAAAEAIAAAACIAAABkcnMvZG93bnJldi54bWxQSwECFAAUAAAACACHTuJA&#10;bQwqnuoBAAC+AwAADgAAAAAAAAABACAAAAAlAQAAZHJzL2Uyb0RvYy54bWxQSwUGAAAAAAYABgBZ&#10;AQAAgQUAAAAA&#10;">
                <v:fill on="f" focussize="0,0"/>
                <v:stroke on="f" weight="1pt"/>
                <v:imagedata o:title=""/>
                <o:lock v:ext="edit" aspectratio="f"/>
                <v:textbox>
                  <w:txbxContent>
                    <w:p w14:paraId="01BDD26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txbxContent>
                </v:textbox>
              </v:shape>
            </w:pict>
          </mc:Fallback>
        </mc:AlternateContent>
      </w:r>
      <w:r>
        <w:rPr>
          <w:rFonts w:hint="eastAsia" w:ascii="仿宋" w:hAnsi="仿宋" w:eastAsia="仿宋" w:cs="仿宋"/>
          <w:sz w:val="24"/>
          <w:szCs w:val="24"/>
          <w:lang w:eastAsia="zh-CN"/>
        </w:rPr>
        <w:t>合同履行期间，经发包人批准，监理人可按照第63</w:t>
      </w:r>
      <w:r>
        <w:rPr>
          <w:rFonts w:ascii="仿宋" w:hAnsi="仿宋" w:eastAsia="仿宋" w:cs="仿宋"/>
          <w:sz w:val="24"/>
          <w:szCs w:val="24"/>
          <w:lang w:eastAsia="zh-CN"/>
        </w:rPr>
        <w:t>.3</w:t>
      </w:r>
      <w:r>
        <w:rPr>
          <w:rFonts w:hint="eastAsia" w:ascii="仿宋" w:hAnsi="仿宋" w:eastAsia="仿宋" w:cs="仿宋"/>
          <w:sz w:val="24"/>
          <w:szCs w:val="24"/>
          <w:lang w:eastAsia="zh-CN"/>
        </w:rPr>
        <w:t>款约定的变更程序向承包人发出变更指令，承包人应按照合同约定实施变更工作。</w:t>
      </w:r>
    </w:p>
    <w:p w14:paraId="3DEB9AE2">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没有经发包人批准也没有监理人的工程变更指令，承包人应按照合同约定施工，无权对合同工程作出任何变更。</w:t>
      </w:r>
    </w:p>
    <w:p w14:paraId="6F1FB0EC">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工程量偏差不属于工程变更，该项工程量增减不需要任何指令。</w:t>
      </w:r>
    </w:p>
    <w:p w14:paraId="7B68746E">
      <w:pPr>
        <w:pStyle w:val="22"/>
        <w:adjustRightInd w:val="0"/>
        <w:snapToGrid w:val="0"/>
        <w:spacing w:line="400" w:lineRule="exact"/>
        <w:rPr>
          <w:rFonts w:ascii="仿宋" w:hAnsi="仿宋" w:eastAsia="仿宋" w:cs="仿宋"/>
          <w:sz w:val="24"/>
          <w:szCs w:val="24"/>
          <w:u w:val="dotted"/>
          <w:lang w:eastAsia="zh-CN"/>
        </w:rPr>
      </w:pPr>
      <w:r>
        <mc:AlternateContent>
          <mc:Choice Requires="wps">
            <w:drawing>
              <wp:anchor distT="0" distB="0" distL="114300" distR="114300" simplePos="0" relativeHeight="251838464" behindDoc="0" locked="0" layoutInCell="1" allowOverlap="1">
                <wp:simplePos x="0" y="0"/>
                <wp:positionH relativeFrom="column">
                  <wp:posOffset>-114300</wp:posOffset>
                </wp:positionH>
                <wp:positionV relativeFrom="paragraph">
                  <wp:posOffset>283845</wp:posOffset>
                </wp:positionV>
                <wp:extent cx="842645" cy="735965"/>
                <wp:effectExtent l="0" t="0" r="0" b="0"/>
                <wp:wrapNone/>
                <wp:docPr id="277" name="文本框 925"/>
                <wp:cNvGraphicFramePr/>
                <a:graphic xmlns:a="http://schemas.openxmlformats.org/drawingml/2006/main">
                  <a:graphicData uri="http://schemas.microsoft.com/office/word/2010/wordprocessingShape">
                    <wps:wsp>
                      <wps:cNvSpPr txBox="1"/>
                      <wps:spPr>
                        <a:xfrm>
                          <a:off x="0" y="0"/>
                          <a:ext cx="842645" cy="735965"/>
                        </a:xfrm>
                        <a:prstGeom prst="rect">
                          <a:avLst/>
                        </a:prstGeom>
                        <a:noFill/>
                        <a:ln w="12700">
                          <a:noFill/>
                        </a:ln>
                      </wps:spPr>
                      <wps:txbx>
                        <w:txbxContent>
                          <w:p w14:paraId="6D3E596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txbxContent>
                      </wps:txbx>
                      <wps:bodyPr rot="0" vert="horz" wrap="square" lIns="91440" tIns="45720" rIns="91440" bIns="45720" anchor="t" anchorCtr="0"/>
                    </wps:wsp>
                  </a:graphicData>
                </a:graphic>
              </wp:anchor>
            </w:drawing>
          </mc:Choice>
          <mc:Fallback>
            <w:pict>
              <v:shape id="文本框 925" o:spid="_x0000_s1026" o:spt="202" type="#_x0000_t202" style="position:absolute;left:0pt;margin-left:-9pt;margin-top:22.35pt;height:57.95pt;width:66.35pt;z-index:251838464;mso-width-relative:page;mso-height-relative:page;" filled="f" stroked="f" coordsize="21600,21600" o:gfxdata="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7&#10;Aaml2AAAAAoBAAAPAAAAAAAAAAEAIAAAACIAAABkcnMvZG93bnJldi54bWxQSwECFAAUAAAACACH&#10;TuJAh+RpEOsBAAC+AwAADgAAAAAAAAABACAAAAAnAQAAZHJzL2Uyb0RvYy54bWxQSwUGAAAAAAYA&#10;BgBZAQAAhAUAAAAA&#10;">
                <v:fill on="f" focussize="0,0"/>
                <v:stroke on="f" weight="1pt"/>
                <v:imagedata o:title=""/>
                <o:lock v:ext="edit" aspectratio="f"/>
                <v:textbox>
                  <w:txbxContent>
                    <w:p w14:paraId="6D3E596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txbxContent>
                </v:textbox>
              </v:shape>
            </w:pict>
          </mc:Fallback>
        </mc:AlternateContent>
      </w:r>
      <w:r>
        <w:rPr>
          <w:rFonts w:hint="eastAsia" w:ascii="仿宋" w:hAnsi="仿宋" w:eastAsia="仿宋" w:cs="仿宋"/>
          <w:b/>
          <w:bCs/>
          <w:sz w:val="24"/>
          <w:szCs w:val="24"/>
          <w:lang w:eastAsia="zh-CN"/>
        </w:rPr>
        <w:t>63</w:t>
      </w:r>
      <w:r>
        <w:rPr>
          <w:rFonts w:ascii="仿宋" w:hAnsi="仿宋" w:eastAsia="仿宋" w:cs="仿宋"/>
          <w:b/>
          <w:bCs/>
          <w:sz w:val="24"/>
          <w:szCs w:val="24"/>
          <w:lang w:eastAsia="zh-CN"/>
        </w:rPr>
        <w:t xml:space="preserve">.2 </w:t>
      </w:r>
      <w:r>
        <w:rPr>
          <w:rFonts w:ascii="仿宋" w:hAnsi="仿宋" w:eastAsia="仿宋" w:cs="仿宋"/>
          <w:sz w:val="24"/>
          <w:szCs w:val="24"/>
          <w:lang w:eastAsia="zh-CN"/>
        </w:rPr>
        <w:t xml:space="preserve"> </w:t>
      </w:r>
      <w:r>
        <w:rPr>
          <w:rFonts w:ascii="仿宋" w:hAnsi="仿宋" w:eastAsia="仿宋" w:cs="仿宋"/>
          <w:sz w:val="24"/>
          <w:szCs w:val="24"/>
          <w:u w:val="dotted"/>
          <w:lang w:eastAsia="zh-CN"/>
        </w:rPr>
        <w:t xml:space="preserve">                                                                               </w:t>
      </w:r>
    </w:p>
    <w:p w14:paraId="455FDC8B">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合同履行期间，对经发包</w:t>
      </w:r>
      <w:r>
        <w:rPr>
          <w:rFonts w:ascii="仿宋" w:hAnsi="仿宋" w:eastAsia="仿宋" w:cs="仿宋"/>
          <w:sz w:val="24"/>
          <w:szCs w:val="24"/>
          <w:lang w:eastAsia="zh-CN"/>
        </w:rPr>
        <w:t>人</w:t>
      </w:r>
      <w:r>
        <w:rPr>
          <w:rFonts w:hint="eastAsia" w:ascii="仿宋" w:hAnsi="仿宋" w:eastAsia="仿宋" w:cs="仿宋"/>
          <w:sz w:val="24"/>
          <w:szCs w:val="24"/>
          <w:lang w:eastAsia="zh-CN"/>
        </w:rPr>
        <w:t>批准的施工图设计文件，发包人可对合同工程或其任何部分的形式、质量或数量作出变更。发生下列情形之一，应按照本条约定进行变更。</w:t>
      </w:r>
    </w:p>
    <w:p w14:paraId="610C84D2">
      <w:pPr>
        <w:pStyle w:val="22"/>
        <w:widowControl w:val="0"/>
        <w:numPr>
          <w:ilvl w:val="0"/>
          <w:numId w:val="22"/>
        </w:numPr>
        <w:adjustRightInd w:val="0"/>
        <w:snapToGrid w:val="0"/>
        <w:spacing w:line="400" w:lineRule="exact"/>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改变合同工程中任何工程数量（不含工程量的偏差）；</w:t>
      </w:r>
    </w:p>
    <w:p w14:paraId="21C6782B">
      <w:pPr>
        <w:pStyle w:val="22"/>
        <w:widowControl w:val="0"/>
        <w:numPr>
          <w:ilvl w:val="0"/>
          <w:numId w:val="22"/>
        </w:numPr>
        <w:adjustRightInd w:val="0"/>
        <w:snapToGrid w:val="0"/>
        <w:spacing w:line="400" w:lineRule="exact"/>
        <w:ind w:left="1850" w:leftChars="771" w:firstLine="0"/>
        <w:jc w:val="both"/>
        <w:rPr>
          <w:rFonts w:ascii="仿宋" w:hAnsi="仿宋" w:eastAsia="仿宋" w:cs="仿宋"/>
          <w:sz w:val="24"/>
          <w:szCs w:val="24"/>
          <w:lang w:eastAsia="zh-CN"/>
        </w:rPr>
      </w:pPr>
      <w:r>
        <w:rPr>
          <w:rFonts w:hint="eastAsia" w:ascii="仿宋" w:hAnsi="仿宋" w:eastAsia="仿宋" w:cs="仿宋"/>
          <w:sz w:val="24"/>
          <w:szCs w:val="24"/>
          <w:lang w:eastAsia="zh-CN"/>
        </w:rPr>
        <w:t>删减任何工作，但删减的工作不能转由发包人或其他人实施；</w:t>
      </w:r>
    </w:p>
    <w:p w14:paraId="610FFE77">
      <w:pPr>
        <w:pStyle w:val="22"/>
        <w:widowControl w:val="0"/>
        <w:numPr>
          <w:ilvl w:val="0"/>
          <w:numId w:val="22"/>
        </w:numPr>
        <w:adjustRightInd w:val="0"/>
        <w:snapToGrid w:val="0"/>
        <w:spacing w:line="400" w:lineRule="exact"/>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改变任何工作内容的性质、质量或其他特征；</w:t>
      </w:r>
    </w:p>
    <w:p w14:paraId="101FA287">
      <w:pPr>
        <w:pStyle w:val="22"/>
        <w:widowControl w:val="0"/>
        <w:numPr>
          <w:ilvl w:val="0"/>
          <w:numId w:val="22"/>
        </w:numPr>
        <w:adjustRightInd w:val="0"/>
        <w:snapToGrid w:val="0"/>
        <w:spacing w:line="400" w:lineRule="exact"/>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改变工程任何部分的标高、基线、位置和</w:t>
      </w:r>
      <w:r>
        <w:rPr>
          <w:rFonts w:ascii="仿宋" w:hAnsi="仿宋" w:eastAsia="仿宋" w:cs="仿宋"/>
          <w:sz w:val="24"/>
          <w:szCs w:val="24"/>
          <w:lang w:eastAsia="zh-CN"/>
        </w:rPr>
        <w:t>(</w:t>
      </w:r>
      <w:r>
        <w:rPr>
          <w:rFonts w:hint="eastAsia" w:ascii="仿宋" w:hAnsi="仿宋" w:eastAsia="仿宋" w:cs="仿宋"/>
          <w:sz w:val="24"/>
          <w:szCs w:val="24"/>
          <w:lang w:eastAsia="zh-CN"/>
        </w:rPr>
        <w:t>或</w:t>
      </w:r>
      <w:r>
        <w:rPr>
          <w:rFonts w:ascii="仿宋" w:hAnsi="仿宋" w:eastAsia="仿宋" w:cs="仿宋"/>
          <w:sz w:val="24"/>
          <w:szCs w:val="24"/>
          <w:lang w:eastAsia="zh-CN"/>
        </w:rPr>
        <w:t>)</w:t>
      </w:r>
      <w:r>
        <w:rPr>
          <w:rFonts w:hint="eastAsia" w:ascii="仿宋" w:hAnsi="仿宋" w:eastAsia="仿宋" w:cs="仿宋"/>
          <w:sz w:val="24"/>
          <w:szCs w:val="24"/>
          <w:lang w:eastAsia="zh-CN"/>
        </w:rPr>
        <w:t>尺寸；</w:t>
      </w:r>
    </w:p>
    <w:p w14:paraId="66B32E47">
      <w:pPr>
        <w:pStyle w:val="22"/>
        <w:widowControl w:val="0"/>
        <w:numPr>
          <w:ilvl w:val="0"/>
          <w:numId w:val="22"/>
        </w:numPr>
        <w:adjustRightInd w:val="0"/>
        <w:snapToGrid w:val="0"/>
        <w:spacing w:line="400" w:lineRule="exact"/>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为完成永久工程所必须的任何额外工作；</w:t>
      </w:r>
    </w:p>
    <w:p w14:paraId="2B7C0F24">
      <w:pPr>
        <w:pStyle w:val="22"/>
        <w:adjustRightInd w:val="0"/>
        <w:snapToGrid w:val="0"/>
        <w:spacing w:line="400" w:lineRule="exact"/>
        <w:ind w:left="1850" w:leftChars="771" w:firstLine="1"/>
        <w:jc w:val="both"/>
        <w:rPr>
          <w:rFonts w:ascii="仿宋" w:hAnsi="仿宋" w:eastAsia="仿宋"/>
          <w:sz w:val="24"/>
          <w:szCs w:val="24"/>
          <w:lang w:eastAsia="zh-CN"/>
        </w:rPr>
      </w:pPr>
      <w:r>
        <w:rPr>
          <w:rFonts w:hint="eastAsia" w:ascii="仿宋" w:hAnsi="仿宋" w:eastAsia="仿宋" w:cs="仿宋"/>
          <w:sz w:val="24"/>
          <w:szCs w:val="24"/>
          <w:lang w:eastAsia="zh-CN"/>
        </w:rPr>
        <w:t>但对合同工程工期、质量标准等进行实质性变更的，应在作出变更前，与承包人签订补充协议书，作为本合同的补充文件。</w:t>
      </w:r>
    </w:p>
    <w:p w14:paraId="4DFED84B">
      <w:pPr>
        <w:pStyle w:val="22"/>
        <w:adjustRightInd w:val="0"/>
        <w:snapToGrid w:val="0"/>
        <w:spacing w:line="400" w:lineRule="exact"/>
        <w:rPr>
          <w:rFonts w:ascii="仿宋" w:hAnsi="仿宋" w:eastAsia="仿宋" w:cs="仿宋"/>
          <w:b/>
          <w:bCs/>
          <w:sz w:val="24"/>
          <w:szCs w:val="24"/>
          <w:u w:val="dotted"/>
          <w:lang w:eastAsia="zh-CN"/>
        </w:rPr>
      </w:pPr>
      <w:r>
        <w:rPr>
          <w:rFonts w:hint="eastAsia" w:ascii="仿宋" w:hAnsi="仿宋" w:eastAsia="仿宋" w:cs="仿宋"/>
          <w:b/>
          <w:bCs/>
          <w:sz w:val="24"/>
          <w:szCs w:val="24"/>
          <w:lang w:eastAsia="zh-CN"/>
        </w:rPr>
        <w:t>63</w:t>
      </w:r>
      <w:r>
        <w:rPr>
          <w:rFonts w:ascii="仿宋" w:hAnsi="仿宋" w:eastAsia="仿宋" w:cs="仿宋"/>
          <w:b/>
          <w:bCs/>
          <w:sz w:val="24"/>
          <w:szCs w:val="24"/>
          <w:lang w:eastAsia="zh-CN"/>
        </w:rPr>
        <w:t xml:space="preserve">.3  </w:t>
      </w:r>
      <w:r>
        <w:rPr>
          <w:rFonts w:ascii="仿宋" w:hAnsi="仿宋" w:eastAsia="仿宋" w:cs="仿宋"/>
          <w:b/>
          <w:bCs/>
          <w:sz w:val="24"/>
          <w:szCs w:val="24"/>
          <w:u w:val="dotted"/>
          <w:lang w:eastAsia="zh-CN"/>
        </w:rPr>
        <w:t xml:space="preserve">                                                                               </w:t>
      </w:r>
    </w:p>
    <w:p w14:paraId="638334FE">
      <w:pPr>
        <w:pStyle w:val="22"/>
        <w:adjustRightInd w:val="0"/>
        <w:snapToGrid w:val="0"/>
        <w:spacing w:line="400" w:lineRule="exact"/>
        <w:ind w:left="1850" w:leftChars="771"/>
        <w:jc w:val="both"/>
        <w:rPr>
          <w:rFonts w:ascii="仿宋" w:hAnsi="仿宋" w:eastAsia="仿宋"/>
          <w:sz w:val="24"/>
          <w:szCs w:val="24"/>
          <w:lang w:eastAsia="zh-CN"/>
        </w:rPr>
      </w:pPr>
      <w:r>
        <mc:AlternateContent>
          <mc:Choice Requires="wps">
            <w:drawing>
              <wp:anchor distT="0" distB="0" distL="114300" distR="114300" simplePos="0" relativeHeight="251839488" behindDoc="0" locked="0" layoutInCell="1" allowOverlap="1">
                <wp:simplePos x="0" y="0"/>
                <wp:positionH relativeFrom="column">
                  <wp:posOffset>-114300</wp:posOffset>
                </wp:positionH>
                <wp:positionV relativeFrom="paragraph">
                  <wp:posOffset>15875</wp:posOffset>
                </wp:positionV>
                <wp:extent cx="832485" cy="664210"/>
                <wp:effectExtent l="0" t="0" r="0" b="0"/>
                <wp:wrapNone/>
                <wp:docPr id="278" name="文本框 926"/>
                <wp:cNvGraphicFramePr/>
                <a:graphic xmlns:a="http://schemas.openxmlformats.org/drawingml/2006/main">
                  <a:graphicData uri="http://schemas.microsoft.com/office/word/2010/wordprocessingShape">
                    <wps:wsp>
                      <wps:cNvSpPr txBox="1"/>
                      <wps:spPr>
                        <a:xfrm>
                          <a:off x="0" y="0"/>
                          <a:ext cx="832485" cy="664210"/>
                        </a:xfrm>
                        <a:prstGeom prst="rect">
                          <a:avLst/>
                        </a:prstGeom>
                        <a:noFill/>
                        <a:ln w="12700">
                          <a:noFill/>
                        </a:ln>
                      </wps:spPr>
                      <wps:txbx>
                        <w:txbxContent>
                          <w:p w14:paraId="5BA1478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txbxContent>
                      </wps:txbx>
                      <wps:bodyPr rot="0" vert="horz" wrap="square" lIns="91440" tIns="45720" rIns="91440" bIns="45720" anchor="t" anchorCtr="0"/>
                    </wps:wsp>
                  </a:graphicData>
                </a:graphic>
              </wp:anchor>
            </w:drawing>
          </mc:Choice>
          <mc:Fallback>
            <w:pict>
              <v:shape id="文本框 926" o:spid="_x0000_s1026" o:spt="202" type="#_x0000_t202" style="position:absolute;left:0pt;margin-left:-9pt;margin-top:1.25pt;height:52.3pt;width:65.55pt;z-index:251839488;mso-width-relative:page;mso-height-relative:page;" filled="f" stroked="f" coordsize="21600,21600" o:gfxdata="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W&#10;A7b01wAAAAkBAAAPAAAAAAAAAAEAIAAAACIAAABkcnMvZG93bnJldi54bWxQSwECFAAUAAAACACH&#10;TuJAy/zyxuwBAAC+AwAADgAAAAAAAAABACAAAAAmAQAAZHJzL2Uyb0RvYy54bWxQSwUGAAAAAAYA&#10;BgBZAQAAhAUAAAAA&#10;">
                <v:fill on="f" focussize="0,0"/>
                <v:stroke on="f" weight="1pt"/>
                <v:imagedata o:title=""/>
                <o:lock v:ext="edit" aspectratio="f"/>
                <v:textbox>
                  <w:txbxContent>
                    <w:p w14:paraId="5BA1478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txbxContent>
                </v:textbox>
              </v:shape>
            </w:pict>
          </mc:Fallback>
        </mc:AlternateContent>
      </w:r>
      <w:r>
        <w:rPr>
          <w:rFonts w:hint="eastAsia" w:ascii="仿宋" w:hAnsi="仿宋" w:eastAsia="仿宋" w:cs="仿宋"/>
          <w:sz w:val="24"/>
          <w:szCs w:val="24"/>
          <w:lang w:eastAsia="zh-CN"/>
        </w:rPr>
        <w:t>合同工程发生变更，合同双方当事人以及设计顾问人、监理人、造价咨询人应遵循下列程序实施工程变更的相关工作。</w:t>
      </w:r>
    </w:p>
    <w:p w14:paraId="363F10A1">
      <w:pPr>
        <w:pStyle w:val="22"/>
        <w:widowControl w:val="0"/>
        <w:numPr>
          <w:ilvl w:val="0"/>
          <w:numId w:val="23"/>
        </w:numPr>
        <w:adjustRightInd w:val="0"/>
        <w:snapToGrid w:val="0"/>
        <w:spacing w:line="400" w:lineRule="exact"/>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合同工程可能发生或发生工程变更时，监理人或承包人可依据下列情况及时提出。</w:t>
      </w:r>
    </w:p>
    <w:p w14:paraId="7519E2F7">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① 合同工程可能发生第63</w:t>
      </w:r>
      <w:r>
        <w:rPr>
          <w:rFonts w:ascii="仿宋" w:hAnsi="仿宋" w:eastAsia="仿宋" w:cs="仿宋"/>
          <w:sz w:val="24"/>
          <w:szCs w:val="24"/>
          <w:lang w:eastAsia="zh-CN"/>
        </w:rPr>
        <w:t>.2</w:t>
      </w:r>
      <w:r>
        <w:rPr>
          <w:rFonts w:hint="eastAsia" w:ascii="仿宋" w:hAnsi="仿宋" w:eastAsia="仿宋" w:cs="仿宋"/>
          <w:sz w:val="24"/>
          <w:szCs w:val="24"/>
          <w:lang w:eastAsia="zh-CN"/>
        </w:rPr>
        <w:t>款所列情形的，监理人可向承包人发出变更意向书，明确发包人要求和采用的标准规范等资料。承包人应在收到变更意向书后的</w:t>
      </w:r>
      <w:r>
        <w:rPr>
          <w:rFonts w:ascii="仿宋" w:hAnsi="仿宋" w:eastAsia="仿宋" w:cs="仿宋"/>
          <w:sz w:val="24"/>
          <w:szCs w:val="24"/>
          <w:lang w:eastAsia="zh-CN"/>
        </w:rPr>
        <w:t>7</w:t>
      </w:r>
      <w:r>
        <w:rPr>
          <w:rFonts w:hint="eastAsia" w:ascii="仿宋" w:hAnsi="仿宋" w:eastAsia="仿宋" w:cs="仿宋"/>
          <w:sz w:val="24"/>
          <w:szCs w:val="24"/>
          <w:lang w:eastAsia="zh-CN"/>
        </w:rPr>
        <w:t>天内，向监理人书面提交包括拟实施变更工作的计划、措施、竣工时间、修改内容、变更图纸和所需金额等在内的实施方案。发包人应在收到实施方案后的</w:t>
      </w:r>
      <w:r>
        <w:rPr>
          <w:rFonts w:ascii="仿宋" w:hAnsi="仿宋" w:eastAsia="仿宋" w:cs="仿宋"/>
          <w:sz w:val="24"/>
          <w:szCs w:val="24"/>
          <w:lang w:eastAsia="zh-CN"/>
        </w:rPr>
        <w:t>7</w:t>
      </w:r>
      <w:r>
        <w:rPr>
          <w:rFonts w:hint="eastAsia" w:ascii="仿宋" w:hAnsi="仿宋" w:eastAsia="仿宋" w:cs="仿宋"/>
          <w:sz w:val="24"/>
          <w:szCs w:val="24"/>
          <w:lang w:eastAsia="zh-CN"/>
        </w:rPr>
        <w:t>天内予以答复 。</w:t>
      </w:r>
    </w:p>
    <w:p w14:paraId="388C1E89">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②同意承包人提交的实施方案的，监理人应至少提前</w:t>
      </w:r>
      <w:r>
        <w:rPr>
          <w:rFonts w:ascii="仿宋" w:hAnsi="仿宋" w:eastAsia="仿宋" w:cs="仿宋"/>
          <w:sz w:val="24"/>
          <w:szCs w:val="24"/>
          <w:lang w:eastAsia="zh-CN"/>
        </w:rPr>
        <w:t>14</w:t>
      </w:r>
      <w:r>
        <w:rPr>
          <w:rFonts w:hint="eastAsia" w:ascii="仿宋" w:hAnsi="仿宋" w:eastAsia="仿宋" w:cs="仿宋"/>
          <w:sz w:val="24"/>
          <w:szCs w:val="24"/>
          <w:lang w:eastAsia="zh-CN"/>
        </w:rPr>
        <w:t>天以书面形式向承包人发出变更指令，明确发包人要求和采用的标准规范等资料，及批准的实施方案。</w:t>
      </w:r>
    </w:p>
    <w:p w14:paraId="3FF35300">
      <w:pPr>
        <w:pStyle w:val="22"/>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③ 若承包人收到监理人的变更意向书后认为难以实施此项变更的，应立即通知监理人，说明原因并附详细依据。监理人与合同双方当事人协商后确定撤销、改变或不改变原变更意向书。</w:t>
      </w:r>
    </w:p>
    <w:p w14:paraId="5AA0758E">
      <w:pPr>
        <w:pStyle w:val="22"/>
        <w:widowControl w:val="0"/>
        <w:numPr>
          <w:ilvl w:val="0"/>
          <w:numId w:val="23"/>
        </w:numPr>
        <w:adjustRightInd w:val="0"/>
        <w:snapToGrid w:val="0"/>
        <w:spacing w:line="400" w:lineRule="exact"/>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承包人应在收到监理人发出变更指令或变更意向书后的</w:t>
      </w:r>
      <w:r>
        <w:rPr>
          <w:rFonts w:ascii="仿宋" w:hAnsi="仿宋" w:eastAsia="仿宋" w:cs="仿宋"/>
          <w:sz w:val="24"/>
          <w:szCs w:val="24"/>
          <w:lang w:eastAsia="zh-CN"/>
        </w:rPr>
        <w:t>14</w:t>
      </w:r>
      <w:r>
        <w:rPr>
          <w:rFonts w:hint="eastAsia" w:ascii="仿宋" w:hAnsi="仿宋" w:eastAsia="仿宋" w:cs="仿宋"/>
          <w:sz w:val="24"/>
          <w:szCs w:val="24"/>
          <w:lang w:eastAsia="zh-CN"/>
        </w:rPr>
        <w:t>天内，向发包人提交工程变更报告，并抄送监理人、造价咨询人。报告内容应包括变更原因、根据第79条约定详细开列变更工作的价格组成和依据，并附变更的施工设计图纸及其相关说明。</w:t>
      </w:r>
    </w:p>
    <w:p w14:paraId="27ABE159">
      <w:pPr>
        <w:pStyle w:val="22"/>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变更工作影响工期的，承包人应提出调整工期的要求。发包人认为有必要时，可要求承包人提交提前或者延长工期的施工进度计划或相应施工措施等资料。</w:t>
      </w:r>
    </w:p>
    <w:p w14:paraId="5F4959F1">
      <w:pPr>
        <w:pStyle w:val="22"/>
        <w:widowControl w:val="0"/>
        <w:numPr>
          <w:ilvl w:val="0"/>
          <w:numId w:val="23"/>
        </w:numPr>
        <w:adjustRightInd w:val="0"/>
        <w:snapToGrid w:val="0"/>
        <w:spacing w:line="400" w:lineRule="exact"/>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发包人在收到承包人工程变更报告后，应通知监理人、造价咨询人及时对报告内容予以核实，并在收到报告后的</w:t>
      </w:r>
      <w:r>
        <w:rPr>
          <w:rFonts w:ascii="仿宋" w:hAnsi="仿宋" w:eastAsia="仿宋" w:cs="仿宋"/>
          <w:sz w:val="24"/>
          <w:szCs w:val="24"/>
          <w:lang w:eastAsia="zh-CN"/>
        </w:rPr>
        <w:t>14</w:t>
      </w:r>
      <w:r>
        <w:rPr>
          <w:rFonts w:hint="eastAsia" w:ascii="仿宋" w:hAnsi="仿宋" w:eastAsia="仿宋" w:cs="仿宋"/>
          <w:sz w:val="24"/>
          <w:szCs w:val="24"/>
          <w:lang w:eastAsia="zh-CN"/>
        </w:rPr>
        <w:t>天内予以确定或提出修改意见。发包人在收到承包人工程变更报告后的</w:t>
      </w:r>
      <w:r>
        <w:rPr>
          <w:rFonts w:ascii="仿宋" w:hAnsi="仿宋" w:eastAsia="仿宋" w:cs="仿宋"/>
          <w:sz w:val="24"/>
          <w:szCs w:val="24"/>
          <w:lang w:eastAsia="zh-CN"/>
        </w:rPr>
        <w:t>14</w:t>
      </w:r>
      <w:r>
        <w:rPr>
          <w:rFonts w:hint="eastAsia" w:ascii="仿宋" w:hAnsi="仿宋" w:eastAsia="仿宋" w:cs="仿宋"/>
          <w:sz w:val="24"/>
          <w:szCs w:val="24"/>
          <w:lang w:eastAsia="zh-CN"/>
        </w:rPr>
        <w:t>天内未确定也未提出修改意见的，视为承包人提交的工程变更报告已被认可。</w:t>
      </w:r>
    </w:p>
    <w:p w14:paraId="7C350E6C">
      <w:pPr>
        <w:pStyle w:val="22"/>
        <w:widowControl w:val="0"/>
        <w:numPr>
          <w:ilvl w:val="0"/>
          <w:numId w:val="23"/>
        </w:numPr>
        <w:adjustRightInd w:val="0"/>
        <w:snapToGrid w:val="0"/>
        <w:spacing w:line="400" w:lineRule="exact"/>
        <w:ind w:left="1850" w:leftChars="771" w:firstLine="0"/>
        <w:jc w:val="both"/>
        <w:rPr>
          <w:rFonts w:ascii="仿宋" w:hAnsi="仿宋" w:eastAsia="仿宋" w:cs="仿宋"/>
          <w:sz w:val="24"/>
          <w:szCs w:val="24"/>
          <w:lang w:eastAsia="zh-CN"/>
        </w:rPr>
      </w:pPr>
      <w:r>
        <w:rPr>
          <w:rFonts w:hint="eastAsia" w:ascii="仿宋" w:hAnsi="仿宋" w:eastAsia="仿宋" w:cs="仿宋"/>
          <w:sz w:val="24"/>
          <w:szCs w:val="24"/>
          <w:lang w:eastAsia="zh-CN"/>
        </w:rPr>
        <w:t>承包人应在发包人确定工程变更报告后的</w:t>
      </w:r>
      <w:r>
        <w:rPr>
          <w:rFonts w:ascii="仿宋" w:hAnsi="仿宋" w:eastAsia="仿宋" w:cs="仿宋"/>
          <w:sz w:val="24"/>
          <w:szCs w:val="24"/>
          <w:lang w:eastAsia="zh-CN"/>
        </w:rPr>
        <w:t>7</w:t>
      </w:r>
      <w:r>
        <w:rPr>
          <w:rFonts w:hint="eastAsia" w:ascii="仿宋" w:hAnsi="仿宋" w:eastAsia="仿宋" w:cs="仿宋"/>
          <w:sz w:val="24"/>
          <w:szCs w:val="24"/>
          <w:lang w:eastAsia="zh-CN"/>
        </w:rPr>
        <w:t>天内，按照监理人发出的变更指令及时组织实施变更工作。否则，由此引起的损失和（或）延误的工期由承包人承担。</w:t>
      </w:r>
    </w:p>
    <w:p w14:paraId="58CE5B8D">
      <w:pPr>
        <w:pStyle w:val="22"/>
        <w:widowControl w:val="0"/>
        <w:numPr>
          <w:ilvl w:val="0"/>
          <w:numId w:val="23"/>
        </w:numPr>
        <w:adjustRightInd w:val="0"/>
        <w:snapToGrid w:val="0"/>
        <w:spacing w:line="400" w:lineRule="exact"/>
        <w:ind w:left="1850" w:leftChars="771" w:firstLine="0"/>
        <w:jc w:val="both"/>
        <w:rPr>
          <w:rFonts w:ascii="仿宋" w:hAnsi="仿宋" w:eastAsia="仿宋" w:cs="仿宋"/>
          <w:sz w:val="24"/>
          <w:szCs w:val="24"/>
          <w:lang w:eastAsia="zh-CN"/>
        </w:rPr>
      </w:pPr>
      <w:r>
        <w:rPr>
          <w:rFonts w:hint="eastAsia" w:ascii="仿宋" w:hAnsi="仿宋" w:eastAsia="仿宋" w:cs="仿宋"/>
          <w:sz w:val="24"/>
          <w:szCs w:val="24"/>
          <w:lang w:eastAsia="zh-CN"/>
        </w:rPr>
        <w:t>工程变更技术审核：合同工程发生第63</w:t>
      </w:r>
      <w:r>
        <w:rPr>
          <w:rFonts w:ascii="仿宋" w:hAnsi="仿宋" w:eastAsia="仿宋" w:cs="仿宋"/>
          <w:sz w:val="24"/>
          <w:szCs w:val="24"/>
          <w:lang w:eastAsia="zh-CN"/>
        </w:rPr>
        <w:t>.2</w:t>
      </w:r>
      <w:r>
        <w:rPr>
          <w:rFonts w:hint="eastAsia" w:ascii="仿宋" w:hAnsi="仿宋" w:eastAsia="仿宋" w:cs="仿宋"/>
          <w:sz w:val="24"/>
          <w:szCs w:val="24"/>
          <w:lang w:eastAsia="zh-CN"/>
        </w:rPr>
        <w:t>款所列情形，监理人在批准或指示工程变更前，其变更图纸（若有）应先通过设计顾问人的技术审核。</w:t>
      </w:r>
    </w:p>
    <w:p w14:paraId="273CF45D">
      <w:pPr>
        <w:pStyle w:val="22"/>
        <w:adjustRightInd w:val="0"/>
        <w:snapToGrid w:val="0"/>
        <w:spacing w:line="400" w:lineRule="exact"/>
        <w:rPr>
          <w:rFonts w:ascii="仿宋" w:hAnsi="仿宋" w:eastAsia="仿宋" w:cs="仿宋"/>
          <w:b/>
          <w:bCs/>
          <w:sz w:val="24"/>
          <w:szCs w:val="24"/>
          <w:u w:val="dotted"/>
          <w:lang w:eastAsia="zh-CN"/>
        </w:rPr>
      </w:pPr>
      <w:r>
        <w:rPr>
          <w:rFonts w:hint="eastAsia" w:ascii="仿宋" w:hAnsi="仿宋" w:eastAsia="仿宋" w:cs="仿宋"/>
          <w:b/>
          <w:bCs/>
          <w:sz w:val="24"/>
          <w:szCs w:val="24"/>
          <w:lang w:eastAsia="zh-CN"/>
        </w:rPr>
        <w:t>63</w:t>
      </w:r>
      <w:r>
        <w:rPr>
          <w:rFonts w:ascii="仿宋" w:hAnsi="仿宋" w:eastAsia="仿宋" w:cs="仿宋"/>
          <w:b/>
          <w:bCs/>
          <w:sz w:val="24"/>
          <w:szCs w:val="24"/>
          <w:lang w:eastAsia="zh-CN"/>
        </w:rPr>
        <w:t xml:space="preserve">.4  </w:t>
      </w:r>
      <w:r>
        <w:rPr>
          <w:rFonts w:ascii="仿宋" w:hAnsi="仿宋" w:eastAsia="仿宋" w:cs="仿宋"/>
          <w:b/>
          <w:bCs/>
          <w:sz w:val="24"/>
          <w:szCs w:val="24"/>
          <w:u w:val="dotted"/>
          <w:lang w:eastAsia="zh-CN"/>
        </w:rPr>
        <w:t xml:space="preserve">                                                                               </w:t>
      </w:r>
    </w:p>
    <w:p w14:paraId="4EFE64D8">
      <w:pPr>
        <w:pStyle w:val="22"/>
        <w:widowControl w:val="0"/>
        <w:adjustRightInd w:val="0"/>
        <w:snapToGrid w:val="0"/>
        <w:spacing w:line="400" w:lineRule="exact"/>
        <w:ind w:left="1850" w:leftChars="771"/>
        <w:jc w:val="both"/>
        <w:rPr>
          <w:rFonts w:ascii="仿宋" w:hAnsi="仿宋" w:eastAsia="仿宋"/>
          <w:sz w:val="24"/>
          <w:szCs w:val="24"/>
          <w:lang w:eastAsia="zh-CN"/>
        </w:rPr>
      </w:pPr>
      <w:r>
        <mc:AlternateContent>
          <mc:Choice Requires="wps">
            <w:drawing>
              <wp:anchor distT="0" distB="0" distL="114300" distR="114300" simplePos="0" relativeHeight="251840512" behindDoc="0" locked="0" layoutInCell="1" allowOverlap="1">
                <wp:simplePos x="0" y="0"/>
                <wp:positionH relativeFrom="column">
                  <wp:posOffset>-114300</wp:posOffset>
                </wp:positionH>
                <wp:positionV relativeFrom="paragraph">
                  <wp:posOffset>7620</wp:posOffset>
                </wp:positionV>
                <wp:extent cx="785495" cy="550545"/>
                <wp:effectExtent l="0" t="0" r="0" b="0"/>
                <wp:wrapNone/>
                <wp:docPr id="279" name="文本框 927"/>
                <wp:cNvGraphicFramePr/>
                <a:graphic xmlns:a="http://schemas.openxmlformats.org/drawingml/2006/main">
                  <a:graphicData uri="http://schemas.microsoft.com/office/word/2010/wordprocessingShape">
                    <wps:wsp>
                      <wps:cNvSpPr txBox="1"/>
                      <wps:spPr>
                        <a:xfrm>
                          <a:off x="0" y="0"/>
                          <a:ext cx="785495" cy="550545"/>
                        </a:xfrm>
                        <a:prstGeom prst="rect">
                          <a:avLst/>
                        </a:prstGeom>
                        <a:noFill/>
                        <a:ln w="12700">
                          <a:noFill/>
                        </a:ln>
                      </wps:spPr>
                      <wps:txbx>
                        <w:txbxContent>
                          <w:p w14:paraId="58909EC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承包人提出工程变更建议</w:t>
                            </w:r>
                          </w:p>
                        </w:txbxContent>
                      </wps:txbx>
                      <wps:bodyPr rot="0" vert="horz" wrap="square" lIns="91440" tIns="45720" rIns="91440" bIns="45720" anchor="t" anchorCtr="0"/>
                    </wps:wsp>
                  </a:graphicData>
                </a:graphic>
              </wp:anchor>
            </w:drawing>
          </mc:Choice>
          <mc:Fallback>
            <w:pict>
              <v:shape id="文本框 927" o:spid="_x0000_s1026" o:spt="202" type="#_x0000_t202" style="position:absolute;left:0pt;margin-left:-9pt;margin-top:0.6pt;height:43.35pt;width:61.85pt;z-index:251840512;mso-width-relative:page;mso-height-relative:page;" filled="f" stroked="f" coordsize="21600,21600" o:gfxdata="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paHN2&#10;1gAAAAgBAAAPAAAAAAAAAAEAIAAAACIAAABkcnMvZG93bnJldi54bWxQSwECFAAUAAAACACHTuJA&#10;6OtTA+oBAAC+AwAADgAAAAAAAAABACAAAAAlAQAAZHJzL2Uyb0RvYy54bWxQSwUGAAAAAAYABgBZ&#10;AQAAgQUAAAAA&#10;">
                <v:fill on="f" focussize="0,0"/>
                <v:stroke on="f" weight="1pt"/>
                <v:imagedata o:title=""/>
                <o:lock v:ext="edit" aspectratio="f"/>
                <v:textbox>
                  <w:txbxContent>
                    <w:p w14:paraId="58909EC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承包人提出工程变更建议</w:t>
                      </w:r>
                    </w:p>
                  </w:txbxContent>
                </v:textbox>
              </v:shape>
            </w:pict>
          </mc:Fallback>
        </mc:AlternateContent>
      </w:r>
      <w:r>
        <w:rPr>
          <w:rFonts w:hint="eastAsia" w:ascii="仿宋" w:hAnsi="仿宋" w:eastAsia="仿宋" w:cs="仿宋"/>
          <w:sz w:val="24"/>
          <w:szCs w:val="24"/>
          <w:lang w:eastAsia="zh-CN"/>
        </w:rPr>
        <w:t>合同履行期间，承包人可提出工程变更建议。变更建议应以书面形式向设计顾问人、监理人和造价咨询人提出，同时抄送发包人，详细说明变更的原因、变更方案、变更预算及合同价格的增减情况，并附必要的施工设计图纸及其说明等资料。变更建议被采纳的，设计顾问人、监理人和造价咨询人应按照第63</w:t>
      </w:r>
      <w:r>
        <w:rPr>
          <w:rFonts w:ascii="仿宋" w:hAnsi="仿宋" w:eastAsia="仿宋" w:cs="仿宋"/>
          <w:sz w:val="24"/>
          <w:szCs w:val="24"/>
          <w:lang w:eastAsia="zh-CN"/>
        </w:rPr>
        <w:t>.3</w:t>
      </w:r>
      <w:r>
        <w:rPr>
          <w:rFonts w:hint="eastAsia" w:ascii="仿宋" w:hAnsi="仿宋" w:eastAsia="仿宋" w:cs="仿宋"/>
          <w:sz w:val="24"/>
          <w:szCs w:val="24"/>
          <w:lang w:eastAsia="zh-CN"/>
        </w:rPr>
        <w:t>款约定向承包人发出变更指令。</w:t>
      </w:r>
    </w:p>
    <w:p w14:paraId="1F039B98">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发包人采纳承包人的建议，给发包人带来降低合同价格、缩短工期或产生显著工程经济效益等利益的，发包人应按照国家有关规定并在专用条款中约定的计算方法予以奖励。</w:t>
      </w:r>
    </w:p>
    <w:p w14:paraId="4E2EA588">
      <w:pPr>
        <w:spacing w:line="400" w:lineRule="exact"/>
        <w:rPr>
          <w:rFonts w:ascii="仿宋" w:hAnsi="仿宋" w:eastAsia="仿宋" w:cs="仿宋"/>
          <w:b/>
          <w:bCs/>
          <w:u w:val="dotted"/>
          <w:lang w:eastAsia="zh-CN"/>
        </w:rPr>
      </w:pPr>
      <w:r>
        <w:rPr>
          <w:rFonts w:hint="eastAsia" w:ascii="仿宋" w:hAnsi="仿宋" w:eastAsia="仿宋" w:cs="仿宋"/>
          <w:b/>
          <w:bCs/>
          <w:lang w:eastAsia="zh-CN"/>
        </w:rPr>
        <w:t>63</w:t>
      </w:r>
      <w:r>
        <w:rPr>
          <w:rFonts w:ascii="仿宋" w:hAnsi="仿宋" w:eastAsia="仿宋" w:cs="仿宋"/>
          <w:b/>
          <w:bCs/>
          <w:lang w:eastAsia="zh-CN"/>
        </w:rPr>
        <w:t xml:space="preserve">.5  </w:t>
      </w:r>
      <w:r>
        <w:rPr>
          <w:rFonts w:ascii="仿宋" w:hAnsi="仿宋" w:eastAsia="仿宋" w:cs="仿宋"/>
          <w:b/>
          <w:bCs/>
          <w:u w:val="dotted"/>
          <w:lang w:eastAsia="zh-CN"/>
        </w:rPr>
        <w:t xml:space="preserve">                                                                                </w:t>
      </w:r>
    </w:p>
    <w:p w14:paraId="50325826">
      <w:pPr>
        <w:widowControl w:val="0"/>
        <w:spacing w:line="400" w:lineRule="exact"/>
        <w:ind w:left="1850" w:leftChars="771"/>
        <w:jc w:val="both"/>
        <w:rPr>
          <w:rFonts w:ascii="仿宋" w:hAnsi="仿宋" w:eastAsia="仿宋" w:cs="仿宋"/>
          <w:lang w:eastAsia="zh-CN"/>
        </w:rPr>
      </w:pPr>
      <w:r>
        <mc:AlternateContent>
          <mc:Choice Requires="wps">
            <w:drawing>
              <wp:anchor distT="0" distB="0" distL="114300" distR="114300" simplePos="0" relativeHeight="251841536" behindDoc="0" locked="0" layoutInCell="1" allowOverlap="1">
                <wp:simplePos x="0" y="0"/>
                <wp:positionH relativeFrom="column">
                  <wp:posOffset>-114300</wp:posOffset>
                </wp:positionH>
                <wp:positionV relativeFrom="paragraph">
                  <wp:posOffset>15240</wp:posOffset>
                </wp:positionV>
                <wp:extent cx="832485" cy="909955"/>
                <wp:effectExtent l="0" t="0" r="0" b="0"/>
                <wp:wrapNone/>
                <wp:docPr id="280" name="文本框 928"/>
                <wp:cNvGraphicFramePr/>
                <a:graphic xmlns:a="http://schemas.openxmlformats.org/drawingml/2006/main">
                  <a:graphicData uri="http://schemas.microsoft.com/office/word/2010/wordprocessingShape">
                    <wps:wsp>
                      <wps:cNvSpPr txBox="1"/>
                      <wps:spPr>
                        <a:xfrm>
                          <a:off x="0" y="0"/>
                          <a:ext cx="832485" cy="909955"/>
                        </a:xfrm>
                        <a:prstGeom prst="rect">
                          <a:avLst/>
                        </a:prstGeom>
                        <a:noFill/>
                        <a:ln w="12700">
                          <a:noFill/>
                        </a:ln>
                      </wps:spPr>
                      <wps:txbx>
                        <w:txbxContent>
                          <w:p w14:paraId="46C1EA31">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工程变更导致合同价格和工期的调整</w:t>
                            </w:r>
                          </w:p>
                        </w:txbxContent>
                      </wps:txbx>
                      <wps:bodyPr rot="0" vert="horz" wrap="square" lIns="91440" tIns="45720" rIns="91440" bIns="45720" anchor="t" anchorCtr="0"/>
                    </wps:wsp>
                  </a:graphicData>
                </a:graphic>
              </wp:anchor>
            </w:drawing>
          </mc:Choice>
          <mc:Fallback>
            <w:pict>
              <v:shape id="文本框 928" o:spid="_x0000_s1026" o:spt="202" type="#_x0000_t202" style="position:absolute;left:0pt;margin-left:-9pt;margin-top:1.2pt;height:71.65pt;width:65.55pt;z-index:251841536;mso-width-relative:page;mso-height-relative:page;" filled="f" stroked="f" coordsize="21600,21600" o:gfxdata="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1t&#10;rTHYAAAACQEAAA8AAAAAAAAAAQAgAAAAIgAAAGRycy9kb3ducmV2LnhtbFBLAQIUABQAAAAIAIdO&#10;4kBAxiQL6gEAAL4DAAAOAAAAAAAAAAEAIAAAACcBAABkcnMvZTJvRG9jLnhtbFBLBQYAAAAABgAG&#10;AFkBAACDBQAAAAA=&#10;">
                <v:fill on="f" focussize="0,0"/>
                <v:stroke on="f" weight="1pt"/>
                <v:imagedata o:title=""/>
                <o:lock v:ext="edit" aspectratio="f"/>
                <v:textbox>
                  <w:txbxContent>
                    <w:p w14:paraId="46C1EA31">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工程变更导致合同价格和工期的调整</w:t>
                      </w:r>
                    </w:p>
                  </w:txbxContent>
                </v:textbox>
              </v:shape>
            </w:pict>
          </mc:Fallback>
        </mc:AlternateContent>
      </w:r>
      <w:r>
        <w:rPr>
          <w:rFonts w:hint="eastAsia" w:ascii="仿宋" w:hAnsi="仿宋" w:eastAsia="仿宋" w:cs="仿宋"/>
          <w:lang w:eastAsia="zh-CN"/>
        </w:rPr>
        <w:t>工程变更不应使合同作废或无效。</w:t>
      </w:r>
    </w:p>
    <w:p w14:paraId="58AB76F3">
      <w:pPr>
        <w:widowControl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工程变更分为可调价变更和不可调价变更。其中，不可调价变更是指采用总价合同形式的工程项目（子项目）且不符合第69.3款约定条件的变更，此类变更应参照第79条约定或本项目的预算编制规则确定变更预算，作为投资控制的依据，但不作为合同价格调整的依据；其他可调价变更应按照第79条约定确定变更的工程款，作为合同价格调整的依据。影响工期的，工期应相应调整。但由于下列原因引起的变更，承包人无权要求任何额外或附加的费用，工期也不予顺延：</w:t>
      </w:r>
    </w:p>
    <w:p w14:paraId="697632FE">
      <w:pPr>
        <w:widowControl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（1）为了便于组织施工而采取的技术措施变更或临时工程变更；</w:t>
      </w:r>
    </w:p>
    <w:p w14:paraId="2749D910">
      <w:pPr>
        <w:widowControl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w:t>
      </w:r>
      <w:r>
        <w:rPr>
          <w:rFonts w:ascii="仿宋" w:hAnsi="仿宋" w:eastAsia="仿宋" w:cs="仿宋"/>
          <w:lang w:eastAsia="zh-CN"/>
        </w:rPr>
        <w:t>2</w:t>
      </w:r>
      <w:r>
        <w:rPr>
          <w:rFonts w:hint="eastAsia" w:ascii="仿宋" w:hAnsi="仿宋" w:eastAsia="仿宋" w:cs="仿宋"/>
          <w:lang w:eastAsia="zh-CN"/>
        </w:rPr>
        <w:t>）为了施工安全、避免干扰等原因而采取的技术措施变更或临时工程变更；</w:t>
      </w:r>
    </w:p>
    <w:p w14:paraId="2E59DAFF">
      <w:pPr>
        <w:widowControl w:val="0"/>
        <w:spacing w:line="400" w:lineRule="exact"/>
        <w:ind w:left="1850" w:leftChars="771"/>
        <w:jc w:val="both"/>
        <w:rPr>
          <w:rFonts w:ascii="仿宋" w:hAnsi="仿宋" w:eastAsia="仿宋"/>
          <w:lang w:eastAsia="zh-CN"/>
        </w:rPr>
      </w:pPr>
      <w:r>
        <w:rPr>
          <w:rFonts w:hint="eastAsia" w:ascii="仿宋" w:hAnsi="仿宋" w:eastAsia="仿宋" w:cs="仿宋"/>
          <w:lang w:eastAsia="zh-CN"/>
        </w:rPr>
        <w:t>（3）因承包人违约、过错或承包人引起的其他变更。</w:t>
      </w:r>
    </w:p>
    <w:p w14:paraId="299F4391">
      <w:pPr>
        <w:pStyle w:val="22"/>
        <w:adjustRightInd w:val="0"/>
        <w:snapToGrid w:val="0"/>
        <w:spacing w:line="400" w:lineRule="exact"/>
        <w:rPr>
          <w:rFonts w:ascii="仿宋" w:hAnsi="仿宋" w:eastAsia="仿宋" w:cs="仿宋"/>
          <w:b/>
          <w:bCs/>
          <w:sz w:val="24"/>
          <w:szCs w:val="24"/>
          <w:u w:val="single"/>
          <w:lang w:eastAsia="zh-CN"/>
        </w:rPr>
      </w:pPr>
      <w:r>
        <w:rPr>
          <w:rFonts w:ascii="仿宋" w:hAnsi="仿宋" w:eastAsia="仿宋" w:cs="仿宋"/>
          <w:b/>
          <w:bCs/>
          <w:sz w:val="24"/>
          <w:szCs w:val="24"/>
          <w:u w:val="single"/>
          <w:lang w:eastAsia="zh-CN"/>
        </w:rPr>
        <w:t xml:space="preserve">                                                                                     </w:t>
      </w:r>
    </w:p>
    <w:p w14:paraId="3C61E650">
      <w:pPr>
        <w:pStyle w:val="4"/>
        <w:tabs>
          <w:tab w:val="left" w:pos="420"/>
        </w:tabs>
        <w:spacing w:before="0" w:after="0" w:line="400" w:lineRule="exact"/>
        <w:rPr>
          <w:rFonts w:ascii="仿宋" w:hAnsi="仿宋" w:eastAsia="仿宋" w:cs="仿宋"/>
          <w:bCs w:val="0"/>
          <w:sz w:val="24"/>
          <w:szCs w:val="24"/>
          <w:lang w:eastAsia="zh-CN"/>
        </w:rPr>
      </w:pPr>
      <w:bookmarkStart w:id="513" w:name="_Toc4890"/>
      <w:bookmarkStart w:id="514" w:name="_Toc29089"/>
      <w:bookmarkStart w:id="515" w:name="_Toc194073174"/>
      <w:bookmarkStart w:id="516" w:name="_Toc814"/>
      <w:r>
        <w:rPr>
          <w:rFonts w:hint="eastAsia" w:ascii="仿宋" w:hAnsi="仿宋" w:eastAsia="仿宋" w:cs="仿宋"/>
          <w:bCs w:val="0"/>
          <w:sz w:val="24"/>
          <w:szCs w:val="24"/>
          <w:lang w:eastAsia="zh-CN"/>
        </w:rPr>
        <w:t>64</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竣工验收条件</w:t>
      </w:r>
      <w:bookmarkEnd w:id="513"/>
      <w:bookmarkEnd w:id="514"/>
      <w:bookmarkEnd w:id="515"/>
      <w:bookmarkEnd w:id="516"/>
    </w:p>
    <w:p w14:paraId="70887122">
      <w:pPr>
        <w:pStyle w:val="12"/>
        <w:adjustRightInd w:val="0"/>
        <w:snapToGrid w:val="0"/>
        <w:spacing w:line="400" w:lineRule="exact"/>
        <w:ind w:firstLine="0"/>
        <w:rPr>
          <w:rFonts w:ascii="仿宋" w:hAnsi="仿宋" w:eastAsia="仿宋" w:cs="仿宋"/>
          <w:b/>
          <w:bCs/>
          <w:lang w:eastAsia="zh-CN"/>
        </w:rPr>
      </w:pPr>
      <w:r>
        <w:rPr>
          <w:rFonts w:hint="eastAsia" w:ascii="仿宋" w:hAnsi="仿宋" w:eastAsia="仿宋" w:cs="仿宋"/>
          <w:b/>
          <w:bCs/>
          <w:lang w:eastAsia="zh-CN"/>
        </w:rPr>
        <w:t>64</w:t>
      </w:r>
      <w:r>
        <w:rPr>
          <w:rFonts w:ascii="仿宋" w:hAnsi="仿宋" w:eastAsia="仿宋" w:cs="仿宋"/>
          <w:b/>
          <w:bCs/>
          <w:lang w:eastAsia="zh-CN"/>
        </w:rPr>
        <w:t>.1</w:t>
      </w:r>
    </w:p>
    <w:p w14:paraId="26742995">
      <w:pPr>
        <w:widowControl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842560" behindDoc="0" locked="0" layoutInCell="1" allowOverlap="1">
                <wp:simplePos x="0" y="0"/>
                <wp:positionH relativeFrom="column">
                  <wp:posOffset>-114300</wp:posOffset>
                </wp:positionH>
                <wp:positionV relativeFrom="paragraph">
                  <wp:posOffset>12700</wp:posOffset>
                </wp:positionV>
                <wp:extent cx="813435" cy="617855"/>
                <wp:effectExtent l="0" t="0" r="0" b="0"/>
                <wp:wrapNone/>
                <wp:docPr id="281" name="文本框 929"/>
                <wp:cNvGraphicFramePr/>
                <a:graphic xmlns:a="http://schemas.openxmlformats.org/drawingml/2006/main">
                  <a:graphicData uri="http://schemas.microsoft.com/office/word/2010/wordprocessingShape">
                    <wps:wsp>
                      <wps:cNvSpPr txBox="1"/>
                      <wps:spPr>
                        <a:xfrm>
                          <a:off x="0" y="0"/>
                          <a:ext cx="813435" cy="617855"/>
                        </a:xfrm>
                        <a:prstGeom prst="rect">
                          <a:avLst/>
                        </a:prstGeom>
                        <a:noFill/>
                        <a:ln w="12700">
                          <a:noFill/>
                        </a:ln>
                      </wps:spPr>
                      <wps:txbx>
                        <w:txbxContent>
                          <w:p w14:paraId="6170C94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txbxContent>
                      </wps:txbx>
                      <wps:bodyPr rot="0" vert="horz" wrap="square" lIns="91440" tIns="45720" rIns="91440" bIns="45720" anchor="t" anchorCtr="0"/>
                    </wps:wsp>
                  </a:graphicData>
                </a:graphic>
              </wp:anchor>
            </w:drawing>
          </mc:Choice>
          <mc:Fallback>
            <w:pict>
              <v:shape id="文本框 929" o:spid="_x0000_s1026" o:spt="202" type="#_x0000_t202" style="position:absolute;left:0pt;margin-left:-9pt;margin-top:1pt;height:48.65pt;width:64.05pt;z-index:251842560;mso-width-relative:page;mso-height-relative:page;" filled="f" stroked="f" coordsize="21600,21600" o:gfxdata="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aaJ&#10;/tcAAAAIAQAADwAAAAAAAAABACAAAAAiAAAAZHJzL2Rvd25yZXYueG1sUEsBAhQAFAAAAAgAh07i&#10;QEbyy5bqAQAAvgMAAA4AAAAAAAAAAQAgAAAAJgEAAGRycy9lMm9Eb2MueG1sUEsFBgAAAAAGAAYA&#10;WQEAAIIFAAAAAA==&#10;">
                <v:fill on="f" focussize="0,0"/>
                <v:stroke on="f" weight="1pt"/>
                <v:imagedata o:title=""/>
                <o:lock v:ext="edit" aspectratio="f"/>
                <v:textbox>
                  <w:txbxContent>
                    <w:p w14:paraId="6170C94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txbxContent>
                </v:textbox>
              </v:shape>
            </w:pict>
          </mc:Fallback>
        </mc:AlternateContent>
      </w:r>
      <w:r>
        <w:rPr>
          <w:rFonts w:hint="eastAsia" w:ascii="仿宋" w:hAnsi="仿宋" w:eastAsia="仿宋" w:cs="仿宋"/>
          <w:lang w:eastAsia="zh-CN"/>
        </w:rPr>
        <w:t>承包人实施、完成合同工程的全部工作内容，经自检评定并符合下列条件的，则认为合同工程已具备竣工验收条件。</w:t>
      </w:r>
    </w:p>
    <w:p w14:paraId="643DE307">
      <w:pPr>
        <w:widowControl w:val="0"/>
        <w:numPr>
          <w:ilvl w:val="0"/>
          <w:numId w:val="24"/>
        </w:numPr>
        <w:spacing w:line="400" w:lineRule="exact"/>
        <w:ind w:left="1850" w:leftChars="771" w:firstLine="0"/>
        <w:jc w:val="both"/>
        <w:rPr>
          <w:rFonts w:ascii="仿宋" w:hAnsi="仿宋" w:eastAsia="仿宋"/>
          <w:lang w:eastAsia="zh-CN"/>
        </w:rPr>
      </w:pPr>
      <w:r>
        <w:rPr>
          <w:rFonts w:hint="eastAsia" w:ascii="仿宋" w:hAnsi="仿宋" w:eastAsia="仿宋" w:cs="仿宋"/>
          <w:lang w:eastAsia="zh-CN"/>
        </w:rPr>
        <w:t>除监理人同意列入缺陷责任期内完成的尾工（甩项）工程和缺陷修补工作外，包括合同约定的试验、检验和验收等工作在内的合同范围内全部工作均已完成，并符合施工设计图纸和合同约定的要求；</w:t>
      </w:r>
    </w:p>
    <w:p w14:paraId="4737F55D">
      <w:pPr>
        <w:widowControl w:val="0"/>
        <w:numPr>
          <w:ilvl w:val="0"/>
          <w:numId w:val="24"/>
        </w:numPr>
        <w:spacing w:line="400" w:lineRule="exact"/>
        <w:ind w:left="1850" w:leftChars="771" w:firstLine="0"/>
        <w:jc w:val="both"/>
        <w:rPr>
          <w:rFonts w:ascii="仿宋" w:hAnsi="仿宋" w:eastAsia="仿宋"/>
          <w:lang w:eastAsia="zh-CN"/>
        </w:rPr>
      </w:pPr>
      <w:r>
        <w:rPr>
          <w:rFonts w:hint="eastAsia" w:ascii="仿宋" w:hAnsi="仿宋" w:eastAsia="仿宋" w:cs="仿宋"/>
          <w:lang w:eastAsia="zh-CN"/>
        </w:rPr>
        <w:t>已按照合同约定的内容和份数备齐了符合国家或行业、省要求的竣工资料（质量控制资料等）；</w:t>
      </w:r>
    </w:p>
    <w:p w14:paraId="37A7D989">
      <w:pPr>
        <w:widowControl w:val="0"/>
        <w:numPr>
          <w:ilvl w:val="0"/>
          <w:numId w:val="24"/>
        </w:numPr>
        <w:spacing w:line="400" w:lineRule="exact"/>
        <w:ind w:left="1850" w:leftChars="771" w:firstLine="0"/>
        <w:jc w:val="both"/>
        <w:rPr>
          <w:rFonts w:ascii="仿宋" w:hAnsi="仿宋" w:eastAsia="仿宋"/>
          <w:lang w:eastAsia="zh-CN"/>
        </w:rPr>
      </w:pPr>
      <w:r>
        <w:rPr>
          <w:rFonts w:hint="eastAsia" w:ascii="仿宋" w:hAnsi="仿宋" w:eastAsia="仿宋" w:cs="仿宋"/>
          <w:lang w:eastAsia="zh-CN"/>
        </w:rPr>
        <w:t>已按照监理人的指令编制了在缺陷责任期内完成的尾工（甩项）工程和缺陷修补工作清单，以及相应的实施计划；</w:t>
      </w:r>
    </w:p>
    <w:p w14:paraId="66BC191D">
      <w:pPr>
        <w:widowControl w:val="0"/>
        <w:numPr>
          <w:ilvl w:val="0"/>
          <w:numId w:val="24"/>
        </w:numPr>
        <w:spacing w:line="400" w:lineRule="exact"/>
        <w:ind w:left="1850" w:leftChars="771" w:firstLine="0"/>
        <w:jc w:val="both"/>
        <w:rPr>
          <w:rFonts w:ascii="仿宋" w:hAnsi="仿宋" w:eastAsia="仿宋"/>
          <w:lang w:eastAsia="zh-CN"/>
        </w:rPr>
      </w:pPr>
      <w:r>
        <w:rPr>
          <w:rFonts w:hint="eastAsia" w:ascii="仿宋" w:hAnsi="仿宋" w:eastAsia="仿宋" w:cs="仿宋"/>
          <w:lang w:eastAsia="zh-CN"/>
        </w:rPr>
        <w:t>监理人要求在竣工验收前应完成的其他工作：</w:t>
      </w:r>
    </w:p>
    <w:p w14:paraId="38C28652">
      <w:pPr>
        <w:widowControl w:val="0"/>
        <w:numPr>
          <w:ilvl w:val="0"/>
          <w:numId w:val="24"/>
        </w:numPr>
        <w:spacing w:line="400" w:lineRule="exact"/>
        <w:ind w:left="1850" w:leftChars="771" w:firstLine="0"/>
        <w:jc w:val="both"/>
        <w:rPr>
          <w:rFonts w:ascii="仿宋" w:hAnsi="仿宋" w:eastAsia="仿宋"/>
          <w:lang w:eastAsia="zh-CN"/>
        </w:rPr>
      </w:pPr>
      <w:r>
        <w:rPr>
          <w:rFonts w:hint="eastAsia" w:ascii="仿宋" w:hAnsi="仿宋" w:eastAsia="仿宋" w:cs="仿宋"/>
          <w:lang w:eastAsia="zh-CN"/>
        </w:rPr>
        <w:t>监理人要求提交的竣工验收资料清单；</w:t>
      </w:r>
    </w:p>
    <w:p w14:paraId="5E57E1D1">
      <w:pPr>
        <w:widowControl w:val="0"/>
        <w:numPr>
          <w:ilvl w:val="0"/>
          <w:numId w:val="24"/>
        </w:numPr>
        <w:spacing w:line="400" w:lineRule="exact"/>
        <w:ind w:left="1850" w:leftChars="771" w:firstLine="0"/>
        <w:jc w:val="both"/>
        <w:rPr>
          <w:rFonts w:ascii="仿宋" w:hAnsi="仿宋" w:eastAsia="仿宋" w:cs="仿宋"/>
          <w:lang w:eastAsia="zh-CN"/>
        </w:rPr>
      </w:pPr>
      <w:r>
        <w:rPr>
          <w:rFonts w:hint="eastAsia" w:ascii="仿宋" w:hAnsi="仿宋" w:eastAsia="仿宋" w:cs="仿宋"/>
          <w:lang w:eastAsia="zh-CN"/>
        </w:rPr>
        <w:t>竣工资料应当符合国家或行业、省关于基本建设项目档案资料管理的有关规定；发包人对基本建设项目档案资料管理有具体要求的，由合同双方在专用条款中约定。</w:t>
      </w:r>
    </w:p>
    <w:p w14:paraId="3BD204FD">
      <w:pPr>
        <w:spacing w:line="400" w:lineRule="exact"/>
        <w:rPr>
          <w:rFonts w:ascii="仿宋" w:hAnsi="仿宋" w:eastAsia="仿宋"/>
          <w:lang w:eastAsia="zh-CN"/>
        </w:rPr>
      </w:pPr>
      <w:bookmarkStart w:id="517" w:name="_Toc9505"/>
      <w:r>
        <w:rPr>
          <w:rFonts w:hint="eastAsia" w:ascii="仿宋" w:hAnsi="仿宋" w:eastAsia="仿宋" w:cs="仿宋"/>
          <w:b/>
          <w:bCs/>
          <w:lang w:eastAsia="zh-CN"/>
        </w:rPr>
        <w:t>64</w:t>
      </w:r>
      <w:r>
        <w:rPr>
          <w:rFonts w:ascii="仿宋" w:hAnsi="仿宋" w:eastAsia="仿宋" w:cs="仿宋"/>
          <w:b/>
          <w:bCs/>
          <w:lang w:eastAsia="zh-CN"/>
        </w:rPr>
        <w:t>.2</w:t>
      </w:r>
      <w:bookmarkEnd w:id="517"/>
      <w:r>
        <w:rPr>
          <w:rFonts w:ascii="仿宋" w:hAnsi="仿宋" w:eastAsia="仿宋" w:cs="仿宋"/>
          <w:b/>
          <w:bCs/>
          <w:lang w:eastAsia="zh-CN"/>
        </w:rPr>
        <w:t xml:space="preserve"> </w:t>
      </w:r>
      <w:r>
        <w:rPr>
          <w:rFonts w:ascii="仿宋" w:hAnsi="仿宋" w:eastAsia="仿宋" w:cs="仿宋"/>
          <w:lang w:eastAsia="zh-CN"/>
        </w:rPr>
        <w:t xml:space="preserve"> </w:t>
      </w:r>
      <w:r>
        <w:rPr>
          <w:rFonts w:ascii="仿宋" w:hAnsi="仿宋" w:eastAsia="仿宋" w:cs="仿宋"/>
          <w:u w:val="dotted"/>
          <w:lang w:eastAsia="zh-CN"/>
        </w:rPr>
        <w:t xml:space="preserve">                                                                              </w:t>
      </w:r>
    </w:p>
    <w:p w14:paraId="691E954B">
      <w:pPr>
        <w:pStyle w:val="12"/>
        <w:widowControl w:val="0"/>
        <w:adjustRightInd w:val="0"/>
        <w:snapToGrid w:val="0"/>
        <w:spacing w:line="400" w:lineRule="exact"/>
        <w:ind w:left="1850" w:leftChars="771" w:firstLine="0"/>
        <w:jc w:val="both"/>
        <w:rPr>
          <w:rFonts w:ascii="仿宋" w:hAnsi="仿宋" w:eastAsia="仿宋"/>
          <w:lang w:eastAsia="zh-CN"/>
        </w:rPr>
      </w:pPr>
      <w:r>
        <w:rPr>
          <w:rFonts w:hint="eastAsia" w:ascii="仿宋" w:hAnsi="仿宋" w:eastAsia="仿宋" w:cs="仿宋"/>
          <w:lang w:eastAsia="zh-CN"/>
        </w:rPr>
        <w:t>承包人</w:t>
      </w:r>
      <w:r>
        <mc:AlternateContent>
          <mc:Choice Requires="wps">
            <w:drawing>
              <wp:anchor distT="0" distB="0" distL="114300" distR="114300" simplePos="0" relativeHeight="251843584" behindDoc="0" locked="0" layoutInCell="1" allowOverlap="1">
                <wp:simplePos x="0" y="0"/>
                <wp:positionH relativeFrom="column">
                  <wp:posOffset>-114300</wp:posOffset>
                </wp:positionH>
                <wp:positionV relativeFrom="paragraph">
                  <wp:posOffset>12700</wp:posOffset>
                </wp:positionV>
                <wp:extent cx="831850" cy="579120"/>
                <wp:effectExtent l="0" t="0" r="0" b="0"/>
                <wp:wrapNone/>
                <wp:docPr id="282" name="文本框 930"/>
                <wp:cNvGraphicFramePr/>
                <a:graphic xmlns:a="http://schemas.openxmlformats.org/drawingml/2006/main">
                  <a:graphicData uri="http://schemas.microsoft.com/office/word/2010/wordprocessingShape">
                    <wps:wsp>
                      <wps:cNvSpPr txBox="1"/>
                      <wps:spPr>
                        <a:xfrm>
                          <a:off x="0" y="0"/>
                          <a:ext cx="831850" cy="579120"/>
                        </a:xfrm>
                        <a:prstGeom prst="rect">
                          <a:avLst/>
                        </a:prstGeom>
                        <a:noFill/>
                        <a:ln w="12700">
                          <a:noFill/>
                        </a:ln>
                      </wps:spPr>
                      <wps:txbx>
                        <w:txbxContent>
                          <w:p w14:paraId="28FD5548">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txbxContent>
                      </wps:txbx>
                      <wps:bodyPr rot="0" vert="horz" wrap="square" lIns="91440" tIns="45720" rIns="91440" bIns="45720" anchor="t" anchorCtr="0"/>
                    </wps:wsp>
                  </a:graphicData>
                </a:graphic>
              </wp:anchor>
            </w:drawing>
          </mc:Choice>
          <mc:Fallback>
            <w:pict>
              <v:shape id="文本框 930" o:spid="_x0000_s1026" o:spt="202" type="#_x0000_t202" style="position:absolute;left:0pt;margin-left:-9pt;margin-top:1pt;height:45.6pt;width:65.5pt;z-index:251843584;mso-width-relative:page;mso-height-relative:page;" filled="f" stroked="f" coordsize="21600,21600" o:gfxdata="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lmiwS&#10;1gAAAAgBAAAPAAAAAAAAAAEAIAAAACIAAABkcnMvZG93bnJldi54bWxQSwECFAAUAAAACACHTuJA&#10;MeLyZOoBAAC+AwAADgAAAAAAAAABACAAAAAlAQAAZHJzL2Uyb0RvYy54bWxQSwUGAAAAAAYABgBZ&#10;AQAAgQUAAAAA&#10;">
                <v:fill on="f" focussize="0,0"/>
                <v:stroke on="f" weight="1pt"/>
                <v:imagedata o:title=""/>
                <o:lock v:ext="edit" aspectratio="f"/>
                <v:textbox>
                  <w:txbxContent>
                    <w:p w14:paraId="28FD5548">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txbxContent>
                </v:textbox>
              </v:shape>
            </w:pict>
          </mc:Fallback>
        </mc:AlternateContent>
      </w:r>
      <w:r>
        <w:rPr>
          <w:rFonts w:hint="eastAsia" w:ascii="仿宋" w:hAnsi="仿宋" w:eastAsia="仿宋" w:cs="仿宋"/>
          <w:lang w:eastAsia="zh-CN"/>
        </w:rPr>
        <w:t>认为合同工程具备竣工验收条件的，应按照国家或行业、省规定的工程竣工验收技术资料格式和要求，及时向发包人提交竣工验收申请报告和符合要求的完整竣工资料，合同双方当事人应按照第65条约定进行验收。</w:t>
      </w:r>
    </w:p>
    <w:p w14:paraId="0D0DFC1F">
      <w:pPr>
        <w:spacing w:line="400" w:lineRule="exact"/>
        <w:rPr>
          <w:rFonts w:ascii="仿宋" w:hAnsi="仿宋" w:eastAsia="仿宋"/>
          <w:b/>
          <w:bCs/>
          <w:lang w:eastAsia="zh-CN"/>
        </w:rPr>
      </w:pPr>
      <w:bookmarkStart w:id="518" w:name="_Toc5775"/>
      <w:r>
        <w:rPr>
          <w:rFonts w:hint="eastAsia" w:ascii="仿宋" w:hAnsi="仿宋" w:eastAsia="仿宋" w:cs="仿宋"/>
          <w:b/>
          <w:bCs/>
          <w:lang w:eastAsia="zh-CN"/>
        </w:rPr>
        <w:t>64</w:t>
      </w:r>
      <w:r>
        <w:rPr>
          <w:rFonts w:ascii="仿宋" w:hAnsi="仿宋" w:eastAsia="仿宋" w:cs="仿宋"/>
          <w:b/>
          <w:bCs/>
          <w:lang w:eastAsia="zh-CN"/>
        </w:rPr>
        <w:t>.3</w:t>
      </w:r>
      <w:bookmarkEnd w:id="518"/>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4D0ACCCA">
      <w:pPr>
        <w:pStyle w:val="12"/>
        <w:adjustRightInd w:val="0"/>
        <w:snapToGrid w:val="0"/>
        <w:spacing w:line="400" w:lineRule="exact"/>
        <w:ind w:left="1850" w:leftChars="771" w:firstLine="0"/>
        <w:rPr>
          <w:rFonts w:ascii="仿宋" w:hAnsi="仿宋" w:eastAsia="仿宋"/>
          <w:lang w:eastAsia="zh-CN"/>
        </w:rPr>
      </w:pPr>
      <w:r>
        <mc:AlternateContent>
          <mc:Choice Requires="wps">
            <w:drawing>
              <wp:anchor distT="0" distB="0" distL="114300" distR="114300" simplePos="0" relativeHeight="251844608" behindDoc="0" locked="0" layoutInCell="1" allowOverlap="1">
                <wp:simplePos x="0" y="0"/>
                <wp:positionH relativeFrom="column">
                  <wp:posOffset>-114300</wp:posOffset>
                </wp:positionH>
                <wp:positionV relativeFrom="paragraph">
                  <wp:posOffset>38735</wp:posOffset>
                </wp:positionV>
                <wp:extent cx="759460" cy="569595"/>
                <wp:effectExtent l="0" t="0" r="0" b="0"/>
                <wp:wrapNone/>
                <wp:docPr id="283" name="文本框 931"/>
                <wp:cNvGraphicFramePr/>
                <a:graphic xmlns:a="http://schemas.openxmlformats.org/drawingml/2006/main">
                  <a:graphicData uri="http://schemas.microsoft.com/office/word/2010/wordprocessingShape">
                    <wps:wsp>
                      <wps:cNvSpPr txBox="1"/>
                      <wps:spPr>
                        <a:xfrm>
                          <a:off x="0" y="0"/>
                          <a:ext cx="759460" cy="569595"/>
                        </a:xfrm>
                        <a:prstGeom prst="rect">
                          <a:avLst/>
                        </a:prstGeom>
                        <a:noFill/>
                        <a:ln w="12700">
                          <a:noFill/>
                        </a:ln>
                      </wps:spPr>
                      <wps:txbx>
                        <w:txbxContent>
                          <w:p w14:paraId="12C806D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txbxContent>
                      </wps:txbx>
                      <wps:bodyPr rot="0" vert="horz" wrap="square" lIns="91440" tIns="45720" rIns="91440" bIns="45720" anchor="t" anchorCtr="0"/>
                    </wps:wsp>
                  </a:graphicData>
                </a:graphic>
              </wp:anchor>
            </w:drawing>
          </mc:Choice>
          <mc:Fallback>
            <w:pict>
              <v:shape id="文本框 931" o:spid="_x0000_s1026" o:spt="202" type="#_x0000_t202" style="position:absolute;left:0pt;margin-left:-9pt;margin-top:3.05pt;height:44.85pt;width:59.8pt;z-index:251844608;mso-width-relative:page;mso-height-relative:page;" filled="f" stroked="f" coordsize="21600,21600" o:gfxdata="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N+AM&#10;zNYAAAAIAQAADwAAAAAAAAABACAAAAAiAAAAZHJzL2Rvd25yZXYueG1sUEsBAhQAFAAAAAgAh07i&#10;QDT//3LrAQAAvgMAAA4AAAAAAAAAAQAgAAAAJQEAAGRycy9lMm9Eb2MueG1sUEsFBgAAAAAGAAYA&#10;WQEAAIIFAAAAAA==&#10;">
                <v:fill on="f" focussize="0,0"/>
                <v:stroke on="f" weight="1pt"/>
                <v:imagedata o:title=""/>
                <o:lock v:ext="edit" aspectratio="f"/>
                <v:textbox>
                  <w:txbxContent>
                    <w:p w14:paraId="12C806D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txbxContent>
                </v:textbox>
              </v:shape>
            </w:pict>
          </mc:Fallback>
        </mc:AlternateContent>
      </w:r>
      <w:r>
        <w:rPr>
          <w:rFonts w:hint="eastAsia" w:ascii="仿宋" w:hAnsi="仿宋" w:eastAsia="仿宋" w:cs="仿宋"/>
          <w:lang w:eastAsia="zh-CN"/>
        </w:rPr>
        <w:t>如果承包人不按照规定提交竣工资料或提交的资料不符合要求，则认为合同工程尚未具备竣工验收条件。</w:t>
      </w:r>
    </w:p>
    <w:p w14:paraId="6B5D9FB0">
      <w:pPr>
        <w:adjustRightInd w:val="0"/>
        <w:snapToGrid w:val="0"/>
        <w:spacing w:line="400" w:lineRule="exact"/>
        <w:rPr>
          <w:rFonts w:ascii="仿宋" w:hAnsi="仿宋" w:eastAsia="仿宋"/>
          <w:b/>
          <w:bCs/>
          <w:u w:val="single"/>
          <w:lang w:eastAsia="zh-CN"/>
        </w:rPr>
      </w:pPr>
      <w:r>
        <w:rPr>
          <w:rFonts w:ascii="仿宋" w:hAnsi="仿宋" w:eastAsia="仿宋" w:cs="仿宋"/>
          <w:b/>
          <w:bCs/>
          <w:u w:val="single"/>
          <w:lang w:eastAsia="zh-CN"/>
        </w:rPr>
        <w:t xml:space="preserve">                                                                                     </w:t>
      </w:r>
    </w:p>
    <w:p w14:paraId="39EFBDBE">
      <w:pPr>
        <w:pStyle w:val="4"/>
        <w:tabs>
          <w:tab w:val="left" w:pos="420"/>
        </w:tabs>
        <w:spacing w:before="0" w:after="0" w:line="400" w:lineRule="exact"/>
        <w:rPr>
          <w:rFonts w:ascii="仿宋" w:hAnsi="仿宋" w:eastAsia="仿宋" w:cs="仿宋"/>
          <w:bCs w:val="0"/>
          <w:sz w:val="24"/>
          <w:szCs w:val="24"/>
          <w:lang w:eastAsia="zh-CN"/>
        </w:rPr>
      </w:pPr>
      <w:bookmarkStart w:id="519" w:name="_Toc194073175"/>
      <w:bookmarkStart w:id="520" w:name="_Toc29313"/>
      <w:bookmarkStart w:id="521" w:name="_Toc2971"/>
      <w:bookmarkStart w:id="522" w:name="_Toc18455"/>
      <w:r>
        <w:rPr>
          <w:rFonts w:hint="eastAsia" w:ascii="仿宋" w:hAnsi="仿宋" w:eastAsia="仿宋" w:cs="仿宋"/>
          <w:bCs w:val="0"/>
          <w:sz w:val="24"/>
          <w:szCs w:val="24"/>
          <w:lang w:eastAsia="zh-CN"/>
        </w:rPr>
        <w:t>65</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竣工验收</w:t>
      </w:r>
      <w:bookmarkEnd w:id="519"/>
      <w:bookmarkEnd w:id="520"/>
      <w:bookmarkEnd w:id="521"/>
      <w:bookmarkEnd w:id="522"/>
    </w:p>
    <w:p w14:paraId="6F51F854">
      <w:pPr>
        <w:tabs>
          <w:tab w:val="left" w:pos="1620"/>
        </w:tabs>
        <w:adjustRightInd w:val="0"/>
        <w:snapToGrid w:val="0"/>
        <w:spacing w:line="400" w:lineRule="exact"/>
        <w:rPr>
          <w:rFonts w:ascii="仿宋" w:hAnsi="仿宋" w:eastAsia="仿宋"/>
          <w:b/>
          <w:bCs/>
          <w:lang w:eastAsia="zh-CN"/>
        </w:rPr>
      </w:pPr>
      <w:r>
        <w:rPr>
          <w:rFonts w:hint="eastAsia" w:ascii="仿宋" w:hAnsi="仿宋" w:eastAsia="仿宋" w:cs="仿宋"/>
          <w:b/>
          <w:bCs/>
          <w:lang w:eastAsia="zh-CN"/>
        </w:rPr>
        <w:t>★</w:t>
      </w:r>
      <w:r>
        <mc:AlternateContent>
          <mc:Choice Requires="wps">
            <w:drawing>
              <wp:anchor distT="0" distB="0" distL="114300" distR="114300" simplePos="0" relativeHeight="252045312" behindDoc="0" locked="0" layoutInCell="1" allowOverlap="1">
                <wp:simplePos x="0" y="0"/>
                <wp:positionH relativeFrom="column">
                  <wp:posOffset>-114300</wp:posOffset>
                </wp:positionH>
                <wp:positionV relativeFrom="paragraph">
                  <wp:posOffset>257810</wp:posOffset>
                </wp:positionV>
                <wp:extent cx="825500" cy="569595"/>
                <wp:effectExtent l="0" t="0" r="0" b="0"/>
                <wp:wrapNone/>
                <wp:docPr id="284" name="文本框 932"/>
                <wp:cNvGraphicFramePr/>
                <a:graphic xmlns:a="http://schemas.openxmlformats.org/drawingml/2006/main">
                  <a:graphicData uri="http://schemas.microsoft.com/office/word/2010/wordprocessingShape">
                    <wps:wsp>
                      <wps:cNvSpPr txBox="1"/>
                      <wps:spPr>
                        <a:xfrm>
                          <a:off x="0" y="0"/>
                          <a:ext cx="825500" cy="569595"/>
                        </a:xfrm>
                        <a:prstGeom prst="rect">
                          <a:avLst/>
                        </a:prstGeom>
                        <a:noFill/>
                        <a:ln w="12700">
                          <a:noFill/>
                        </a:ln>
                      </wps:spPr>
                      <wps:txbx>
                        <w:txbxContent>
                          <w:p w14:paraId="0BA62ED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txbxContent>
                      </wps:txbx>
                      <wps:bodyPr rot="0" vert="horz" wrap="square" lIns="91440" tIns="45720" rIns="91440" bIns="45720" anchor="t" anchorCtr="0"/>
                    </wps:wsp>
                  </a:graphicData>
                </a:graphic>
              </wp:anchor>
            </w:drawing>
          </mc:Choice>
          <mc:Fallback>
            <w:pict>
              <v:shape id="文本框 932" o:spid="_x0000_s1026" o:spt="202" type="#_x0000_t202" style="position:absolute;left:0pt;margin-left:-9pt;margin-top:20.3pt;height:44.85pt;width:65pt;z-index:252045312;mso-width-relative:page;mso-height-relative:page;" filled="f" stroked="f" coordsize="21600,21600" o:gfxdata="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rCKFjX&#10;AAAACgEAAA8AAAAAAAAAAQAgAAAAIgAAAGRycy9kb3ducmV2LnhtbFBLAQIUABQAAAAIAIdO4kD8&#10;uG7m6AEAAL4DAAAOAAAAAAAAAAEAIAAAACYBAABkcnMvZTJvRG9jLnhtbFBLBQYAAAAABgAGAFkB&#10;AACABQAAAAA=&#10;">
                <v:fill on="f" focussize="0,0"/>
                <v:stroke on="f" weight="1pt"/>
                <v:imagedata o:title=""/>
                <o:lock v:ext="edit" aspectratio="f"/>
                <v:textbox>
                  <w:txbxContent>
                    <w:p w14:paraId="0BA62ED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txbxContent>
                </v:textbox>
              </v:shape>
            </w:pict>
          </mc:Fallback>
        </mc:AlternateContent>
      </w:r>
      <w:r>
        <w:rPr>
          <w:rFonts w:hint="eastAsia" w:ascii="仿宋" w:hAnsi="仿宋" w:eastAsia="仿宋" w:cs="仿宋"/>
          <w:b/>
          <w:bCs/>
          <w:lang w:eastAsia="zh-CN"/>
        </w:rPr>
        <w:t>65</w:t>
      </w:r>
      <w:r>
        <w:rPr>
          <w:rFonts w:ascii="仿宋" w:hAnsi="仿宋" w:eastAsia="仿宋" w:cs="仿宋"/>
          <w:b/>
          <w:bCs/>
          <w:lang w:eastAsia="zh-CN"/>
        </w:rPr>
        <w:t>.1</w:t>
      </w:r>
    </w:p>
    <w:p w14:paraId="75297750">
      <w:pPr>
        <w:widowControl w:val="0"/>
        <w:spacing w:line="400" w:lineRule="exact"/>
        <w:ind w:left="1850" w:leftChars="771"/>
        <w:jc w:val="both"/>
        <w:rPr>
          <w:rFonts w:ascii="仿宋" w:hAnsi="仿宋" w:eastAsia="仿宋"/>
          <w:lang w:eastAsia="zh-CN"/>
        </w:rPr>
      </w:pPr>
      <w:r>
        <w:rPr>
          <w:rFonts w:hint="eastAsia" w:ascii="仿宋" w:hAnsi="仿宋" w:eastAsia="仿宋" w:cs="仿宋"/>
          <w:lang w:eastAsia="zh-CN"/>
        </w:rPr>
        <w:t>合同双方当事人应在专用条款中约定合同工程竣工验收标准，但约定的竣工验收标准应符合国家或行业、省的有关规定。</w:t>
      </w:r>
    </w:p>
    <w:p w14:paraId="109C7263">
      <w:pPr>
        <w:widowControl w:val="0"/>
        <w:spacing w:line="400" w:lineRule="exact"/>
        <w:ind w:left="1850" w:leftChars="771"/>
        <w:rPr>
          <w:rFonts w:ascii="仿宋" w:hAnsi="仿宋" w:eastAsia="仿宋"/>
          <w:lang w:eastAsia="zh-CN"/>
        </w:rPr>
      </w:pPr>
      <w:r>
        <w:rPr>
          <w:rFonts w:hint="eastAsia" w:ascii="仿宋" w:hAnsi="仿宋" w:eastAsia="仿宋" w:cs="仿宋"/>
          <w:lang w:eastAsia="zh-CN"/>
        </w:rPr>
        <w:t>合同工程需要进行国家验收的，国家验收是竣工验收的一部分。</w:t>
      </w:r>
    </w:p>
    <w:p w14:paraId="44F47C64">
      <w:pPr>
        <w:tabs>
          <w:tab w:val="left" w:pos="1620"/>
        </w:tabs>
        <w:adjustRightInd w:val="0"/>
        <w:snapToGrid w:val="0"/>
        <w:spacing w:line="400" w:lineRule="exact"/>
        <w:rPr>
          <w:rFonts w:ascii="仿宋" w:hAnsi="仿宋" w:eastAsia="仿宋"/>
          <w:lang w:eastAsia="zh-CN"/>
        </w:rPr>
      </w:pPr>
      <w:r>
        <mc:AlternateContent>
          <mc:Choice Requires="wps">
            <w:drawing>
              <wp:anchor distT="0" distB="0" distL="114300" distR="114300" simplePos="0" relativeHeight="252046336" behindDoc="0" locked="0" layoutInCell="1" allowOverlap="1">
                <wp:simplePos x="0" y="0"/>
                <wp:positionH relativeFrom="column">
                  <wp:posOffset>-114300</wp:posOffset>
                </wp:positionH>
                <wp:positionV relativeFrom="paragraph">
                  <wp:posOffset>372110</wp:posOffset>
                </wp:positionV>
                <wp:extent cx="825500" cy="532130"/>
                <wp:effectExtent l="0" t="0" r="0" b="0"/>
                <wp:wrapNone/>
                <wp:docPr id="285" name="文本框 933"/>
                <wp:cNvGraphicFramePr/>
                <a:graphic xmlns:a="http://schemas.openxmlformats.org/drawingml/2006/main">
                  <a:graphicData uri="http://schemas.microsoft.com/office/word/2010/wordprocessingShape">
                    <wps:wsp>
                      <wps:cNvSpPr txBox="1"/>
                      <wps:spPr>
                        <a:xfrm>
                          <a:off x="0" y="0"/>
                          <a:ext cx="825500" cy="532130"/>
                        </a:xfrm>
                        <a:prstGeom prst="rect">
                          <a:avLst/>
                        </a:prstGeom>
                        <a:noFill/>
                        <a:ln w="12700">
                          <a:noFill/>
                        </a:ln>
                      </wps:spPr>
                      <wps:txbx>
                        <w:txbxContent>
                          <w:p w14:paraId="4DC4B4E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txbxContent>
                      </wps:txbx>
                      <wps:bodyPr rot="0" vert="horz" wrap="square" lIns="91440" tIns="45720" rIns="91440" bIns="45720" anchor="t" anchorCtr="0"/>
                    </wps:wsp>
                  </a:graphicData>
                </a:graphic>
              </wp:anchor>
            </w:drawing>
          </mc:Choice>
          <mc:Fallback>
            <w:pict>
              <v:shape id="文本框 933" o:spid="_x0000_s1026" o:spt="202" type="#_x0000_t202" style="position:absolute;left:0pt;margin-left:-9pt;margin-top:29.3pt;height:41.9pt;width:65pt;z-index:252046336;mso-width-relative:page;mso-height-relative:page;" filled="f" stroked="f" coordsize="21600,21600" o:gfxdata="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mkjX&#10;SNgAAAAKAQAADwAAAAAAAAABACAAAAAiAAAAZHJzL2Rvd25yZXYueG1sUEsBAhQAFAAAAAgAh07i&#10;QKARG9DpAQAAvgMAAA4AAAAAAAAAAQAgAAAAJwEAAGRycy9lMm9Eb2MueG1sUEsFBgAAAAAGAAYA&#10;WQEAAIIFAAAAAA==&#10;">
                <v:fill on="f" focussize="0,0"/>
                <v:stroke on="f" weight="1pt"/>
                <v:imagedata o:title=""/>
                <o:lock v:ext="edit" aspectratio="f"/>
                <v:textbox>
                  <w:txbxContent>
                    <w:p w14:paraId="4DC4B4E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txbxContent>
                </v:textbox>
              </v:shape>
            </w:pict>
          </mc:Fallback>
        </mc:AlternateContent>
      </w:r>
      <w:r>
        <w:rPr>
          <w:rFonts w:hint="eastAsia" w:ascii="仿宋" w:hAnsi="仿宋" w:eastAsia="仿宋" w:cs="仿宋"/>
          <w:b/>
          <w:bCs/>
          <w:lang w:eastAsia="zh-CN"/>
        </w:rPr>
        <w:t>65</w:t>
      </w:r>
      <w:r>
        <w:rPr>
          <w:rFonts w:ascii="仿宋" w:hAnsi="仿宋" w:eastAsia="仿宋" w:cs="仿宋"/>
          <w:b/>
          <w:bCs/>
          <w:lang w:eastAsia="zh-CN"/>
        </w:rPr>
        <w:t>.2</w:t>
      </w:r>
      <w:r>
        <w:rPr>
          <w:rFonts w:ascii="仿宋" w:hAnsi="仿宋" w:eastAsia="仿宋" w:cs="仿宋"/>
          <w:u w:val="dotted"/>
          <w:lang w:eastAsia="zh-CN"/>
        </w:rPr>
        <w:t xml:space="preserve">                                                              </w:t>
      </w:r>
      <w:r>
        <w:rPr>
          <w:rFonts w:hint="eastAsia" w:ascii="仿宋" w:hAnsi="仿宋" w:eastAsia="仿宋" w:cs="仿宋"/>
          <w:u w:val="dotted"/>
          <w:lang w:eastAsia="zh-CN"/>
        </w:rPr>
        <w:t xml:space="preserve">     </w:t>
      </w:r>
      <w:r>
        <w:rPr>
          <w:rFonts w:ascii="仿宋" w:hAnsi="仿宋" w:eastAsia="仿宋" w:cs="仿宋"/>
          <w:u w:val="dotted"/>
          <w:lang w:eastAsia="zh-CN"/>
        </w:rPr>
        <w:t xml:space="preserve">               </w:t>
      </w:r>
    </w:p>
    <w:p w14:paraId="1C282E8F">
      <w:pPr>
        <w:widowControl w:val="0"/>
        <w:spacing w:line="400" w:lineRule="exact"/>
        <w:ind w:left="1850" w:leftChars="771"/>
        <w:jc w:val="both"/>
        <w:rPr>
          <w:rFonts w:ascii="仿宋" w:hAnsi="仿宋" w:eastAsia="仿宋"/>
          <w:lang w:eastAsia="zh-CN"/>
        </w:rPr>
      </w:pPr>
      <w:r>
        <w:rPr>
          <w:rFonts w:hint="eastAsia" w:ascii="仿宋" w:hAnsi="仿宋" w:eastAsia="仿宋" w:cs="仿宋"/>
          <w:lang w:eastAsia="zh-CN"/>
        </w:rPr>
        <w:t>发包人收到承包人按照第64</w:t>
      </w:r>
      <w:r>
        <w:rPr>
          <w:rFonts w:ascii="仿宋" w:hAnsi="仿宋" w:eastAsia="仿宋" w:cs="仿宋"/>
          <w:lang w:eastAsia="zh-CN"/>
        </w:rPr>
        <w:t>.2</w:t>
      </w:r>
      <w:r>
        <w:rPr>
          <w:rFonts w:hint="eastAsia" w:ascii="仿宋" w:hAnsi="仿宋" w:eastAsia="仿宋" w:cs="仿宋"/>
          <w:lang w:eastAsia="zh-CN"/>
        </w:rPr>
        <w:t>款约定提交的竣工验收申请报告后，应及时通知监理人核查合同工程是否具备竣工验收条件。</w:t>
      </w:r>
    </w:p>
    <w:p w14:paraId="5D348EC6">
      <w:pPr>
        <w:widowControl w:val="0"/>
        <w:numPr>
          <w:ilvl w:val="0"/>
          <w:numId w:val="25"/>
        </w:numPr>
        <w:spacing w:line="400" w:lineRule="exact"/>
        <w:ind w:left="1850" w:leftChars="771" w:firstLine="0"/>
        <w:jc w:val="both"/>
        <w:rPr>
          <w:rFonts w:ascii="仿宋" w:hAnsi="仿宋" w:eastAsia="仿宋"/>
          <w:lang w:eastAsia="zh-CN"/>
        </w:rPr>
      </w:pPr>
      <w:r>
        <w:rPr>
          <w:rFonts w:hint="eastAsia" w:ascii="仿宋" w:hAnsi="仿宋" w:eastAsia="仿宋" w:cs="仿宋"/>
          <w:lang w:eastAsia="zh-CN"/>
        </w:rPr>
        <w:t>经核查未具备竣工验收条件的，监理人应在收到竣工验收申请报告后的</w:t>
      </w:r>
      <w:r>
        <w:rPr>
          <w:rFonts w:ascii="仿宋" w:hAnsi="仿宋" w:eastAsia="仿宋" w:cs="仿宋"/>
          <w:lang w:eastAsia="zh-CN"/>
        </w:rPr>
        <w:t>14</w:t>
      </w:r>
      <w:r>
        <w:rPr>
          <w:rFonts w:hint="eastAsia" w:ascii="仿宋" w:hAnsi="仿宋" w:eastAsia="仿宋" w:cs="仿宋"/>
          <w:lang w:eastAsia="zh-CN"/>
        </w:rPr>
        <w:t>天内通知承包人，指出在颁发接收证书前承包人应进一步完成的工作内容。承包人对监理人提出的有关工程质量和工程数量方面的问题，应在接到监理人通知后的14天内完成整改。承包人完成监理人通知的全部工作内容后，应再次提交竣工验收申请报告，直至监理人同意为止。</w:t>
      </w:r>
    </w:p>
    <w:p w14:paraId="158C4841">
      <w:pPr>
        <w:widowControl w:val="0"/>
        <w:numPr>
          <w:ilvl w:val="0"/>
          <w:numId w:val="25"/>
        </w:numPr>
        <w:spacing w:line="400" w:lineRule="exact"/>
        <w:ind w:left="1850" w:leftChars="771" w:firstLine="0"/>
        <w:jc w:val="both"/>
        <w:rPr>
          <w:rFonts w:ascii="仿宋" w:hAnsi="仿宋" w:eastAsia="仿宋"/>
          <w:lang w:eastAsia="zh-CN"/>
        </w:rPr>
      </w:pPr>
      <w:r>
        <w:rPr>
          <w:rFonts w:hint="eastAsia" w:ascii="仿宋" w:hAnsi="仿宋" w:eastAsia="仿宋" w:cs="仿宋"/>
          <w:lang w:eastAsia="zh-CN"/>
        </w:rPr>
        <w:t>经核查已具备竣工验收条件的，监理人应在收到竣工验收申请报告后的</w:t>
      </w:r>
      <w:r>
        <w:rPr>
          <w:rFonts w:ascii="仿宋" w:hAnsi="仿宋" w:eastAsia="仿宋" w:cs="仿宋"/>
          <w:lang w:eastAsia="zh-CN"/>
        </w:rPr>
        <w:t>14</w:t>
      </w:r>
      <w:r>
        <w:rPr>
          <w:rFonts w:hint="eastAsia" w:ascii="仿宋" w:hAnsi="仿宋" w:eastAsia="仿宋" w:cs="仿宋"/>
          <w:lang w:eastAsia="zh-CN"/>
        </w:rPr>
        <w:t>天内书面提请发包人组织合同工程验收。</w:t>
      </w:r>
    </w:p>
    <w:p w14:paraId="0A9061D4">
      <w:pPr>
        <w:spacing w:line="400" w:lineRule="exact"/>
        <w:rPr>
          <w:rFonts w:ascii="仿宋" w:hAnsi="仿宋" w:eastAsia="仿宋"/>
          <w:b/>
          <w:bCs/>
          <w:lang w:eastAsia="zh-CN"/>
        </w:rPr>
      </w:pPr>
      <w:bookmarkStart w:id="523" w:name="_Toc5023"/>
      <w:r>
        <mc:AlternateContent>
          <mc:Choice Requires="wps">
            <w:drawing>
              <wp:anchor distT="0" distB="0" distL="114300" distR="114300" simplePos="0" relativeHeight="252047360" behindDoc="0" locked="0" layoutInCell="1" allowOverlap="1">
                <wp:simplePos x="0" y="0"/>
                <wp:positionH relativeFrom="column">
                  <wp:posOffset>-114300</wp:posOffset>
                </wp:positionH>
                <wp:positionV relativeFrom="paragraph">
                  <wp:posOffset>340360</wp:posOffset>
                </wp:positionV>
                <wp:extent cx="796925" cy="646430"/>
                <wp:effectExtent l="0" t="0" r="0" b="0"/>
                <wp:wrapNone/>
                <wp:docPr id="286" name="文本框 934"/>
                <wp:cNvGraphicFramePr/>
                <a:graphic xmlns:a="http://schemas.openxmlformats.org/drawingml/2006/main">
                  <a:graphicData uri="http://schemas.microsoft.com/office/word/2010/wordprocessingShape">
                    <wps:wsp>
                      <wps:cNvSpPr txBox="1"/>
                      <wps:spPr>
                        <a:xfrm>
                          <a:off x="0" y="0"/>
                          <a:ext cx="796925" cy="646430"/>
                        </a:xfrm>
                        <a:prstGeom prst="rect">
                          <a:avLst/>
                        </a:prstGeom>
                        <a:noFill/>
                        <a:ln w="12700">
                          <a:noFill/>
                        </a:ln>
                      </wps:spPr>
                      <wps:txbx>
                        <w:txbxContent>
                          <w:p w14:paraId="210F818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txbxContent>
                      </wps:txbx>
                      <wps:bodyPr rot="0" vert="horz" wrap="square" lIns="91440" tIns="45720" rIns="91440" bIns="45720" anchor="t" anchorCtr="0"/>
                    </wps:wsp>
                  </a:graphicData>
                </a:graphic>
              </wp:anchor>
            </w:drawing>
          </mc:Choice>
          <mc:Fallback>
            <w:pict>
              <v:shape id="文本框 934" o:spid="_x0000_s1026" o:spt="202" type="#_x0000_t202" style="position:absolute;left:0pt;margin-left:-9pt;margin-top:26.8pt;height:50.9pt;width:62.75pt;z-index:252047360;mso-width-relative:page;mso-height-relative:page;" filled="f" stroked="f" coordsize="21600,21600" o:gfxdata="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yxqvD2QAAAAoBAAAPAAAAAAAAAAEAIAAAACIAAABkcnMvZG93bnJldi54bWxQSwECFAAUAAAA&#10;CACHTuJAKUwrEO0BAAC+AwAADgAAAAAAAAABACAAAAAoAQAAZHJzL2Uyb0RvYy54bWxQSwUGAAAA&#10;AAYABgBZAQAAhwUAAAAA&#10;">
                <v:fill on="f" focussize="0,0"/>
                <v:stroke on="f" weight="1pt"/>
                <v:imagedata o:title=""/>
                <o:lock v:ext="edit" aspectratio="f"/>
                <v:textbox>
                  <w:txbxContent>
                    <w:p w14:paraId="210F818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txbxContent>
                </v:textbox>
              </v:shape>
            </w:pict>
          </mc:Fallback>
        </mc:AlternateContent>
      </w:r>
      <w:r>
        <w:rPr>
          <w:rFonts w:hint="eastAsia" w:ascii="仿宋" w:hAnsi="仿宋" w:eastAsia="仿宋" w:cs="仿宋"/>
          <w:b/>
          <w:bCs/>
          <w:lang w:eastAsia="zh-CN"/>
        </w:rPr>
        <w:t>65</w:t>
      </w:r>
      <w:r>
        <w:rPr>
          <w:rFonts w:ascii="仿宋" w:hAnsi="仿宋" w:eastAsia="仿宋" w:cs="仿宋"/>
          <w:b/>
          <w:bCs/>
          <w:lang w:eastAsia="zh-CN"/>
        </w:rPr>
        <w:t>.3</w:t>
      </w:r>
      <w:bookmarkEnd w:id="523"/>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43FBAD16">
      <w:pPr>
        <w:widowControl w:val="0"/>
        <w:adjustRightInd w:val="0"/>
        <w:snapToGrid w:val="0"/>
        <w:spacing w:line="400" w:lineRule="exact"/>
        <w:ind w:left="1850" w:leftChars="771"/>
        <w:jc w:val="both"/>
        <w:rPr>
          <w:rFonts w:ascii="仿宋" w:hAnsi="仿宋" w:eastAsia="仿宋"/>
          <w:lang w:eastAsia="zh-CN"/>
        </w:rPr>
      </w:pPr>
      <w:r>
        <w:rPr>
          <w:rFonts w:hint="eastAsia" w:ascii="仿宋" w:hAnsi="仿宋" w:eastAsia="仿宋" w:cs="仿宋"/>
          <w:lang w:eastAsia="zh-CN"/>
        </w:rPr>
        <w:t>经监理人按照第65</w:t>
      </w:r>
      <w:r>
        <w:rPr>
          <w:rFonts w:ascii="仿宋" w:hAnsi="仿宋" w:eastAsia="仿宋" w:cs="仿宋"/>
          <w:lang w:eastAsia="zh-CN"/>
        </w:rPr>
        <w:t>.2</w:t>
      </w:r>
      <w:r>
        <w:rPr>
          <w:rFonts w:hint="eastAsia" w:ascii="仿宋" w:hAnsi="仿宋" w:eastAsia="仿宋" w:cs="仿宋"/>
          <w:lang w:eastAsia="zh-CN"/>
        </w:rPr>
        <w:t>款约定核查合同工程已具备竣工验收条件的，发包人应在收到监理人书面提请后的</w:t>
      </w:r>
      <w:r>
        <w:rPr>
          <w:rFonts w:ascii="仿宋" w:hAnsi="仿宋" w:eastAsia="仿宋" w:cs="仿宋"/>
          <w:lang w:eastAsia="zh-CN"/>
        </w:rPr>
        <w:t>28</w:t>
      </w:r>
      <w:r>
        <w:rPr>
          <w:rFonts w:hint="eastAsia" w:ascii="仿宋" w:hAnsi="仿宋" w:eastAsia="仿宋" w:cs="仿宋"/>
          <w:lang w:eastAsia="zh-CN"/>
        </w:rPr>
        <w:t>天内，根据合同约定的竣工验收标准和施工设计图纸等文件，按照第22</w:t>
      </w:r>
      <w:r>
        <w:rPr>
          <w:rFonts w:ascii="仿宋" w:hAnsi="仿宋" w:eastAsia="仿宋" w:cs="仿宋"/>
          <w:lang w:eastAsia="zh-CN"/>
        </w:rPr>
        <w:t>.5</w:t>
      </w:r>
      <w:r>
        <w:rPr>
          <w:rFonts w:hint="eastAsia" w:ascii="仿宋" w:hAnsi="仿宋" w:eastAsia="仿宋" w:cs="仿宋"/>
          <w:lang w:eastAsia="zh-CN"/>
        </w:rPr>
        <w:t>款约定组织验收各方完成合同工程验收，并在竣工验收后</w:t>
      </w:r>
      <w:r>
        <w:rPr>
          <w:rFonts w:ascii="仿宋" w:hAnsi="仿宋" w:eastAsia="仿宋" w:cs="仿宋"/>
          <w:lang w:eastAsia="zh-CN"/>
        </w:rPr>
        <w:t>14</w:t>
      </w:r>
      <w:r>
        <w:rPr>
          <w:rFonts w:hint="eastAsia" w:ascii="仿宋" w:hAnsi="仿宋" w:eastAsia="仿宋" w:cs="仿宋"/>
          <w:lang w:eastAsia="zh-CN"/>
        </w:rPr>
        <w:t>天内予以确认或提出修改意见。</w:t>
      </w:r>
    </w:p>
    <w:p w14:paraId="53D44FDC">
      <w:pPr>
        <w:widowControl w:val="0"/>
        <w:adjustRightInd w:val="0"/>
        <w:snapToGrid w:val="0"/>
        <w:spacing w:line="400" w:lineRule="exact"/>
        <w:ind w:left="1850" w:leftChars="771"/>
        <w:jc w:val="both"/>
        <w:rPr>
          <w:rFonts w:ascii="仿宋" w:hAnsi="仿宋" w:eastAsia="仿宋"/>
          <w:lang w:eastAsia="zh-CN"/>
        </w:rPr>
      </w:pPr>
      <w:r>
        <w:rPr>
          <w:rFonts w:hint="eastAsia" w:ascii="仿宋" w:hAnsi="仿宋" w:eastAsia="仿宋" w:cs="仿宋"/>
          <w:lang w:eastAsia="zh-CN"/>
        </w:rPr>
        <w:t>竣工验收完成后，承包人应及时向发包人提交竣工验收记录。竣工验收合格的，发包人及参加验收各方应及时在竣工验收记录上签字，并由监理人会同参加验收各方形成合同工程竣工验收报告。</w:t>
      </w:r>
    </w:p>
    <w:p w14:paraId="1DAE6DA8">
      <w:pPr>
        <w:spacing w:line="400" w:lineRule="exact"/>
        <w:rPr>
          <w:rFonts w:ascii="仿宋" w:hAnsi="仿宋" w:eastAsia="仿宋"/>
          <w:lang w:eastAsia="zh-CN"/>
        </w:rPr>
      </w:pPr>
      <w:bookmarkStart w:id="524" w:name="_Toc32546"/>
      <w:r>
        <w:rPr>
          <w:rFonts w:hint="eastAsia" w:ascii="仿宋" w:hAnsi="仿宋" w:eastAsia="仿宋" w:cs="仿宋"/>
          <w:b/>
          <w:bCs/>
          <w:lang w:eastAsia="zh-CN"/>
        </w:rPr>
        <w:t>65</w:t>
      </w:r>
      <w:r>
        <w:rPr>
          <w:rFonts w:ascii="仿宋" w:hAnsi="仿宋" w:eastAsia="仿宋" w:cs="仿宋"/>
          <w:b/>
          <w:bCs/>
          <w:lang w:eastAsia="zh-CN"/>
        </w:rPr>
        <w:t>.4</w:t>
      </w:r>
      <w:bookmarkEnd w:id="524"/>
      <w:r>
        <w:rPr>
          <w:rFonts w:ascii="仿宋" w:hAnsi="仿宋" w:eastAsia="仿宋" w:cs="仿宋"/>
          <w:lang w:eastAsia="zh-CN"/>
        </w:rPr>
        <w:t xml:space="preserve">  </w:t>
      </w:r>
      <w:r>
        <w:rPr>
          <w:rFonts w:ascii="仿宋" w:hAnsi="仿宋" w:eastAsia="仿宋" w:cs="仿宋"/>
          <w:u w:val="dotted"/>
          <w:lang w:eastAsia="zh-CN"/>
        </w:rPr>
        <w:t xml:space="preserve">                                                                               </w:t>
      </w:r>
    </w:p>
    <w:p w14:paraId="31CC9D00">
      <w:pPr>
        <w:adjustRightInd w:val="0"/>
        <w:snapToGrid w:val="0"/>
        <w:spacing w:line="400" w:lineRule="exact"/>
        <w:ind w:left="1850" w:leftChars="771"/>
        <w:rPr>
          <w:rFonts w:ascii="仿宋" w:hAnsi="仿宋" w:eastAsia="仿宋"/>
          <w:lang w:eastAsia="zh-CN"/>
        </w:rPr>
      </w:pPr>
      <w:r>
        <mc:AlternateContent>
          <mc:Choice Requires="wps">
            <w:drawing>
              <wp:anchor distT="0" distB="0" distL="114300" distR="114300" simplePos="0" relativeHeight="251845632" behindDoc="0" locked="0" layoutInCell="1" allowOverlap="1">
                <wp:simplePos x="0" y="0"/>
                <wp:positionH relativeFrom="column">
                  <wp:posOffset>-114300</wp:posOffset>
                </wp:positionH>
                <wp:positionV relativeFrom="paragraph">
                  <wp:posOffset>19685</wp:posOffset>
                </wp:positionV>
                <wp:extent cx="844550" cy="549910"/>
                <wp:effectExtent l="0" t="0" r="0" b="0"/>
                <wp:wrapNone/>
                <wp:docPr id="287" name="文本框 935"/>
                <wp:cNvGraphicFramePr/>
                <a:graphic xmlns:a="http://schemas.openxmlformats.org/drawingml/2006/main">
                  <a:graphicData uri="http://schemas.microsoft.com/office/word/2010/wordprocessingShape">
                    <wps:wsp>
                      <wps:cNvSpPr txBox="1"/>
                      <wps:spPr>
                        <a:xfrm>
                          <a:off x="0" y="0"/>
                          <a:ext cx="844550" cy="549910"/>
                        </a:xfrm>
                        <a:prstGeom prst="rect">
                          <a:avLst/>
                        </a:prstGeom>
                        <a:noFill/>
                        <a:ln w="12700">
                          <a:noFill/>
                        </a:ln>
                      </wps:spPr>
                      <wps:txbx>
                        <w:txbxContent>
                          <w:p w14:paraId="518F470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txbxContent>
                      </wps:txbx>
                      <wps:bodyPr rot="0" vert="horz" wrap="square" lIns="91440" tIns="45720" rIns="91440" bIns="45720" anchor="t" anchorCtr="0"/>
                    </wps:wsp>
                  </a:graphicData>
                </a:graphic>
              </wp:anchor>
            </w:drawing>
          </mc:Choice>
          <mc:Fallback>
            <w:pict>
              <v:shape id="文本框 935" o:spid="_x0000_s1026" o:spt="202" type="#_x0000_t202" style="position:absolute;left:0pt;margin-left:-9pt;margin-top:1.55pt;height:43.3pt;width:66.5pt;z-index:251845632;mso-width-relative:page;mso-height-relative:page;" filled="f" stroked="f" coordsize="21600,21600" o:gfxdata="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lV&#10;9NYAAAAIAQAADwAAAAAAAAABACAAAAAiAAAAZHJzL2Rvd25yZXYueG1sUEsBAhQAFAAAAAgAh07i&#10;QOhfCVnrAQAAvgMAAA4AAAAAAAAAAQAgAAAAJQEAAGRycy9lMm9Eb2MueG1sUEsFBgAAAAAGAAYA&#10;WQEAAIIFAAAAAA==&#10;">
                <v:fill on="f" focussize="0,0"/>
                <v:stroke on="f" weight="1pt"/>
                <v:imagedata o:title=""/>
                <o:lock v:ext="edit" aspectratio="f"/>
                <v:textbox>
                  <w:txbxContent>
                    <w:p w14:paraId="518F470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txbxContent>
                </v:textbox>
              </v:shape>
            </w:pict>
          </mc:Fallback>
        </mc:AlternateContent>
      </w:r>
      <w:r>
        <w:rPr>
          <w:rFonts w:hint="eastAsia" w:ascii="仿宋" w:hAnsi="仿宋" w:eastAsia="仿宋" w:cs="仿宋"/>
          <w:lang w:eastAsia="zh-CN"/>
        </w:rPr>
        <w:t>发包人未按照第65</w:t>
      </w:r>
      <w:r>
        <w:rPr>
          <w:rFonts w:ascii="仿宋" w:hAnsi="仿宋" w:eastAsia="仿宋" w:cs="仿宋"/>
          <w:lang w:eastAsia="zh-CN"/>
        </w:rPr>
        <w:t>.3</w:t>
      </w:r>
      <w:r>
        <w:rPr>
          <w:rFonts w:hint="eastAsia" w:ascii="仿宋" w:hAnsi="仿宋" w:eastAsia="仿宋" w:cs="仿宋"/>
          <w:lang w:eastAsia="zh-CN"/>
        </w:rPr>
        <w:t>款约定完成合同工程验收，或验收后</w:t>
      </w:r>
      <w:r>
        <w:rPr>
          <w:rFonts w:ascii="仿宋" w:hAnsi="仿宋" w:eastAsia="仿宋" w:cs="仿宋"/>
          <w:lang w:eastAsia="zh-CN"/>
        </w:rPr>
        <w:t>14</w:t>
      </w:r>
      <w:r>
        <w:rPr>
          <w:rFonts w:hint="eastAsia" w:ascii="仿宋" w:hAnsi="仿宋" w:eastAsia="仿宋" w:cs="仿宋"/>
          <w:lang w:eastAsia="zh-CN"/>
        </w:rPr>
        <w:t>天内未予确认也未提出修改意见，视为承包人提交的竣工验收申请报告已被认可。</w:t>
      </w:r>
    </w:p>
    <w:p w14:paraId="7AEBE4CA">
      <w:pPr>
        <w:adjustRightInd w:val="0"/>
        <w:snapToGrid w:val="0"/>
        <w:spacing w:line="400" w:lineRule="exact"/>
        <w:ind w:left="1850" w:leftChars="771"/>
        <w:rPr>
          <w:rFonts w:ascii="仿宋" w:hAnsi="仿宋" w:eastAsia="仿宋"/>
          <w:lang w:eastAsia="zh-CN"/>
        </w:rPr>
      </w:pPr>
      <w:r>
        <w:rPr>
          <w:rFonts w:hint="eastAsia" w:ascii="仿宋" w:hAnsi="仿宋" w:eastAsia="仿宋" w:cs="仿宋"/>
          <w:lang w:eastAsia="zh-CN"/>
        </w:rPr>
        <w:t>竣工验收申请报告被认可，则表明已完成合同工程，视为竣工验收合格，但由于不可抗力事项致使发包人不能完成验收的除外。</w:t>
      </w:r>
    </w:p>
    <w:p w14:paraId="783B4764">
      <w:pPr>
        <w:spacing w:line="400" w:lineRule="exact"/>
        <w:rPr>
          <w:rFonts w:ascii="仿宋" w:hAnsi="仿宋" w:eastAsia="仿宋"/>
          <w:b/>
          <w:bCs/>
          <w:lang w:eastAsia="zh-CN"/>
        </w:rPr>
      </w:pPr>
      <w:bookmarkStart w:id="525" w:name="_Toc18131"/>
      <w:r>
        <w:rPr>
          <w:rFonts w:hint="eastAsia" w:ascii="仿宋" w:hAnsi="仿宋" w:eastAsia="仿宋" w:cs="仿宋"/>
          <w:b/>
          <w:bCs/>
          <w:lang w:eastAsia="zh-CN"/>
        </w:rPr>
        <w:t>65</w:t>
      </w:r>
      <w:r>
        <w:rPr>
          <w:rFonts w:ascii="仿宋" w:hAnsi="仿宋" w:eastAsia="仿宋" w:cs="仿宋"/>
          <w:b/>
          <w:bCs/>
          <w:lang w:eastAsia="zh-CN"/>
        </w:rPr>
        <w:t>.5</w:t>
      </w:r>
      <w:bookmarkEnd w:id="525"/>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2EF9BABA">
      <w:pPr>
        <w:widowControl w:val="0"/>
        <w:adjustRightInd w:val="0"/>
        <w:snapToGrid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846656" behindDoc="0" locked="0" layoutInCell="1" allowOverlap="1">
                <wp:simplePos x="0" y="0"/>
                <wp:positionH relativeFrom="column">
                  <wp:posOffset>-114300</wp:posOffset>
                </wp:positionH>
                <wp:positionV relativeFrom="paragraph">
                  <wp:posOffset>19685</wp:posOffset>
                </wp:positionV>
                <wp:extent cx="842645" cy="487680"/>
                <wp:effectExtent l="0" t="0" r="0" b="0"/>
                <wp:wrapNone/>
                <wp:docPr id="288" name="文本框 936"/>
                <wp:cNvGraphicFramePr/>
                <a:graphic xmlns:a="http://schemas.openxmlformats.org/drawingml/2006/main">
                  <a:graphicData uri="http://schemas.microsoft.com/office/word/2010/wordprocessingShape">
                    <wps:wsp>
                      <wps:cNvSpPr txBox="1"/>
                      <wps:spPr>
                        <a:xfrm>
                          <a:off x="0" y="0"/>
                          <a:ext cx="842645" cy="487680"/>
                        </a:xfrm>
                        <a:prstGeom prst="rect">
                          <a:avLst/>
                        </a:prstGeom>
                        <a:noFill/>
                        <a:ln w="12700">
                          <a:noFill/>
                        </a:ln>
                      </wps:spPr>
                      <wps:txbx>
                        <w:txbxContent>
                          <w:p w14:paraId="3492E44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txbxContent>
                      </wps:txbx>
                      <wps:bodyPr rot="0" vert="horz" wrap="square" lIns="91440" tIns="45720" rIns="91440" bIns="45720" anchor="t" anchorCtr="0"/>
                    </wps:wsp>
                  </a:graphicData>
                </a:graphic>
              </wp:anchor>
            </w:drawing>
          </mc:Choice>
          <mc:Fallback>
            <w:pict>
              <v:shape id="文本框 936" o:spid="_x0000_s1026" o:spt="202" type="#_x0000_t202" style="position:absolute;left:0pt;margin-left:-9pt;margin-top:1.55pt;height:38.4pt;width:66.35pt;z-index:251846656;mso-width-relative:page;mso-height-relative:page;" filled="f" stroked="f" coordsize="21600,21600" o:gfxdata="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Y&#10;213/1wAAAAgBAAAPAAAAAAAAAAEAIAAAACIAAABkcnMvZG93bnJldi54bWxQSwECFAAUAAAACACH&#10;TuJADihIGewBAAC+AwAADgAAAAAAAAABACAAAAAmAQAAZHJzL2Uyb0RvYy54bWxQSwUGAAAAAAYA&#10;BgBZAQAAhAUAAAAA&#10;">
                <v:fill on="f" focussize="0,0"/>
                <v:stroke on="f" weight="1pt"/>
                <v:imagedata o:title=""/>
                <o:lock v:ext="edit" aspectratio="f"/>
                <v:textbox>
                  <w:txbxContent>
                    <w:p w14:paraId="3492E44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txbxContent>
                </v:textbox>
              </v:shape>
            </w:pict>
          </mc:Fallback>
        </mc:AlternateContent>
      </w:r>
      <w:r>
        <w:rPr>
          <w:rFonts w:hint="eastAsia" w:ascii="仿宋" w:hAnsi="仿宋" w:eastAsia="仿宋" w:cs="仿宋"/>
          <w:lang w:eastAsia="zh-CN"/>
        </w:rPr>
        <w:t>发包人未按照第65</w:t>
      </w:r>
      <w:r>
        <w:rPr>
          <w:rFonts w:ascii="仿宋" w:hAnsi="仿宋" w:eastAsia="仿宋" w:cs="仿宋"/>
          <w:lang w:eastAsia="zh-CN"/>
        </w:rPr>
        <w:t>.3</w:t>
      </w:r>
      <w:r>
        <w:rPr>
          <w:rFonts w:hint="eastAsia" w:ascii="仿宋" w:hAnsi="仿宋" w:eastAsia="仿宋" w:cs="仿宋"/>
          <w:lang w:eastAsia="zh-CN"/>
        </w:rPr>
        <w:t>款约定完成合同工程验收，从收到监理人书面提请组织</w:t>
      </w:r>
      <w:r>
        <w:rPr>
          <w:rFonts w:ascii="仿宋" w:hAnsi="仿宋" w:eastAsia="仿宋" w:cs="仿宋"/>
          <w:lang w:eastAsia="zh-CN"/>
        </w:rPr>
        <w:t>合同工程验收</w:t>
      </w:r>
      <w:r>
        <w:rPr>
          <w:rFonts w:hint="eastAsia" w:ascii="仿宋" w:hAnsi="仿宋" w:eastAsia="仿宋" w:cs="仿宋"/>
          <w:lang w:eastAsia="zh-CN"/>
        </w:rPr>
        <w:t>后的第</w:t>
      </w:r>
      <w:r>
        <w:rPr>
          <w:rFonts w:ascii="仿宋" w:hAnsi="仿宋" w:eastAsia="仿宋" w:cs="仿宋"/>
          <w:lang w:eastAsia="zh-CN"/>
        </w:rPr>
        <w:t>29</w:t>
      </w:r>
      <w:r>
        <w:rPr>
          <w:rFonts w:hint="eastAsia" w:ascii="仿宋" w:hAnsi="仿宋" w:eastAsia="仿宋" w:cs="仿宋"/>
          <w:lang w:eastAsia="zh-CN"/>
        </w:rPr>
        <w:t>天起承担合同工程照管责任和其他一切意外责任。</w:t>
      </w:r>
    </w:p>
    <w:p w14:paraId="0CF97446">
      <w:pPr>
        <w:spacing w:line="400" w:lineRule="exact"/>
        <w:rPr>
          <w:rFonts w:ascii="仿宋" w:hAnsi="仿宋" w:eastAsia="仿宋"/>
          <w:lang w:eastAsia="zh-CN"/>
        </w:rPr>
      </w:pPr>
      <w:bookmarkStart w:id="526" w:name="_Toc11911"/>
      <w:r>
        <w:rPr>
          <w:rFonts w:hint="eastAsia" w:ascii="仿宋" w:hAnsi="仿宋" w:eastAsia="仿宋" w:cs="仿宋"/>
          <w:b/>
          <w:bCs/>
          <w:lang w:eastAsia="zh-CN"/>
        </w:rPr>
        <w:t>65</w:t>
      </w:r>
      <w:r>
        <w:rPr>
          <w:rFonts w:ascii="仿宋" w:hAnsi="仿宋" w:eastAsia="仿宋" w:cs="仿宋"/>
          <w:b/>
          <w:bCs/>
          <w:lang w:eastAsia="zh-CN"/>
        </w:rPr>
        <w:t>.6</w:t>
      </w:r>
      <w:bookmarkEnd w:id="526"/>
      <w:r>
        <w:rPr>
          <w:rFonts w:ascii="仿宋" w:hAnsi="仿宋" w:eastAsia="仿宋" w:cs="仿宋"/>
          <w:lang w:eastAsia="zh-CN"/>
        </w:rPr>
        <w:t xml:space="preserve"> </w:t>
      </w:r>
      <w:r>
        <w:rPr>
          <w:rFonts w:ascii="仿宋" w:hAnsi="仿宋" w:eastAsia="仿宋" w:cs="仿宋"/>
          <w:u w:val="dotted"/>
          <w:lang w:eastAsia="zh-CN"/>
        </w:rPr>
        <w:t xml:space="preserve">                                                                                </w:t>
      </w:r>
    </w:p>
    <w:p w14:paraId="2A948E06">
      <w:pPr>
        <w:widowControl w:val="0"/>
        <w:spacing w:line="400" w:lineRule="exact"/>
        <w:ind w:left="1851" w:leftChars="771" w:hanging="1"/>
        <w:jc w:val="both"/>
        <w:rPr>
          <w:rFonts w:ascii="仿宋" w:hAnsi="仿宋" w:eastAsia="仿宋"/>
          <w:lang w:eastAsia="zh-CN"/>
        </w:rPr>
      </w:pPr>
      <w:r>
        <w:rPr>
          <w:rFonts w:hint="eastAsia" w:ascii="仿宋" w:hAnsi="仿宋" w:eastAsia="仿宋" w:cs="仿宋"/>
          <w:lang w:eastAsia="zh-CN"/>
        </w:rPr>
        <w:t>竣工</w:t>
      </w:r>
      <w:r>
        <mc:AlternateContent>
          <mc:Choice Requires="wps">
            <w:drawing>
              <wp:anchor distT="0" distB="0" distL="114300" distR="114300" simplePos="0" relativeHeight="251847680" behindDoc="0" locked="0" layoutInCell="1" allowOverlap="1">
                <wp:simplePos x="0" y="0"/>
                <wp:positionH relativeFrom="column">
                  <wp:posOffset>-114300</wp:posOffset>
                </wp:positionH>
                <wp:positionV relativeFrom="paragraph">
                  <wp:posOffset>4445</wp:posOffset>
                </wp:positionV>
                <wp:extent cx="699770" cy="410210"/>
                <wp:effectExtent l="0" t="0" r="0" b="0"/>
                <wp:wrapNone/>
                <wp:docPr id="289" name="文本框 937"/>
                <wp:cNvGraphicFramePr/>
                <a:graphic xmlns:a="http://schemas.openxmlformats.org/drawingml/2006/main">
                  <a:graphicData uri="http://schemas.microsoft.com/office/word/2010/wordprocessingShape">
                    <wps:wsp>
                      <wps:cNvSpPr txBox="1"/>
                      <wps:spPr>
                        <a:xfrm>
                          <a:off x="0" y="0"/>
                          <a:ext cx="699770" cy="410210"/>
                        </a:xfrm>
                        <a:prstGeom prst="rect">
                          <a:avLst/>
                        </a:prstGeom>
                        <a:noFill/>
                        <a:ln w="12700">
                          <a:noFill/>
                        </a:ln>
                      </wps:spPr>
                      <wps:txbx>
                        <w:txbxContent>
                          <w:p w14:paraId="105BF62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txbxContent>
                      </wps:txbx>
                      <wps:bodyPr rot="0" vert="horz" wrap="square" lIns="91440" tIns="45720" rIns="91440" bIns="45720" anchor="t" anchorCtr="0"/>
                    </wps:wsp>
                  </a:graphicData>
                </a:graphic>
              </wp:anchor>
            </w:drawing>
          </mc:Choice>
          <mc:Fallback>
            <w:pict>
              <v:shape id="文本框 937" o:spid="_x0000_s1026" o:spt="202" type="#_x0000_t202" style="position:absolute;left:0pt;margin-left:-9pt;margin-top:0.35pt;height:32.3pt;width:55.1pt;z-index:251847680;mso-width-relative:page;mso-height-relative:page;" filled="f" stroked="f" coordsize="21600,21600" o:gfxdata="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DsVY&#10;CtYAAAAGAQAADwAAAAAAAAABACAAAAAiAAAAZHJzL2Rvd25yZXYueG1sUEsBAhQAFAAAAAgAh07i&#10;QFEHaW7rAQAAvgMAAA4AAAAAAAAAAQAgAAAAJQEAAGRycy9lMm9Eb2MueG1sUEsFBgAAAAAGAAYA&#10;WQEAAIIFAAAAAA==&#10;">
                <v:fill on="f" focussize="0,0"/>
                <v:stroke on="f" weight="1pt"/>
                <v:imagedata o:title=""/>
                <o:lock v:ext="edit" aspectratio="f"/>
                <v:textbox>
                  <w:txbxContent>
                    <w:p w14:paraId="105BF62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txbxContent>
                </v:textbox>
              </v:shape>
            </w:pict>
          </mc:Fallback>
        </mc:AlternateContent>
      </w:r>
      <w:r>
        <w:rPr>
          <w:rFonts w:hint="eastAsia" w:ascii="仿宋" w:hAnsi="仿宋" w:eastAsia="仿宋" w:cs="仿宋"/>
          <w:lang w:eastAsia="zh-CN"/>
        </w:rPr>
        <w:t>验收合格的，发包人应接收工程，并在收到承包人提交的竣工验收申请报告后的</w:t>
      </w:r>
      <w:r>
        <w:rPr>
          <w:rFonts w:ascii="仿宋" w:hAnsi="仿宋" w:eastAsia="仿宋" w:cs="仿宋"/>
          <w:lang w:eastAsia="zh-CN"/>
        </w:rPr>
        <w:t>56</w:t>
      </w:r>
      <w:r>
        <w:rPr>
          <w:rFonts w:hint="eastAsia" w:ascii="仿宋" w:hAnsi="仿宋" w:eastAsia="仿宋" w:cs="仿宋"/>
          <w:lang w:eastAsia="zh-CN"/>
        </w:rPr>
        <w:t>天内向承包人颁发工程接收证书。</w:t>
      </w:r>
    </w:p>
    <w:p w14:paraId="53B01742">
      <w:pPr>
        <w:widowControl w:val="0"/>
        <w:spacing w:line="400" w:lineRule="exact"/>
        <w:ind w:left="1851" w:leftChars="771" w:hanging="1"/>
        <w:jc w:val="both"/>
        <w:rPr>
          <w:rFonts w:ascii="仿宋" w:hAnsi="仿宋" w:eastAsia="仿宋"/>
          <w:lang w:eastAsia="zh-CN"/>
        </w:rPr>
      </w:pPr>
      <w:r>
        <w:rPr>
          <w:rFonts w:hint="eastAsia" w:ascii="仿宋" w:hAnsi="仿宋" w:eastAsia="仿宋" w:cs="仿宋"/>
          <w:lang w:eastAsia="zh-CN"/>
        </w:rPr>
        <w:t>竣工验收后，发包人同意接收工程但提出限期整修和完善要求的，发包人应缓发工程接收证书。承包人整修和完善工作完成后，监理人核查达到要求的，发包人应向承包人颁发工程接收证书。</w:t>
      </w:r>
    </w:p>
    <w:p w14:paraId="7A14D645">
      <w:pPr>
        <w:widowControl w:val="0"/>
        <w:spacing w:line="400" w:lineRule="exact"/>
        <w:ind w:left="1850" w:leftChars="771" w:firstLine="1"/>
        <w:jc w:val="both"/>
        <w:rPr>
          <w:rFonts w:ascii="仿宋" w:hAnsi="仿宋" w:eastAsia="仿宋"/>
          <w:lang w:eastAsia="zh-CN"/>
        </w:rPr>
      </w:pPr>
      <w:r>
        <w:rPr>
          <w:rFonts w:hint="eastAsia" w:ascii="仿宋" w:hAnsi="仿宋" w:eastAsia="仿宋" w:cs="仿宋"/>
          <w:lang w:eastAsia="zh-CN"/>
        </w:rPr>
        <w:t>竣工验收后，发包人不同意接收工程的，发包人或监理人应按照竣工验收提出的修改意见发出指令，要求承包人对合同工程不合格部分返工重做或补救处理，并承担由此产生的费用。承包人在完成合同工程不合格部分的返工重做或补救处理后，应再次提交竣工验收申请报告。</w:t>
      </w:r>
    </w:p>
    <w:p w14:paraId="78415C38">
      <w:pPr>
        <w:spacing w:line="400" w:lineRule="exact"/>
        <w:rPr>
          <w:rFonts w:ascii="仿宋" w:hAnsi="仿宋" w:eastAsia="仿宋"/>
          <w:b/>
          <w:bCs/>
          <w:lang w:eastAsia="zh-CN"/>
        </w:rPr>
      </w:pPr>
      <w:bookmarkStart w:id="527" w:name="_Toc25288"/>
      <w:r>
        <w:rPr>
          <w:rFonts w:hint="eastAsia" w:ascii="仿宋" w:hAnsi="仿宋" w:eastAsia="仿宋" w:cs="仿宋"/>
          <w:b/>
          <w:bCs/>
          <w:lang w:eastAsia="zh-CN"/>
        </w:rPr>
        <w:t>65</w:t>
      </w:r>
      <w:r>
        <w:rPr>
          <w:rFonts w:ascii="仿宋" w:hAnsi="仿宋" w:eastAsia="仿宋" w:cs="仿宋"/>
          <w:b/>
          <w:bCs/>
          <w:lang w:eastAsia="zh-CN"/>
        </w:rPr>
        <w:t>.7</w:t>
      </w:r>
      <w:bookmarkEnd w:id="527"/>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58363F59">
      <w:pPr>
        <w:widowControl w:val="0"/>
        <w:adjustRightInd w:val="0"/>
        <w:snapToGrid w:val="0"/>
        <w:spacing w:line="400" w:lineRule="exact"/>
        <w:ind w:left="1850" w:leftChars="771"/>
        <w:rPr>
          <w:rFonts w:ascii="仿宋" w:hAnsi="仿宋" w:eastAsia="仿宋"/>
          <w:lang w:eastAsia="zh-CN"/>
        </w:rPr>
      </w:pPr>
      <w:r>
        <mc:AlternateContent>
          <mc:Choice Requires="wps">
            <w:drawing>
              <wp:anchor distT="0" distB="0" distL="114300" distR="114300" simplePos="0" relativeHeight="251848704" behindDoc="0" locked="0" layoutInCell="1" allowOverlap="1">
                <wp:simplePos x="0" y="0"/>
                <wp:positionH relativeFrom="column">
                  <wp:posOffset>-114300</wp:posOffset>
                </wp:positionH>
                <wp:positionV relativeFrom="paragraph">
                  <wp:posOffset>4445</wp:posOffset>
                </wp:positionV>
                <wp:extent cx="822960" cy="448945"/>
                <wp:effectExtent l="0" t="0" r="0" b="0"/>
                <wp:wrapNone/>
                <wp:docPr id="290" name="文本框 938"/>
                <wp:cNvGraphicFramePr/>
                <a:graphic xmlns:a="http://schemas.openxmlformats.org/drawingml/2006/main">
                  <a:graphicData uri="http://schemas.microsoft.com/office/word/2010/wordprocessingShape">
                    <wps:wsp>
                      <wps:cNvSpPr txBox="1"/>
                      <wps:spPr>
                        <a:xfrm>
                          <a:off x="0" y="0"/>
                          <a:ext cx="822960" cy="448945"/>
                        </a:xfrm>
                        <a:prstGeom prst="rect">
                          <a:avLst/>
                        </a:prstGeom>
                        <a:noFill/>
                        <a:ln w="12700">
                          <a:noFill/>
                        </a:ln>
                      </wps:spPr>
                      <wps:txbx>
                        <w:txbxContent>
                          <w:p w14:paraId="5D0AA51F">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txbxContent>
                      </wps:txbx>
                      <wps:bodyPr rot="0" vert="horz" wrap="square" lIns="91440" tIns="45720" rIns="91440" bIns="45720" anchor="t" anchorCtr="0"/>
                    </wps:wsp>
                  </a:graphicData>
                </a:graphic>
              </wp:anchor>
            </w:drawing>
          </mc:Choice>
          <mc:Fallback>
            <w:pict>
              <v:shape id="文本框 938" o:spid="_x0000_s1026" o:spt="202" type="#_x0000_t202" style="position:absolute;left:0pt;margin-left:-9pt;margin-top:0.35pt;height:35.35pt;width:64.8pt;z-index:251848704;mso-width-relative:page;mso-height-relative:page;" filled="f" stroked="f" coordsize="21600,21600" o:gfxdata="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aznZ7V&#10;AAAABwEAAA8AAAAAAAAAAQAgAAAAIgAAAGRycy9kb3ducmV2LnhtbFBLAQIUABQAAAAIAIdO4kCs&#10;O8Tz6gEAAL4DAAAOAAAAAAAAAAEAIAAAACQBAABkcnMvZTJvRG9jLnhtbFBLBQYAAAAABgAGAFkB&#10;AACABQAAAAA=&#10;">
                <v:fill on="f" focussize="0,0"/>
                <v:stroke on="f" weight="1pt"/>
                <v:imagedata o:title=""/>
                <o:lock v:ext="edit" aspectratio="f"/>
                <v:textbox>
                  <w:txbxContent>
                    <w:p w14:paraId="5D0AA51F">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txbxContent>
                </v:textbox>
              </v:shape>
            </w:pict>
          </mc:Fallback>
        </mc:AlternateContent>
      </w:r>
      <w:r>
        <w:rPr>
          <w:rFonts w:hint="eastAsia" w:ascii="仿宋" w:hAnsi="仿宋" w:eastAsia="仿宋" w:cs="仿宋"/>
          <w:lang w:eastAsia="zh-CN"/>
        </w:rPr>
        <w:t>竣工验收合格的合同工程，发包人应按照第45</w:t>
      </w:r>
      <w:r>
        <w:rPr>
          <w:rFonts w:ascii="仿宋" w:hAnsi="仿宋" w:eastAsia="仿宋" w:cs="仿宋"/>
          <w:lang w:eastAsia="zh-CN"/>
        </w:rPr>
        <w:t>.2</w:t>
      </w:r>
      <w:r>
        <w:rPr>
          <w:rFonts w:hint="eastAsia" w:ascii="仿宋" w:hAnsi="仿宋" w:eastAsia="仿宋" w:cs="仿宋"/>
          <w:lang w:eastAsia="zh-CN"/>
        </w:rPr>
        <w:t>款约定在工程接收证书上写明合同工程的实际竣工日期。</w:t>
      </w:r>
    </w:p>
    <w:p w14:paraId="2002A7BF">
      <w:pPr>
        <w:spacing w:line="400" w:lineRule="exact"/>
        <w:rPr>
          <w:rFonts w:ascii="仿宋" w:hAnsi="仿宋" w:eastAsia="仿宋"/>
          <w:b/>
          <w:bCs/>
          <w:lang w:eastAsia="zh-CN"/>
        </w:rPr>
      </w:pPr>
      <w:bookmarkStart w:id="528" w:name="_Toc19674"/>
      <w:r>
        <w:rPr>
          <w:rFonts w:hint="eastAsia" w:ascii="仿宋" w:hAnsi="仿宋" w:eastAsia="仿宋" w:cs="仿宋"/>
          <w:b/>
          <w:bCs/>
          <w:lang w:eastAsia="zh-CN"/>
        </w:rPr>
        <w:t>65</w:t>
      </w:r>
      <w:r>
        <w:rPr>
          <w:rFonts w:ascii="仿宋" w:hAnsi="仿宋" w:eastAsia="仿宋" w:cs="仿宋"/>
          <w:b/>
          <w:bCs/>
          <w:lang w:eastAsia="zh-CN"/>
        </w:rPr>
        <w:t>.8</w:t>
      </w:r>
      <w:bookmarkEnd w:id="528"/>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15A862A1">
      <w:pPr>
        <w:adjustRightInd w:val="0"/>
        <w:snapToGrid w:val="0"/>
        <w:spacing w:line="400" w:lineRule="exact"/>
        <w:ind w:left="1850" w:leftChars="771"/>
        <w:rPr>
          <w:rFonts w:ascii="仿宋" w:hAnsi="仿宋" w:eastAsia="仿宋"/>
          <w:lang w:eastAsia="zh-CN"/>
        </w:rPr>
      </w:pPr>
      <w:r>
        <mc:AlternateContent>
          <mc:Choice Requires="wps">
            <w:drawing>
              <wp:anchor distT="0" distB="0" distL="114300" distR="114300" simplePos="0" relativeHeight="251849728" behindDoc="0" locked="0" layoutInCell="1" allowOverlap="1">
                <wp:simplePos x="0" y="0"/>
                <wp:positionH relativeFrom="column">
                  <wp:posOffset>-114300</wp:posOffset>
                </wp:positionH>
                <wp:positionV relativeFrom="paragraph">
                  <wp:posOffset>4445</wp:posOffset>
                </wp:positionV>
                <wp:extent cx="775970" cy="826135"/>
                <wp:effectExtent l="0" t="0" r="0" b="0"/>
                <wp:wrapNone/>
                <wp:docPr id="291" name="文本框 939"/>
                <wp:cNvGraphicFramePr/>
                <a:graphic xmlns:a="http://schemas.openxmlformats.org/drawingml/2006/main">
                  <a:graphicData uri="http://schemas.microsoft.com/office/word/2010/wordprocessingShape">
                    <wps:wsp>
                      <wps:cNvSpPr txBox="1"/>
                      <wps:spPr>
                        <a:xfrm>
                          <a:off x="0" y="0"/>
                          <a:ext cx="775970" cy="826135"/>
                        </a:xfrm>
                        <a:prstGeom prst="rect">
                          <a:avLst/>
                        </a:prstGeom>
                        <a:noFill/>
                        <a:ln w="12700">
                          <a:noFill/>
                        </a:ln>
                      </wps:spPr>
                      <wps:txbx>
                        <w:txbxContent>
                          <w:p w14:paraId="6AF20A1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单项工程或工程部位验收</w:t>
                            </w:r>
                          </w:p>
                        </w:txbxContent>
                      </wps:txbx>
                      <wps:bodyPr rot="0" vert="horz" wrap="square" lIns="91440" tIns="45720" rIns="91440" bIns="45720" anchor="t" anchorCtr="0"/>
                    </wps:wsp>
                  </a:graphicData>
                </a:graphic>
              </wp:anchor>
            </w:drawing>
          </mc:Choice>
          <mc:Fallback>
            <w:pict>
              <v:shape id="文本框 939" o:spid="_x0000_s1026" o:spt="202" type="#_x0000_t202" style="position:absolute;left:0pt;margin-left:-9pt;margin-top:0.35pt;height:65.05pt;width:61.1pt;z-index:251849728;mso-width-relative:page;mso-height-relative:page;" filled="f" stroked="f" coordsize="21600,21600" o:gfxdata="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sywUu&#10;1gAAAAgBAAAPAAAAAAAAAAEAIAAAACIAAABkcnMvZG93bnJldi54bWxQSwECFAAUAAAACACHTuJA&#10;Vb9zaeoBAAC+AwAADgAAAAAAAAABACAAAAAlAQAAZHJzL2Uyb0RvYy54bWxQSwUGAAAAAAYABgBZ&#10;AQAAgQUAAAAA&#10;">
                <v:fill on="f" focussize="0,0"/>
                <v:stroke on="f" weight="1pt"/>
                <v:imagedata o:title=""/>
                <o:lock v:ext="edit" aspectratio="f"/>
                <v:textbox>
                  <w:txbxContent>
                    <w:p w14:paraId="6AF20A1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单项工程或工程部位验收</w:t>
                      </w:r>
                    </w:p>
                  </w:txbxContent>
                </v:textbox>
              </v:shape>
            </w:pict>
          </mc:Fallback>
        </mc:AlternateContent>
      </w:r>
      <w:r>
        <w:rPr>
          <w:rFonts w:hint="eastAsia" w:ascii="仿宋" w:hAnsi="仿宋" w:eastAsia="仿宋" w:cs="仿宋"/>
          <w:lang w:eastAsia="zh-CN"/>
        </w:rPr>
        <w:t>发包人要求某一单项工程或任一工程部位提前办理竣工验收的，应与承包人签订单项工程或工程部位竣工验收协议，作为本合同的附件。</w:t>
      </w:r>
    </w:p>
    <w:p w14:paraId="0356AE10">
      <w:pPr>
        <w:spacing w:line="400" w:lineRule="exact"/>
        <w:ind w:left="1850" w:leftChars="771"/>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1</w:t>
      </w:r>
      <w:r>
        <w:rPr>
          <w:rFonts w:hint="eastAsia" w:ascii="仿宋" w:hAnsi="仿宋" w:eastAsia="仿宋" w:cs="仿宋"/>
          <w:lang w:eastAsia="zh-CN"/>
        </w:rPr>
        <w:t>）发包人根据合同工程进度计划安排，在全部工程竣工前需要使用已经竣工的单项工程或工程部位时，或承包人提出经发包人同意时，可进行单项工程或工程部位验收。验收的程序可参照第64条和本条上述相关条款约定进行。验收合格后，发包人应向承包人颁发单项工程或工程部位接收证书，并负责照管。单项工程或工程部位的验收成果和结论，作为全部工程竣工验收申请报告的附件。</w:t>
      </w:r>
    </w:p>
    <w:p w14:paraId="1525FBF1">
      <w:pPr>
        <w:widowControl w:val="0"/>
        <w:spacing w:line="400" w:lineRule="exact"/>
        <w:ind w:left="1850" w:leftChars="771"/>
        <w:jc w:val="both"/>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2</w:t>
      </w:r>
      <w:r>
        <w:rPr>
          <w:rFonts w:hint="eastAsia" w:ascii="仿宋" w:hAnsi="仿宋" w:eastAsia="仿宋" w:cs="仿宋"/>
          <w:lang w:eastAsia="zh-CN"/>
        </w:rPr>
        <w:t>）发包人在全部工程竣工前，使用已接收的单项工程或工程部位导致承包人费用增加的，发包人应承担由此增加的费用和（或）延误的工期，并向承包人支付合理利润。</w:t>
      </w:r>
    </w:p>
    <w:p w14:paraId="02FC1D2B">
      <w:pPr>
        <w:spacing w:line="400" w:lineRule="exact"/>
        <w:rPr>
          <w:rFonts w:ascii="仿宋" w:hAnsi="仿宋" w:eastAsia="仿宋"/>
          <w:b/>
          <w:bCs/>
          <w:lang w:eastAsia="zh-CN"/>
        </w:rPr>
      </w:pPr>
      <w:bookmarkStart w:id="529" w:name="_Toc24398"/>
      <w:r>
        <w:rPr>
          <w:rFonts w:hint="eastAsia" w:ascii="仿宋" w:hAnsi="仿宋" w:eastAsia="仿宋" w:cs="仿宋"/>
          <w:b/>
          <w:bCs/>
          <w:lang w:eastAsia="zh-CN"/>
        </w:rPr>
        <w:t>65</w:t>
      </w:r>
      <w:r>
        <w:rPr>
          <w:rFonts w:ascii="仿宋" w:hAnsi="仿宋" w:eastAsia="仿宋" w:cs="仿宋"/>
          <w:b/>
          <w:bCs/>
          <w:lang w:eastAsia="zh-CN"/>
        </w:rPr>
        <w:t>.9</w:t>
      </w:r>
      <w:bookmarkEnd w:id="529"/>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582EA24B">
      <w:pPr>
        <w:widowControl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850752" behindDoc="0" locked="0" layoutInCell="1" allowOverlap="1">
                <wp:simplePos x="0" y="0"/>
                <wp:positionH relativeFrom="column">
                  <wp:posOffset>-114300</wp:posOffset>
                </wp:positionH>
                <wp:positionV relativeFrom="paragraph">
                  <wp:posOffset>3810</wp:posOffset>
                </wp:positionV>
                <wp:extent cx="775970" cy="428625"/>
                <wp:effectExtent l="0" t="0" r="0" b="0"/>
                <wp:wrapNone/>
                <wp:docPr id="292" name="文本框 940"/>
                <wp:cNvGraphicFramePr/>
                <a:graphic xmlns:a="http://schemas.openxmlformats.org/drawingml/2006/main">
                  <a:graphicData uri="http://schemas.microsoft.com/office/word/2010/wordprocessingShape">
                    <wps:wsp>
                      <wps:cNvSpPr txBox="1"/>
                      <wps:spPr>
                        <a:xfrm>
                          <a:off x="0" y="0"/>
                          <a:ext cx="775970" cy="428625"/>
                        </a:xfrm>
                        <a:prstGeom prst="rect">
                          <a:avLst/>
                        </a:prstGeom>
                        <a:noFill/>
                        <a:ln w="12700">
                          <a:noFill/>
                        </a:ln>
                      </wps:spPr>
                      <wps:txbx>
                        <w:txbxContent>
                          <w:p w14:paraId="74CDF8A8">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施工期</w:t>
                            </w:r>
                            <w:r>
                              <w:rPr>
                                <w:rFonts w:hint="eastAsia" w:ascii="楷体_GB2312" w:hAnsi="宋体" w:eastAsia="楷体_GB2312" w:cs="楷体_GB2312"/>
                                <w:b/>
                                <w:bCs/>
                                <w:color w:val="000000"/>
                                <w:sz w:val="18"/>
                                <w:szCs w:val="18"/>
                                <w:lang w:eastAsia="zh-CN"/>
                              </w:rPr>
                              <w:t>间</w:t>
                            </w:r>
                            <w:r>
                              <w:rPr>
                                <w:rFonts w:hint="eastAsia" w:ascii="楷体_GB2312" w:hAnsi="宋体" w:eastAsia="楷体_GB2312" w:cs="楷体_GB2312"/>
                                <w:b/>
                                <w:bCs/>
                                <w:color w:val="000000"/>
                                <w:sz w:val="18"/>
                                <w:szCs w:val="18"/>
                              </w:rPr>
                              <w:t>运行</w:t>
                            </w:r>
                          </w:p>
                        </w:txbxContent>
                      </wps:txbx>
                      <wps:bodyPr rot="0" vert="horz" wrap="square" lIns="91440" tIns="45720" rIns="91440" bIns="45720" anchor="t" anchorCtr="0"/>
                    </wps:wsp>
                  </a:graphicData>
                </a:graphic>
              </wp:anchor>
            </w:drawing>
          </mc:Choice>
          <mc:Fallback>
            <w:pict>
              <v:shape id="文本框 940" o:spid="_x0000_s1026" o:spt="202" type="#_x0000_t202" style="position:absolute;left:0pt;margin-left:-9pt;margin-top:0.3pt;height:33.75pt;width:61.1pt;z-index:251850752;mso-width-relative:page;mso-height-relative:page;" filled="f" stroked="f" coordsize="21600,21600" o:gfxdata="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LPyVX1QAA&#10;AAcBAAAPAAAAAAAAAAEAIAAAACIAAABkcnMvZG93bnJldi54bWxQSwECFAAUAAAACACHTuJAfboY&#10;OegBAAC+AwAADgAAAAAAAAABACAAAAAkAQAAZHJzL2Uyb0RvYy54bWxQSwUGAAAAAAYABgBZAQAA&#10;fgUAAAAA&#10;">
                <v:fill on="f" focussize="0,0"/>
                <v:stroke on="f" weight="1pt"/>
                <v:imagedata o:title=""/>
                <o:lock v:ext="edit" aspectratio="f"/>
                <v:textbox>
                  <w:txbxContent>
                    <w:p w14:paraId="74CDF8A8">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施工期</w:t>
                      </w:r>
                      <w:r>
                        <w:rPr>
                          <w:rFonts w:hint="eastAsia" w:ascii="楷体_GB2312" w:hAnsi="宋体" w:eastAsia="楷体_GB2312" w:cs="楷体_GB2312"/>
                          <w:b/>
                          <w:bCs/>
                          <w:color w:val="000000"/>
                          <w:sz w:val="18"/>
                          <w:szCs w:val="18"/>
                          <w:lang w:eastAsia="zh-CN"/>
                        </w:rPr>
                        <w:t>间</w:t>
                      </w:r>
                      <w:r>
                        <w:rPr>
                          <w:rFonts w:hint="eastAsia" w:ascii="楷体_GB2312" w:hAnsi="宋体" w:eastAsia="楷体_GB2312" w:cs="楷体_GB2312"/>
                          <w:b/>
                          <w:bCs/>
                          <w:color w:val="000000"/>
                          <w:sz w:val="18"/>
                          <w:szCs w:val="18"/>
                        </w:rPr>
                        <w:t>运行</w:t>
                      </w:r>
                    </w:p>
                  </w:txbxContent>
                </v:textbox>
              </v:shape>
            </w:pict>
          </mc:Fallback>
        </mc:AlternateContent>
      </w:r>
      <w:r>
        <w:rPr>
          <w:rFonts w:hint="eastAsia" w:ascii="仿宋" w:hAnsi="仿宋" w:eastAsia="仿宋" w:cs="仿宋"/>
          <w:lang w:eastAsia="zh-CN"/>
        </w:rPr>
        <w:t>合同工程尚未全部竣工（其中某项或某几项单项工程或工程部位已竣工），根据合同约定需要在施工期间运行的，应由发包人按照第65</w:t>
      </w:r>
      <w:r>
        <w:rPr>
          <w:rFonts w:ascii="仿宋" w:hAnsi="仿宋" w:eastAsia="仿宋" w:cs="仿宋"/>
          <w:lang w:eastAsia="zh-CN"/>
        </w:rPr>
        <w:t>.8</w:t>
      </w:r>
      <w:r>
        <w:rPr>
          <w:rFonts w:hint="eastAsia" w:ascii="仿宋" w:hAnsi="仿宋" w:eastAsia="仿宋" w:cs="仿宋"/>
          <w:lang w:eastAsia="zh-CN"/>
        </w:rPr>
        <w:t>款约定验收合格，并确保安全后，才能投入施工期运行。</w:t>
      </w:r>
    </w:p>
    <w:p w14:paraId="5C97256C">
      <w:pPr>
        <w:widowControl w:val="0"/>
        <w:spacing w:line="400" w:lineRule="exact"/>
        <w:ind w:left="1850" w:leftChars="771"/>
        <w:jc w:val="both"/>
        <w:rPr>
          <w:rFonts w:ascii="仿宋" w:hAnsi="仿宋" w:eastAsia="仿宋"/>
          <w:lang w:eastAsia="zh-CN"/>
        </w:rPr>
      </w:pPr>
      <w:r>
        <w:rPr>
          <w:rFonts w:hint="eastAsia" w:ascii="仿宋" w:hAnsi="仿宋" w:eastAsia="仿宋" w:cs="仿宋"/>
          <w:lang w:eastAsia="zh-CN"/>
        </w:rPr>
        <w:t>在施工期运行中，发现单项工程或工程部位存在缺陷或损坏的，由承包人按照第66</w:t>
      </w:r>
      <w:r>
        <w:rPr>
          <w:rFonts w:ascii="仿宋" w:hAnsi="仿宋" w:eastAsia="仿宋" w:cs="仿宋"/>
          <w:lang w:eastAsia="zh-CN"/>
        </w:rPr>
        <w:t>.3</w:t>
      </w:r>
      <w:r>
        <w:rPr>
          <w:rFonts w:hint="eastAsia" w:ascii="仿宋" w:hAnsi="仿宋" w:eastAsia="仿宋" w:cs="仿宋"/>
          <w:lang w:eastAsia="zh-CN"/>
        </w:rPr>
        <w:t>款约定进行修复。</w:t>
      </w:r>
    </w:p>
    <w:p w14:paraId="01AE576F">
      <w:pPr>
        <w:spacing w:line="400" w:lineRule="exact"/>
        <w:rPr>
          <w:rFonts w:ascii="仿宋" w:hAnsi="仿宋" w:eastAsia="仿宋"/>
          <w:b/>
          <w:bCs/>
          <w:lang w:eastAsia="zh-CN"/>
        </w:rPr>
      </w:pPr>
      <w:bookmarkStart w:id="530" w:name="_Toc18024"/>
      <w:r>
        <w:rPr>
          <w:rFonts w:hint="eastAsia" w:ascii="仿宋" w:hAnsi="仿宋" w:eastAsia="仿宋" w:cs="仿宋"/>
          <w:b/>
          <w:bCs/>
          <w:lang w:eastAsia="zh-CN"/>
        </w:rPr>
        <w:t>65</w:t>
      </w:r>
      <w:r>
        <w:rPr>
          <w:rFonts w:ascii="仿宋" w:hAnsi="仿宋" w:eastAsia="仿宋" w:cs="仿宋"/>
          <w:b/>
          <w:bCs/>
          <w:lang w:eastAsia="zh-CN"/>
        </w:rPr>
        <w:t>.10</w:t>
      </w:r>
      <w:bookmarkEnd w:id="530"/>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17659164">
      <w:pPr>
        <w:widowControl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851776" behindDoc="0" locked="0" layoutInCell="1" allowOverlap="1">
                <wp:simplePos x="0" y="0"/>
                <wp:positionH relativeFrom="column">
                  <wp:posOffset>-114300</wp:posOffset>
                </wp:positionH>
                <wp:positionV relativeFrom="paragraph">
                  <wp:posOffset>3810</wp:posOffset>
                </wp:positionV>
                <wp:extent cx="813435" cy="286385"/>
                <wp:effectExtent l="0" t="0" r="0" b="0"/>
                <wp:wrapNone/>
                <wp:docPr id="293" name="文本框 941"/>
                <wp:cNvGraphicFramePr/>
                <a:graphic xmlns:a="http://schemas.openxmlformats.org/drawingml/2006/main">
                  <a:graphicData uri="http://schemas.microsoft.com/office/word/2010/wordprocessingShape">
                    <wps:wsp>
                      <wps:cNvSpPr txBox="1"/>
                      <wps:spPr>
                        <a:xfrm>
                          <a:off x="0" y="0"/>
                          <a:ext cx="813435" cy="286385"/>
                        </a:xfrm>
                        <a:prstGeom prst="rect">
                          <a:avLst/>
                        </a:prstGeom>
                        <a:noFill/>
                        <a:ln w="12700">
                          <a:noFill/>
                        </a:ln>
                      </wps:spPr>
                      <wps:txbx>
                        <w:txbxContent>
                          <w:p w14:paraId="4D19335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txbxContent>
                      </wps:txbx>
                      <wps:bodyPr rot="0" vert="horz" wrap="square" lIns="91440" tIns="45720" rIns="91440" bIns="45720" anchor="t" anchorCtr="0"/>
                    </wps:wsp>
                  </a:graphicData>
                </a:graphic>
              </wp:anchor>
            </w:drawing>
          </mc:Choice>
          <mc:Fallback>
            <w:pict>
              <v:shape id="文本框 941" o:spid="_x0000_s1026" o:spt="202" type="#_x0000_t202" style="position:absolute;left:0pt;margin-left:-9pt;margin-top:0.3pt;height:22.55pt;width:64.05pt;z-index:251851776;mso-width-relative:page;mso-height-relative:page;" filled="f" stroked="f" coordsize="21600,21600" o:gfxdata="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sz&#10;KE7WAAAABwEAAA8AAAAAAAAAAQAgAAAAIgAAAGRycy9kb3ducmV2LnhtbFBLAQIUABQAAAAIAIdO&#10;4kB5vUAJ7AEAAL4DAAAOAAAAAAAAAAEAIAAAACUBAABkcnMvZTJvRG9jLnhtbFBLBQYAAAAABgAG&#10;AFkBAACDBQAAAAA=&#10;">
                <v:fill on="f" focussize="0,0"/>
                <v:stroke on="f" weight="1pt"/>
                <v:imagedata o:title=""/>
                <o:lock v:ext="edit" aspectratio="f"/>
                <v:textbox>
                  <w:txbxContent>
                    <w:p w14:paraId="4D19335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txbxContent>
                </v:textbox>
              </v:shape>
            </w:pict>
          </mc:Fallback>
        </mc:AlternateContent>
      </w:r>
      <w:r>
        <w:rPr>
          <w:rFonts w:hint="eastAsia" w:ascii="仿宋" w:hAnsi="仿宋" w:eastAsia="仿宋" w:cs="仿宋"/>
          <w:lang w:eastAsia="zh-CN"/>
        </w:rPr>
        <w:t>专用条款没有约定的，工程接收证书颁发后，承包人应按照下列要求对施工场地进行清理，直至监理人检验合格为止。竣工清场费用由承包人承担。</w:t>
      </w:r>
    </w:p>
    <w:p w14:paraId="0F1F10EC">
      <w:pPr>
        <w:widowControl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w:t>
      </w:r>
      <w:r>
        <w:rPr>
          <w:rFonts w:ascii="仿宋" w:hAnsi="仿宋" w:eastAsia="仿宋" w:cs="仿宋"/>
          <w:lang w:eastAsia="zh-CN"/>
        </w:rPr>
        <w:t>1</w:t>
      </w:r>
      <w:r>
        <w:rPr>
          <w:rFonts w:hint="eastAsia" w:ascii="仿宋" w:hAnsi="仿宋" w:eastAsia="仿宋" w:cs="仿宋"/>
          <w:lang w:eastAsia="zh-CN"/>
        </w:rPr>
        <w:t>）施工场地内残留的垃圾已全部清除出场；</w:t>
      </w:r>
    </w:p>
    <w:p w14:paraId="2F80BFD6">
      <w:pPr>
        <w:widowControl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w:t>
      </w:r>
      <w:r>
        <w:rPr>
          <w:rFonts w:ascii="仿宋" w:hAnsi="仿宋" w:eastAsia="仿宋" w:cs="仿宋"/>
          <w:lang w:eastAsia="zh-CN"/>
        </w:rPr>
        <w:t>2</w:t>
      </w:r>
      <w:r>
        <w:rPr>
          <w:rFonts w:hint="eastAsia" w:ascii="仿宋" w:hAnsi="仿宋" w:eastAsia="仿宋" w:cs="仿宋"/>
          <w:lang w:eastAsia="zh-CN"/>
        </w:rPr>
        <w:t>）临时设施已拆除，场地已按照合同约定进行清理、平整或复原；</w:t>
      </w:r>
    </w:p>
    <w:p w14:paraId="26917251">
      <w:pPr>
        <w:widowControl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w:t>
      </w:r>
      <w:r>
        <w:rPr>
          <w:rFonts w:ascii="仿宋" w:hAnsi="仿宋" w:eastAsia="仿宋" w:cs="仿宋"/>
          <w:lang w:eastAsia="zh-CN"/>
        </w:rPr>
        <w:t>3</w:t>
      </w:r>
      <w:r>
        <w:rPr>
          <w:rFonts w:hint="eastAsia" w:ascii="仿宋" w:hAnsi="仿宋" w:eastAsia="仿宋" w:cs="仿宋"/>
          <w:lang w:eastAsia="zh-CN"/>
        </w:rPr>
        <w:t>）按照合同约定应撤离的承包人施工设备和剩余的工程材料，包括废弃的施工设备和工程材料，已按照计划撤离施工场地；</w:t>
      </w:r>
    </w:p>
    <w:p w14:paraId="3AC547FB">
      <w:pPr>
        <w:widowControl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w:t>
      </w:r>
      <w:r>
        <w:rPr>
          <w:rFonts w:ascii="仿宋" w:hAnsi="仿宋" w:eastAsia="仿宋" w:cs="仿宋"/>
          <w:lang w:eastAsia="zh-CN"/>
        </w:rPr>
        <w:t>4</w:t>
      </w:r>
      <w:r>
        <w:rPr>
          <w:rFonts w:hint="eastAsia" w:ascii="仿宋" w:hAnsi="仿宋" w:eastAsia="仿宋" w:cs="仿宋"/>
          <w:lang w:eastAsia="zh-CN"/>
        </w:rPr>
        <w:t>）建筑物周边及其附近道路、河道的施工堆积物，已按照监理人指令全部清理；</w:t>
      </w:r>
    </w:p>
    <w:p w14:paraId="75B840C9">
      <w:pPr>
        <w:widowControl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w:t>
      </w:r>
      <w:r>
        <w:rPr>
          <w:rFonts w:ascii="仿宋" w:hAnsi="仿宋" w:eastAsia="仿宋" w:cs="仿宋"/>
          <w:lang w:eastAsia="zh-CN"/>
        </w:rPr>
        <w:t>5</w:t>
      </w:r>
      <w:r>
        <w:rPr>
          <w:rFonts w:hint="eastAsia" w:ascii="仿宋" w:hAnsi="仿宋" w:eastAsia="仿宋" w:cs="仿宋"/>
          <w:lang w:eastAsia="zh-CN"/>
        </w:rPr>
        <w:t>）监理人指令的其他场地清理工作已全部完成。</w:t>
      </w:r>
    </w:p>
    <w:p w14:paraId="4B7388A0">
      <w:pPr>
        <w:widowControl w:val="0"/>
        <w:spacing w:line="400" w:lineRule="exact"/>
        <w:ind w:left="1850" w:leftChars="771"/>
        <w:jc w:val="both"/>
        <w:rPr>
          <w:rFonts w:ascii="仿宋" w:hAnsi="仿宋" w:eastAsia="仿宋"/>
          <w:lang w:eastAsia="zh-CN"/>
        </w:rPr>
      </w:pPr>
      <w:r>
        <w:rPr>
          <w:rFonts w:hint="eastAsia" w:ascii="仿宋" w:hAnsi="仿宋" w:eastAsia="仿宋" w:cs="仿宋"/>
          <w:lang w:eastAsia="zh-CN"/>
        </w:rPr>
        <w:t>如承包人未按照监理人的要求恢复临时占地，或者场地清理未达到合同约定的，发包人可自行或委托第三方恢复或清理，所发生的费用从应支付或将支付给承包人的款项中扣除。</w:t>
      </w:r>
    </w:p>
    <w:p w14:paraId="51B9CE7E">
      <w:pPr>
        <w:spacing w:line="400" w:lineRule="exact"/>
        <w:rPr>
          <w:rFonts w:ascii="仿宋" w:hAnsi="仿宋" w:eastAsia="仿宋"/>
          <w:b/>
          <w:bCs/>
          <w:lang w:eastAsia="zh-CN"/>
        </w:rPr>
      </w:pPr>
      <w:bookmarkStart w:id="531" w:name="_Toc17518"/>
      <w:r>
        <w:rPr>
          <w:rFonts w:hint="eastAsia" w:ascii="仿宋" w:hAnsi="仿宋" w:eastAsia="仿宋" w:cs="仿宋"/>
          <w:b/>
          <w:bCs/>
          <w:lang w:eastAsia="zh-CN"/>
        </w:rPr>
        <w:t>65</w:t>
      </w:r>
      <w:r>
        <w:rPr>
          <w:rFonts w:ascii="仿宋" w:hAnsi="仿宋" w:eastAsia="仿宋" w:cs="仿宋"/>
          <w:b/>
          <w:bCs/>
          <w:lang w:eastAsia="zh-CN"/>
        </w:rPr>
        <w:t>.11</w:t>
      </w:r>
      <w:bookmarkEnd w:id="531"/>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1ACC0ABB">
      <w:pPr>
        <w:widowControl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852800" behindDoc="0" locked="0" layoutInCell="1" allowOverlap="1">
                <wp:simplePos x="0" y="0"/>
                <wp:positionH relativeFrom="column">
                  <wp:posOffset>-114300</wp:posOffset>
                </wp:positionH>
                <wp:positionV relativeFrom="paragraph">
                  <wp:posOffset>3810</wp:posOffset>
                </wp:positionV>
                <wp:extent cx="775970" cy="514350"/>
                <wp:effectExtent l="0" t="0" r="0" b="0"/>
                <wp:wrapNone/>
                <wp:docPr id="294" name="文本框 942"/>
                <wp:cNvGraphicFramePr/>
                <a:graphic xmlns:a="http://schemas.openxmlformats.org/drawingml/2006/main">
                  <a:graphicData uri="http://schemas.microsoft.com/office/word/2010/wordprocessingShape">
                    <wps:wsp>
                      <wps:cNvSpPr txBox="1"/>
                      <wps:spPr>
                        <a:xfrm>
                          <a:off x="0" y="0"/>
                          <a:ext cx="775970" cy="514350"/>
                        </a:xfrm>
                        <a:prstGeom prst="rect">
                          <a:avLst/>
                        </a:prstGeom>
                        <a:noFill/>
                        <a:ln w="12700">
                          <a:noFill/>
                        </a:ln>
                      </wps:spPr>
                      <wps:txbx>
                        <w:txbxContent>
                          <w:p w14:paraId="2FE90F3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txbxContent>
                      </wps:txbx>
                      <wps:bodyPr rot="0" vert="horz" wrap="square" lIns="91440" tIns="45720" rIns="91440" bIns="45720" anchor="t" anchorCtr="0"/>
                    </wps:wsp>
                  </a:graphicData>
                </a:graphic>
              </wp:anchor>
            </w:drawing>
          </mc:Choice>
          <mc:Fallback>
            <w:pict>
              <v:shape id="文本框 942" o:spid="_x0000_s1026" o:spt="202" type="#_x0000_t202" style="position:absolute;left:0pt;margin-left:-9pt;margin-top:0.3pt;height:40.5pt;width:61.1pt;z-index:251852800;mso-width-relative:page;mso-height-relative:page;" filled="f" stroked="f" coordsize="21600,21600" o:gfxdata="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FVo&#10;NtYAAAAHAQAADwAAAAAAAAABACAAAAAiAAAAZHJzL2Rvd25yZXYueG1sUEsBAhQAFAAAAAgAh07i&#10;QDnErHHrAQAAvgMAAA4AAAAAAAAAAQAgAAAAJQEAAGRycy9lMm9Eb2MueG1sUEsFBgAAAAAGAAYA&#10;WQEAAIIFAAAAAA==&#10;">
                <v:fill on="f" focussize="0,0"/>
                <v:stroke on="f" weight="1pt"/>
                <v:imagedata o:title=""/>
                <o:lock v:ext="edit" aspectratio="f"/>
                <v:textbox>
                  <w:txbxContent>
                    <w:p w14:paraId="2FE90F3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txbxContent>
                </v:textbox>
              </v:shape>
            </w:pict>
          </mc:Fallback>
        </mc:AlternateContent>
      </w:r>
      <w:r>
        <w:rPr>
          <w:rFonts w:hint="eastAsia" w:ascii="仿宋" w:hAnsi="仿宋" w:eastAsia="仿宋" w:cs="仿宋"/>
          <w:lang w:eastAsia="zh-CN"/>
        </w:rPr>
        <w:t>工程接收证书颁发后的</w:t>
      </w:r>
      <w:r>
        <w:rPr>
          <w:rFonts w:ascii="仿宋" w:hAnsi="仿宋" w:eastAsia="仿宋" w:cs="仿宋"/>
          <w:lang w:eastAsia="zh-CN"/>
        </w:rPr>
        <w:t>56</w:t>
      </w:r>
      <w:r>
        <w:rPr>
          <w:rFonts w:hint="eastAsia" w:ascii="仿宋" w:hAnsi="仿宋" w:eastAsia="仿宋" w:cs="仿宋"/>
          <w:lang w:eastAsia="zh-CN"/>
        </w:rPr>
        <w:t>天内，除经监理人同意需在缺陷责任期内继续工作的人员、使用的施工设备和临时设施外，其余的人员、施工设备和临时设施均应撤离施工场地或拆除。除专用条款另有约定外，缺陷责任期满时，承包人的人员和施工设备应全部撤离施工场地。</w:t>
      </w:r>
    </w:p>
    <w:p w14:paraId="698C840D">
      <w:pPr>
        <w:spacing w:line="400" w:lineRule="exact"/>
        <w:rPr>
          <w:rFonts w:ascii="仿宋" w:hAnsi="仿宋" w:eastAsia="仿宋" w:cs="仿宋"/>
          <w:lang w:eastAsia="zh-CN"/>
        </w:rPr>
      </w:pPr>
      <w:bookmarkStart w:id="532" w:name="_Toc17486"/>
      <w:r>
        <mc:AlternateContent>
          <mc:Choice Requires="wps">
            <w:drawing>
              <wp:anchor distT="0" distB="0" distL="114300" distR="114300" simplePos="0" relativeHeight="252048384" behindDoc="0" locked="0" layoutInCell="1" allowOverlap="1">
                <wp:simplePos x="0" y="0"/>
                <wp:positionH relativeFrom="column">
                  <wp:posOffset>-66675</wp:posOffset>
                </wp:positionH>
                <wp:positionV relativeFrom="paragraph">
                  <wp:posOffset>213360</wp:posOffset>
                </wp:positionV>
                <wp:extent cx="775970" cy="676910"/>
                <wp:effectExtent l="0" t="0" r="0" b="0"/>
                <wp:wrapNone/>
                <wp:docPr id="295" name="文本框 943"/>
                <wp:cNvGraphicFramePr/>
                <a:graphic xmlns:a="http://schemas.openxmlformats.org/drawingml/2006/main">
                  <a:graphicData uri="http://schemas.microsoft.com/office/word/2010/wordprocessingShape">
                    <wps:wsp>
                      <wps:cNvSpPr txBox="1"/>
                      <wps:spPr>
                        <a:xfrm>
                          <a:off x="0" y="0"/>
                          <a:ext cx="775970" cy="676910"/>
                        </a:xfrm>
                        <a:prstGeom prst="rect">
                          <a:avLst/>
                        </a:prstGeom>
                        <a:noFill/>
                        <a:ln w="12700">
                          <a:noFill/>
                        </a:ln>
                      </wps:spPr>
                      <wps:txbx>
                        <w:txbxContent>
                          <w:p w14:paraId="1BCE110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使用未验收或验收未通过工程的责任</w:t>
                            </w:r>
                          </w:p>
                        </w:txbxContent>
                      </wps:txbx>
                      <wps:bodyPr rot="0" vert="horz" wrap="square" lIns="91440" tIns="45720" rIns="91440" bIns="45720" anchor="t" anchorCtr="0"/>
                    </wps:wsp>
                  </a:graphicData>
                </a:graphic>
              </wp:anchor>
            </w:drawing>
          </mc:Choice>
          <mc:Fallback>
            <w:pict>
              <v:shape id="文本框 943" o:spid="_x0000_s1026" o:spt="202" type="#_x0000_t202" style="position:absolute;left:0pt;margin-left:-5.25pt;margin-top:16.8pt;height:53.3pt;width:61.1pt;z-index:252048384;mso-width-relative:page;mso-height-relative:page;" filled="f" stroked="f" coordsize="21600,21600" o:gfxdata="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Z&#10;O/kw2AAAAAoBAAAPAAAAAAAAAAEAIAAAACIAAABkcnMvZG93bnJldi54bWxQSwECFAAUAAAACACH&#10;TuJAzTJjWesBAAC+AwAADgAAAAAAAAABACAAAAAnAQAAZHJzL2Uyb0RvYy54bWxQSwUGAAAAAAYA&#10;BgBZAQAAhAUAAAAA&#10;">
                <v:fill on="f" focussize="0,0"/>
                <v:stroke on="f" weight="1pt"/>
                <v:imagedata o:title=""/>
                <o:lock v:ext="edit" aspectratio="f"/>
                <v:textbox>
                  <w:txbxContent>
                    <w:p w14:paraId="1BCE110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使用未验收或验收未通过工程的责任</w:t>
                      </w:r>
                    </w:p>
                  </w:txbxContent>
                </v:textbox>
              </v:shape>
            </w:pict>
          </mc:Fallback>
        </mc:AlternateContent>
      </w:r>
      <w:r>
        <w:rPr>
          <w:rFonts w:hint="eastAsia" w:ascii="仿宋" w:hAnsi="仿宋" w:eastAsia="仿宋" w:cs="仿宋"/>
          <w:b/>
          <w:bCs/>
          <w:lang w:eastAsia="zh-CN"/>
        </w:rPr>
        <w:t>65</w:t>
      </w:r>
      <w:r>
        <w:rPr>
          <w:rFonts w:ascii="仿宋" w:hAnsi="仿宋" w:eastAsia="仿宋" w:cs="仿宋"/>
          <w:b/>
          <w:bCs/>
          <w:lang w:eastAsia="zh-CN"/>
        </w:rPr>
        <w:t>.12</w:t>
      </w:r>
      <w:bookmarkEnd w:id="532"/>
      <w:r>
        <w:rPr>
          <w:rFonts w:ascii="仿宋" w:hAnsi="仿宋" w:eastAsia="仿宋" w:cs="仿宋"/>
          <w:u w:val="dotted"/>
          <w:lang w:eastAsia="zh-CN"/>
        </w:rPr>
        <w:t xml:space="preserve">                                                                                </w:t>
      </w:r>
    </w:p>
    <w:p w14:paraId="11CD7CA9">
      <w:pPr>
        <w:pStyle w:val="33"/>
        <w:widowControl w:val="0"/>
        <w:adjustRightInd w:val="0"/>
        <w:snapToGrid w:val="0"/>
        <w:spacing w:line="400" w:lineRule="exact"/>
        <w:ind w:left="1850" w:leftChars="771"/>
        <w:jc w:val="both"/>
        <w:rPr>
          <w:rFonts w:ascii="仿宋" w:hAnsi="仿宋" w:eastAsia="仿宋"/>
          <w:lang w:eastAsia="zh-CN"/>
        </w:rPr>
      </w:pPr>
      <w:r>
        <w:rPr>
          <w:rFonts w:hint="eastAsia" w:ascii="仿宋" w:hAnsi="仿宋" w:eastAsia="仿宋" w:cs="仿宋"/>
          <w:lang w:eastAsia="zh-CN"/>
        </w:rPr>
        <w:t>合同工程未经竣工验收或竣工验收不合格的，发包人不得使用。发包人强行使用的，由此发生的质量问题及其他问题，由发包人承担责任。</w:t>
      </w:r>
    </w:p>
    <w:p w14:paraId="700B352F">
      <w:pPr>
        <w:spacing w:line="400" w:lineRule="exact"/>
        <w:rPr>
          <w:rFonts w:ascii="仿宋" w:hAnsi="仿宋" w:eastAsia="仿宋"/>
          <w:b/>
          <w:bCs/>
          <w:lang w:eastAsia="zh-CN"/>
        </w:rPr>
      </w:pPr>
      <w:bookmarkStart w:id="533" w:name="_Toc23300"/>
      <w:r>
        <w:rPr>
          <w:rFonts w:hint="eastAsia" w:ascii="仿宋" w:hAnsi="仿宋" w:eastAsia="仿宋" w:cs="仿宋"/>
          <w:b/>
          <w:bCs/>
          <w:lang w:eastAsia="zh-CN"/>
        </w:rPr>
        <w:t>65</w:t>
      </w:r>
      <w:r>
        <w:rPr>
          <w:rFonts w:ascii="仿宋" w:hAnsi="仿宋" w:eastAsia="仿宋" w:cs="仿宋"/>
          <w:b/>
          <w:bCs/>
          <w:lang w:eastAsia="zh-CN"/>
        </w:rPr>
        <w:t>.13</w:t>
      </w:r>
      <w:bookmarkEnd w:id="533"/>
      <w:r>
        <w:rPr>
          <w:rFonts w:ascii="仿宋" w:hAnsi="仿宋" w:eastAsia="仿宋" w:cs="仿宋"/>
          <w:b/>
          <w:bCs/>
          <w:u w:val="dotted"/>
          <w:lang w:eastAsia="zh-CN"/>
        </w:rPr>
        <w:t xml:space="preserve">                                                                                </w:t>
      </w:r>
    </w:p>
    <w:p w14:paraId="33BF3879">
      <w:pPr>
        <w:pStyle w:val="33"/>
        <w:adjustRightInd w:val="0"/>
        <w:snapToGrid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853824" behindDoc="0" locked="0" layoutInCell="1" allowOverlap="1">
                <wp:simplePos x="0" y="0"/>
                <wp:positionH relativeFrom="column">
                  <wp:posOffset>-114300</wp:posOffset>
                </wp:positionH>
                <wp:positionV relativeFrom="paragraph">
                  <wp:posOffset>13335</wp:posOffset>
                </wp:positionV>
                <wp:extent cx="756920" cy="588645"/>
                <wp:effectExtent l="0" t="0" r="0" b="0"/>
                <wp:wrapNone/>
                <wp:docPr id="296" name="文本框 944"/>
                <wp:cNvGraphicFramePr/>
                <a:graphic xmlns:a="http://schemas.openxmlformats.org/drawingml/2006/main">
                  <a:graphicData uri="http://schemas.microsoft.com/office/word/2010/wordprocessingShape">
                    <wps:wsp>
                      <wps:cNvSpPr txBox="1"/>
                      <wps:spPr>
                        <a:xfrm>
                          <a:off x="0" y="0"/>
                          <a:ext cx="756920" cy="588645"/>
                        </a:xfrm>
                        <a:prstGeom prst="rect">
                          <a:avLst/>
                        </a:prstGeom>
                        <a:noFill/>
                        <a:ln w="12700">
                          <a:noFill/>
                        </a:ln>
                      </wps:spPr>
                      <wps:txbx>
                        <w:txbxContent>
                          <w:p w14:paraId="081FBD6F">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工程竣工质量争议的责任</w:t>
                            </w:r>
                          </w:p>
                        </w:txbxContent>
                      </wps:txbx>
                      <wps:bodyPr rot="0" vert="horz" wrap="square" lIns="91440" tIns="45720" rIns="91440" bIns="45720" anchor="t" anchorCtr="0"/>
                    </wps:wsp>
                  </a:graphicData>
                </a:graphic>
              </wp:anchor>
            </w:drawing>
          </mc:Choice>
          <mc:Fallback>
            <w:pict>
              <v:shape id="文本框 944" o:spid="_x0000_s1026" o:spt="202" type="#_x0000_t202" style="position:absolute;left:0pt;margin-left:-9pt;margin-top:1.05pt;height:46.35pt;width:59.6pt;z-index:251853824;mso-width-relative:page;mso-height-relative:page;" filled="f" stroked="f" coordsize="21600,21600" o:gfxdata="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L5nmm&#10;1gAAAAgBAAAPAAAAAAAAAAEAIAAAACIAAABkcnMvZG93bnJldi54bWxQSwECFAAUAAAACACHTuJA&#10;qNhqu+oBAAC+AwAADgAAAAAAAAABACAAAAAlAQAAZHJzL2Uyb0RvYy54bWxQSwUGAAAAAAYABgBZ&#10;AQAAgQUAAAAA&#10;">
                <v:fill on="f" focussize="0,0"/>
                <v:stroke on="f" weight="1pt"/>
                <v:imagedata o:title=""/>
                <o:lock v:ext="edit" aspectratio="f"/>
                <v:textbox>
                  <w:txbxContent>
                    <w:p w14:paraId="081FBD6F">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工程竣工质量争议的责任</w:t>
                      </w:r>
                    </w:p>
                  </w:txbxContent>
                </v:textbox>
              </v:shape>
            </w:pict>
          </mc:Fallback>
        </mc:AlternateContent>
      </w:r>
      <w:r>
        <w:rPr>
          <w:rFonts w:hint="eastAsia" w:ascii="仿宋" w:hAnsi="仿宋" w:eastAsia="仿宋" w:cs="仿宋"/>
          <w:lang w:eastAsia="zh-CN"/>
        </w:rPr>
        <w:t>合同工程竣工验收时发生工程质量争议，经第91</w:t>
      </w:r>
      <w:r>
        <w:rPr>
          <w:rFonts w:ascii="仿宋" w:hAnsi="仿宋" w:eastAsia="仿宋" w:cs="仿宋"/>
          <w:lang w:eastAsia="zh-CN"/>
        </w:rPr>
        <w:t>.4</w:t>
      </w:r>
      <w:r>
        <w:rPr>
          <w:rFonts w:hint="eastAsia" w:ascii="仿宋" w:hAnsi="仿宋" w:eastAsia="仿宋" w:cs="仿宋"/>
          <w:lang w:eastAsia="zh-CN"/>
        </w:rPr>
        <w:t>款约定调解或认定工程质量符合合同约定的，由发包人承担由此增加的费用和（或）延误的工期。</w:t>
      </w:r>
    </w:p>
    <w:p w14:paraId="6C7B3BD4">
      <w:pPr>
        <w:adjustRightInd w:val="0"/>
        <w:snapToGrid w:val="0"/>
        <w:spacing w:line="400" w:lineRule="exact"/>
        <w:rPr>
          <w:rFonts w:ascii="仿宋" w:hAnsi="仿宋" w:eastAsia="仿宋" w:cs="仿宋"/>
          <w:b/>
          <w:bCs/>
          <w:u w:val="single"/>
          <w:lang w:eastAsia="zh-CN"/>
        </w:rPr>
      </w:pPr>
      <w:r>
        <w:rPr>
          <w:rFonts w:ascii="仿宋" w:hAnsi="仿宋" w:eastAsia="仿宋" w:cs="仿宋"/>
          <w:b/>
          <w:bCs/>
          <w:u w:val="single"/>
          <w:lang w:eastAsia="zh-CN"/>
        </w:rPr>
        <w:t xml:space="preserve">                                                                                     </w:t>
      </w:r>
    </w:p>
    <w:p w14:paraId="59998FDA">
      <w:pPr>
        <w:pStyle w:val="4"/>
        <w:tabs>
          <w:tab w:val="left" w:pos="420"/>
        </w:tabs>
        <w:spacing w:before="0" w:after="0" w:line="400" w:lineRule="exact"/>
        <w:rPr>
          <w:rFonts w:ascii="仿宋" w:hAnsi="仿宋" w:eastAsia="仿宋" w:cs="仿宋"/>
          <w:bCs w:val="0"/>
          <w:sz w:val="24"/>
          <w:szCs w:val="24"/>
          <w:lang w:eastAsia="zh-CN"/>
        </w:rPr>
      </w:pPr>
      <w:bookmarkStart w:id="534" w:name="_Toc16285"/>
      <w:bookmarkStart w:id="535" w:name="_Toc194073176"/>
      <w:bookmarkStart w:id="536" w:name="_Toc4365"/>
      <w:bookmarkStart w:id="537" w:name="_Toc24908"/>
      <w:r>
        <w:rPr>
          <w:rFonts w:hint="eastAsia" w:ascii="仿宋" w:hAnsi="仿宋" w:eastAsia="仿宋" w:cs="仿宋"/>
          <w:bCs w:val="0"/>
          <w:sz w:val="24"/>
          <w:szCs w:val="24"/>
          <w:lang w:eastAsia="zh-CN"/>
        </w:rPr>
        <w:t>66</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缺陷责任与质量保修</w:t>
      </w:r>
      <w:bookmarkEnd w:id="534"/>
      <w:bookmarkEnd w:id="535"/>
      <w:bookmarkEnd w:id="536"/>
      <w:bookmarkEnd w:id="537"/>
    </w:p>
    <w:p w14:paraId="47B0680E">
      <w:pPr>
        <w:adjustRightInd w:val="0"/>
        <w:snapToGrid w:val="0"/>
        <w:spacing w:line="400" w:lineRule="exact"/>
        <w:rPr>
          <w:rFonts w:ascii="仿宋" w:hAnsi="仿宋" w:eastAsia="仿宋"/>
          <w:b/>
          <w:bCs/>
          <w:lang w:eastAsia="zh-CN"/>
        </w:rPr>
      </w:pPr>
      <w:r>
        <mc:AlternateContent>
          <mc:Choice Requires="wps">
            <w:drawing>
              <wp:anchor distT="0" distB="0" distL="114300" distR="114300" simplePos="0" relativeHeight="252049408" behindDoc="0" locked="0" layoutInCell="1" allowOverlap="1">
                <wp:simplePos x="0" y="0"/>
                <wp:positionH relativeFrom="column">
                  <wp:posOffset>-114300</wp:posOffset>
                </wp:positionH>
                <wp:positionV relativeFrom="paragraph">
                  <wp:posOffset>287020</wp:posOffset>
                </wp:positionV>
                <wp:extent cx="771525" cy="546100"/>
                <wp:effectExtent l="0" t="0" r="0" b="0"/>
                <wp:wrapNone/>
                <wp:docPr id="297" name="文本框 945"/>
                <wp:cNvGraphicFramePr/>
                <a:graphic xmlns:a="http://schemas.openxmlformats.org/drawingml/2006/main">
                  <a:graphicData uri="http://schemas.microsoft.com/office/word/2010/wordprocessingShape">
                    <wps:wsp>
                      <wps:cNvSpPr txBox="1"/>
                      <wps:spPr>
                        <a:xfrm>
                          <a:off x="0" y="0"/>
                          <a:ext cx="771525" cy="546100"/>
                        </a:xfrm>
                        <a:prstGeom prst="rect">
                          <a:avLst/>
                        </a:prstGeom>
                        <a:noFill/>
                        <a:ln w="12700">
                          <a:noFill/>
                        </a:ln>
                      </wps:spPr>
                      <wps:txbx>
                        <w:txbxContent>
                          <w:p w14:paraId="108DD50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74A37ACF">
                            <w:pPr>
                              <w:spacing w:line="240" w:lineRule="exact"/>
                              <w:rPr>
                                <w:rFonts w:ascii="宋体"/>
                                <w:sz w:val="18"/>
                                <w:szCs w:val="18"/>
                              </w:rPr>
                            </w:pPr>
                            <w:r>
                              <w:rPr>
                                <w:rFonts w:hint="eastAsia" w:ascii="楷体_GB2312" w:hAnsi="宋体" w:eastAsia="楷体_GB2312" w:cs="楷体_GB2312"/>
                                <w:b/>
                                <w:bCs/>
                                <w:color w:val="000000"/>
                                <w:sz w:val="18"/>
                                <w:szCs w:val="18"/>
                              </w:rPr>
                              <w:t>计算</w:t>
                            </w:r>
                          </w:p>
                        </w:txbxContent>
                      </wps:txbx>
                      <wps:bodyPr rot="0" vert="horz" wrap="square" lIns="91440" tIns="45720" rIns="91440" bIns="45720" anchor="t" anchorCtr="0"/>
                    </wps:wsp>
                  </a:graphicData>
                </a:graphic>
              </wp:anchor>
            </w:drawing>
          </mc:Choice>
          <mc:Fallback>
            <w:pict>
              <v:shape id="文本框 945" o:spid="_x0000_s1026" o:spt="202" type="#_x0000_t202" style="position:absolute;left:0pt;margin-left:-9pt;margin-top:22.6pt;height:43pt;width:60.75pt;z-index:252049408;mso-width-relative:page;mso-height-relative:page;" filled="f" stroked="f" coordsize="21600,21600" o:gfxdata="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cc&#10;wwrZAAAACgEAAA8AAAAAAAAAAQAgAAAAIgAAAGRycy9kb3ducmV2LnhtbFBLAQIUABQAAAAIAIdO&#10;4kC3iJxz6QEAAL4DAAAOAAAAAAAAAAEAIAAAACgBAABkcnMvZTJvRG9jLnhtbFBLBQYAAAAABgAG&#10;AFkBAACDBQAAAAA=&#10;">
                <v:fill on="f" focussize="0,0"/>
                <v:stroke on="f" weight="1pt"/>
                <v:imagedata o:title=""/>
                <o:lock v:ext="edit" aspectratio="f"/>
                <v:textbox>
                  <w:txbxContent>
                    <w:p w14:paraId="108DD50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74A37ACF">
                      <w:pPr>
                        <w:spacing w:line="240" w:lineRule="exact"/>
                        <w:rPr>
                          <w:rFonts w:ascii="宋体"/>
                          <w:sz w:val="18"/>
                          <w:szCs w:val="18"/>
                        </w:rPr>
                      </w:pPr>
                      <w:r>
                        <w:rPr>
                          <w:rFonts w:hint="eastAsia" w:ascii="楷体_GB2312" w:hAnsi="宋体" w:eastAsia="楷体_GB2312" w:cs="楷体_GB2312"/>
                          <w:b/>
                          <w:bCs/>
                          <w:color w:val="000000"/>
                          <w:sz w:val="18"/>
                          <w:szCs w:val="18"/>
                        </w:rPr>
                        <w:t>计算</w:t>
                      </w:r>
                    </w:p>
                  </w:txbxContent>
                </v:textbox>
              </v:shape>
            </w:pict>
          </mc:Fallback>
        </mc:AlternateContent>
      </w:r>
      <w:r>
        <w:rPr>
          <w:rFonts w:hint="eastAsia" w:ascii="仿宋" w:hAnsi="仿宋" w:eastAsia="仿宋" w:cs="仿宋"/>
          <w:b/>
          <w:bCs/>
          <w:lang w:eastAsia="zh-CN"/>
        </w:rPr>
        <w:t>66</w:t>
      </w:r>
      <w:r>
        <w:rPr>
          <w:rFonts w:ascii="仿宋" w:hAnsi="仿宋" w:eastAsia="仿宋" w:cs="仿宋"/>
          <w:b/>
          <w:bCs/>
          <w:lang w:eastAsia="zh-CN"/>
        </w:rPr>
        <w:t>.1</w:t>
      </w:r>
    </w:p>
    <w:p w14:paraId="4DAAF3D6">
      <w:pPr>
        <w:pStyle w:val="33"/>
        <w:adjustRightInd w:val="0"/>
        <w:snapToGrid w:val="0"/>
        <w:spacing w:line="400" w:lineRule="exact"/>
        <w:ind w:left="1850" w:leftChars="771"/>
        <w:jc w:val="both"/>
        <w:rPr>
          <w:rFonts w:ascii="仿宋" w:hAnsi="仿宋" w:eastAsia="仿宋"/>
          <w:lang w:eastAsia="zh-CN"/>
        </w:rPr>
      </w:pPr>
      <w:r>
        <w:rPr>
          <w:rFonts w:hint="eastAsia" w:ascii="仿宋" w:hAnsi="仿宋" w:eastAsia="仿宋" w:cs="仿宋"/>
          <w:lang w:eastAsia="zh-CN"/>
        </w:rPr>
        <w:t>合同双方当事人应在专用条款中约定缺陷责任期。</w:t>
      </w:r>
    </w:p>
    <w:p w14:paraId="04FBC8A3">
      <w:pPr>
        <w:pStyle w:val="33"/>
        <w:adjustRightInd w:val="0"/>
        <w:snapToGrid w:val="0"/>
        <w:spacing w:line="400" w:lineRule="exact"/>
        <w:ind w:left="1850" w:leftChars="771"/>
        <w:jc w:val="both"/>
        <w:rPr>
          <w:rFonts w:ascii="仿宋" w:hAnsi="仿宋" w:eastAsia="仿宋"/>
          <w:b/>
          <w:bCs/>
          <w:lang w:eastAsia="zh-CN"/>
        </w:rPr>
      </w:pPr>
      <w:r>
        <w:rPr>
          <w:rFonts w:hint="eastAsia" w:ascii="仿宋" w:hAnsi="仿宋" w:eastAsia="仿宋" w:cs="仿宋"/>
          <w:lang w:eastAsia="zh-CN"/>
        </w:rPr>
        <w:t>缺陷责任期自实际通过竣工验收之日起计算。在全部工程竣工验收前，已经发包人提前验收的单项工程，其缺陷责任期的起算日期相应提前。</w:t>
      </w:r>
    </w:p>
    <w:p w14:paraId="4F96F0DA">
      <w:pPr>
        <w:spacing w:line="400" w:lineRule="exact"/>
        <w:rPr>
          <w:rFonts w:ascii="仿宋" w:hAnsi="仿宋" w:eastAsia="仿宋"/>
          <w:b/>
          <w:bCs/>
          <w:lang w:eastAsia="zh-CN"/>
        </w:rPr>
      </w:pPr>
      <w:bookmarkStart w:id="538" w:name="_Toc22228"/>
      <w:r>
        <mc:AlternateContent>
          <mc:Choice Requires="wps">
            <w:drawing>
              <wp:anchor distT="0" distB="0" distL="114300" distR="114300" simplePos="0" relativeHeight="252050432" behindDoc="0" locked="0" layoutInCell="1" allowOverlap="1">
                <wp:simplePos x="0" y="0"/>
                <wp:positionH relativeFrom="column">
                  <wp:posOffset>-114300</wp:posOffset>
                </wp:positionH>
                <wp:positionV relativeFrom="paragraph">
                  <wp:posOffset>287020</wp:posOffset>
                </wp:positionV>
                <wp:extent cx="838200" cy="451485"/>
                <wp:effectExtent l="0" t="0" r="0" b="0"/>
                <wp:wrapNone/>
                <wp:docPr id="298" name="文本框 946"/>
                <wp:cNvGraphicFramePr/>
                <a:graphic xmlns:a="http://schemas.openxmlformats.org/drawingml/2006/main">
                  <a:graphicData uri="http://schemas.microsoft.com/office/word/2010/wordprocessingShape">
                    <wps:wsp>
                      <wps:cNvSpPr txBox="1"/>
                      <wps:spPr>
                        <a:xfrm>
                          <a:off x="0" y="0"/>
                          <a:ext cx="838200" cy="451485"/>
                        </a:xfrm>
                        <a:prstGeom prst="rect">
                          <a:avLst/>
                        </a:prstGeom>
                        <a:noFill/>
                        <a:ln w="12700">
                          <a:noFill/>
                        </a:ln>
                      </wps:spPr>
                      <wps:txbx>
                        <w:txbxContent>
                          <w:p w14:paraId="4EE62C0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5EC531B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txbxContent>
                      </wps:txbx>
                      <wps:bodyPr rot="0" vert="horz" wrap="square" lIns="91440" tIns="45720" rIns="91440" bIns="45720" anchor="t" anchorCtr="0"/>
                    </wps:wsp>
                  </a:graphicData>
                </a:graphic>
              </wp:anchor>
            </w:drawing>
          </mc:Choice>
          <mc:Fallback>
            <w:pict>
              <v:shape id="文本框 946" o:spid="_x0000_s1026" o:spt="202" type="#_x0000_t202" style="position:absolute;left:0pt;margin-left:-9pt;margin-top:22.6pt;height:35.55pt;width:66pt;z-index:252050432;mso-width-relative:page;mso-height-relative:page;" filled="f" stroked="f" coordsize="21600,21600" o:gfxdata="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djF&#10;EdgAAAAKAQAADwAAAAAAAAABACAAAAAiAAAAZHJzL2Rvd25yZXYueG1sUEsBAhQAFAAAAAgAh07i&#10;QD1R9zLpAQAAvgMAAA4AAAAAAAAAAQAgAAAAJwEAAGRycy9lMm9Eb2MueG1sUEsFBgAAAAAGAAYA&#10;WQEAAIIFAAAAAA==&#10;">
                <v:fill on="f" focussize="0,0"/>
                <v:stroke on="f" weight="1pt"/>
                <v:imagedata o:title=""/>
                <o:lock v:ext="edit" aspectratio="f"/>
                <v:textbox>
                  <w:txbxContent>
                    <w:p w14:paraId="4EE62C0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5EC531B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txbxContent>
                </v:textbox>
              </v:shape>
            </w:pict>
          </mc:Fallback>
        </mc:AlternateContent>
      </w:r>
      <w:r>
        <w:rPr>
          <w:rFonts w:hint="eastAsia" w:ascii="仿宋" w:hAnsi="仿宋" w:eastAsia="仿宋" w:cs="仿宋"/>
          <w:b/>
          <w:bCs/>
          <w:lang w:eastAsia="zh-CN"/>
        </w:rPr>
        <w:t>66</w:t>
      </w:r>
      <w:r>
        <w:rPr>
          <w:rFonts w:ascii="仿宋" w:hAnsi="仿宋" w:eastAsia="仿宋" w:cs="仿宋"/>
          <w:b/>
          <w:bCs/>
          <w:lang w:eastAsia="zh-CN"/>
        </w:rPr>
        <w:t>.2</w:t>
      </w:r>
      <w:bookmarkEnd w:id="538"/>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1C0EF29D">
      <w:pPr>
        <w:widowControl w:val="0"/>
        <w:spacing w:line="400" w:lineRule="exact"/>
        <w:ind w:left="1850" w:leftChars="771"/>
        <w:jc w:val="both"/>
        <w:rPr>
          <w:rFonts w:ascii="仿宋" w:hAnsi="仿宋" w:eastAsia="仿宋"/>
          <w:lang w:eastAsia="zh-CN"/>
        </w:rPr>
      </w:pPr>
      <w:r>
        <w:rPr>
          <w:rFonts w:hint="eastAsia" w:ascii="仿宋" w:hAnsi="仿宋" w:eastAsia="仿宋" w:cs="仿宋"/>
          <w:lang w:eastAsia="zh-CN"/>
        </w:rPr>
        <w:t>由于承包人原因造成某项缺陷或损坏使某项工程或工程设备不能按照原定目标使用而需要再次检查、检验和修复的，发包人有权要求承包人相应延长缺陷责任期，但缺陷责任期最长不超过</w:t>
      </w:r>
      <w:r>
        <w:rPr>
          <w:rFonts w:ascii="仿宋" w:hAnsi="仿宋" w:eastAsia="仿宋" w:cs="仿宋"/>
          <w:lang w:eastAsia="zh-CN"/>
        </w:rPr>
        <w:t>2</w:t>
      </w:r>
      <w:r>
        <w:rPr>
          <w:rFonts w:hint="eastAsia" w:ascii="仿宋" w:hAnsi="仿宋" w:eastAsia="仿宋" w:cs="仿宋"/>
          <w:lang w:eastAsia="zh-CN"/>
        </w:rPr>
        <w:t>年。</w:t>
      </w:r>
    </w:p>
    <w:p w14:paraId="44F50969">
      <w:pPr>
        <w:spacing w:line="400" w:lineRule="exact"/>
        <w:rPr>
          <w:rFonts w:ascii="仿宋" w:hAnsi="仿宋" w:eastAsia="仿宋"/>
          <w:b/>
          <w:bCs/>
          <w:lang w:eastAsia="zh-CN"/>
        </w:rPr>
      </w:pPr>
      <w:bookmarkStart w:id="539" w:name="_Toc28278"/>
      <w:r>
        <mc:AlternateContent>
          <mc:Choice Requires="wps">
            <w:drawing>
              <wp:anchor distT="0" distB="0" distL="114300" distR="114300" simplePos="0" relativeHeight="252051456" behindDoc="0" locked="0" layoutInCell="1" allowOverlap="1">
                <wp:simplePos x="0" y="0"/>
                <wp:positionH relativeFrom="column">
                  <wp:posOffset>-114300</wp:posOffset>
                </wp:positionH>
                <wp:positionV relativeFrom="paragraph">
                  <wp:posOffset>287020</wp:posOffset>
                </wp:positionV>
                <wp:extent cx="742950" cy="441325"/>
                <wp:effectExtent l="0" t="0" r="0" b="0"/>
                <wp:wrapNone/>
                <wp:docPr id="299" name="文本框 947"/>
                <wp:cNvGraphicFramePr/>
                <a:graphic xmlns:a="http://schemas.openxmlformats.org/drawingml/2006/main">
                  <a:graphicData uri="http://schemas.microsoft.com/office/word/2010/wordprocessingShape">
                    <wps:wsp>
                      <wps:cNvSpPr txBox="1"/>
                      <wps:spPr>
                        <a:xfrm>
                          <a:off x="0" y="0"/>
                          <a:ext cx="742950" cy="441325"/>
                        </a:xfrm>
                        <a:prstGeom prst="rect">
                          <a:avLst/>
                        </a:prstGeom>
                        <a:noFill/>
                        <a:ln w="12700">
                          <a:noFill/>
                        </a:ln>
                      </wps:spPr>
                      <wps:txbx>
                        <w:txbxContent>
                          <w:p w14:paraId="61D1109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txbxContent>
                      </wps:txbx>
                      <wps:bodyPr rot="0" vert="horz" wrap="square" lIns="91440" tIns="45720" rIns="91440" bIns="45720" anchor="t" anchorCtr="0"/>
                    </wps:wsp>
                  </a:graphicData>
                </a:graphic>
              </wp:anchor>
            </w:drawing>
          </mc:Choice>
          <mc:Fallback>
            <w:pict>
              <v:shape id="文本框 947" o:spid="_x0000_s1026" o:spt="202" type="#_x0000_t202" style="position:absolute;left:0pt;margin-left:-9pt;margin-top:22.6pt;height:34.75pt;width:58.5pt;z-index:252051456;mso-width-relative:page;mso-height-relative:page;" filled="f" stroked="f" coordsize="21600,21600" o:gfxdata="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knH&#10;StcAAAAJAQAADwAAAAAAAAABACAAAAAiAAAAZHJzL2Rvd25yZXYueG1sUEsBAhQAFAAAAAgAh07i&#10;QOVZYTPqAQAAvgMAAA4AAAAAAAAAAQAgAAAAJgEAAGRycy9lMm9Eb2MueG1sUEsFBgAAAAAGAAYA&#10;WQEAAIIFAAAAAA==&#10;">
                <v:fill on="f" focussize="0,0"/>
                <v:stroke on="f" weight="1pt"/>
                <v:imagedata o:title=""/>
                <o:lock v:ext="edit" aspectratio="f"/>
                <v:textbox>
                  <w:txbxContent>
                    <w:p w14:paraId="61D1109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txbxContent>
                </v:textbox>
              </v:shape>
            </w:pict>
          </mc:Fallback>
        </mc:AlternateContent>
      </w:r>
      <w:r>
        <w:rPr>
          <w:rFonts w:hint="eastAsia" w:ascii="仿宋" w:hAnsi="仿宋" w:eastAsia="仿宋" w:cs="仿宋"/>
          <w:b/>
          <w:bCs/>
          <w:lang w:eastAsia="zh-CN"/>
        </w:rPr>
        <w:t>66</w:t>
      </w:r>
      <w:r>
        <w:rPr>
          <w:rFonts w:ascii="仿宋" w:hAnsi="仿宋" w:eastAsia="仿宋" w:cs="仿宋"/>
          <w:b/>
          <w:bCs/>
          <w:lang w:eastAsia="zh-CN"/>
        </w:rPr>
        <w:t>.3</w:t>
      </w:r>
      <w:bookmarkEnd w:id="539"/>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5DFB0FDC">
      <w:pPr>
        <w:pStyle w:val="33"/>
        <w:widowControl w:val="0"/>
        <w:adjustRightInd w:val="0"/>
        <w:snapToGrid w:val="0"/>
        <w:spacing w:line="400" w:lineRule="exact"/>
        <w:ind w:left="1850" w:leftChars="771"/>
        <w:jc w:val="both"/>
        <w:rPr>
          <w:rFonts w:ascii="仿宋" w:hAnsi="仿宋" w:eastAsia="仿宋"/>
          <w:lang w:eastAsia="zh-CN"/>
        </w:rPr>
      </w:pPr>
      <w:r>
        <w:rPr>
          <w:rFonts w:hint="eastAsia" w:ascii="仿宋" w:hAnsi="仿宋" w:eastAsia="仿宋" w:cs="仿宋"/>
          <w:lang w:eastAsia="zh-CN"/>
        </w:rPr>
        <w:t>合同工程存在某项缺陷或损坏的，合同双方当事人应按照下列约定承担缺陷责任以及由此产生的费用。</w:t>
      </w:r>
    </w:p>
    <w:p w14:paraId="4E939AF6">
      <w:pPr>
        <w:pStyle w:val="33"/>
        <w:widowControl w:val="0"/>
        <w:adjustRightInd w:val="0"/>
        <w:snapToGrid w:val="0"/>
        <w:spacing w:line="400" w:lineRule="exact"/>
        <w:ind w:left="1850" w:leftChars="771"/>
        <w:jc w:val="both"/>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1</w:t>
      </w:r>
      <w:r>
        <w:rPr>
          <w:rFonts w:hint="eastAsia" w:ascii="仿宋" w:hAnsi="仿宋" w:eastAsia="仿宋" w:cs="仿宋"/>
          <w:lang w:eastAsia="zh-CN"/>
        </w:rPr>
        <w:t>）承包人应在缺陷责任期内对已交付使用的工程承担缺陷责任。</w:t>
      </w:r>
    </w:p>
    <w:p w14:paraId="3BBDB945">
      <w:pPr>
        <w:pStyle w:val="33"/>
        <w:widowControl w:val="0"/>
        <w:adjustRightInd w:val="0"/>
        <w:snapToGrid w:val="0"/>
        <w:spacing w:line="400" w:lineRule="exact"/>
        <w:ind w:left="1850" w:leftChars="771"/>
        <w:jc w:val="both"/>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2</w:t>
      </w:r>
      <w:r>
        <w:rPr>
          <w:rFonts w:hint="eastAsia" w:ascii="仿宋" w:hAnsi="仿宋" w:eastAsia="仿宋" w:cs="仿宋"/>
          <w:lang w:eastAsia="zh-CN"/>
        </w:rPr>
        <w:t>）缺陷责任期内，发包人对已接收使用的工程负责日常维护工作。发包人在使用过程中，发现已接收的工程存在新的缺陷或已修复的缺陷部位或部件又遭损坏的，应及时通知承包人修复，承包人应在收到通知后的</w:t>
      </w:r>
      <w:r>
        <w:rPr>
          <w:rFonts w:ascii="仿宋" w:hAnsi="仿宋" w:eastAsia="仿宋" w:cs="仿宋"/>
          <w:lang w:eastAsia="zh-CN"/>
        </w:rPr>
        <w:t>7</w:t>
      </w:r>
      <w:r>
        <w:rPr>
          <w:rFonts w:hint="eastAsia" w:ascii="仿宋" w:hAnsi="仿宋" w:eastAsia="仿宋" w:cs="仿宋"/>
          <w:lang w:eastAsia="zh-CN"/>
        </w:rPr>
        <w:t>天内派人修复，直至检验合格为止。承包人未能在约定时间内修复的，发包人可自行或委托第三方修复，所需费用和利润按照本款第（</w:t>
      </w:r>
      <w:r>
        <w:rPr>
          <w:rFonts w:ascii="仿宋" w:hAnsi="仿宋" w:eastAsia="仿宋" w:cs="仿宋"/>
          <w:lang w:eastAsia="zh-CN"/>
        </w:rPr>
        <w:t>3</w:t>
      </w:r>
      <w:r>
        <w:rPr>
          <w:rFonts w:hint="eastAsia" w:ascii="仿宋" w:hAnsi="仿宋" w:eastAsia="仿宋" w:cs="仿宋"/>
          <w:lang w:eastAsia="zh-CN"/>
        </w:rPr>
        <w:t>）点约定办理。</w:t>
      </w:r>
    </w:p>
    <w:p w14:paraId="78AC23AD">
      <w:pPr>
        <w:pStyle w:val="33"/>
        <w:widowControl w:val="0"/>
        <w:adjustRightInd w:val="0"/>
        <w:snapToGrid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w:t>
      </w:r>
      <w:r>
        <w:rPr>
          <w:rFonts w:ascii="仿宋" w:hAnsi="仿宋" w:eastAsia="仿宋" w:cs="仿宋"/>
          <w:lang w:eastAsia="zh-CN"/>
        </w:rPr>
        <w:t>3</w:t>
      </w:r>
      <w:r>
        <w:rPr>
          <w:rFonts w:hint="eastAsia" w:ascii="仿宋" w:hAnsi="仿宋" w:eastAsia="仿宋" w:cs="仿宋"/>
          <w:lang w:eastAsia="zh-CN"/>
        </w:rPr>
        <w:t>）监理人应会同承包人共同查清缺陷和（或）损坏的原因，并由造价咨询人提出或核实由此发生的费用。经查明，因承包人原因造成的，由承包人承担修复和查验的费用；因发包人的原因造成的，发包人承担修复和查验的费用，并向承包人支付合理利润。</w:t>
      </w:r>
    </w:p>
    <w:p w14:paraId="66B4530A">
      <w:pPr>
        <w:spacing w:line="400" w:lineRule="exact"/>
        <w:rPr>
          <w:rFonts w:ascii="仿宋" w:hAnsi="仿宋" w:eastAsia="仿宋"/>
          <w:b/>
          <w:bCs/>
          <w:lang w:eastAsia="zh-CN"/>
        </w:rPr>
      </w:pPr>
      <w:bookmarkStart w:id="540" w:name="_Toc32142"/>
      <w:r>
        <w:rPr>
          <w:rFonts w:hint="eastAsia" w:ascii="仿宋" w:hAnsi="仿宋" w:eastAsia="仿宋" w:cs="仿宋"/>
          <w:b/>
          <w:bCs/>
          <w:lang w:eastAsia="zh-CN"/>
        </w:rPr>
        <w:t>66</w:t>
      </w:r>
      <w:r>
        <w:rPr>
          <w:rFonts w:ascii="仿宋" w:hAnsi="仿宋" w:eastAsia="仿宋" w:cs="仿宋"/>
          <w:b/>
          <w:bCs/>
          <w:lang w:eastAsia="zh-CN"/>
        </w:rPr>
        <w:t>.4</w:t>
      </w:r>
      <w:bookmarkEnd w:id="540"/>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3FB4A111">
      <w:pPr>
        <w:pStyle w:val="33"/>
        <w:widowControl w:val="0"/>
        <w:adjustRightInd w:val="0"/>
        <w:snapToGrid w:val="0"/>
        <w:spacing w:line="400" w:lineRule="exact"/>
        <w:ind w:left="1850" w:leftChars="771"/>
        <w:jc w:val="both"/>
        <w:rPr>
          <w:rFonts w:ascii="仿宋" w:hAnsi="仿宋" w:eastAsia="仿宋" w:cs="仿宋"/>
          <w:lang w:eastAsia="zh-CN"/>
        </w:rPr>
      </w:pPr>
      <w:r>
        <mc:AlternateContent>
          <mc:Choice Requires="wps">
            <w:drawing>
              <wp:anchor distT="0" distB="0" distL="114300" distR="114300" simplePos="0" relativeHeight="252052480" behindDoc="0" locked="0" layoutInCell="1" allowOverlap="1">
                <wp:simplePos x="0" y="0"/>
                <wp:positionH relativeFrom="column">
                  <wp:posOffset>-104775</wp:posOffset>
                </wp:positionH>
                <wp:positionV relativeFrom="paragraph">
                  <wp:posOffset>9525</wp:posOffset>
                </wp:positionV>
                <wp:extent cx="836295" cy="517525"/>
                <wp:effectExtent l="0" t="0" r="0" b="0"/>
                <wp:wrapNone/>
                <wp:docPr id="300" name="文本框 948"/>
                <wp:cNvGraphicFramePr/>
                <a:graphic xmlns:a="http://schemas.openxmlformats.org/drawingml/2006/main">
                  <a:graphicData uri="http://schemas.microsoft.com/office/word/2010/wordprocessingShape">
                    <wps:wsp>
                      <wps:cNvSpPr txBox="1"/>
                      <wps:spPr>
                        <a:xfrm>
                          <a:off x="0" y="0"/>
                          <a:ext cx="836295" cy="517525"/>
                        </a:xfrm>
                        <a:prstGeom prst="rect">
                          <a:avLst/>
                        </a:prstGeom>
                        <a:noFill/>
                        <a:ln w="12700">
                          <a:noFill/>
                        </a:ln>
                      </wps:spPr>
                      <wps:txbx>
                        <w:txbxContent>
                          <w:p w14:paraId="7C5F665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txbxContent>
                      </wps:txbx>
                      <wps:bodyPr rot="0" vert="horz" wrap="square" lIns="91440" tIns="45720" rIns="91440" bIns="45720" anchor="t" anchorCtr="0"/>
                    </wps:wsp>
                  </a:graphicData>
                </a:graphic>
              </wp:anchor>
            </w:drawing>
          </mc:Choice>
          <mc:Fallback>
            <w:pict>
              <v:shape id="文本框 948" o:spid="_x0000_s1026" o:spt="202" type="#_x0000_t202" style="position:absolute;left:0pt;margin-left:-8.25pt;margin-top:0.75pt;height:40.75pt;width:65.85pt;z-index:252052480;mso-width-relative:page;mso-height-relative:page;" filled="f" stroked="f" coordsize="21600,21600" o:gfxdata="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rSiDW&#10;AAAACAEAAA8AAAAAAAAAAQAgAAAAIgAAAGRycy9kb3ducmV2LnhtbFBLAQIUABQAAAAIAIdO4kCr&#10;c2PE6QEAAL4DAAAOAAAAAAAAAAEAIAAAACUBAABkcnMvZTJvRG9jLnhtbFBLBQYAAAAABgAGAFkB&#10;AACABQAAAAA=&#10;">
                <v:fill on="f" focussize="0,0"/>
                <v:stroke on="f" weight="1pt"/>
                <v:imagedata o:title=""/>
                <o:lock v:ext="edit" aspectratio="f"/>
                <v:textbox>
                  <w:txbxContent>
                    <w:p w14:paraId="7C5F665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txbxContent>
                </v:textbox>
              </v:shape>
            </w:pict>
          </mc:Fallback>
        </mc:AlternateContent>
      </w:r>
      <w:r>
        <w:rPr>
          <w:rFonts w:hint="eastAsia" w:ascii="仿宋" w:hAnsi="仿宋" w:eastAsia="仿宋" w:cs="仿宋"/>
          <w:lang w:eastAsia="zh-CN"/>
        </w:rPr>
        <w:t>任何一项缺陷或损坏修复后，经检查证明其影响了工程或工程设备的使用性能，承包人应按照第61条约定重新检（试）验，重新检（试）验的费用由责任方承担。</w:t>
      </w:r>
    </w:p>
    <w:p w14:paraId="525A322A">
      <w:pPr>
        <w:spacing w:line="400" w:lineRule="exact"/>
        <w:rPr>
          <w:rFonts w:ascii="仿宋" w:hAnsi="仿宋" w:eastAsia="仿宋"/>
          <w:b/>
          <w:bCs/>
          <w:lang w:eastAsia="zh-CN"/>
        </w:rPr>
      </w:pPr>
      <w:bookmarkStart w:id="541" w:name="_Toc14236"/>
      <w:r>
        <w:rPr>
          <w:rFonts w:hint="eastAsia" w:ascii="仿宋" w:hAnsi="仿宋" w:eastAsia="仿宋" w:cs="仿宋"/>
          <w:b/>
          <w:bCs/>
          <w:lang w:eastAsia="zh-CN"/>
        </w:rPr>
        <w:t>66</w:t>
      </w:r>
      <w:r>
        <w:rPr>
          <w:rFonts w:ascii="仿宋" w:hAnsi="仿宋" w:eastAsia="仿宋" w:cs="仿宋"/>
          <w:b/>
          <w:bCs/>
          <w:lang w:eastAsia="zh-CN"/>
        </w:rPr>
        <w:t>.5</w:t>
      </w:r>
      <w:bookmarkEnd w:id="541"/>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41796F43">
      <w:pPr>
        <w:widowControl w:val="0"/>
        <w:spacing w:line="400" w:lineRule="exact"/>
        <w:ind w:left="1850" w:leftChars="771"/>
        <w:jc w:val="both"/>
        <w:rPr>
          <w:rFonts w:ascii="仿宋" w:hAnsi="仿宋" w:eastAsia="仿宋"/>
          <w:b/>
          <w:bCs/>
          <w:lang w:eastAsia="zh-CN"/>
        </w:rPr>
      </w:pPr>
      <w:r>
        <mc:AlternateContent>
          <mc:Choice Requires="wps">
            <w:drawing>
              <wp:anchor distT="0" distB="0" distL="114300" distR="114300" simplePos="0" relativeHeight="252053504" behindDoc="0" locked="0" layoutInCell="1" allowOverlap="1">
                <wp:simplePos x="0" y="0"/>
                <wp:positionH relativeFrom="column">
                  <wp:posOffset>-114300</wp:posOffset>
                </wp:positionH>
                <wp:positionV relativeFrom="paragraph">
                  <wp:posOffset>40640</wp:posOffset>
                </wp:positionV>
                <wp:extent cx="838200" cy="419735"/>
                <wp:effectExtent l="0" t="0" r="0" b="0"/>
                <wp:wrapNone/>
                <wp:docPr id="301" name="文本框 949"/>
                <wp:cNvGraphicFramePr/>
                <a:graphic xmlns:a="http://schemas.openxmlformats.org/drawingml/2006/main">
                  <a:graphicData uri="http://schemas.microsoft.com/office/word/2010/wordprocessingShape">
                    <wps:wsp>
                      <wps:cNvSpPr txBox="1"/>
                      <wps:spPr>
                        <a:xfrm>
                          <a:off x="0" y="0"/>
                          <a:ext cx="838200" cy="419735"/>
                        </a:xfrm>
                        <a:prstGeom prst="rect">
                          <a:avLst/>
                        </a:prstGeom>
                        <a:noFill/>
                        <a:ln w="12700">
                          <a:noFill/>
                        </a:ln>
                      </wps:spPr>
                      <wps:txbx>
                        <w:txbxContent>
                          <w:p w14:paraId="7248CC2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txbxContent>
                      </wps:txbx>
                      <wps:bodyPr rot="0" vert="horz" wrap="square" lIns="91440" tIns="45720" rIns="91440" bIns="45720" anchor="t" anchorCtr="0"/>
                    </wps:wsp>
                  </a:graphicData>
                </a:graphic>
              </wp:anchor>
            </w:drawing>
          </mc:Choice>
          <mc:Fallback>
            <w:pict>
              <v:shape id="文本框 949" o:spid="_x0000_s1026" o:spt="202" type="#_x0000_t202" style="position:absolute;left:0pt;margin-left:-9pt;margin-top:3.2pt;height:33.05pt;width:66pt;z-index:252053504;mso-width-relative:page;mso-height-relative:page;" filled="f" stroked="f" coordsize="21600,21600" o:gfxdata="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PbsLzW&#10;AAAACAEAAA8AAAAAAAAAAQAgAAAAIgAAAGRycy9kb3ducmV2LnhtbFBLAQIUABQAAAAIAIdO4kCN&#10;k42I6QEAAL4DAAAOAAAAAAAAAAEAIAAAACUBAABkcnMvZTJvRG9jLnhtbFBLBQYAAAAABgAGAFkB&#10;AACABQAAAAA=&#10;">
                <v:fill on="f" focussize="0,0"/>
                <v:stroke on="f" weight="1pt"/>
                <v:imagedata o:title=""/>
                <o:lock v:ext="edit" aspectratio="f"/>
                <v:textbox>
                  <w:txbxContent>
                    <w:p w14:paraId="7248CC2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txbxContent>
                </v:textbox>
              </v:shape>
            </w:pict>
          </mc:Fallback>
        </mc:AlternateContent>
      </w:r>
      <w:r>
        <w:rPr>
          <w:rFonts w:hint="eastAsia" w:ascii="仿宋" w:hAnsi="仿宋" w:eastAsia="仿宋" w:cs="仿宋"/>
          <w:lang w:eastAsia="zh-CN"/>
        </w:rPr>
        <w:t>缺陷责任期内承包人为缺陷修复工作需要，有权进入工程现场，但应遵守发包人的保安和保密等规定。</w:t>
      </w:r>
    </w:p>
    <w:p w14:paraId="1C6144CC">
      <w:pPr>
        <w:spacing w:line="400" w:lineRule="exact"/>
        <w:rPr>
          <w:rFonts w:ascii="仿宋" w:hAnsi="仿宋" w:eastAsia="仿宋"/>
          <w:b/>
          <w:bCs/>
          <w:lang w:eastAsia="zh-CN"/>
        </w:rPr>
      </w:pPr>
      <w:bookmarkStart w:id="542" w:name="_Toc19809"/>
      <w:r>
        <mc:AlternateContent>
          <mc:Choice Requires="wps">
            <w:drawing>
              <wp:anchor distT="0" distB="0" distL="114300" distR="114300" simplePos="0" relativeHeight="252054528" behindDoc="0" locked="0" layoutInCell="1" allowOverlap="1">
                <wp:simplePos x="0" y="0"/>
                <wp:positionH relativeFrom="column">
                  <wp:posOffset>-95250</wp:posOffset>
                </wp:positionH>
                <wp:positionV relativeFrom="paragraph">
                  <wp:posOffset>259080</wp:posOffset>
                </wp:positionV>
                <wp:extent cx="790575" cy="546100"/>
                <wp:effectExtent l="0" t="0" r="0" b="0"/>
                <wp:wrapNone/>
                <wp:docPr id="302" name="文本框 950"/>
                <wp:cNvGraphicFramePr/>
                <a:graphic xmlns:a="http://schemas.openxmlformats.org/drawingml/2006/main">
                  <a:graphicData uri="http://schemas.microsoft.com/office/word/2010/wordprocessingShape">
                    <wps:wsp>
                      <wps:cNvSpPr txBox="1"/>
                      <wps:spPr>
                        <a:xfrm>
                          <a:off x="0" y="0"/>
                          <a:ext cx="790575" cy="546100"/>
                        </a:xfrm>
                        <a:prstGeom prst="rect">
                          <a:avLst/>
                        </a:prstGeom>
                        <a:noFill/>
                        <a:ln w="12700">
                          <a:noFill/>
                        </a:ln>
                      </wps:spPr>
                      <wps:txbx>
                        <w:txbxContent>
                          <w:p w14:paraId="6A9C3651">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颁发缺陷责任期终止证书</w:t>
                            </w:r>
                          </w:p>
                        </w:txbxContent>
                      </wps:txbx>
                      <wps:bodyPr rot="0" vert="horz" wrap="square" lIns="91440" tIns="45720" rIns="91440" bIns="45720" anchor="t" anchorCtr="0"/>
                    </wps:wsp>
                  </a:graphicData>
                </a:graphic>
              </wp:anchor>
            </w:drawing>
          </mc:Choice>
          <mc:Fallback>
            <w:pict>
              <v:shape id="文本框 950" o:spid="_x0000_s1026" o:spt="202" type="#_x0000_t202" style="position:absolute;left:0pt;margin-left:-7.5pt;margin-top:20.4pt;height:43pt;width:62.25pt;z-index:252054528;mso-width-relative:page;mso-height-relative:page;" filled="f" stroked="f" coordsize="21600,21600" o:gfxdata="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I86Si&#10;2AAAAAoBAAAPAAAAAAAAAAEAIAAAACIAAABkcnMvZG93bnJldi54bWxQSwECFAAUAAAACACHTuJA&#10;pL9RYOgBAAC+AwAADgAAAAAAAAABACAAAAAnAQAAZHJzL2Uyb0RvYy54bWxQSwUGAAAAAAYABgBZ&#10;AQAAgQUAAAAA&#10;">
                <v:fill on="f" focussize="0,0"/>
                <v:stroke on="f" weight="1pt"/>
                <v:imagedata o:title=""/>
                <o:lock v:ext="edit" aspectratio="f"/>
                <v:textbox>
                  <w:txbxContent>
                    <w:p w14:paraId="6A9C3651">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颁发缺陷责任期终止证书</w:t>
                      </w:r>
                    </w:p>
                  </w:txbxContent>
                </v:textbox>
              </v:shape>
            </w:pict>
          </mc:Fallback>
        </mc:AlternateContent>
      </w:r>
      <w:r>
        <w:rPr>
          <w:rFonts w:hint="eastAsia" w:ascii="仿宋" w:hAnsi="仿宋" w:eastAsia="仿宋" w:cs="仿宋"/>
          <w:b/>
          <w:bCs/>
          <w:lang w:eastAsia="zh-CN"/>
        </w:rPr>
        <w:t>66</w:t>
      </w:r>
      <w:r>
        <w:rPr>
          <w:rFonts w:ascii="仿宋" w:hAnsi="仿宋" w:eastAsia="仿宋" w:cs="仿宋"/>
          <w:b/>
          <w:bCs/>
          <w:lang w:eastAsia="zh-CN"/>
        </w:rPr>
        <w:t>.6</w:t>
      </w:r>
      <w:bookmarkEnd w:id="542"/>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02B5DDE1">
      <w:pPr>
        <w:widowControl w:val="0"/>
        <w:spacing w:line="400" w:lineRule="exact"/>
        <w:ind w:left="1850" w:leftChars="771"/>
        <w:jc w:val="both"/>
        <w:rPr>
          <w:rFonts w:ascii="仿宋" w:hAnsi="仿宋" w:eastAsia="仿宋"/>
          <w:b/>
          <w:bCs/>
          <w:lang w:eastAsia="zh-CN"/>
        </w:rPr>
      </w:pPr>
      <w:r>
        <w:rPr>
          <w:rFonts w:hint="eastAsia" w:ascii="仿宋" w:hAnsi="仿宋" w:eastAsia="仿宋" w:cs="仿宋"/>
          <w:lang w:eastAsia="zh-CN"/>
        </w:rPr>
        <w:t>在专用条款约定的缺陷责任期（包括第66</w:t>
      </w:r>
      <w:r>
        <w:rPr>
          <w:rFonts w:ascii="仿宋" w:hAnsi="仿宋" w:eastAsia="仿宋" w:cs="仿宋"/>
          <w:lang w:eastAsia="zh-CN"/>
        </w:rPr>
        <w:t>.2</w:t>
      </w:r>
      <w:r>
        <w:rPr>
          <w:rFonts w:hint="eastAsia" w:ascii="仿宋" w:hAnsi="仿宋" w:eastAsia="仿宋" w:cs="仿宋"/>
          <w:lang w:eastAsia="zh-CN"/>
        </w:rPr>
        <w:t>款延长的期限）终止后的</w:t>
      </w:r>
      <w:r>
        <w:rPr>
          <w:rFonts w:ascii="仿宋" w:hAnsi="仿宋" w:eastAsia="仿宋" w:cs="仿宋"/>
          <w:lang w:eastAsia="zh-CN"/>
        </w:rPr>
        <w:t>14</w:t>
      </w:r>
      <w:r>
        <w:rPr>
          <w:rFonts w:hint="eastAsia" w:ascii="仿宋" w:hAnsi="仿宋" w:eastAsia="仿宋" w:cs="仿宋"/>
          <w:lang w:eastAsia="zh-CN"/>
        </w:rPr>
        <w:t>天内，发包人应向承包人颁发缺陷责任期终止证书，并返还相应的质量保证金。</w:t>
      </w:r>
    </w:p>
    <w:p w14:paraId="57EEAA1E">
      <w:pPr>
        <w:spacing w:line="400" w:lineRule="exact"/>
        <w:rPr>
          <w:rFonts w:ascii="仿宋" w:hAnsi="仿宋" w:eastAsia="仿宋"/>
          <w:b/>
          <w:bCs/>
          <w:lang w:eastAsia="zh-CN"/>
        </w:rPr>
      </w:pPr>
      <w:bookmarkStart w:id="543" w:name="_Toc4724"/>
      <w:r>
        <mc:AlternateContent>
          <mc:Choice Requires="wps">
            <w:drawing>
              <wp:anchor distT="0" distB="0" distL="114300" distR="114300" simplePos="0" relativeHeight="252055552" behindDoc="0" locked="0" layoutInCell="1" allowOverlap="1">
                <wp:simplePos x="0" y="0"/>
                <wp:positionH relativeFrom="column">
                  <wp:posOffset>-114300</wp:posOffset>
                </wp:positionH>
                <wp:positionV relativeFrom="paragraph">
                  <wp:posOffset>287020</wp:posOffset>
                </wp:positionV>
                <wp:extent cx="762000" cy="594360"/>
                <wp:effectExtent l="0" t="0" r="0" b="0"/>
                <wp:wrapNone/>
                <wp:docPr id="303" name="文本框 951"/>
                <wp:cNvGraphicFramePr/>
                <a:graphic xmlns:a="http://schemas.openxmlformats.org/drawingml/2006/main">
                  <a:graphicData uri="http://schemas.microsoft.com/office/word/2010/wordprocessingShape">
                    <wps:wsp>
                      <wps:cNvSpPr txBox="1"/>
                      <wps:spPr>
                        <a:xfrm>
                          <a:off x="0" y="0"/>
                          <a:ext cx="762000" cy="594360"/>
                        </a:xfrm>
                        <a:prstGeom prst="rect">
                          <a:avLst/>
                        </a:prstGeom>
                        <a:noFill/>
                        <a:ln w="12700">
                          <a:noFill/>
                        </a:ln>
                      </wps:spPr>
                      <wps:txbx>
                        <w:txbxContent>
                          <w:p w14:paraId="6EE546F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txbxContent>
                      </wps:txbx>
                      <wps:bodyPr rot="0" vert="horz" wrap="square" lIns="91440" tIns="45720" rIns="91440" bIns="45720" anchor="t" anchorCtr="0"/>
                    </wps:wsp>
                  </a:graphicData>
                </a:graphic>
              </wp:anchor>
            </w:drawing>
          </mc:Choice>
          <mc:Fallback>
            <w:pict>
              <v:shape id="文本框 951" o:spid="_x0000_s1026" o:spt="202" type="#_x0000_t202" style="position:absolute;left:0pt;margin-left:-9pt;margin-top:22.6pt;height:46.8pt;width:60pt;z-index:252055552;mso-width-relative:page;mso-height-relative:page;" filled="f" stroked="f" coordsize="21600,21600" o:gfxdata="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6Og/r&#10;2AAAAAoBAAAPAAAAAAAAAAEAIAAAACIAAABkcnMvZG93bnJldi54bWxQSwECFAAUAAAACACHTuJA&#10;s7jAuOgBAAC+AwAADgAAAAAAAAABACAAAAAnAQAAZHJzL2Uyb0RvYy54bWxQSwUGAAAAAAYABgBZ&#10;AQAAgQUAAAAA&#10;">
                <v:fill on="f" focussize="0,0"/>
                <v:stroke on="f" weight="1pt"/>
                <v:imagedata o:title=""/>
                <o:lock v:ext="edit" aspectratio="f"/>
                <v:textbox>
                  <w:txbxContent>
                    <w:p w14:paraId="6EE546F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txbxContent>
                </v:textbox>
              </v:shape>
            </w:pict>
          </mc:Fallback>
        </mc:AlternateContent>
      </w:r>
      <w:r>
        <w:rPr>
          <w:rFonts w:hint="eastAsia" w:ascii="仿宋" w:hAnsi="仿宋" w:eastAsia="仿宋" w:cs="仿宋"/>
          <w:b/>
          <w:bCs/>
          <w:lang w:eastAsia="zh-CN"/>
        </w:rPr>
        <w:t>66</w:t>
      </w:r>
      <w:r>
        <w:rPr>
          <w:rFonts w:ascii="仿宋" w:hAnsi="仿宋" w:eastAsia="仿宋" w:cs="仿宋"/>
          <w:b/>
          <w:bCs/>
          <w:lang w:eastAsia="zh-CN"/>
        </w:rPr>
        <w:t>.7</w:t>
      </w:r>
      <w:bookmarkEnd w:id="543"/>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63DCB506">
      <w:pPr>
        <w:widowControl w:val="0"/>
        <w:spacing w:line="400" w:lineRule="exact"/>
        <w:ind w:left="1850" w:leftChars="771"/>
        <w:jc w:val="both"/>
        <w:rPr>
          <w:rFonts w:ascii="仿宋" w:hAnsi="仿宋" w:eastAsia="仿宋"/>
          <w:lang w:eastAsia="zh-CN"/>
        </w:rPr>
      </w:pPr>
      <w:r>
        <w:rPr>
          <w:rFonts w:hint="eastAsia" w:ascii="仿宋" w:hAnsi="仿宋" w:eastAsia="仿宋" w:cs="仿宋"/>
          <w:lang w:eastAsia="zh-CN"/>
        </w:rPr>
        <w:t>合同双方当事人应根据法律的有关规定，在承包人向发包人提交竣工验收申请报告前，共同签署合同工程质量保修书，作为本合同的附件。工程质量保修书应具体明确质量保修范围、期限、责任和费用等事项。</w:t>
      </w:r>
    </w:p>
    <w:p w14:paraId="3A3F1DC1">
      <w:pPr>
        <w:spacing w:line="400" w:lineRule="exact"/>
        <w:rPr>
          <w:rFonts w:ascii="仿宋" w:hAnsi="仿宋" w:eastAsia="仿宋"/>
          <w:lang w:eastAsia="zh-CN"/>
        </w:rPr>
      </w:pPr>
      <w:bookmarkStart w:id="544" w:name="_Toc31105"/>
      <w:r>
        <mc:AlternateContent>
          <mc:Choice Requires="wps">
            <w:drawing>
              <wp:anchor distT="0" distB="0" distL="114300" distR="114300" simplePos="0" relativeHeight="252056576" behindDoc="0" locked="0" layoutInCell="1" allowOverlap="1">
                <wp:simplePos x="0" y="0"/>
                <wp:positionH relativeFrom="column">
                  <wp:posOffset>-114300</wp:posOffset>
                </wp:positionH>
                <wp:positionV relativeFrom="paragraph">
                  <wp:posOffset>287020</wp:posOffset>
                </wp:positionV>
                <wp:extent cx="781050" cy="641350"/>
                <wp:effectExtent l="0" t="0" r="0" b="0"/>
                <wp:wrapNone/>
                <wp:docPr id="304" name="文本框 952"/>
                <wp:cNvGraphicFramePr/>
                <a:graphic xmlns:a="http://schemas.openxmlformats.org/drawingml/2006/main">
                  <a:graphicData uri="http://schemas.microsoft.com/office/word/2010/wordprocessingShape">
                    <wps:wsp>
                      <wps:cNvSpPr txBox="1"/>
                      <wps:spPr>
                        <a:xfrm>
                          <a:off x="0" y="0"/>
                          <a:ext cx="781050" cy="641350"/>
                        </a:xfrm>
                        <a:prstGeom prst="rect">
                          <a:avLst/>
                        </a:prstGeom>
                        <a:noFill/>
                        <a:ln w="12700">
                          <a:noFill/>
                        </a:ln>
                      </wps:spPr>
                      <wps:txbx>
                        <w:txbxContent>
                          <w:p w14:paraId="171DC24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txbxContent>
                      </wps:txbx>
                      <wps:bodyPr rot="0" vert="horz" wrap="square" lIns="91440" tIns="45720" rIns="91440" bIns="45720" anchor="t" anchorCtr="0"/>
                    </wps:wsp>
                  </a:graphicData>
                </a:graphic>
              </wp:anchor>
            </w:drawing>
          </mc:Choice>
          <mc:Fallback>
            <w:pict>
              <v:shape id="文本框 952" o:spid="_x0000_s1026" o:spt="202" type="#_x0000_t202" style="position:absolute;left:0pt;margin-left:-9pt;margin-top:22.6pt;height:50.5pt;width:61.5pt;z-index:252056576;mso-width-relative:page;mso-height-relative:page;" filled="f" stroked="f" coordsize="21600,21600" o:gfxdata="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zl&#10;YxTYAAAACgEAAA8AAAAAAAAAAQAgAAAAIgAAAGRycy9kb3ducmV2LnhtbFBLAQIUABQAAAAIAIdO&#10;4kBMIq1K6gEAAL4DAAAOAAAAAAAAAAEAIAAAACcBAABkcnMvZTJvRG9jLnhtbFBLBQYAAAAABgAG&#10;AFkBAACDBQAAAAA=&#10;">
                <v:fill on="f" focussize="0,0"/>
                <v:stroke on="f" weight="1pt"/>
                <v:imagedata o:title=""/>
                <o:lock v:ext="edit" aspectratio="f"/>
                <v:textbox>
                  <w:txbxContent>
                    <w:p w14:paraId="171DC24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txbxContent>
                </v:textbox>
              </v:shape>
            </w:pict>
          </mc:Fallback>
        </mc:AlternateContent>
      </w:r>
      <w:r>
        <w:rPr>
          <w:rFonts w:hint="eastAsia" w:ascii="仿宋" w:hAnsi="仿宋" w:eastAsia="仿宋" w:cs="仿宋"/>
          <w:b/>
          <w:bCs/>
          <w:lang w:eastAsia="zh-CN"/>
        </w:rPr>
        <w:t>66</w:t>
      </w:r>
      <w:r>
        <w:rPr>
          <w:rFonts w:ascii="仿宋" w:hAnsi="仿宋" w:eastAsia="仿宋" w:cs="仿宋"/>
          <w:b/>
          <w:bCs/>
          <w:lang w:eastAsia="zh-CN"/>
        </w:rPr>
        <w:t>.8</w:t>
      </w:r>
      <w:bookmarkEnd w:id="544"/>
      <w:r>
        <w:rPr>
          <w:rFonts w:ascii="仿宋" w:hAnsi="仿宋" w:eastAsia="仿宋" w:cs="仿宋"/>
          <w:b/>
          <w:bCs/>
          <w:lang w:eastAsia="zh-CN"/>
        </w:rPr>
        <w:t xml:space="preserve"> </w:t>
      </w:r>
      <w:r>
        <w:rPr>
          <w:rFonts w:ascii="仿宋" w:hAnsi="仿宋" w:eastAsia="仿宋" w:cs="仿宋"/>
          <w:lang w:eastAsia="zh-CN"/>
        </w:rPr>
        <w:t xml:space="preserve"> </w:t>
      </w:r>
      <w:r>
        <w:rPr>
          <w:rFonts w:ascii="仿宋" w:hAnsi="仿宋" w:eastAsia="仿宋" w:cs="仿宋"/>
          <w:u w:val="dotted"/>
          <w:lang w:eastAsia="zh-CN"/>
        </w:rPr>
        <w:t xml:space="preserve">                                                  </w:t>
      </w:r>
      <w:r>
        <w:rPr>
          <w:rFonts w:hint="eastAsia" w:ascii="仿宋" w:hAnsi="仿宋" w:eastAsia="仿宋" w:cs="仿宋"/>
          <w:u w:val="dotted"/>
          <w:lang w:eastAsia="zh-CN"/>
        </w:rPr>
        <w:t xml:space="preserve">   </w:t>
      </w:r>
      <w:r>
        <w:rPr>
          <w:rFonts w:ascii="仿宋" w:hAnsi="仿宋" w:eastAsia="仿宋" w:cs="仿宋"/>
          <w:u w:val="dotted"/>
          <w:lang w:eastAsia="zh-CN"/>
        </w:rPr>
        <w:t xml:space="preserve">                          </w:t>
      </w:r>
    </w:p>
    <w:p w14:paraId="77B607EE">
      <w:pPr>
        <w:widowControl w:val="0"/>
        <w:spacing w:line="400" w:lineRule="exact"/>
        <w:ind w:left="1850" w:leftChars="771"/>
        <w:jc w:val="both"/>
        <w:rPr>
          <w:rFonts w:ascii="仿宋" w:hAnsi="仿宋" w:eastAsia="仿宋"/>
          <w:lang w:eastAsia="zh-CN"/>
        </w:rPr>
      </w:pPr>
      <w:r>
        <w:rPr>
          <w:rFonts w:hint="eastAsia" w:ascii="仿宋" w:hAnsi="仿宋" w:eastAsia="仿宋" w:cs="仿宋"/>
          <w:lang w:eastAsia="zh-CN"/>
        </w:rPr>
        <w:t>合同双方当事人应在专用条款和合同工程质量保修书中约定质量保修期，但不得低于《房屋建筑工程质量保修办法》第七条以及《建设工程质量管理条例》第四十条规定的最低保修期限。</w:t>
      </w:r>
    </w:p>
    <w:p w14:paraId="030B9276">
      <w:pPr>
        <w:widowControl w:val="0"/>
        <w:spacing w:line="400" w:lineRule="exact"/>
        <w:ind w:left="1850" w:leftChars="771"/>
        <w:jc w:val="both"/>
        <w:rPr>
          <w:rFonts w:ascii="仿宋" w:hAnsi="仿宋" w:eastAsia="仿宋"/>
          <w:lang w:eastAsia="zh-CN"/>
        </w:rPr>
      </w:pPr>
      <w:r>
        <w:rPr>
          <w:rFonts w:hint="eastAsia" w:ascii="仿宋" w:hAnsi="仿宋" w:eastAsia="仿宋" w:cs="仿宋"/>
          <w:lang w:eastAsia="zh-CN"/>
        </w:rPr>
        <w:t>质量保修期自竣工验收</w:t>
      </w:r>
      <w:r>
        <w:rPr>
          <w:rFonts w:ascii="仿宋" w:hAnsi="仿宋" w:eastAsia="仿宋" w:cs="仿宋"/>
          <w:lang w:eastAsia="zh-CN"/>
        </w:rPr>
        <w:t>合格</w:t>
      </w:r>
      <w:r>
        <w:rPr>
          <w:rFonts w:hint="eastAsia" w:ascii="仿宋" w:hAnsi="仿宋" w:eastAsia="仿宋" w:cs="仿宋"/>
          <w:lang w:eastAsia="zh-CN"/>
        </w:rPr>
        <w:t>之日起计算。在全部工程竣工验收前，已经发包人提前验收的单项工程，其质量保修期的起算日期相应提前。</w:t>
      </w:r>
    </w:p>
    <w:p w14:paraId="63AEE165">
      <w:pPr>
        <w:spacing w:line="400" w:lineRule="exact"/>
        <w:rPr>
          <w:rFonts w:ascii="仿宋" w:hAnsi="仿宋" w:eastAsia="仿宋" w:cs="仿宋"/>
          <w:b/>
          <w:bCs/>
          <w:u w:val="dotted"/>
          <w:lang w:eastAsia="zh-CN"/>
        </w:rPr>
      </w:pPr>
      <w:bookmarkStart w:id="545" w:name="_Toc1338"/>
      <w:r>
        <w:rPr>
          <w:rFonts w:hint="eastAsia" w:ascii="仿宋" w:hAnsi="仿宋" w:eastAsia="仿宋" w:cs="仿宋"/>
          <w:b/>
          <w:bCs/>
          <w:lang w:eastAsia="zh-CN"/>
        </w:rPr>
        <w:t>66</w:t>
      </w:r>
      <w:r>
        <w:rPr>
          <w:rFonts w:ascii="仿宋" w:hAnsi="仿宋" w:eastAsia="仿宋" w:cs="仿宋"/>
          <w:b/>
          <w:bCs/>
          <w:lang w:eastAsia="zh-CN"/>
        </w:rPr>
        <w:t>.9</w:t>
      </w:r>
      <w:bookmarkEnd w:id="545"/>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3DA1270C">
      <w:pPr>
        <w:widowControl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854848" behindDoc="0" locked="0" layoutInCell="1" allowOverlap="1">
                <wp:simplePos x="0" y="0"/>
                <wp:positionH relativeFrom="column">
                  <wp:posOffset>-73660</wp:posOffset>
                </wp:positionH>
                <wp:positionV relativeFrom="paragraph">
                  <wp:posOffset>15240</wp:posOffset>
                </wp:positionV>
                <wp:extent cx="774700" cy="487045"/>
                <wp:effectExtent l="0" t="0" r="0" b="0"/>
                <wp:wrapNone/>
                <wp:docPr id="305" name="文本框 953"/>
                <wp:cNvGraphicFramePr/>
                <a:graphic xmlns:a="http://schemas.openxmlformats.org/drawingml/2006/main">
                  <a:graphicData uri="http://schemas.microsoft.com/office/word/2010/wordprocessingShape">
                    <wps:wsp>
                      <wps:cNvSpPr txBox="1"/>
                      <wps:spPr>
                        <a:xfrm>
                          <a:off x="0" y="0"/>
                          <a:ext cx="774700" cy="487045"/>
                        </a:xfrm>
                        <a:prstGeom prst="rect">
                          <a:avLst/>
                        </a:prstGeom>
                        <a:noFill/>
                        <a:ln w="12700">
                          <a:noFill/>
                        </a:ln>
                      </wps:spPr>
                      <wps:txbx>
                        <w:txbxContent>
                          <w:p w14:paraId="7EB1ECF8">
                            <w:pPr>
                              <w:rPr>
                                <w:rFonts w:ascii="楷体_GB2312" w:hAnsi="宋体" w:eastAsia="楷体_GB2312"/>
                                <w:sz w:val="18"/>
                                <w:szCs w:val="18"/>
                              </w:rPr>
                            </w:pPr>
                            <w:r>
                              <w:rPr>
                                <w:rFonts w:hint="eastAsia" w:ascii="楷体_GB2312" w:hAnsi="宋体" w:eastAsia="楷体_GB2312" w:cs="楷体_GB2312"/>
                                <w:b/>
                                <w:bCs/>
                                <w:color w:val="000000"/>
                                <w:sz w:val="18"/>
                                <w:szCs w:val="18"/>
                              </w:rPr>
                              <w:t>工程质量保修</w:t>
                            </w:r>
                          </w:p>
                        </w:txbxContent>
                      </wps:txbx>
                      <wps:bodyPr rot="0" vert="horz" wrap="square" lIns="91440" tIns="45720" rIns="91440" bIns="45720" anchor="t" anchorCtr="0"/>
                    </wps:wsp>
                  </a:graphicData>
                </a:graphic>
              </wp:anchor>
            </w:drawing>
          </mc:Choice>
          <mc:Fallback>
            <w:pict>
              <v:shape id="文本框 953" o:spid="_x0000_s1026" o:spt="202" type="#_x0000_t202" style="position:absolute;left:0pt;margin-left:-5.8pt;margin-top:1.2pt;height:38.35pt;width:61pt;z-index:251854848;mso-width-relative:page;mso-height-relative:page;" filled="f" stroked="f" coordsize="21600,21600" o:gfxdata="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30luh9YA&#10;AAAIAQAADwAAAAAAAAABACAAAAAiAAAAZHJzL2Rvd25yZXYueG1sUEsBAhQAFAAAAAgAh07iQB3m&#10;PsHoAQAAvgMAAA4AAAAAAAAAAQAgAAAAJQEAAGRycy9lMm9Eb2MueG1sUEsFBgAAAAAGAAYAWQEA&#10;AH8FAAAAAA==&#10;">
                <v:fill on="f" focussize="0,0"/>
                <v:stroke on="f" weight="1pt"/>
                <v:imagedata o:title=""/>
                <o:lock v:ext="edit" aspectratio="f"/>
                <v:textbox>
                  <w:txbxContent>
                    <w:p w14:paraId="7EB1ECF8">
                      <w:pPr>
                        <w:rPr>
                          <w:rFonts w:ascii="楷体_GB2312" w:hAnsi="宋体" w:eastAsia="楷体_GB2312"/>
                          <w:sz w:val="18"/>
                          <w:szCs w:val="18"/>
                        </w:rPr>
                      </w:pPr>
                      <w:r>
                        <w:rPr>
                          <w:rFonts w:hint="eastAsia" w:ascii="楷体_GB2312" w:hAnsi="宋体" w:eastAsia="楷体_GB2312" w:cs="楷体_GB2312"/>
                          <w:b/>
                          <w:bCs/>
                          <w:color w:val="000000"/>
                          <w:sz w:val="18"/>
                          <w:szCs w:val="18"/>
                        </w:rPr>
                        <w:t>工程质量保修</w:t>
                      </w:r>
                    </w:p>
                  </w:txbxContent>
                </v:textbox>
              </v:shape>
            </w:pict>
          </mc:Fallback>
        </mc:AlternateContent>
      </w:r>
      <w:r>
        <w:rPr>
          <w:rFonts w:hint="eastAsia" w:ascii="仿宋" w:hAnsi="仿宋" w:eastAsia="仿宋" w:cs="仿宋"/>
          <w:lang w:eastAsia="zh-CN"/>
        </w:rPr>
        <w:t>承包人应在质量保修期内对交付发包人使用的合同工程承担质量保修责任。合同工程出现质量问题的，承包人应立即实施保修；承包人保修工作完成后，发包人应及时组织验收。发生紧急抢修事故的，承包人应在接到通知后立即到达事故现场抢修。</w:t>
      </w:r>
    </w:p>
    <w:p w14:paraId="0BF38153">
      <w:pPr>
        <w:spacing w:line="400" w:lineRule="exact"/>
        <w:rPr>
          <w:rFonts w:ascii="仿宋" w:hAnsi="仿宋" w:eastAsia="仿宋" w:cs="仿宋"/>
          <w:u w:val="dotted"/>
          <w:lang w:eastAsia="zh-CN"/>
        </w:rPr>
      </w:pPr>
      <w:bookmarkStart w:id="546" w:name="_Toc13407"/>
      <w:r>
        <mc:AlternateContent>
          <mc:Choice Requires="wps">
            <w:drawing>
              <wp:anchor distT="0" distB="0" distL="114300" distR="114300" simplePos="0" relativeHeight="252057600" behindDoc="0" locked="0" layoutInCell="1" allowOverlap="1">
                <wp:simplePos x="0" y="0"/>
                <wp:positionH relativeFrom="column">
                  <wp:posOffset>-66675</wp:posOffset>
                </wp:positionH>
                <wp:positionV relativeFrom="paragraph">
                  <wp:posOffset>208915</wp:posOffset>
                </wp:positionV>
                <wp:extent cx="784860" cy="626745"/>
                <wp:effectExtent l="0" t="0" r="0" b="0"/>
                <wp:wrapNone/>
                <wp:docPr id="306" name="文本框 954"/>
                <wp:cNvGraphicFramePr/>
                <a:graphic xmlns:a="http://schemas.openxmlformats.org/drawingml/2006/main">
                  <a:graphicData uri="http://schemas.microsoft.com/office/word/2010/wordprocessingShape">
                    <wps:wsp>
                      <wps:cNvSpPr txBox="1"/>
                      <wps:spPr>
                        <a:xfrm>
                          <a:off x="0" y="0"/>
                          <a:ext cx="784860" cy="626745"/>
                        </a:xfrm>
                        <a:prstGeom prst="rect">
                          <a:avLst/>
                        </a:prstGeom>
                        <a:noFill/>
                        <a:ln w="12700">
                          <a:noFill/>
                        </a:ln>
                      </wps:spPr>
                      <wps:txbx>
                        <w:txbxContent>
                          <w:p w14:paraId="0FECF7FE">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修复质量缺陷以外的费用</w:t>
                            </w:r>
                          </w:p>
                        </w:txbxContent>
                      </wps:txbx>
                      <wps:bodyPr rot="0" vert="horz" wrap="square" lIns="91440" tIns="45720" rIns="91440" bIns="45720" anchor="t" anchorCtr="0"/>
                    </wps:wsp>
                  </a:graphicData>
                </a:graphic>
              </wp:anchor>
            </w:drawing>
          </mc:Choice>
          <mc:Fallback>
            <w:pict>
              <v:shape id="文本框 954" o:spid="_x0000_s1026" o:spt="202" type="#_x0000_t202" style="position:absolute;left:0pt;margin-left:-5.25pt;margin-top:16.45pt;height:49.35pt;width:61.8pt;z-index:252057600;mso-width-relative:page;mso-height-relative:page;" filled="f" stroked="f" coordsize="21600,21600" o:gfxdata="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AO&#10;vnPXAAAACgEAAA8AAAAAAAAAAQAgAAAAIgAAAGRycy9kb3ducmV2LnhtbFBLAQIUABQAAAAIAIdO&#10;4kA+upbJ6wEAAL4DAAAOAAAAAAAAAAEAIAAAACYBAABkcnMvZTJvRG9jLnhtbFBLBQYAAAAABgAG&#10;AFkBAACDBQAAAAA=&#10;">
                <v:fill on="f" focussize="0,0"/>
                <v:stroke on="f" weight="1pt"/>
                <v:imagedata o:title=""/>
                <o:lock v:ext="edit" aspectratio="f"/>
                <v:textbox>
                  <w:txbxContent>
                    <w:p w14:paraId="0FECF7FE">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修复质量缺陷以外的费用</w:t>
                      </w:r>
                    </w:p>
                  </w:txbxContent>
                </v:textbox>
              </v:shape>
            </w:pict>
          </mc:Fallback>
        </mc:AlternateContent>
      </w:r>
      <w:r>
        <w:rPr>
          <w:rFonts w:hint="eastAsia" w:ascii="仿宋" w:hAnsi="仿宋" w:eastAsia="仿宋" w:cs="仿宋"/>
          <w:b/>
          <w:bCs/>
          <w:lang w:eastAsia="zh-CN"/>
        </w:rPr>
        <w:t>66</w:t>
      </w:r>
      <w:r>
        <w:rPr>
          <w:rFonts w:ascii="仿宋" w:hAnsi="仿宋" w:eastAsia="仿宋" w:cs="仿宋"/>
          <w:b/>
          <w:bCs/>
          <w:lang w:eastAsia="zh-CN"/>
        </w:rPr>
        <w:t>.10</w:t>
      </w:r>
      <w:bookmarkEnd w:id="546"/>
      <w:r>
        <w:rPr>
          <w:rFonts w:ascii="仿宋" w:hAnsi="仿宋" w:eastAsia="仿宋" w:cs="仿宋"/>
          <w:b/>
          <w:bCs/>
          <w:lang w:eastAsia="zh-CN"/>
        </w:rPr>
        <w:t xml:space="preserve"> </w:t>
      </w:r>
      <w:r>
        <w:rPr>
          <w:rFonts w:ascii="仿宋" w:hAnsi="仿宋" w:eastAsia="仿宋" w:cs="仿宋"/>
          <w:lang w:eastAsia="zh-CN"/>
        </w:rPr>
        <w:t xml:space="preserve"> </w:t>
      </w:r>
      <w:r>
        <w:rPr>
          <w:rFonts w:ascii="仿宋" w:hAnsi="仿宋" w:eastAsia="仿宋" w:cs="仿宋"/>
          <w:u w:val="dotted"/>
          <w:lang w:eastAsia="zh-CN"/>
        </w:rPr>
        <w:t xml:space="preserve">                                                                              </w:t>
      </w:r>
    </w:p>
    <w:p w14:paraId="0307CB7D">
      <w:pPr>
        <w:widowControl w:val="0"/>
        <w:spacing w:line="400" w:lineRule="exact"/>
        <w:ind w:left="1850" w:leftChars="771"/>
        <w:jc w:val="both"/>
        <w:rPr>
          <w:rFonts w:ascii="仿宋" w:hAnsi="仿宋" w:eastAsia="仿宋"/>
          <w:lang w:eastAsia="zh-CN"/>
        </w:rPr>
      </w:pPr>
      <w:r>
        <w:rPr>
          <w:rFonts w:hint="eastAsia" w:ascii="仿宋" w:hAnsi="仿宋" w:eastAsia="仿宋" w:cs="仿宋"/>
          <w:lang w:eastAsia="zh-CN"/>
        </w:rPr>
        <w:t>承包人修复属于质量缺陷以外的费用，由责任方承担。</w:t>
      </w:r>
    </w:p>
    <w:p w14:paraId="53251D59">
      <w:pPr>
        <w:adjustRightInd w:val="0"/>
        <w:snapToGrid w:val="0"/>
        <w:spacing w:line="400" w:lineRule="exact"/>
        <w:rPr>
          <w:rFonts w:ascii="仿宋" w:hAnsi="仿宋" w:eastAsia="仿宋" w:cs="仿宋"/>
          <w:u w:val="single"/>
          <w:lang w:eastAsia="zh-CN"/>
        </w:rPr>
      </w:pPr>
      <w:r>
        <w:rPr>
          <w:rFonts w:ascii="仿宋" w:hAnsi="仿宋" w:eastAsia="仿宋" w:cs="仿宋"/>
          <w:b/>
          <w:bCs/>
          <w:u w:val="single"/>
          <w:lang w:eastAsia="zh-CN"/>
        </w:rPr>
        <w:t xml:space="preserve">                                                                                 </w:t>
      </w:r>
      <w:r>
        <w:rPr>
          <w:rFonts w:ascii="仿宋" w:hAnsi="仿宋" w:eastAsia="仿宋" w:cs="仿宋"/>
          <w:u w:val="single"/>
          <w:lang w:eastAsia="zh-CN"/>
        </w:rPr>
        <w:t xml:space="preserve">     </w:t>
      </w:r>
    </w:p>
    <w:p w14:paraId="7A5C2D76">
      <w:pPr>
        <w:tabs>
          <w:tab w:val="left" w:pos="1620"/>
        </w:tabs>
        <w:adjustRightInd w:val="0"/>
        <w:snapToGrid w:val="0"/>
        <w:spacing w:line="400" w:lineRule="exact"/>
        <w:jc w:val="center"/>
        <w:outlineLvl w:val="1"/>
        <w:rPr>
          <w:lang w:eastAsia="zh-CN"/>
        </w:rPr>
      </w:pPr>
      <w:bookmarkStart w:id="547" w:name="_Toc194073177"/>
      <w:bookmarkStart w:id="548" w:name="_Toc22409"/>
      <w:bookmarkStart w:id="549" w:name="_Toc4741"/>
      <w:bookmarkStart w:id="550" w:name="_Toc19020"/>
      <w:r>
        <w:rPr>
          <w:rFonts w:hint="eastAsia" w:ascii="仿宋" w:hAnsi="仿宋" w:eastAsia="仿宋" w:cs="仿宋"/>
          <w:b/>
          <w:bCs/>
          <w:lang w:eastAsia="zh-CN"/>
        </w:rPr>
        <w:t>七、合同价格</w:t>
      </w:r>
      <w:bookmarkEnd w:id="547"/>
      <w:bookmarkEnd w:id="548"/>
      <w:bookmarkEnd w:id="549"/>
      <w:bookmarkEnd w:id="550"/>
    </w:p>
    <w:p w14:paraId="6FAC2CD8">
      <w:pPr>
        <w:pStyle w:val="4"/>
        <w:tabs>
          <w:tab w:val="left" w:pos="420"/>
        </w:tabs>
        <w:spacing w:before="0" w:after="0" w:line="400" w:lineRule="exact"/>
        <w:rPr>
          <w:rFonts w:ascii="仿宋" w:hAnsi="仿宋" w:eastAsia="仿宋" w:cs="仿宋"/>
          <w:bCs w:val="0"/>
          <w:sz w:val="24"/>
          <w:szCs w:val="24"/>
          <w:lang w:eastAsia="zh-CN"/>
        </w:rPr>
      </w:pPr>
      <w:bookmarkStart w:id="551" w:name="_Toc13959"/>
      <w:bookmarkStart w:id="552" w:name="_Toc19662"/>
      <w:bookmarkStart w:id="553" w:name="_Toc194073178"/>
      <w:bookmarkStart w:id="554" w:name="_Toc27679"/>
      <w:r>
        <w:rPr>
          <w:rFonts w:ascii="仿宋" w:hAnsi="仿宋" w:eastAsia="仿宋" w:cs="仿宋"/>
          <w:bCs w:val="0"/>
          <w:sz w:val="24"/>
          <w:szCs w:val="24"/>
          <w:lang w:eastAsia="zh-CN"/>
        </w:rPr>
        <w:t>6</w:t>
      </w:r>
      <w:r>
        <w:rPr>
          <w:rFonts w:hint="eastAsia" w:ascii="仿宋" w:hAnsi="仿宋" w:eastAsia="仿宋" w:cs="仿宋"/>
          <w:bCs w:val="0"/>
          <w:sz w:val="24"/>
          <w:szCs w:val="24"/>
          <w:lang w:eastAsia="zh-CN"/>
        </w:rPr>
        <w:t>7</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资金计划和安排</w:t>
      </w:r>
      <w:bookmarkEnd w:id="551"/>
      <w:bookmarkEnd w:id="552"/>
      <w:bookmarkEnd w:id="553"/>
      <w:bookmarkEnd w:id="554"/>
    </w:p>
    <w:p w14:paraId="36C39ECD">
      <w:pPr>
        <w:pStyle w:val="22"/>
        <w:adjustRightInd w:val="0"/>
        <w:snapToGrid w:val="0"/>
        <w:spacing w:line="400" w:lineRule="exact"/>
        <w:rPr>
          <w:rFonts w:ascii="仿宋" w:hAnsi="仿宋" w:eastAsia="仿宋" w:cs="仿宋"/>
          <w:b/>
          <w:bCs/>
          <w:sz w:val="24"/>
          <w:szCs w:val="24"/>
          <w:lang w:eastAsia="zh-CN"/>
        </w:rPr>
      </w:pPr>
      <w:r>
        <w:rPr>
          <w:rFonts w:ascii="仿宋" w:hAnsi="仿宋" w:eastAsia="仿宋" w:cs="仿宋"/>
          <w:b/>
          <w:bCs/>
          <w:sz w:val="24"/>
          <w:szCs w:val="24"/>
          <w:lang w:eastAsia="zh-CN"/>
        </w:rPr>
        <w:t>6</w:t>
      </w:r>
      <w:r>
        <w:rPr>
          <w:rFonts w:hint="eastAsia" w:ascii="仿宋" w:hAnsi="仿宋" w:eastAsia="仿宋" w:cs="仿宋"/>
          <w:b/>
          <w:bCs/>
          <w:sz w:val="24"/>
          <w:szCs w:val="24"/>
          <w:lang w:eastAsia="zh-CN"/>
        </w:rPr>
        <w:t>7</w:t>
      </w:r>
      <w:r>
        <w:rPr>
          <w:rFonts w:ascii="仿宋" w:hAnsi="仿宋" w:eastAsia="仿宋" w:cs="仿宋"/>
          <w:b/>
          <w:bCs/>
          <w:sz w:val="24"/>
          <w:szCs w:val="24"/>
          <w:lang w:eastAsia="zh-CN"/>
        </w:rPr>
        <w:t>.1</w:t>
      </w:r>
    </w:p>
    <w:p w14:paraId="357CCED0">
      <w:pPr>
        <w:widowControl w:val="0"/>
        <w:spacing w:line="400" w:lineRule="exact"/>
        <w:ind w:left="1850" w:leftChars="771"/>
        <w:jc w:val="both"/>
        <w:rPr>
          <w:rFonts w:ascii="仿宋" w:hAnsi="仿宋" w:eastAsia="仿宋"/>
          <w:b/>
          <w:bCs/>
          <w:lang w:eastAsia="zh-CN"/>
        </w:rPr>
      </w:pPr>
      <w:r>
        <mc:AlternateContent>
          <mc:Choice Requires="wps">
            <w:drawing>
              <wp:anchor distT="0" distB="0" distL="114300" distR="114300" simplePos="0" relativeHeight="251856896" behindDoc="0" locked="0" layoutInCell="1" allowOverlap="1">
                <wp:simplePos x="0" y="0"/>
                <wp:positionH relativeFrom="column">
                  <wp:posOffset>-133350</wp:posOffset>
                </wp:positionH>
                <wp:positionV relativeFrom="paragraph">
                  <wp:posOffset>68580</wp:posOffset>
                </wp:positionV>
                <wp:extent cx="842645" cy="556895"/>
                <wp:effectExtent l="0" t="0" r="0" b="0"/>
                <wp:wrapNone/>
                <wp:docPr id="307" name="文本框 957"/>
                <wp:cNvGraphicFramePr/>
                <a:graphic xmlns:a="http://schemas.openxmlformats.org/drawingml/2006/main">
                  <a:graphicData uri="http://schemas.microsoft.com/office/word/2010/wordprocessingShape">
                    <wps:wsp>
                      <wps:cNvSpPr txBox="1"/>
                      <wps:spPr>
                        <a:xfrm>
                          <a:off x="0" y="0"/>
                          <a:ext cx="842645" cy="556895"/>
                        </a:xfrm>
                        <a:prstGeom prst="rect">
                          <a:avLst/>
                        </a:prstGeom>
                        <a:noFill/>
                        <a:ln w="12700">
                          <a:noFill/>
                        </a:ln>
                      </wps:spPr>
                      <wps:txbx>
                        <w:txbxContent>
                          <w:p w14:paraId="4DAB5274">
                            <w:pPr>
                              <w:pStyle w:val="17"/>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承包人提交资金需求计划书</w:t>
                            </w:r>
                          </w:p>
                        </w:txbxContent>
                      </wps:txbx>
                      <wps:bodyPr rot="0" vert="horz" wrap="square" lIns="91440" tIns="45720" rIns="91440" bIns="45720" anchor="t" anchorCtr="0"/>
                    </wps:wsp>
                  </a:graphicData>
                </a:graphic>
              </wp:anchor>
            </w:drawing>
          </mc:Choice>
          <mc:Fallback>
            <w:pict>
              <v:shape id="文本框 957" o:spid="_x0000_s1026" o:spt="202" type="#_x0000_t202" style="position:absolute;left:0pt;margin-left:-10.5pt;margin-top:5.4pt;height:43.85pt;width:66.35pt;z-index:251856896;mso-width-relative:page;mso-height-relative:page;" filled="f" stroked="f" coordsize="21600,21600" o:gfxdata="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4zs7r&#10;1gAAAAkBAAAPAAAAAAAAAAEAIAAAACIAAABkcnMvZG93bnJldi54bWxQSwECFAAUAAAACACHTuJA&#10;NtkSHeoBAAC+AwAADgAAAAAAAAABACAAAAAlAQAAZHJzL2Uyb0RvYy54bWxQSwUGAAAAAAYABgBZ&#10;AQAAgQUAAAAA&#10;">
                <v:fill on="f" focussize="0,0"/>
                <v:stroke on="f" weight="1pt"/>
                <v:imagedata o:title=""/>
                <o:lock v:ext="edit" aspectratio="f"/>
                <v:textbox>
                  <w:txbxContent>
                    <w:p w14:paraId="4DAB5274">
                      <w:pPr>
                        <w:pStyle w:val="17"/>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承包人提交资金需求计划书</w:t>
                      </w:r>
                    </w:p>
                  </w:txbxContent>
                </v:textbox>
              </v:shape>
            </w:pict>
          </mc:Fallback>
        </mc:AlternateContent>
      </w:r>
      <w:r>
        <w:rPr>
          <w:rFonts w:hint="eastAsia" w:ascii="仿宋" w:hAnsi="仿宋" w:eastAsia="仿宋" w:cs="仿宋"/>
          <w:lang w:eastAsia="zh-CN"/>
        </w:rPr>
        <w:t>勘察、设计等工作进度及工程进度计划被批准后，承包人应向发包人提交一份合同工程资金需求计划书；勘察、设计等工作进度及工程进度计划更新后，承包人应及时向发包人提交一份更新后的工程资金需求计划书。</w:t>
      </w:r>
    </w:p>
    <w:p w14:paraId="5778B25D">
      <w:pPr>
        <w:pStyle w:val="22"/>
        <w:adjustRightInd w:val="0"/>
        <w:snapToGrid w:val="0"/>
        <w:spacing w:line="400" w:lineRule="exact"/>
        <w:ind w:left="1617" w:hanging="1617" w:hangingChars="671"/>
        <w:rPr>
          <w:rFonts w:ascii="仿宋" w:hAnsi="仿宋" w:eastAsia="仿宋"/>
          <w:b/>
          <w:bCs/>
          <w:sz w:val="24"/>
          <w:szCs w:val="24"/>
          <w:lang w:eastAsia="zh-CN"/>
        </w:rPr>
      </w:pPr>
      <w:r>
        <w:rPr>
          <w:rFonts w:ascii="仿宋" w:hAnsi="仿宋" w:eastAsia="仿宋" w:cs="仿宋"/>
          <w:b/>
          <w:bCs/>
          <w:sz w:val="24"/>
          <w:szCs w:val="24"/>
          <w:lang w:eastAsia="zh-CN"/>
        </w:rPr>
        <w:t>6</w:t>
      </w:r>
      <w:r>
        <w:rPr>
          <w:rFonts w:hint="eastAsia" w:ascii="仿宋" w:hAnsi="仿宋" w:eastAsia="仿宋" w:cs="仿宋"/>
          <w:b/>
          <w:bCs/>
          <w:sz w:val="24"/>
          <w:szCs w:val="24"/>
          <w:lang w:eastAsia="zh-CN"/>
        </w:rPr>
        <w:t>7</w:t>
      </w:r>
      <w:r>
        <w:rPr>
          <w:rFonts w:ascii="仿宋" w:hAnsi="仿宋" w:eastAsia="仿宋" w:cs="仿宋"/>
          <w:b/>
          <w:bCs/>
          <w:sz w:val="24"/>
          <w:szCs w:val="24"/>
          <w:lang w:eastAsia="zh-CN"/>
        </w:rPr>
        <w:t xml:space="preserve">.2  </w:t>
      </w:r>
      <w:r>
        <w:rPr>
          <w:rFonts w:ascii="仿宋" w:hAnsi="仿宋" w:eastAsia="仿宋" w:cs="仿宋"/>
          <w:b/>
          <w:bCs/>
          <w:sz w:val="24"/>
          <w:szCs w:val="24"/>
          <w:u w:val="dotted"/>
          <w:lang w:eastAsia="zh-CN"/>
        </w:rPr>
        <w:t xml:space="preserve">                                                                               </w:t>
      </w:r>
    </w:p>
    <w:p w14:paraId="3A8AF8DB">
      <w:pPr>
        <w:widowControl w:val="0"/>
        <w:spacing w:line="400" w:lineRule="exact"/>
        <w:ind w:left="1850" w:leftChars="771"/>
        <w:jc w:val="both"/>
        <w:rPr>
          <w:rFonts w:ascii="仿宋" w:hAnsi="仿宋" w:eastAsia="仿宋" w:cs="仿宋"/>
          <w:lang w:eastAsia="zh-CN"/>
        </w:rPr>
      </w:pPr>
      <w:r>
        <mc:AlternateContent>
          <mc:Choice Requires="wps">
            <w:drawing>
              <wp:anchor distT="0" distB="0" distL="114300" distR="114300" simplePos="0" relativeHeight="251857920" behindDoc="0" locked="0" layoutInCell="1" allowOverlap="1">
                <wp:simplePos x="0" y="0"/>
                <wp:positionH relativeFrom="column">
                  <wp:posOffset>-114300</wp:posOffset>
                </wp:positionH>
                <wp:positionV relativeFrom="paragraph">
                  <wp:posOffset>34290</wp:posOffset>
                </wp:positionV>
                <wp:extent cx="756920" cy="587375"/>
                <wp:effectExtent l="0" t="0" r="0" b="0"/>
                <wp:wrapNone/>
                <wp:docPr id="308" name="文本框 958"/>
                <wp:cNvGraphicFramePr/>
                <a:graphic xmlns:a="http://schemas.openxmlformats.org/drawingml/2006/main">
                  <a:graphicData uri="http://schemas.microsoft.com/office/word/2010/wordprocessingShape">
                    <wps:wsp>
                      <wps:cNvSpPr txBox="1"/>
                      <wps:spPr>
                        <a:xfrm>
                          <a:off x="0" y="0"/>
                          <a:ext cx="756920" cy="587375"/>
                        </a:xfrm>
                        <a:prstGeom prst="rect">
                          <a:avLst/>
                        </a:prstGeom>
                        <a:noFill/>
                        <a:ln w="12700">
                          <a:noFill/>
                        </a:ln>
                      </wps:spPr>
                      <wps:txbx>
                        <w:txbxContent>
                          <w:p w14:paraId="3B1E6C75">
                            <w:pPr>
                              <w:pStyle w:val="17"/>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发包人提供资金安排证据</w:t>
                            </w:r>
                          </w:p>
                        </w:txbxContent>
                      </wps:txbx>
                      <wps:bodyPr rot="0" vert="horz" wrap="square" lIns="91440" tIns="45720" rIns="91440" bIns="45720" anchor="t" anchorCtr="0"/>
                    </wps:wsp>
                  </a:graphicData>
                </a:graphic>
              </wp:anchor>
            </w:drawing>
          </mc:Choice>
          <mc:Fallback>
            <w:pict>
              <v:shape id="文本框 958" o:spid="_x0000_s1026" o:spt="202" type="#_x0000_t202" style="position:absolute;left:0pt;margin-left:-9pt;margin-top:2.7pt;height:46.25pt;width:59.6pt;z-index:251857920;mso-width-relative:page;mso-height-relative:page;" filled="f" stroked="f" coordsize="21600,21600" o:gfxdata="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E&#10;ziBH2AAAAAgBAAAPAAAAAAAAAAEAIAAAACIAAABkcnMvZG93bnJldi54bWxQSwECFAAUAAAACACH&#10;TuJABqhvIusBAAC+AwAADgAAAAAAAAABACAAAAAnAQAAZHJzL2Uyb0RvYy54bWxQSwUGAAAAAAYA&#10;BgBZAQAAhAUAAAAA&#10;">
                <v:fill on="f" focussize="0,0"/>
                <v:stroke on="f" weight="1pt"/>
                <v:imagedata o:title=""/>
                <o:lock v:ext="edit" aspectratio="f"/>
                <v:textbox>
                  <w:txbxContent>
                    <w:p w14:paraId="3B1E6C75">
                      <w:pPr>
                        <w:pStyle w:val="17"/>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发包人提供资金安排证据</w:t>
                      </w:r>
                    </w:p>
                  </w:txbxContent>
                </v:textbox>
              </v:shape>
            </w:pict>
          </mc:Fallback>
        </mc:AlternateContent>
      </w:r>
      <w:r>
        <w:rPr>
          <w:rFonts w:hint="eastAsia" w:ascii="仿宋" w:hAnsi="仿宋" w:eastAsia="仿宋" w:cs="仿宋"/>
          <w:lang w:eastAsia="zh-CN"/>
        </w:rPr>
        <w:t>发包人在收到承包人提交的工程资金需求计划书后</w:t>
      </w:r>
      <w:r>
        <w:rPr>
          <w:rFonts w:ascii="仿宋" w:hAnsi="仿宋" w:eastAsia="仿宋" w:cs="仿宋"/>
          <w:lang w:eastAsia="zh-CN"/>
        </w:rPr>
        <w:t>28</w:t>
      </w:r>
      <w:r>
        <w:rPr>
          <w:rFonts w:hint="eastAsia" w:ascii="仿宋" w:hAnsi="仿宋" w:eastAsia="仿宋" w:cs="仿宋"/>
          <w:lang w:eastAsia="zh-CN"/>
        </w:rPr>
        <w:t>天内，应根据合同约定提供已做出资金安排的合理证据，表明自己有能力按照第83条约定支付合同价款。如果发包人对资金安排作出任何变更时，应及时将变更的详情通知承包人。</w:t>
      </w:r>
    </w:p>
    <w:p w14:paraId="102148E6">
      <w:pPr>
        <w:spacing w:line="400" w:lineRule="exact"/>
        <w:rPr>
          <w:lang w:eastAsia="zh-CN"/>
        </w:rPr>
      </w:pPr>
      <w:r>
        <w:rPr>
          <w:rFonts w:ascii="仿宋" w:hAnsi="仿宋" w:eastAsia="仿宋" w:cs="仿宋"/>
          <w:b/>
          <w:bCs/>
          <w:u w:val="single"/>
          <w:lang w:eastAsia="zh-CN"/>
        </w:rPr>
        <w:t xml:space="preserve">                                                                                 </w:t>
      </w:r>
      <w:r>
        <w:rPr>
          <w:rFonts w:ascii="仿宋" w:hAnsi="仿宋" w:eastAsia="仿宋" w:cs="仿宋"/>
          <w:u w:val="single"/>
          <w:lang w:eastAsia="zh-CN"/>
        </w:rPr>
        <w:t xml:space="preserve">    </w:t>
      </w:r>
    </w:p>
    <w:p w14:paraId="74EFEA1D">
      <w:pPr>
        <w:pStyle w:val="4"/>
        <w:tabs>
          <w:tab w:val="left" w:pos="360"/>
          <w:tab w:val="left" w:pos="420"/>
        </w:tabs>
        <w:spacing w:before="0" w:after="0" w:line="400" w:lineRule="exact"/>
        <w:rPr>
          <w:rFonts w:ascii="仿宋" w:hAnsi="仿宋" w:eastAsia="仿宋" w:cs="仿宋"/>
          <w:bCs w:val="0"/>
          <w:sz w:val="24"/>
          <w:szCs w:val="24"/>
          <w:lang w:eastAsia="zh-CN"/>
        </w:rPr>
      </w:pPr>
      <w:bookmarkStart w:id="555" w:name="_Toc27454"/>
      <w:bookmarkStart w:id="556" w:name="_Toc20992"/>
      <w:bookmarkStart w:id="557" w:name="_Toc194073179"/>
      <w:bookmarkStart w:id="558" w:name="_Toc16414"/>
      <w:r>
        <w:rPr>
          <w:rFonts w:hint="eastAsia" w:ascii="仿宋" w:hAnsi="仿宋" w:eastAsia="仿宋" w:cs="仿宋"/>
          <w:bCs w:val="0"/>
          <w:sz w:val="24"/>
          <w:szCs w:val="24"/>
          <w:lang w:eastAsia="zh-CN"/>
        </w:rPr>
        <w:t>68</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联合体牵头人项目管理费</w:t>
      </w:r>
      <w:bookmarkEnd w:id="555"/>
      <w:bookmarkEnd w:id="556"/>
      <w:bookmarkEnd w:id="557"/>
      <w:bookmarkEnd w:id="558"/>
    </w:p>
    <w:p w14:paraId="3A040A66">
      <w:pPr>
        <w:widowControl w:val="0"/>
        <w:spacing w:line="400" w:lineRule="exact"/>
        <w:ind w:left="1850" w:leftChars="771"/>
        <w:jc w:val="both"/>
        <w:rPr>
          <w:rFonts w:ascii="仿宋" w:hAnsi="仿宋" w:eastAsia="仿宋" w:cs="仿宋"/>
          <w:lang w:eastAsia="zh-CN"/>
        </w:rPr>
      </w:pPr>
      <w:r>
        <w:rPr>
          <w:rFonts w:ascii="仿宋" w:hAnsi="仿宋" w:eastAsia="仿宋" w:cs="仿宋"/>
        </w:rPr>
        <mc:AlternateContent>
          <mc:Choice Requires="wps">
            <w:drawing>
              <wp:anchor distT="0" distB="0" distL="114300" distR="114300" simplePos="0" relativeHeight="252105728" behindDoc="0" locked="0" layoutInCell="1" allowOverlap="1">
                <wp:simplePos x="0" y="0"/>
                <wp:positionH relativeFrom="column">
                  <wp:posOffset>-114300</wp:posOffset>
                </wp:positionH>
                <wp:positionV relativeFrom="paragraph">
                  <wp:posOffset>27305</wp:posOffset>
                </wp:positionV>
                <wp:extent cx="785495" cy="1016000"/>
                <wp:effectExtent l="0" t="0" r="0" b="0"/>
                <wp:wrapNone/>
                <wp:docPr id="309" name="文本框 9"/>
                <wp:cNvGraphicFramePr/>
                <a:graphic xmlns:a="http://schemas.openxmlformats.org/drawingml/2006/main">
                  <a:graphicData uri="http://schemas.microsoft.com/office/word/2010/wordprocessingShape">
                    <wps:wsp>
                      <wps:cNvSpPr txBox="1"/>
                      <wps:spPr>
                        <a:xfrm>
                          <a:off x="0" y="0"/>
                          <a:ext cx="785495" cy="1016000"/>
                        </a:xfrm>
                        <a:prstGeom prst="rect">
                          <a:avLst/>
                        </a:prstGeom>
                        <a:noFill/>
                        <a:ln w="12700">
                          <a:noFill/>
                        </a:ln>
                      </wps:spPr>
                      <wps:txbx>
                        <w:txbxContent>
                          <w:p w14:paraId="53534628">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牵头人项目管理费的约定</w:t>
                            </w:r>
                          </w:p>
                        </w:txbxContent>
                      </wps:txbx>
                      <wps:bodyPr rot="0" vert="horz" wrap="square" lIns="91440" tIns="45720" rIns="91440" bIns="45720" anchor="t" anchorCtr="0"/>
                    </wps:wsp>
                  </a:graphicData>
                </a:graphic>
              </wp:anchor>
            </w:drawing>
          </mc:Choice>
          <mc:Fallback>
            <w:pict>
              <v:shape id="文本框 9" o:spid="_x0000_s1026" o:spt="202" type="#_x0000_t202" style="position:absolute;left:0pt;margin-left:-9pt;margin-top:2.15pt;height:80pt;width:61.85pt;z-index:252105728;mso-width-relative:page;mso-height-relative:page;" filled="f" stroked="f" coordsize="21600,21600" o:gfxdata="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6Djle&#10;1wAAAAkBAAAPAAAAAAAAAAEAIAAAACIAAABkcnMvZG93bnJldi54bWxQSwECFAAUAAAACACHTuJA&#10;wqUEKukBAAC9AwAADgAAAAAAAAABACAAAAAmAQAAZHJzL2Uyb0RvYy54bWxQSwUGAAAAAAYABgBZ&#10;AQAAgQUAAAAA&#10;">
                <v:fill on="f" focussize="0,0"/>
                <v:stroke on="f" weight="1pt"/>
                <v:imagedata o:title=""/>
                <o:lock v:ext="edit" aspectratio="f"/>
                <v:textbox>
                  <w:txbxContent>
                    <w:p w14:paraId="53534628">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牵头人项目管理费的约定</w:t>
                      </w:r>
                    </w:p>
                  </w:txbxContent>
                </v:textbox>
              </v:shape>
            </w:pict>
          </mc:Fallback>
        </mc:AlternateContent>
      </w:r>
      <w:r>
        <w:rPr>
          <w:rFonts w:hint="eastAsia" w:ascii="仿宋" w:hAnsi="仿宋" w:eastAsia="仿宋" w:cs="仿宋"/>
          <w:lang w:eastAsia="zh-CN"/>
        </w:rPr>
        <w:t>承包人为联合体时，联合体牵头人对联合体各成员负责组织、管理和协调方面的工作。牵头人项目管理费的金额由合同双方当事人在本合同协议书中约定，该费用已包含在合同总价中，发包人不另行增加该费用。</w:t>
      </w:r>
    </w:p>
    <w:p w14:paraId="1360BF22">
      <w:pPr>
        <w:widowControl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牵头人项目管理费由发包人直接支付给联合体牵头人并从合同总价中扣除，支付时间、支付比例在专用条款中约定。</w:t>
      </w:r>
    </w:p>
    <w:p w14:paraId="4A8ABE06">
      <w:pPr>
        <w:widowControl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合同履行期间，若牵头人及其授权的承包人代表不作为或存在过错，发包人有权部分或全部扣除该费用，并追究相关责任，扣除金额或比例在专用条款中约定。</w:t>
      </w:r>
    </w:p>
    <w:p w14:paraId="42FBDFB1">
      <w:pPr>
        <w:widowControl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牵头人项目管理费由</w:t>
      </w:r>
      <w:r>
        <w:rPr>
          <w:rFonts w:ascii="仿宋" w:hAnsi="仿宋" w:eastAsia="仿宋" w:cs="仿宋"/>
          <w:lang w:eastAsia="zh-CN"/>
        </w:rPr>
        <w:t>联合体</w:t>
      </w:r>
      <w:r>
        <w:rPr>
          <w:rFonts w:hint="eastAsia" w:ascii="仿宋" w:hAnsi="仿宋" w:eastAsia="仿宋" w:cs="仿宋"/>
          <w:lang w:eastAsia="zh-CN"/>
        </w:rPr>
        <w:t>各</w:t>
      </w:r>
      <w:r>
        <w:rPr>
          <w:rFonts w:ascii="仿宋" w:hAnsi="仿宋" w:eastAsia="仿宋" w:cs="仿宋"/>
          <w:lang w:eastAsia="zh-CN"/>
        </w:rPr>
        <w:t>成员</w:t>
      </w:r>
      <w:r>
        <w:rPr>
          <w:rFonts w:hint="eastAsia" w:ascii="仿宋" w:hAnsi="仿宋" w:eastAsia="仿宋" w:cs="仿宋"/>
          <w:lang w:eastAsia="zh-CN"/>
        </w:rPr>
        <w:t>单位分摊，联合体各成员单位分摊的金额、计费方式、支付方式以及违约处罚方式，由联合体各成员单位在联合体承包协议书中约定。</w:t>
      </w:r>
    </w:p>
    <w:p w14:paraId="5AA10715">
      <w:pPr>
        <w:pStyle w:val="22"/>
        <w:adjustRightInd w:val="0"/>
        <w:snapToGrid w:val="0"/>
        <w:spacing w:line="400" w:lineRule="exact"/>
        <w:rPr>
          <w:rFonts w:ascii="仿宋" w:hAnsi="仿宋" w:eastAsia="仿宋"/>
          <w:b/>
          <w:bCs/>
          <w:sz w:val="24"/>
          <w:szCs w:val="24"/>
          <w:lang w:eastAsia="zh-CN"/>
        </w:rPr>
      </w:pPr>
      <w:r>
        <w:rPr>
          <w:rFonts w:ascii="仿宋" w:hAnsi="仿宋" w:eastAsia="仿宋" w:cs="仿宋"/>
          <w:b/>
          <w:bCs/>
          <w:sz w:val="24"/>
          <w:szCs w:val="24"/>
          <w:u w:val="single"/>
          <w:lang w:eastAsia="zh-CN"/>
        </w:rPr>
        <w:t xml:space="preserve">                                                                                  </w:t>
      </w:r>
    </w:p>
    <w:p w14:paraId="46166010">
      <w:pPr>
        <w:pStyle w:val="4"/>
        <w:tabs>
          <w:tab w:val="left" w:pos="420"/>
        </w:tabs>
        <w:spacing w:before="0" w:after="0" w:line="400" w:lineRule="exact"/>
        <w:rPr>
          <w:rFonts w:ascii="仿宋" w:hAnsi="仿宋" w:eastAsia="仿宋" w:cs="仿宋"/>
          <w:bCs w:val="0"/>
          <w:sz w:val="24"/>
          <w:szCs w:val="24"/>
          <w:lang w:eastAsia="zh-CN"/>
        </w:rPr>
      </w:pPr>
      <w:bookmarkStart w:id="559" w:name="_Toc19429"/>
      <w:bookmarkStart w:id="560" w:name="_Toc4110"/>
      <w:bookmarkStart w:id="561" w:name="_Toc194073180"/>
      <w:bookmarkStart w:id="562" w:name="_Toc26606"/>
      <w:r>
        <w:rPr>
          <w:rFonts w:hint="eastAsia" w:ascii="仿宋" w:hAnsi="仿宋" w:eastAsia="仿宋" w:cs="仿宋"/>
          <w:bCs w:val="0"/>
          <w:sz w:val="24"/>
          <w:szCs w:val="24"/>
          <w:lang w:eastAsia="zh-CN"/>
        </w:rPr>
        <w:t>★69</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合同价格的约定与调整</w:t>
      </w:r>
      <w:bookmarkEnd w:id="559"/>
      <w:bookmarkEnd w:id="560"/>
      <w:bookmarkEnd w:id="561"/>
      <w:bookmarkEnd w:id="562"/>
    </w:p>
    <w:p w14:paraId="50A28B9C">
      <w:pPr>
        <w:pStyle w:val="22"/>
        <w:adjustRightInd w:val="0"/>
        <w:snapToGrid w:val="0"/>
        <w:spacing w:line="400" w:lineRule="exact"/>
        <w:ind w:left="1446" w:hanging="1446" w:hangingChars="600"/>
        <w:rPr>
          <w:rFonts w:ascii="仿宋" w:hAnsi="仿宋" w:eastAsia="仿宋" w:cs="仿宋"/>
          <w:b/>
          <w:bCs/>
          <w:sz w:val="24"/>
          <w:szCs w:val="24"/>
          <w:lang w:eastAsia="zh-CN"/>
        </w:rPr>
      </w:pPr>
      <w:r>
        <w:rPr>
          <w:rFonts w:hint="eastAsia" w:ascii="仿宋" w:hAnsi="仿宋" w:eastAsia="仿宋" w:cs="仿宋"/>
          <w:b/>
          <w:bCs/>
          <w:sz w:val="24"/>
          <w:szCs w:val="24"/>
          <w:lang w:eastAsia="zh-CN"/>
        </w:rPr>
        <w:t>69</w:t>
      </w:r>
      <w:r>
        <w:rPr>
          <w:rFonts w:ascii="仿宋" w:hAnsi="仿宋" w:eastAsia="仿宋" w:cs="仿宋"/>
          <w:b/>
          <w:bCs/>
          <w:sz w:val="24"/>
          <w:szCs w:val="24"/>
          <w:lang w:eastAsia="zh-CN"/>
        </w:rPr>
        <w:t>.1</w:t>
      </w:r>
    </w:p>
    <w:p w14:paraId="399C5A33">
      <w:pPr>
        <w:widowControl w:val="0"/>
        <w:spacing w:line="400" w:lineRule="exact"/>
        <w:ind w:left="1850" w:leftChars="771"/>
        <w:jc w:val="both"/>
        <w:rPr>
          <w:rFonts w:ascii="仿宋" w:hAnsi="仿宋" w:eastAsia="仿宋" w:cs="仿宋"/>
          <w:lang w:eastAsia="zh-CN"/>
        </w:rPr>
      </w:pPr>
      <w:r>
        <mc:AlternateContent>
          <mc:Choice Requires="wps">
            <w:drawing>
              <wp:anchor distT="0" distB="0" distL="114300" distR="114300" simplePos="0" relativeHeight="252101632" behindDoc="0" locked="0" layoutInCell="1" allowOverlap="1">
                <wp:simplePos x="0" y="0"/>
                <wp:positionH relativeFrom="column">
                  <wp:posOffset>-114300</wp:posOffset>
                </wp:positionH>
                <wp:positionV relativeFrom="paragraph">
                  <wp:posOffset>57150</wp:posOffset>
                </wp:positionV>
                <wp:extent cx="825500" cy="596265"/>
                <wp:effectExtent l="0" t="0" r="0" b="0"/>
                <wp:wrapNone/>
                <wp:docPr id="310" name="文本框 982"/>
                <wp:cNvGraphicFramePr/>
                <a:graphic xmlns:a="http://schemas.openxmlformats.org/drawingml/2006/main">
                  <a:graphicData uri="http://schemas.microsoft.com/office/word/2010/wordprocessingShape">
                    <wps:wsp>
                      <wps:cNvSpPr txBox="1"/>
                      <wps:spPr>
                        <a:xfrm>
                          <a:off x="0" y="0"/>
                          <a:ext cx="825500" cy="596265"/>
                        </a:xfrm>
                        <a:prstGeom prst="rect">
                          <a:avLst/>
                        </a:prstGeom>
                        <a:noFill/>
                        <a:ln w="12700">
                          <a:noFill/>
                        </a:ln>
                      </wps:spPr>
                      <wps:txbx>
                        <w:txbxContent>
                          <w:p w14:paraId="6CE57FC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约定合同价格</w:t>
                            </w:r>
                          </w:p>
                        </w:txbxContent>
                      </wps:txbx>
                      <wps:bodyPr rot="0" vert="horz" wrap="square" lIns="91440" tIns="45720" rIns="91440" bIns="45720" anchor="t" anchorCtr="0"/>
                    </wps:wsp>
                  </a:graphicData>
                </a:graphic>
              </wp:anchor>
            </w:drawing>
          </mc:Choice>
          <mc:Fallback>
            <w:pict>
              <v:shape id="文本框 982" o:spid="_x0000_s1026" o:spt="202" type="#_x0000_t202" style="position:absolute;left:0pt;margin-left:-9pt;margin-top:4.5pt;height:46.95pt;width:65pt;z-index:252101632;mso-width-relative:page;mso-height-relative:page;" filled="f" stroked="f" coordsize="21600,21600" o:gfxdata="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kUQWg1QAA&#10;AAkBAAAPAAAAAAAAAAEAIAAAACIAAABkcnMvZG93bnJldi54bWxQSwECFAAUAAAACACHTuJA9oha&#10;EOgBAAC+AwAADgAAAAAAAAABACAAAAAkAQAAZHJzL2Uyb0RvYy54bWxQSwUGAAAAAAYABgBZAQAA&#10;fgUAAAAA&#10;">
                <v:fill on="f" focussize="0,0"/>
                <v:stroke on="f" weight="1pt"/>
                <v:imagedata o:title=""/>
                <o:lock v:ext="edit" aspectratio="f"/>
                <v:textbox>
                  <w:txbxContent>
                    <w:p w14:paraId="6CE57FC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约定合同价格</w:t>
                      </w:r>
                    </w:p>
                  </w:txbxContent>
                </v:textbox>
              </v:shape>
            </w:pict>
          </mc:Fallback>
        </mc:AlternateContent>
      </w:r>
      <w:r>
        <w:rPr>
          <w:rFonts w:hint="eastAsia" w:ascii="仿宋" w:hAnsi="仿宋" w:eastAsia="仿宋" w:cs="仿宋"/>
          <w:lang w:eastAsia="zh-CN"/>
        </w:rPr>
        <w:t>合同双方当事人应在本合同协议书中约定合同总价及其中包括的工程勘察费（如果有）、工程设计费、BIM技术应用费、设备及工器具购置费（如果有）、建筑安装工程费及其他服务费用等各分项费用总价。</w:t>
      </w:r>
    </w:p>
    <w:p w14:paraId="155FE951">
      <w:pPr>
        <w:widowControl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招标发包工程的合同总价由合同双方当事人依据中标通知书的中标价格在本合同协议书中约定。直接发包工程的合同总价由合同双方当事人结合市场行情协商确定，也可参照基准日期前本地造价管理机构发布的价格指导文件协商，在本合同协议书中约定。</w:t>
      </w:r>
    </w:p>
    <w:p w14:paraId="10FED93E">
      <w:pPr>
        <w:spacing w:line="400" w:lineRule="exact"/>
        <w:rPr>
          <w:rFonts w:ascii="仿宋" w:hAnsi="仿宋" w:eastAsia="仿宋" w:cs="仿宋"/>
          <w:u w:val="dotted"/>
          <w:lang w:eastAsia="zh-CN"/>
        </w:rPr>
      </w:pPr>
      <w:bookmarkStart w:id="563" w:name="_Toc10655"/>
      <w:r>
        <w:rPr>
          <w:rFonts w:hint="eastAsia" w:ascii="仿宋" w:hAnsi="仿宋" w:eastAsia="仿宋" w:cs="仿宋"/>
          <w:b/>
          <w:bCs/>
          <w:lang w:eastAsia="zh-CN"/>
        </w:rPr>
        <w:t>69</w:t>
      </w:r>
      <w:r>
        <w:rPr>
          <w:rFonts w:ascii="仿宋" w:hAnsi="仿宋" w:eastAsia="仿宋" w:cs="仿宋"/>
          <w:b/>
          <w:bCs/>
          <w:lang w:eastAsia="zh-CN"/>
        </w:rPr>
        <w:t>.</w:t>
      </w:r>
      <w:r>
        <w:rPr>
          <w:rFonts w:hint="eastAsia" w:ascii="仿宋" w:hAnsi="仿宋" w:eastAsia="仿宋" w:cs="仿宋"/>
          <w:b/>
          <w:bCs/>
          <w:lang w:eastAsia="zh-CN"/>
        </w:rPr>
        <w:t>2</w:t>
      </w:r>
      <w:bookmarkEnd w:id="563"/>
      <w:r>
        <w:rPr>
          <w:rFonts w:ascii="仿宋" w:hAnsi="仿宋" w:eastAsia="仿宋" w:cs="仿宋"/>
          <w:lang w:eastAsia="zh-CN"/>
        </w:rPr>
        <w:t xml:space="preserve">  </w:t>
      </w:r>
      <w:r>
        <w:rPr>
          <w:rFonts w:ascii="仿宋" w:hAnsi="仿宋" w:eastAsia="仿宋" w:cs="仿宋"/>
          <w:u w:val="dotted"/>
          <w:lang w:eastAsia="zh-CN"/>
        </w:rPr>
        <w:t xml:space="preserve">                                                                               </w:t>
      </w:r>
    </w:p>
    <w:p w14:paraId="0CA710F7">
      <w:pPr>
        <w:widowControl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2102656" behindDoc="0" locked="0" layoutInCell="1" allowOverlap="1">
                <wp:simplePos x="0" y="0"/>
                <wp:positionH relativeFrom="column">
                  <wp:posOffset>-178435</wp:posOffset>
                </wp:positionH>
                <wp:positionV relativeFrom="paragraph">
                  <wp:posOffset>96520</wp:posOffset>
                </wp:positionV>
                <wp:extent cx="836930" cy="798830"/>
                <wp:effectExtent l="0" t="0" r="0" b="0"/>
                <wp:wrapNone/>
                <wp:docPr id="311" name="文本框 983"/>
                <wp:cNvGraphicFramePr/>
                <a:graphic xmlns:a="http://schemas.openxmlformats.org/drawingml/2006/main">
                  <a:graphicData uri="http://schemas.microsoft.com/office/word/2010/wordprocessingShape">
                    <wps:wsp>
                      <wps:cNvSpPr txBox="1"/>
                      <wps:spPr>
                        <a:xfrm>
                          <a:off x="0" y="0"/>
                          <a:ext cx="836930" cy="798830"/>
                        </a:xfrm>
                        <a:prstGeom prst="rect">
                          <a:avLst/>
                        </a:prstGeom>
                        <a:noFill/>
                        <a:ln w="12700">
                          <a:noFill/>
                        </a:ln>
                      </wps:spPr>
                      <wps:txbx>
                        <w:txbxContent>
                          <w:p w14:paraId="006E5AC0">
                            <w:pPr>
                              <w:pStyle w:val="16"/>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合同价格的形式</w:t>
                            </w:r>
                          </w:p>
                        </w:txbxContent>
                      </wps:txbx>
                      <wps:bodyPr rot="0" vert="horz" wrap="square" lIns="91440" tIns="45720" rIns="91440" bIns="45720" anchor="t" anchorCtr="0"/>
                    </wps:wsp>
                  </a:graphicData>
                </a:graphic>
              </wp:anchor>
            </w:drawing>
          </mc:Choice>
          <mc:Fallback>
            <w:pict>
              <v:shape id="文本框 983" o:spid="_x0000_s1026" o:spt="202" type="#_x0000_t202" style="position:absolute;left:0pt;margin-left:-14.05pt;margin-top:7.6pt;height:62.9pt;width:65.9pt;z-index:252102656;mso-width-relative:page;mso-height-relative:page;" filled="f" stroked="f" coordsize="21600,21600" o:gfxdata="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tw&#10;OqPYAAAACgEAAA8AAAAAAAAAAQAgAAAAIgAAAGRycy9kb3ducmV2LnhtbFBLAQIUABQAAAAIAIdO&#10;4kDNx9/M6gEAAL4DAAAOAAAAAAAAAAEAIAAAACcBAABkcnMvZTJvRG9jLnhtbFBLBQYAAAAABgAG&#10;AFkBAACDBQAAAAA=&#10;">
                <v:fill on="f" focussize="0,0"/>
                <v:stroke on="f" weight="1pt"/>
                <v:imagedata o:title=""/>
                <o:lock v:ext="edit" aspectratio="f"/>
                <v:textbox>
                  <w:txbxContent>
                    <w:p w14:paraId="006E5AC0">
                      <w:pPr>
                        <w:pStyle w:val="16"/>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合同价格的形式</w:t>
                      </w:r>
                    </w:p>
                  </w:txbxContent>
                </v:textbox>
              </v:shape>
            </w:pict>
          </mc:Fallback>
        </mc:AlternateContent>
      </w:r>
      <w:r>
        <w:rPr>
          <w:rFonts w:hint="eastAsia" w:ascii="仿宋" w:hAnsi="仿宋" w:eastAsia="仿宋"/>
          <w:lang w:eastAsia="zh-CN"/>
        </w:rPr>
        <w:t>项目工程总承包应当采用总价合同，但特殊专项费用或受后续施工影响较大的可变因素较多的子项工程可采用单价合同或其他合同价格形式。发包</w:t>
      </w:r>
      <w:r>
        <w:rPr>
          <w:rFonts w:ascii="仿宋" w:hAnsi="仿宋" w:eastAsia="仿宋"/>
          <w:lang w:eastAsia="zh-CN"/>
        </w:rPr>
        <w:t>人、</w:t>
      </w:r>
      <w:r>
        <w:rPr>
          <w:rFonts w:hint="eastAsia" w:ascii="仿宋" w:hAnsi="仿宋" w:eastAsia="仿宋"/>
          <w:lang w:eastAsia="zh-CN"/>
        </w:rPr>
        <w:t>承</w:t>
      </w:r>
      <w:r>
        <w:rPr>
          <w:rFonts w:ascii="仿宋" w:hAnsi="仿宋" w:eastAsia="仿宋"/>
          <w:lang w:eastAsia="zh-CN"/>
        </w:rPr>
        <w:t>包人</w:t>
      </w:r>
      <w:r>
        <w:rPr>
          <w:rFonts w:hint="eastAsia" w:ascii="仿宋" w:hAnsi="仿宋" w:eastAsia="仿宋"/>
          <w:lang w:eastAsia="zh-CN"/>
        </w:rPr>
        <w:t>结合第72条约定的计量和计价规则在专用条款第72条中约定适用范围</w:t>
      </w:r>
      <w:r>
        <w:rPr>
          <w:rFonts w:hint="eastAsia" w:ascii="仿宋" w:hAnsi="仿宋" w:eastAsia="仿宋" w:cs="仿宋"/>
          <w:lang w:eastAsia="zh-CN"/>
        </w:rPr>
        <w:t>：</w:t>
      </w:r>
    </w:p>
    <w:p w14:paraId="27E88654">
      <w:pPr>
        <w:widowControl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w:t>
      </w:r>
      <w:r>
        <w:rPr>
          <w:rFonts w:ascii="仿宋" w:hAnsi="仿宋" w:eastAsia="仿宋" w:cs="仿宋"/>
          <w:lang w:eastAsia="zh-CN"/>
        </w:rPr>
        <w:t>1</w:t>
      </w:r>
      <w:r>
        <w:rPr>
          <w:rFonts w:hint="eastAsia" w:ascii="仿宋" w:hAnsi="仿宋" w:eastAsia="仿宋" w:cs="仿宋"/>
          <w:lang w:eastAsia="zh-CN"/>
        </w:rPr>
        <w:t>）</w:t>
      </w:r>
      <w:r>
        <w:rPr>
          <w:rFonts w:ascii="仿宋" w:hAnsi="仿宋" w:eastAsia="仿宋" w:cs="仿宋"/>
          <w:lang w:eastAsia="zh-CN"/>
        </w:rPr>
        <w:t>总价合同</w:t>
      </w:r>
      <w:r>
        <w:rPr>
          <w:rFonts w:hint="eastAsia" w:ascii="仿宋" w:hAnsi="仿宋" w:eastAsia="仿宋" w:cs="仿宋"/>
          <w:lang w:eastAsia="zh-CN"/>
        </w:rPr>
        <w:t>。</w:t>
      </w:r>
      <w:r>
        <w:rPr>
          <w:rFonts w:ascii="仿宋" w:hAnsi="仿宋" w:eastAsia="仿宋" w:cs="仿宋"/>
          <w:lang w:eastAsia="zh-CN"/>
        </w:rPr>
        <w:t>总价合同是指合同当事人约定以</w:t>
      </w:r>
      <w:r>
        <w:rPr>
          <w:rFonts w:hint="eastAsia" w:ascii="仿宋" w:hAnsi="仿宋" w:eastAsia="仿宋" w:cs="仿宋"/>
          <w:lang w:eastAsia="zh-CN"/>
        </w:rPr>
        <w:t>发包人提供的项目基础资料、发包人要求、标准规范、合同价格清单</w:t>
      </w:r>
      <w:r>
        <w:rPr>
          <w:rFonts w:ascii="仿宋" w:hAnsi="仿宋" w:eastAsia="仿宋" w:cs="仿宋"/>
          <w:lang w:eastAsia="zh-CN"/>
        </w:rPr>
        <w:t>及有关条件进行合同价格计算、调整和确认的建设工程</w:t>
      </w:r>
      <w:r>
        <w:rPr>
          <w:rFonts w:hint="eastAsia" w:ascii="仿宋" w:hAnsi="仿宋" w:eastAsia="仿宋" w:cs="仿宋"/>
          <w:lang w:eastAsia="zh-CN"/>
        </w:rPr>
        <w:t>总承包</w:t>
      </w:r>
      <w:r>
        <w:rPr>
          <w:rFonts w:ascii="仿宋" w:hAnsi="仿宋" w:eastAsia="仿宋" w:cs="仿宋"/>
          <w:lang w:eastAsia="zh-CN"/>
        </w:rPr>
        <w:t>合同，</w:t>
      </w:r>
      <w:r>
        <w:rPr>
          <w:rFonts w:hint="eastAsia" w:ascii="仿宋" w:hAnsi="仿宋" w:eastAsia="仿宋" w:cs="仿宋"/>
          <w:lang w:eastAsia="zh-CN"/>
        </w:rPr>
        <w:t>除合同约定允许调整的事项外，合同总价不予调整。</w:t>
      </w:r>
    </w:p>
    <w:p w14:paraId="7421573C">
      <w:pPr>
        <w:widowControl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w:t>
      </w:r>
      <w:r>
        <w:rPr>
          <w:rFonts w:ascii="仿宋" w:hAnsi="仿宋" w:eastAsia="仿宋" w:cs="仿宋"/>
          <w:lang w:eastAsia="zh-CN"/>
        </w:rPr>
        <w:t>2</w:t>
      </w:r>
      <w:r>
        <w:rPr>
          <w:rFonts w:hint="eastAsia" w:ascii="仿宋" w:hAnsi="仿宋" w:eastAsia="仿宋" w:cs="仿宋"/>
          <w:lang w:eastAsia="zh-CN"/>
        </w:rPr>
        <w:t>）总价合同＋部分单价合同。其中</w:t>
      </w:r>
      <w:r>
        <w:rPr>
          <w:rFonts w:ascii="仿宋" w:hAnsi="仿宋" w:eastAsia="仿宋" w:cs="仿宋"/>
          <w:lang w:eastAsia="zh-CN"/>
        </w:rPr>
        <w:t>单价合同是指合同当事人约定以</w:t>
      </w:r>
      <w:r>
        <w:rPr>
          <w:rFonts w:hint="eastAsia" w:ascii="仿宋" w:hAnsi="仿宋" w:eastAsia="仿宋" w:cs="仿宋"/>
          <w:lang w:eastAsia="zh-CN"/>
        </w:rPr>
        <w:t>合同价格</w:t>
      </w:r>
      <w:r>
        <w:rPr>
          <w:rFonts w:ascii="仿宋" w:hAnsi="仿宋" w:eastAsia="仿宋" w:cs="仿宋"/>
          <w:lang w:eastAsia="zh-CN"/>
        </w:rPr>
        <w:t>清单及其综合单价进行合同价格计算、调整和确认的建设工程</w:t>
      </w:r>
      <w:r>
        <w:rPr>
          <w:rFonts w:hint="eastAsia" w:ascii="仿宋" w:hAnsi="仿宋" w:eastAsia="仿宋" w:cs="仿宋"/>
          <w:lang w:eastAsia="zh-CN"/>
        </w:rPr>
        <w:t>总承包</w:t>
      </w:r>
      <w:r>
        <w:rPr>
          <w:rFonts w:ascii="仿宋" w:hAnsi="仿宋" w:eastAsia="仿宋" w:cs="仿宋"/>
          <w:lang w:eastAsia="zh-CN"/>
        </w:rPr>
        <w:t>合同，</w:t>
      </w:r>
      <w:r>
        <w:rPr>
          <w:rFonts w:hint="eastAsia" w:ascii="仿宋" w:hAnsi="仿宋" w:eastAsia="仿宋" w:cs="仿宋"/>
          <w:lang w:eastAsia="zh-CN"/>
        </w:rPr>
        <w:t>除合同约定可以调整的事项外，工作量或工程量按实计算，综合</w:t>
      </w:r>
      <w:r>
        <w:rPr>
          <w:rFonts w:ascii="仿宋" w:hAnsi="仿宋" w:eastAsia="仿宋" w:cs="仿宋"/>
          <w:lang w:eastAsia="zh-CN"/>
        </w:rPr>
        <w:t>单价不</w:t>
      </w:r>
      <w:r>
        <w:rPr>
          <w:rFonts w:hint="eastAsia" w:ascii="仿宋" w:hAnsi="仿宋" w:eastAsia="仿宋" w:cs="仿宋"/>
          <w:lang w:eastAsia="zh-CN"/>
        </w:rPr>
        <w:t>予</w:t>
      </w:r>
      <w:r>
        <w:rPr>
          <w:rFonts w:ascii="仿宋" w:hAnsi="仿宋" w:eastAsia="仿宋" w:cs="仿宋"/>
          <w:lang w:eastAsia="zh-CN"/>
        </w:rPr>
        <w:t>调整。</w:t>
      </w:r>
    </w:p>
    <w:p w14:paraId="5EDAA2B7">
      <w:pPr>
        <w:widowControl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（3）其他</w:t>
      </w:r>
      <w:r>
        <w:rPr>
          <w:rFonts w:ascii="仿宋" w:hAnsi="仿宋" w:eastAsia="仿宋" w:cs="仿宋"/>
          <w:lang w:eastAsia="zh-CN"/>
        </w:rPr>
        <w:t>价格形式</w:t>
      </w:r>
      <w:r>
        <w:rPr>
          <w:rFonts w:hint="eastAsia" w:ascii="仿宋" w:hAnsi="仿宋" w:eastAsia="仿宋" w:cs="仿宋"/>
          <w:lang w:eastAsia="zh-CN"/>
        </w:rPr>
        <w:t>。</w:t>
      </w:r>
      <w:r>
        <w:rPr>
          <w:rFonts w:ascii="仿宋" w:hAnsi="仿宋" w:eastAsia="仿宋" w:cs="仿宋"/>
          <w:lang w:eastAsia="zh-CN"/>
        </w:rPr>
        <w:t>合同当事人在专用条款中约定其他合同价格形式</w:t>
      </w:r>
      <w:r>
        <w:rPr>
          <w:rFonts w:hint="eastAsia" w:ascii="仿宋" w:hAnsi="仿宋" w:eastAsia="仿宋" w:cs="仿宋"/>
          <w:lang w:eastAsia="zh-CN"/>
        </w:rPr>
        <w:t>及合同价格的计算依据、计算方法</w:t>
      </w:r>
      <w:r>
        <w:rPr>
          <w:rFonts w:ascii="仿宋" w:hAnsi="仿宋" w:eastAsia="仿宋" w:cs="仿宋"/>
          <w:lang w:eastAsia="zh-CN"/>
        </w:rPr>
        <w:t>。</w:t>
      </w:r>
    </w:p>
    <w:p w14:paraId="2D848FC5">
      <w:pPr>
        <w:spacing w:line="400" w:lineRule="exact"/>
        <w:rPr>
          <w:rFonts w:ascii="仿宋" w:hAnsi="仿宋" w:eastAsia="仿宋"/>
          <w:b/>
          <w:bCs/>
          <w:lang w:eastAsia="zh-CN"/>
        </w:rPr>
      </w:pPr>
      <w:bookmarkStart w:id="564" w:name="_Toc18982"/>
      <w:r>
        <w:rPr>
          <w:rFonts w:hint="eastAsia" w:ascii="仿宋" w:hAnsi="仿宋" w:eastAsia="仿宋" w:cs="仿宋"/>
          <w:b/>
          <w:bCs/>
          <w:lang w:eastAsia="zh-CN"/>
        </w:rPr>
        <w:t>69</w:t>
      </w:r>
      <w:r>
        <w:rPr>
          <w:rFonts w:ascii="仿宋" w:hAnsi="仿宋" w:eastAsia="仿宋" w:cs="仿宋"/>
          <w:b/>
          <w:bCs/>
          <w:lang w:eastAsia="zh-CN"/>
        </w:rPr>
        <w:t>.3</w:t>
      </w:r>
      <w:bookmarkEnd w:id="564"/>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25F75359">
      <w:pPr>
        <w:widowControl w:val="0"/>
        <w:spacing w:line="400" w:lineRule="exact"/>
        <w:ind w:left="1850" w:leftChars="771"/>
        <w:jc w:val="both"/>
        <w:rPr>
          <w:rFonts w:ascii="仿宋" w:hAnsi="仿宋" w:eastAsia="仿宋" w:cs="仿宋"/>
          <w:lang w:eastAsia="zh-CN"/>
        </w:rPr>
      </w:pPr>
      <w:r>
        <w:rPr>
          <w:rFonts w:ascii="仿宋" w:hAnsi="仿宋" w:eastAsia="仿宋" w:cs="仿宋"/>
        </w:rPr>
        <mc:AlternateContent>
          <mc:Choice Requires="wps">
            <w:drawing>
              <wp:anchor distT="0" distB="0" distL="114300" distR="114300" simplePos="0" relativeHeight="252103680" behindDoc="0" locked="0" layoutInCell="1" allowOverlap="1">
                <wp:simplePos x="0" y="0"/>
                <wp:positionH relativeFrom="column">
                  <wp:posOffset>-114300</wp:posOffset>
                </wp:positionH>
                <wp:positionV relativeFrom="paragraph">
                  <wp:posOffset>5080</wp:posOffset>
                </wp:positionV>
                <wp:extent cx="822960" cy="652145"/>
                <wp:effectExtent l="0" t="0" r="0" b="0"/>
                <wp:wrapNone/>
                <wp:docPr id="312" name="文本框 984"/>
                <wp:cNvGraphicFramePr/>
                <a:graphic xmlns:a="http://schemas.openxmlformats.org/drawingml/2006/main">
                  <a:graphicData uri="http://schemas.microsoft.com/office/word/2010/wordprocessingShape">
                    <wps:wsp>
                      <wps:cNvSpPr txBox="1"/>
                      <wps:spPr>
                        <a:xfrm>
                          <a:off x="0" y="0"/>
                          <a:ext cx="822960" cy="652145"/>
                        </a:xfrm>
                        <a:prstGeom prst="rect">
                          <a:avLst/>
                        </a:prstGeom>
                        <a:noFill/>
                        <a:ln w="12700">
                          <a:noFill/>
                        </a:ln>
                      </wps:spPr>
                      <wps:txbx>
                        <w:txbxContent>
                          <w:p w14:paraId="4D60FC64">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合同价格的调整事项</w:t>
                            </w:r>
                          </w:p>
                        </w:txbxContent>
                      </wps:txbx>
                      <wps:bodyPr rot="0" vert="horz" wrap="square" lIns="91440" tIns="45720" rIns="91440" bIns="45720" anchor="t" anchorCtr="0"/>
                    </wps:wsp>
                  </a:graphicData>
                </a:graphic>
              </wp:anchor>
            </w:drawing>
          </mc:Choice>
          <mc:Fallback>
            <w:pict>
              <v:shape id="文本框 984" o:spid="_x0000_s1026" o:spt="202" type="#_x0000_t202" style="position:absolute;left:0pt;margin-left:-9pt;margin-top:0.4pt;height:51.35pt;width:64.8pt;z-index:252103680;mso-width-relative:page;mso-height-relative:page;" filled="f" stroked="f" coordsize="21600,21600" o:gfxdata="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S/NMr&#10;1gAAAAgBAAAPAAAAAAAAAAEAIAAAACIAAABkcnMvZG93bnJldi54bWxQSwECFAAUAAAACACHTuJA&#10;Ng5anuoBAAC+AwAADgAAAAAAAAABACAAAAAlAQAAZHJzL2Uyb0RvYy54bWxQSwUGAAAAAAYABgBZ&#10;AQAAgQUAAAAA&#10;">
                <v:fill on="f" focussize="0,0"/>
                <v:stroke on="f" weight="1pt"/>
                <v:imagedata o:title=""/>
                <o:lock v:ext="edit" aspectratio="f"/>
                <v:textbox>
                  <w:txbxContent>
                    <w:p w14:paraId="4D60FC64">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合同价格的调整事项</w:t>
                      </w:r>
                    </w:p>
                  </w:txbxContent>
                </v:textbox>
              </v:shape>
            </w:pict>
          </mc:Fallback>
        </mc:AlternateContent>
      </w:r>
      <w:r>
        <w:rPr>
          <w:rFonts w:hint="eastAsia" w:ascii="仿宋" w:hAnsi="仿宋" w:eastAsia="仿宋" w:cs="仿宋"/>
          <w:lang w:eastAsia="zh-CN"/>
        </w:rPr>
        <w:t>合同双方当事人应明确合同价格的调整事项。除专用条款另有约定外，允许调整事项应包括：</w:t>
      </w:r>
    </w:p>
    <w:p w14:paraId="5D9E6A13">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（1）因国家法律法规、政策变化引起的合同价格的变化；</w:t>
      </w:r>
    </w:p>
    <w:p w14:paraId="533DB142">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（2）因下列原因导致的可调价变更：</w:t>
      </w:r>
    </w:p>
    <w:p w14:paraId="3975A942">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① 合同执行期间（含勘察期、设计期和施工期）发包人要求或发包时合同基础资料本身缺陷导致的重大调整（包括功能变化、规模调整、主要标准变化等，具体在专用条款中明确可量化的指标），造成的工程费用增减。</w:t>
      </w:r>
    </w:p>
    <w:p w14:paraId="7BE52BBA">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② 合同执行期间（含勘察期、设计期和施工期）承包人不可预见的重大地质变化（相对于发包人提供的地质初勘资料，具体在专用条款中明确可量化的指标），造成的工程费用增减。</w:t>
      </w:r>
    </w:p>
    <w:p w14:paraId="443975E0">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③ 合同执行期间（含勘察期、设计期和施工期），因不可抗力导致工程费增减的，在扣减保险理赔金额后，按剩余金额调整合同价格。</w:t>
      </w:r>
    </w:p>
    <w:p w14:paraId="39BFC629">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（3）主要工程材料、工程设备、人工价格与基准日期价格相比，波动幅度超过专用条款约定幅度的部分；</w:t>
      </w:r>
    </w:p>
    <w:p w14:paraId="5AF41C37">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（4）非承包人原因产生的费用索赔、现场签证、赶工措施费等有关工程费用；</w:t>
      </w:r>
    </w:p>
    <w:p w14:paraId="72E4473A">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（5）专用条款约定给予承包人的奖励金额；</w:t>
      </w:r>
    </w:p>
    <w:p w14:paraId="69FE805B">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（6）专用条款约定的其他调整事项。</w:t>
      </w:r>
    </w:p>
    <w:p w14:paraId="3C131E08">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本款调整事项应分别按照第78条至第82条的约定调整合同价格。</w:t>
      </w:r>
    </w:p>
    <w:p w14:paraId="001E302D">
      <w:pPr>
        <w:pStyle w:val="22"/>
        <w:adjustRightInd w:val="0"/>
        <w:snapToGrid w:val="0"/>
        <w:spacing w:line="400" w:lineRule="exact"/>
        <w:rPr>
          <w:rFonts w:ascii="仿宋" w:hAnsi="仿宋" w:eastAsia="仿宋"/>
          <w:b/>
          <w:bCs/>
          <w:sz w:val="24"/>
          <w:szCs w:val="24"/>
          <w:lang w:eastAsia="zh-CN"/>
        </w:rPr>
      </w:pPr>
      <w:r>
        <w:rPr>
          <w:rFonts w:hint="eastAsia" w:ascii="仿宋" w:hAnsi="仿宋" w:eastAsia="仿宋" w:cs="仿宋"/>
          <w:b/>
          <w:bCs/>
          <w:sz w:val="24"/>
          <w:szCs w:val="24"/>
          <w:lang w:eastAsia="zh-CN"/>
        </w:rPr>
        <w:t>69</w:t>
      </w:r>
      <w:r>
        <w:rPr>
          <w:rFonts w:ascii="仿宋" w:hAnsi="仿宋" w:eastAsia="仿宋" w:cs="仿宋"/>
          <w:b/>
          <w:bCs/>
          <w:sz w:val="24"/>
          <w:szCs w:val="24"/>
          <w:lang w:eastAsia="zh-CN"/>
        </w:rPr>
        <w:t xml:space="preserve">.4  </w:t>
      </w:r>
      <w:r>
        <w:rPr>
          <w:rFonts w:ascii="仿宋" w:hAnsi="仿宋" w:eastAsia="仿宋" w:cs="仿宋"/>
          <w:b/>
          <w:bCs/>
          <w:sz w:val="24"/>
          <w:szCs w:val="24"/>
          <w:u w:val="dotted"/>
          <w:lang w:eastAsia="zh-CN"/>
        </w:rPr>
        <w:t xml:space="preserve">                                                                               </w:t>
      </w:r>
    </w:p>
    <w:p w14:paraId="7E447187">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合同履行期间，</w:t>
      </w:r>
      <w:r>
        <mc:AlternateContent>
          <mc:Choice Requires="wps">
            <w:drawing>
              <wp:anchor distT="0" distB="0" distL="114300" distR="114300" simplePos="0" relativeHeight="252104704" behindDoc="0" locked="0" layoutInCell="1" allowOverlap="1">
                <wp:simplePos x="0" y="0"/>
                <wp:positionH relativeFrom="column">
                  <wp:posOffset>-114300</wp:posOffset>
                </wp:positionH>
                <wp:positionV relativeFrom="paragraph">
                  <wp:posOffset>5080</wp:posOffset>
                </wp:positionV>
                <wp:extent cx="832485" cy="603885"/>
                <wp:effectExtent l="0" t="0" r="0" b="0"/>
                <wp:wrapNone/>
                <wp:docPr id="313" name="文本框 985"/>
                <wp:cNvGraphicFramePr/>
                <a:graphic xmlns:a="http://schemas.openxmlformats.org/drawingml/2006/main">
                  <a:graphicData uri="http://schemas.microsoft.com/office/word/2010/wordprocessingShape">
                    <wps:wsp>
                      <wps:cNvSpPr txBox="1"/>
                      <wps:spPr>
                        <a:xfrm>
                          <a:off x="0" y="0"/>
                          <a:ext cx="832485" cy="603885"/>
                        </a:xfrm>
                        <a:prstGeom prst="rect">
                          <a:avLst/>
                        </a:prstGeom>
                        <a:noFill/>
                        <a:ln w="12700">
                          <a:noFill/>
                        </a:ln>
                      </wps:spPr>
                      <wps:txbx>
                        <w:txbxContent>
                          <w:p w14:paraId="52752AE6">
                            <w:pPr>
                              <w:pStyle w:val="16"/>
                              <w:spacing w:line="200" w:lineRule="exact"/>
                              <w:rPr>
                                <w:rFonts w:ascii="宋体"/>
                                <w:sz w:val="18"/>
                                <w:szCs w:val="18"/>
                              </w:rPr>
                            </w:pPr>
                            <w:r>
                              <w:rPr>
                                <w:rFonts w:hint="eastAsia" w:ascii="楷体_GB2312" w:hAnsi="宋体" w:eastAsia="楷体_GB2312" w:cs="楷体_GB2312"/>
                                <w:b/>
                                <w:bCs/>
                                <w:color w:val="000000"/>
                                <w:sz w:val="18"/>
                                <w:szCs w:val="18"/>
                              </w:rPr>
                              <w:t>调整合同价格</w:t>
                            </w:r>
                          </w:p>
                        </w:txbxContent>
                      </wps:txbx>
                      <wps:bodyPr rot="0" vert="horz" wrap="square" lIns="91440" tIns="45720" rIns="91440" bIns="45720" anchor="t" anchorCtr="0"/>
                    </wps:wsp>
                  </a:graphicData>
                </a:graphic>
              </wp:anchor>
            </w:drawing>
          </mc:Choice>
          <mc:Fallback>
            <w:pict>
              <v:shape id="文本框 985" o:spid="_x0000_s1026" o:spt="202" type="#_x0000_t202" style="position:absolute;left:0pt;margin-left:-9pt;margin-top:0.4pt;height:47.55pt;width:65.55pt;z-index:252104704;mso-width-relative:page;mso-height-relative:page;" filled="f" stroked="f" coordsize="21600,21600" o:gfxdata="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r6jrJ&#10;1gAAAAcBAAAPAAAAAAAAAAEAIAAAACIAAABkcnMvZG93bnJldi54bWxQSwECFAAUAAAACACHTuJA&#10;lEUMUOoBAAC+AwAADgAAAAAAAAABACAAAAAlAQAAZHJzL2Uyb0RvYy54bWxQSwUGAAAAAAYABgBZ&#10;AQAAgQUAAAAA&#10;">
                <v:fill on="f" focussize="0,0"/>
                <v:stroke on="f" weight="1pt"/>
                <v:imagedata o:title=""/>
                <o:lock v:ext="edit" aspectratio="f"/>
                <v:textbox>
                  <w:txbxContent>
                    <w:p w14:paraId="52752AE6">
                      <w:pPr>
                        <w:pStyle w:val="16"/>
                        <w:spacing w:line="200" w:lineRule="exact"/>
                        <w:rPr>
                          <w:rFonts w:ascii="宋体"/>
                          <w:sz w:val="18"/>
                          <w:szCs w:val="18"/>
                        </w:rPr>
                      </w:pPr>
                      <w:r>
                        <w:rPr>
                          <w:rFonts w:hint="eastAsia" w:ascii="楷体_GB2312" w:hAnsi="宋体" w:eastAsia="楷体_GB2312" w:cs="楷体_GB2312"/>
                          <w:b/>
                          <w:bCs/>
                          <w:color w:val="000000"/>
                          <w:sz w:val="18"/>
                          <w:szCs w:val="18"/>
                        </w:rPr>
                        <w:t>调整合同价格</w:t>
                      </w:r>
                    </w:p>
                  </w:txbxContent>
                </v:textbox>
              </v:shape>
            </w:pict>
          </mc:Fallback>
        </mc:AlternateContent>
      </w:r>
      <w:r>
        <w:rPr>
          <w:rFonts w:hint="eastAsia" w:ascii="仿宋" w:hAnsi="仿宋" w:eastAsia="仿宋" w:cs="仿宋"/>
          <w:sz w:val="24"/>
          <w:szCs w:val="24"/>
          <w:lang w:eastAsia="zh-CN"/>
        </w:rPr>
        <w:t>出现第69</w:t>
      </w:r>
      <w:r>
        <w:rPr>
          <w:rFonts w:ascii="仿宋" w:hAnsi="仿宋" w:eastAsia="仿宋" w:cs="仿宋"/>
          <w:sz w:val="24"/>
          <w:szCs w:val="24"/>
          <w:lang w:eastAsia="zh-CN"/>
        </w:rPr>
        <w:t>.</w:t>
      </w:r>
      <w:r>
        <w:rPr>
          <w:rFonts w:hint="eastAsia" w:ascii="仿宋" w:hAnsi="仿宋" w:eastAsia="仿宋" w:cs="仿宋"/>
          <w:sz w:val="24"/>
          <w:szCs w:val="24"/>
          <w:lang w:eastAsia="zh-CN"/>
        </w:rPr>
        <w:t>3款约定调整合同价格事项的，合同双方当事人应调整合同价格。除费用索赔、现场签证事项分别按照第80条、第81条约定外，调整合同价格的提出、核实、确认与支付等事项，由合同双方当事人按照第70条约定办理。</w:t>
      </w:r>
    </w:p>
    <w:p w14:paraId="53724CBD">
      <w:pPr>
        <w:spacing w:line="400" w:lineRule="exact"/>
        <w:rPr>
          <w:lang w:eastAsia="zh-CN" w:bidi="ar-SA"/>
        </w:rPr>
      </w:pPr>
      <w:r>
        <w:rPr>
          <w:rFonts w:ascii="仿宋" w:hAnsi="仿宋" w:eastAsia="仿宋" w:cs="仿宋"/>
          <w:b/>
          <w:bCs/>
          <w:u w:val="single"/>
          <w:lang w:eastAsia="zh-CN"/>
        </w:rPr>
        <w:t xml:space="preserve">                                                                                     </w:t>
      </w:r>
    </w:p>
    <w:p w14:paraId="53EF2309">
      <w:pPr>
        <w:pStyle w:val="4"/>
        <w:tabs>
          <w:tab w:val="left" w:pos="420"/>
        </w:tabs>
        <w:spacing w:before="0" w:after="0" w:line="400" w:lineRule="exact"/>
        <w:rPr>
          <w:rFonts w:ascii="仿宋" w:hAnsi="仿宋" w:eastAsia="仿宋" w:cs="仿宋"/>
          <w:bCs w:val="0"/>
          <w:sz w:val="24"/>
          <w:szCs w:val="24"/>
          <w:lang w:eastAsia="zh-CN"/>
        </w:rPr>
      </w:pPr>
      <w:bookmarkStart w:id="565" w:name="_Toc4605"/>
      <w:bookmarkStart w:id="566" w:name="_Toc194073181"/>
      <w:bookmarkStart w:id="567" w:name="_Toc28583"/>
      <w:bookmarkStart w:id="568" w:name="_Toc21638"/>
      <w:r>
        <w:rPr>
          <w:rFonts w:hint="eastAsia" w:ascii="仿宋" w:hAnsi="仿宋" w:eastAsia="仿宋" w:cs="仿宋"/>
          <w:bCs w:val="0"/>
          <w:sz w:val="24"/>
          <w:szCs w:val="24"/>
          <w:lang w:eastAsia="zh-CN"/>
        </w:rPr>
        <w:t>★70</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合同价格调整程序</w:t>
      </w:r>
      <w:bookmarkEnd w:id="565"/>
      <w:bookmarkEnd w:id="566"/>
      <w:bookmarkEnd w:id="567"/>
      <w:bookmarkEnd w:id="568"/>
    </w:p>
    <w:p w14:paraId="7171C525">
      <w:pPr>
        <w:pStyle w:val="22"/>
        <w:adjustRightInd w:val="0"/>
        <w:snapToGrid w:val="0"/>
        <w:spacing w:line="400" w:lineRule="exact"/>
        <w:rPr>
          <w:rFonts w:ascii="仿宋" w:hAnsi="仿宋" w:eastAsia="仿宋"/>
          <w:b/>
          <w:bCs/>
          <w:sz w:val="24"/>
          <w:szCs w:val="24"/>
          <w:lang w:eastAsia="zh-CN"/>
        </w:rPr>
      </w:pPr>
      <w:r>
        <w:rPr>
          <w:rFonts w:hint="eastAsia" w:ascii="仿宋" w:hAnsi="仿宋" w:eastAsia="仿宋" w:cs="仿宋"/>
          <w:b/>
          <w:bCs/>
          <w:sz w:val="24"/>
          <w:szCs w:val="24"/>
          <w:lang w:eastAsia="zh-CN"/>
        </w:rPr>
        <w:t>70</w:t>
      </w:r>
      <w:r>
        <w:rPr>
          <w:rFonts w:ascii="仿宋" w:hAnsi="仿宋" w:eastAsia="仿宋" w:cs="仿宋"/>
          <w:b/>
          <w:bCs/>
          <w:sz w:val="24"/>
          <w:szCs w:val="24"/>
          <w:lang w:eastAsia="zh-CN"/>
        </w:rPr>
        <w:t>.</w:t>
      </w:r>
      <w:r>
        <w:rPr>
          <w:rFonts w:hint="eastAsia" w:ascii="仿宋" w:hAnsi="仿宋" w:eastAsia="仿宋" w:cs="仿宋"/>
          <w:b/>
          <w:bCs/>
          <w:sz w:val="24"/>
          <w:szCs w:val="24"/>
          <w:lang w:eastAsia="zh-CN"/>
        </w:rPr>
        <w:t>1</w:t>
      </w:r>
    </w:p>
    <w:p w14:paraId="65293AA3">
      <w:pPr>
        <w:pStyle w:val="22"/>
        <w:widowControl w:val="0"/>
        <w:adjustRightInd w:val="0"/>
        <w:snapToGrid w:val="0"/>
        <w:spacing w:line="400" w:lineRule="exact"/>
        <w:ind w:left="1850" w:leftChars="771"/>
        <w:jc w:val="both"/>
        <w:rPr>
          <w:rFonts w:ascii="仿宋" w:hAnsi="仿宋" w:eastAsia="仿宋"/>
          <w:b/>
          <w:bCs/>
          <w:sz w:val="24"/>
          <w:szCs w:val="24"/>
          <w:lang w:eastAsia="zh-CN"/>
        </w:rPr>
      </w:pPr>
      <w:r>
        <mc:AlternateContent>
          <mc:Choice Requires="wps">
            <w:drawing>
              <wp:anchor distT="0" distB="0" distL="114300" distR="114300" simplePos="0" relativeHeight="252109824" behindDoc="0" locked="0" layoutInCell="1" allowOverlap="1">
                <wp:simplePos x="0" y="0"/>
                <wp:positionH relativeFrom="column">
                  <wp:posOffset>-58420</wp:posOffset>
                </wp:positionH>
                <wp:positionV relativeFrom="paragraph">
                  <wp:posOffset>65405</wp:posOffset>
                </wp:positionV>
                <wp:extent cx="794385" cy="598805"/>
                <wp:effectExtent l="0" t="0" r="0" b="0"/>
                <wp:wrapNone/>
                <wp:docPr id="314" name="文本框 1024"/>
                <wp:cNvGraphicFramePr/>
                <a:graphic xmlns:a="http://schemas.openxmlformats.org/drawingml/2006/main">
                  <a:graphicData uri="http://schemas.microsoft.com/office/word/2010/wordprocessingShape">
                    <wps:wsp>
                      <wps:cNvSpPr txBox="1"/>
                      <wps:spPr>
                        <a:xfrm>
                          <a:off x="0" y="0"/>
                          <a:ext cx="794385" cy="598805"/>
                        </a:xfrm>
                        <a:prstGeom prst="rect">
                          <a:avLst/>
                        </a:prstGeom>
                        <a:noFill/>
                        <a:ln w="12700">
                          <a:noFill/>
                        </a:ln>
                      </wps:spPr>
                      <wps:txbx>
                        <w:txbxContent>
                          <w:p w14:paraId="36D2E5BD">
                            <w:pPr>
                              <w:pStyle w:val="36"/>
                              <w:spacing w:line="200" w:lineRule="exact"/>
                              <w:rPr>
                                <w:rFonts w:ascii="宋体" w:hAnsi="宋体" w:eastAsia="宋体"/>
                                <w:sz w:val="18"/>
                                <w:szCs w:val="18"/>
                                <w:lang w:eastAsia="zh-CN"/>
                              </w:rPr>
                            </w:pPr>
                            <w:r>
                              <w:rPr>
                                <w:rFonts w:hint="eastAsia" w:ascii="楷体_GB2312" w:hAnsi="宋体" w:cs="楷体_GB2312"/>
                                <w:sz w:val="18"/>
                                <w:szCs w:val="18"/>
                                <w:lang w:eastAsia="zh-CN"/>
                              </w:rPr>
                              <w:t>合同价格调增报告的提出</w:t>
                            </w:r>
                          </w:p>
                        </w:txbxContent>
                      </wps:txbx>
                      <wps:bodyPr rot="0" vert="horz" wrap="square" lIns="91440" tIns="45720" rIns="91440" bIns="45720" anchor="t" anchorCtr="0"/>
                    </wps:wsp>
                  </a:graphicData>
                </a:graphic>
              </wp:anchor>
            </w:drawing>
          </mc:Choice>
          <mc:Fallback>
            <w:pict>
              <v:shape id="文本框 1024" o:spid="_x0000_s1026" o:spt="202" type="#_x0000_t202" style="position:absolute;left:0pt;margin-left:-4.6pt;margin-top:5.15pt;height:47.15pt;width:62.55pt;z-index:252109824;mso-width-relative:page;mso-height-relative:page;" filled="f" stroked="f" coordsize="21600,21600" o:gfxdata="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xF&#10;+3PWAAAACQEAAA8AAAAAAAAAAQAgAAAAIgAAAGRycy9kb3ducmV2LnhtbFBLAQIUABQAAAAIAIdO&#10;4kDv5CJw7AEAAL8DAAAOAAAAAAAAAAEAIAAAACUBAABkcnMvZTJvRG9jLnhtbFBLBQYAAAAABgAG&#10;AFkBAACDBQAAAAA=&#10;">
                <v:fill on="f" focussize="0,0"/>
                <v:stroke on="f" weight="1pt"/>
                <v:imagedata o:title=""/>
                <o:lock v:ext="edit" aspectratio="f"/>
                <v:textbox>
                  <w:txbxContent>
                    <w:p w14:paraId="36D2E5BD">
                      <w:pPr>
                        <w:pStyle w:val="36"/>
                        <w:spacing w:line="200" w:lineRule="exact"/>
                        <w:rPr>
                          <w:rFonts w:ascii="宋体" w:hAnsi="宋体" w:eastAsia="宋体"/>
                          <w:sz w:val="18"/>
                          <w:szCs w:val="18"/>
                          <w:lang w:eastAsia="zh-CN"/>
                        </w:rPr>
                      </w:pPr>
                      <w:r>
                        <w:rPr>
                          <w:rFonts w:hint="eastAsia" w:ascii="楷体_GB2312" w:hAnsi="宋体" w:cs="楷体_GB2312"/>
                          <w:sz w:val="18"/>
                          <w:szCs w:val="18"/>
                          <w:lang w:eastAsia="zh-CN"/>
                        </w:rPr>
                        <w:t>合同价格调增报告的提出</w:t>
                      </w:r>
                    </w:p>
                  </w:txbxContent>
                </v:textbox>
              </v:shape>
            </w:pict>
          </mc:Fallback>
        </mc:AlternateContent>
      </w:r>
      <w:r>
        <w:rPr>
          <w:rFonts w:hint="eastAsia" w:ascii="仿宋" w:hAnsi="仿宋" w:eastAsia="仿宋" w:cs="仿宋"/>
          <w:sz w:val="24"/>
          <w:szCs w:val="24"/>
          <w:lang w:eastAsia="zh-CN"/>
        </w:rPr>
        <w:t>出现合同价格调增事项后的</w:t>
      </w:r>
      <w:r>
        <w:rPr>
          <w:rFonts w:ascii="仿宋" w:hAnsi="仿宋" w:eastAsia="仿宋" w:cs="仿宋"/>
          <w:sz w:val="24"/>
          <w:szCs w:val="24"/>
          <w:lang w:eastAsia="zh-CN"/>
        </w:rPr>
        <w:t>14</w:t>
      </w:r>
      <w:r>
        <w:rPr>
          <w:rFonts w:hint="eastAsia" w:ascii="仿宋" w:hAnsi="仿宋" w:eastAsia="仿宋" w:cs="仿宋"/>
          <w:sz w:val="24"/>
          <w:szCs w:val="24"/>
          <w:lang w:eastAsia="zh-CN"/>
        </w:rPr>
        <w:t>天内，承包人应向监理人、造价咨询人提交合同价格调增报告，并附上相关资料。如承包人在出现合同价格调增事项后的</w:t>
      </w:r>
      <w:r>
        <w:rPr>
          <w:rFonts w:ascii="仿宋" w:hAnsi="仿宋" w:eastAsia="仿宋" w:cs="仿宋"/>
          <w:sz w:val="24"/>
          <w:szCs w:val="24"/>
          <w:lang w:eastAsia="zh-CN"/>
        </w:rPr>
        <w:t>14</w:t>
      </w:r>
      <w:r>
        <w:rPr>
          <w:rFonts w:hint="eastAsia" w:ascii="仿宋" w:hAnsi="仿宋" w:eastAsia="仿宋" w:cs="仿宋"/>
          <w:sz w:val="24"/>
          <w:szCs w:val="24"/>
          <w:lang w:eastAsia="zh-CN"/>
        </w:rPr>
        <w:t>天内未提交合同价格调增报告的，则造价咨询人可在报发包人批准后，根据实际情况决定是否调整合同价格以及调整的金额。</w:t>
      </w:r>
    </w:p>
    <w:p w14:paraId="1C5B8F90">
      <w:pPr>
        <w:pStyle w:val="22"/>
        <w:adjustRightInd w:val="0"/>
        <w:snapToGrid w:val="0"/>
        <w:spacing w:line="400" w:lineRule="exact"/>
        <w:rPr>
          <w:rFonts w:ascii="仿宋" w:hAnsi="仿宋" w:eastAsia="仿宋" w:cs="仿宋"/>
          <w:sz w:val="24"/>
          <w:szCs w:val="24"/>
          <w:u w:val="dotted"/>
          <w:lang w:eastAsia="zh-CN"/>
        </w:rPr>
      </w:pPr>
      <w:r>
        <w:rPr>
          <w:rFonts w:hint="eastAsia" w:ascii="仿宋" w:hAnsi="仿宋" w:eastAsia="仿宋" w:cs="仿宋"/>
          <w:b/>
          <w:bCs/>
          <w:sz w:val="24"/>
          <w:szCs w:val="24"/>
          <w:lang w:eastAsia="zh-CN"/>
        </w:rPr>
        <w:t>70.2</w:t>
      </w:r>
      <w:r>
        <w:rPr>
          <w:rFonts w:ascii="仿宋" w:hAnsi="仿宋" w:eastAsia="仿宋" w:cs="仿宋"/>
          <w:sz w:val="24"/>
          <w:szCs w:val="24"/>
          <w:u w:val="dotted"/>
          <w:lang w:eastAsia="zh-CN"/>
        </w:rPr>
        <w:t xml:space="preserve">                                                  </w:t>
      </w:r>
      <w:r>
        <w:rPr>
          <w:rFonts w:hint="eastAsia" w:ascii="仿宋" w:hAnsi="仿宋" w:eastAsia="仿宋" w:cs="仿宋"/>
          <w:sz w:val="24"/>
          <w:szCs w:val="24"/>
          <w:u w:val="dotted"/>
          <w:lang w:eastAsia="zh-CN"/>
        </w:rPr>
        <w:t xml:space="preserve">     </w:t>
      </w:r>
      <w:r>
        <w:rPr>
          <w:rFonts w:ascii="仿宋" w:hAnsi="仿宋" w:eastAsia="仿宋" w:cs="仿宋"/>
          <w:sz w:val="24"/>
          <w:szCs w:val="24"/>
          <w:u w:val="dotted"/>
          <w:lang w:eastAsia="zh-CN"/>
        </w:rPr>
        <w:t xml:space="preserve">                          </w:t>
      </w:r>
    </w:p>
    <w:p w14:paraId="3E26B763">
      <w:pPr>
        <w:pStyle w:val="22"/>
        <w:widowControl w:val="0"/>
        <w:adjustRightInd w:val="0"/>
        <w:snapToGrid w:val="0"/>
        <w:spacing w:line="400" w:lineRule="exact"/>
        <w:ind w:left="1850" w:leftChars="771"/>
        <w:jc w:val="both"/>
        <w:rPr>
          <w:rFonts w:ascii="仿宋" w:hAnsi="仿宋" w:eastAsia="仿宋"/>
          <w:sz w:val="24"/>
          <w:szCs w:val="24"/>
          <w:lang w:eastAsia="zh-CN"/>
        </w:rPr>
      </w:pPr>
      <w:r>
        <w:rPr>
          <w:sz w:val="24"/>
          <w:szCs w:val="24"/>
        </w:rPr>
        <mc:AlternateContent>
          <mc:Choice Requires="wps">
            <w:drawing>
              <wp:anchor distT="0" distB="0" distL="114300" distR="114300" simplePos="0" relativeHeight="252106752" behindDoc="0" locked="0" layoutInCell="1" allowOverlap="1">
                <wp:simplePos x="0" y="0"/>
                <wp:positionH relativeFrom="column">
                  <wp:posOffset>-114300</wp:posOffset>
                </wp:positionH>
                <wp:positionV relativeFrom="paragraph">
                  <wp:posOffset>34290</wp:posOffset>
                </wp:positionV>
                <wp:extent cx="808990" cy="653415"/>
                <wp:effectExtent l="0" t="0" r="0" b="0"/>
                <wp:wrapNone/>
                <wp:docPr id="315" name="文本框 1025"/>
                <wp:cNvGraphicFramePr/>
                <a:graphic xmlns:a="http://schemas.openxmlformats.org/drawingml/2006/main">
                  <a:graphicData uri="http://schemas.microsoft.com/office/word/2010/wordprocessingShape">
                    <wps:wsp>
                      <wps:cNvSpPr txBox="1"/>
                      <wps:spPr>
                        <a:xfrm>
                          <a:off x="0" y="0"/>
                          <a:ext cx="808990" cy="653415"/>
                        </a:xfrm>
                        <a:prstGeom prst="rect">
                          <a:avLst/>
                        </a:prstGeom>
                        <a:noFill/>
                        <a:ln w="12700">
                          <a:noFill/>
                        </a:ln>
                      </wps:spPr>
                      <wps:txbx>
                        <w:txbxContent>
                          <w:p w14:paraId="65C9800C">
                            <w:pPr>
                              <w:pStyle w:val="36"/>
                              <w:spacing w:line="200" w:lineRule="exact"/>
                              <w:rPr>
                                <w:rFonts w:ascii="楷体_GB2312" w:hAnsi="宋体"/>
                                <w:sz w:val="18"/>
                                <w:szCs w:val="18"/>
                              </w:rPr>
                            </w:pPr>
                            <w:r>
                              <w:rPr>
                                <w:rFonts w:hint="eastAsia" w:ascii="楷体_GB2312" w:hAnsi="宋体" w:cs="楷体_GB2312"/>
                                <w:sz w:val="18"/>
                                <w:szCs w:val="18"/>
                              </w:rPr>
                              <w:t>调增价款的核实</w:t>
                            </w:r>
                          </w:p>
                        </w:txbxContent>
                      </wps:txbx>
                      <wps:bodyPr rot="0" vert="horz" wrap="square" lIns="91440" tIns="45720" rIns="91440" bIns="45720" anchor="t" anchorCtr="0"/>
                    </wps:wsp>
                  </a:graphicData>
                </a:graphic>
              </wp:anchor>
            </w:drawing>
          </mc:Choice>
          <mc:Fallback>
            <w:pict>
              <v:shape id="文本框 1025" o:spid="_x0000_s1026" o:spt="202" type="#_x0000_t202" style="position:absolute;left:0pt;margin-left:-9pt;margin-top:2.7pt;height:51.45pt;width:63.7pt;z-index:252106752;mso-width-relative:page;mso-height-relative:page;" filled="f" stroked="f" coordsize="21600,21600" o:gfxdata="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4C&#10;5DnXAAAACQEAAA8AAAAAAAAAAQAgAAAAIgAAAGRycy9kb3ducmV2LnhtbFBLAQIUABQAAAAIAIdO&#10;4kBe/kAu6wEAAL8DAAAOAAAAAAAAAAEAIAAAACYBAABkcnMvZTJvRG9jLnhtbFBLBQYAAAAABgAG&#10;AFkBAACDBQAAAAA=&#10;">
                <v:fill on="f" focussize="0,0"/>
                <v:stroke on="f" weight="1pt"/>
                <v:imagedata o:title=""/>
                <o:lock v:ext="edit" aspectratio="f"/>
                <v:textbox>
                  <w:txbxContent>
                    <w:p w14:paraId="65C9800C">
                      <w:pPr>
                        <w:pStyle w:val="36"/>
                        <w:spacing w:line="200" w:lineRule="exact"/>
                        <w:rPr>
                          <w:rFonts w:ascii="楷体_GB2312" w:hAnsi="宋体"/>
                          <w:sz w:val="18"/>
                          <w:szCs w:val="18"/>
                        </w:rPr>
                      </w:pPr>
                      <w:r>
                        <w:rPr>
                          <w:rFonts w:hint="eastAsia" w:ascii="楷体_GB2312" w:hAnsi="宋体" w:cs="楷体_GB2312"/>
                          <w:sz w:val="18"/>
                          <w:szCs w:val="18"/>
                        </w:rPr>
                        <w:t>调增价款的核实</w:t>
                      </w:r>
                    </w:p>
                  </w:txbxContent>
                </v:textbox>
              </v:shape>
            </w:pict>
          </mc:Fallback>
        </mc:AlternateContent>
      </w:r>
      <w:r>
        <w:rPr>
          <w:rFonts w:hint="eastAsia" w:ascii="仿宋" w:hAnsi="仿宋" w:eastAsia="仿宋" w:cs="仿宋"/>
          <w:sz w:val="24"/>
          <w:szCs w:val="24"/>
          <w:lang w:eastAsia="zh-CN"/>
        </w:rPr>
        <w:t>监理人、造价咨询人应在收到合同价格调增报告及相关资料之日起</w:t>
      </w:r>
      <w:r>
        <w:rPr>
          <w:rFonts w:ascii="仿宋" w:hAnsi="仿宋" w:eastAsia="仿宋" w:cs="仿宋"/>
          <w:sz w:val="24"/>
          <w:szCs w:val="24"/>
          <w:lang w:eastAsia="zh-CN"/>
        </w:rPr>
        <w:t>14</w:t>
      </w:r>
      <w:r>
        <w:rPr>
          <w:rFonts w:hint="eastAsia" w:ascii="仿宋" w:hAnsi="仿宋" w:eastAsia="仿宋" w:cs="仿宋"/>
          <w:sz w:val="24"/>
          <w:szCs w:val="24"/>
          <w:lang w:eastAsia="zh-CN"/>
        </w:rPr>
        <w:t>天内对其核实，并予以确认或提出协商意见。造价咨询人在收到合同价格调增报告之日起</w:t>
      </w:r>
      <w:r>
        <w:rPr>
          <w:rFonts w:ascii="仿宋" w:hAnsi="仿宋" w:eastAsia="仿宋" w:cs="仿宋"/>
          <w:sz w:val="24"/>
          <w:szCs w:val="24"/>
          <w:lang w:eastAsia="zh-CN"/>
        </w:rPr>
        <w:t>14</w:t>
      </w:r>
      <w:r>
        <w:rPr>
          <w:rFonts w:hint="eastAsia" w:ascii="仿宋" w:hAnsi="仿宋" w:eastAsia="仿宋" w:cs="仿宋"/>
          <w:sz w:val="24"/>
          <w:szCs w:val="24"/>
          <w:lang w:eastAsia="zh-CN"/>
        </w:rPr>
        <w:t>天内未确认也未提出协商意见的，视为承包人提交的合同价格调增报告已被认可。造价咨询人提出协商意见的，合同双方当事人应在承包人收到协商意见后的</w:t>
      </w:r>
      <w:r>
        <w:rPr>
          <w:rFonts w:ascii="仿宋" w:hAnsi="仿宋" w:eastAsia="仿宋" w:cs="仿宋"/>
          <w:sz w:val="24"/>
          <w:szCs w:val="24"/>
          <w:lang w:eastAsia="zh-CN"/>
        </w:rPr>
        <w:t>14</w:t>
      </w:r>
      <w:r>
        <w:rPr>
          <w:rFonts w:hint="eastAsia" w:ascii="仿宋" w:hAnsi="仿宋" w:eastAsia="仿宋" w:cs="仿宋"/>
          <w:sz w:val="24"/>
          <w:szCs w:val="24"/>
          <w:lang w:eastAsia="zh-CN"/>
        </w:rPr>
        <w:t>天内进行协商确定；协商未能达成一致的，由造价咨询人暂定调增的合同价格，通知承包人并抄报发包人。出现暂定结果的，只要不实质影响合同双方当事人履约的，合同双方当事人应实施该结果，直到其被改变为止。</w:t>
      </w:r>
    </w:p>
    <w:p w14:paraId="5FB28E06">
      <w:pPr>
        <w:pStyle w:val="22"/>
        <w:adjustRightInd w:val="0"/>
        <w:snapToGrid w:val="0"/>
        <w:spacing w:line="400" w:lineRule="exact"/>
        <w:rPr>
          <w:rFonts w:ascii="仿宋" w:hAnsi="仿宋" w:eastAsia="仿宋" w:cs="仿宋"/>
          <w:b/>
          <w:bCs/>
          <w:sz w:val="24"/>
          <w:szCs w:val="24"/>
          <w:u w:val="dotted"/>
          <w:lang w:eastAsia="zh-CN"/>
        </w:rPr>
      </w:pPr>
      <w:r>
        <w:rPr>
          <w:rFonts w:hint="eastAsia" w:ascii="仿宋" w:hAnsi="仿宋" w:eastAsia="仿宋" w:cs="仿宋"/>
          <w:b/>
          <w:bCs/>
          <w:sz w:val="24"/>
          <w:szCs w:val="24"/>
          <w:lang w:eastAsia="zh-CN"/>
        </w:rPr>
        <w:t>70.3</w:t>
      </w:r>
      <w:r>
        <w:rPr>
          <w:rFonts w:ascii="仿宋" w:hAnsi="仿宋" w:eastAsia="仿宋" w:cs="仿宋"/>
          <w:b/>
          <w:bCs/>
          <w:sz w:val="24"/>
          <w:szCs w:val="24"/>
          <w:lang w:eastAsia="zh-CN"/>
        </w:rPr>
        <w:t xml:space="preserve"> </w:t>
      </w:r>
      <w:r>
        <w:rPr>
          <w:rFonts w:ascii="仿宋" w:hAnsi="仿宋" w:eastAsia="仿宋" w:cs="仿宋"/>
          <w:b/>
          <w:bCs/>
          <w:sz w:val="24"/>
          <w:szCs w:val="24"/>
          <w:u w:val="dotted"/>
          <w:lang w:eastAsia="zh-CN"/>
        </w:rPr>
        <w:t xml:space="preserve">                                                                              </w:t>
      </w:r>
    </w:p>
    <w:p w14:paraId="31000BFB">
      <w:pPr>
        <w:pStyle w:val="22"/>
        <w:widowControl w:val="0"/>
        <w:adjustRightInd w:val="0"/>
        <w:snapToGrid w:val="0"/>
        <w:spacing w:line="400" w:lineRule="exact"/>
        <w:ind w:left="1850" w:leftChars="771"/>
        <w:jc w:val="both"/>
        <w:rPr>
          <w:rFonts w:ascii="仿宋" w:hAnsi="仿宋" w:eastAsia="仿宋"/>
          <w:sz w:val="24"/>
          <w:szCs w:val="24"/>
          <w:lang w:eastAsia="zh-CN"/>
        </w:rPr>
      </w:pPr>
      <w:r>
        <w:rPr>
          <w:sz w:val="24"/>
          <w:szCs w:val="24"/>
        </w:rPr>
        <mc:AlternateContent>
          <mc:Choice Requires="wps">
            <w:drawing>
              <wp:anchor distT="0" distB="0" distL="114300" distR="114300" simplePos="0" relativeHeight="252107776" behindDoc="0" locked="0" layoutInCell="1" allowOverlap="1">
                <wp:simplePos x="0" y="0"/>
                <wp:positionH relativeFrom="column">
                  <wp:posOffset>-114300</wp:posOffset>
                </wp:positionH>
                <wp:positionV relativeFrom="paragraph">
                  <wp:posOffset>34290</wp:posOffset>
                </wp:positionV>
                <wp:extent cx="762000" cy="463550"/>
                <wp:effectExtent l="0" t="0" r="0" b="0"/>
                <wp:wrapNone/>
                <wp:docPr id="316" name="文本框 1026"/>
                <wp:cNvGraphicFramePr/>
                <a:graphic xmlns:a="http://schemas.openxmlformats.org/drawingml/2006/main">
                  <a:graphicData uri="http://schemas.microsoft.com/office/word/2010/wordprocessingShape">
                    <wps:wsp>
                      <wps:cNvSpPr txBox="1"/>
                      <wps:spPr>
                        <a:xfrm>
                          <a:off x="0" y="0"/>
                          <a:ext cx="762000" cy="463550"/>
                        </a:xfrm>
                        <a:prstGeom prst="rect">
                          <a:avLst/>
                        </a:prstGeom>
                        <a:noFill/>
                        <a:ln w="12700">
                          <a:noFill/>
                        </a:ln>
                      </wps:spPr>
                      <wps:txbx>
                        <w:txbxContent>
                          <w:p w14:paraId="3A4A13A1">
                            <w:pPr>
                              <w:pStyle w:val="36"/>
                              <w:spacing w:line="200" w:lineRule="exact"/>
                              <w:rPr>
                                <w:rFonts w:ascii="楷体_GB2312" w:hAnsi="宋体"/>
                                <w:sz w:val="18"/>
                                <w:szCs w:val="18"/>
                              </w:rPr>
                            </w:pPr>
                            <w:r>
                              <w:rPr>
                                <w:rFonts w:hint="eastAsia" w:ascii="楷体_GB2312" w:hAnsi="宋体" w:cs="楷体_GB2312"/>
                                <w:sz w:val="18"/>
                                <w:szCs w:val="18"/>
                              </w:rPr>
                              <w:t>调增价款的支付</w:t>
                            </w:r>
                          </w:p>
                        </w:txbxContent>
                      </wps:txbx>
                      <wps:bodyPr rot="0" vert="horz" wrap="square" lIns="91440" tIns="45720" rIns="91440" bIns="45720" anchor="t" anchorCtr="0"/>
                    </wps:wsp>
                  </a:graphicData>
                </a:graphic>
              </wp:anchor>
            </w:drawing>
          </mc:Choice>
          <mc:Fallback>
            <w:pict>
              <v:shape id="文本框 1026" o:spid="_x0000_s1026" o:spt="202" type="#_x0000_t202" style="position:absolute;left:0pt;margin-left:-9pt;margin-top:2.7pt;height:36.5pt;width:60pt;z-index:252107776;mso-width-relative:page;mso-height-relative:page;" filled="f" stroked="f" coordsize="21600,21600" o:gfxdata="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PE50A&#10;1wAAAAgBAAAPAAAAAAAAAAEAIAAAACIAAABkcnMvZG93bnJldi54bWxQSwECFAAUAAAACACHTuJA&#10;IDTPRukBAAC/AwAADgAAAAAAAAABACAAAAAmAQAAZHJzL2Uyb0RvYy54bWxQSwUGAAAAAAYABgBZ&#10;AQAAgQUAAAAA&#10;">
                <v:fill on="f" focussize="0,0"/>
                <v:stroke on="f" weight="1pt"/>
                <v:imagedata o:title=""/>
                <o:lock v:ext="edit" aspectratio="f"/>
                <v:textbox>
                  <w:txbxContent>
                    <w:p w14:paraId="3A4A13A1">
                      <w:pPr>
                        <w:pStyle w:val="36"/>
                        <w:spacing w:line="200" w:lineRule="exact"/>
                        <w:rPr>
                          <w:rFonts w:ascii="楷体_GB2312" w:hAnsi="宋体"/>
                          <w:sz w:val="18"/>
                          <w:szCs w:val="18"/>
                        </w:rPr>
                      </w:pPr>
                      <w:r>
                        <w:rPr>
                          <w:rFonts w:hint="eastAsia" w:ascii="楷体_GB2312" w:hAnsi="宋体" w:cs="楷体_GB2312"/>
                          <w:sz w:val="18"/>
                          <w:szCs w:val="18"/>
                        </w:rPr>
                        <w:t>调增价款的支付</w:t>
                      </w:r>
                    </w:p>
                  </w:txbxContent>
                </v:textbox>
              </v:shape>
            </w:pict>
          </mc:Fallback>
        </mc:AlternateContent>
      </w:r>
      <w:r>
        <w:rPr>
          <w:rFonts w:hint="eastAsia" w:ascii="仿宋" w:hAnsi="仿宋" w:eastAsia="仿宋" w:cs="仿宋"/>
          <w:sz w:val="24"/>
          <w:szCs w:val="24"/>
          <w:lang w:eastAsia="zh-CN"/>
        </w:rPr>
        <w:t>经合同双方当事人确认或造价咨询人暂定调增的合同价格，作为追加合同价格，与工程进度款或结算款同期支付。</w:t>
      </w:r>
    </w:p>
    <w:p w14:paraId="0F774F99">
      <w:pPr>
        <w:pStyle w:val="22"/>
        <w:adjustRightInd w:val="0"/>
        <w:snapToGrid w:val="0"/>
        <w:spacing w:line="400" w:lineRule="exact"/>
        <w:rPr>
          <w:rFonts w:ascii="仿宋" w:hAnsi="仿宋" w:eastAsia="仿宋"/>
          <w:b/>
          <w:bCs/>
          <w:sz w:val="24"/>
          <w:szCs w:val="24"/>
          <w:lang w:eastAsia="zh-CN"/>
        </w:rPr>
      </w:pPr>
      <w:r>
        <w:rPr>
          <w:rFonts w:hint="eastAsia" w:ascii="仿宋" w:hAnsi="仿宋" w:eastAsia="仿宋" w:cs="仿宋"/>
          <w:b/>
          <w:bCs/>
          <w:sz w:val="24"/>
          <w:szCs w:val="24"/>
          <w:lang w:eastAsia="zh-CN"/>
        </w:rPr>
        <w:t>70.4</w:t>
      </w:r>
      <w:r>
        <w:rPr>
          <w:rFonts w:ascii="仿宋" w:hAnsi="仿宋" w:eastAsia="仿宋" w:cs="仿宋"/>
          <w:b/>
          <w:bCs/>
          <w:sz w:val="24"/>
          <w:szCs w:val="24"/>
          <w:lang w:eastAsia="zh-CN"/>
        </w:rPr>
        <w:t xml:space="preserve"> </w:t>
      </w:r>
      <w:r>
        <w:rPr>
          <w:rFonts w:ascii="仿宋" w:hAnsi="仿宋" w:eastAsia="仿宋" w:cs="仿宋"/>
          <w:b/>
          <w:bCs/>
          <w:sz w:val="24"/>
          <w:szCs w:val="24"/>
          <w:u w:val="dotted"/>
          <w:lang w:eastAsia="zh-CN"/>
        </w:rPr>
        <w:t xml:space="preserve">                                                                               </w:t>
      </w:r>
    </w:p>
    <w:p w14:paraId="00C57EB9">
      <w:pPr>
        <w:spacing w:line="400" w:lineRule="exact"/>
        <w:ind w:left="1850" w:leftChars="771" w:firstLine="2"/>
        <w:rPr>
          <w:rFonts w:ascii="仿宋" w:hAnsi="仿宋" w:eastAsia="仿宋"/>
          <w:lang w:eastAsia="zh-CN"/>
        </w:rPr>
      </w:pPr>
      <w:r>
        <mc:AlternateContent>
          <mc:Choice Requires="wps">
            <w:drawing>
              <wp:anchor distT="0" distB="0" distL="114300" distR="114300" simplePos="0" relativeHeight="252108800" behindDoc="0" locked="0" layoutInCell="1" allowOverlap="1">
                <wp:simplePos x="0" y="0"/>
                <wp:positionH relativeFrom="column">
                  <wp:posOffset>-66675</wp:posOffset>
                </wp:positionH>
                <wp:positionV relativeFrom="paragraph">
                  <wp:posOffset>5715</wp:posOffset>
                </wp:positionV>
                <wp:extent cx="815340" cy="473075"/>
                <wp:effectExtent l="0" t="0" r="0" b="0"/>
                <wp:wrapNone/>
                <wp:docPr id="317" name="文本框 1027"/>
                <wp:cNvGraphicFramePr/>
                <a:graphic xmlns:a="http://schemas.openxmlformats.org/drawingml/2006/main">
                  <a:graphicData uri="http://schemas.microsoft.com/office/word/2010/wordprocessingShape">
                    <wps:wsp>
                      <wps:cNvSpPr txBox="1"/>
                      <wps:spPr>
                        <a:xfrm>
                          <a:off x="0" y="0"/>
                          <a:ext cx="815340" cy="473075"/>
                        </a:xfrm>
                        <a:prstGeom prst="rect">
                          <a:avLst/>
                        </a:prstGeom>
                        <a:noFill/>
                        <a:ln w="12700">
                          <a:noFill/>
                        </a:ln>
                      </wps:spPr>
                      <wps:txbx>
                        <w:txbxContent>
                          <w:p w14:paraId="27C4DC33">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合同价格调减事项的处理</w:t>
                            </w:r>
                          </w:p>
                        </w:txbxContent>
                      </wps:txbx>
                      <wps:bodyPr rot="0" vert="horz" wrap="square" lIns="91440" tIns="45720" rIns="91440" bIns="45720" anchor="t" anchorCtr="0"/>
                    </wps:wsp>
                  </a:graphicData>
                </a:graphic>
              </wp:anchor>
            </w:drawing>
          </mc:Choice>
          <mc:Fallback>
            <w:pict>
              <v:shape id="文本框 1027" o:spid="_x0000_s1026" o:spt="202" type="#_x0000_t202" style="position:absolute;left:0pt;margin-left:-5.25pt;margin-top:0.45pt;height:37.25pt;width:64.2pt;z-index:252108800;mso-width-relative:page;mso-height-relative:page;" filled="f" stroked="f" coordsize="21600,21600" o:gfxdata="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BoLth&#10;1gAAAAcBAAAPAAAAAAAAAAEAIAAAACIAAABkcnMvZG93bnJldi54bWxQSwECFAAUAAAACACHTuJA&#10;m0DwQuoBAAC/AwAADgAAAAAAAAABACAAAAAlAQAAZHJzL2Uyb0RvYy54bWxQSwUGAAAAAAYABgBZ&#10;AQAAgQUAAAAA&#10;">
                <v:fill on="f" focussize="0,0"/>
                <v:stroke on="f" weight="1pt"/>
                <v:imagedata o:title=""/>
                <o:lock v:ext="edit" aspectratio="f"/>
                <v:textbox>
                  <w:txbxContent>
                    <w:p w14:paraId="27C4DC33">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合同价格调减事项的处理</w:t>
                      </w:r>
                    </w:p>
                  </w:txbxContent>
                </v:textbox>
              </v:shape>
            </w:pict>
          </mc:Fallback>
        </mc:AlternateContent>
      </w:r>
      <w:r>
        <w:rPr>
          <w:rFonts w:hint="eastAsia" w:ascii="仿宋" w:hAnsi="仿宋" w:eastAsia="仿宋" w:cs="仿宋"/>
          <w:lang w:eastAsia="zh-CN"/>
        </w:rPr>
        <w:t>出现合同价格调减事项时，发包人可按照本条约定的时限和要求，向承包人提交合同价格调减报告以及调减的金额，但调减的金额应按照实际确定。</w:t>
      </w:r>
    </w:p>
    <w:p w14:paraId="59184ED1">
      <w:pPr>
        <w:pStyle w:val="22"/>
        <w:tabs>
          <w:tab w:val="left" w:pos="1800"/>
        </w:tabs>
        <w:adjustRightInd w:val="0"/>
        <w:snapToGrid w:val="0"/>
        <w:spacing w:line="400" w:lineRule="exact"/>
        <w:rPr>
          <w:rFonts w:ascii="仿宋" w:hAnsi="仿宋" w:eastAsia="仿宋" w:cs="仿宋"/>
          <w:b/>
          <w:bCs/>
          <w:sz w:val="24"/>
          <w:szCs w:val="24"/>
          <w:u w:val="single"/>
          <w:lang w:eastAsia="zh-CN"/>
        </w:rPr>
      </w:pPr>
      <w:r>
        <w:rPr>
          <w:rFonts w:ascii="仿宋" w:hAnsi="仿宋" w:eastAsia="仿宋" w:cs="仿宋"/>
          <w:b/>
          <w:bCs/>
          <w:sz w:val="24"/>
          <w:szCs w:val="24"/>
          <w:u w:val="single"/>
          <w:lang w:eastAsia="zh-CN"/>
        </w:rPr>
        <w:t xml:space="preserve">                                                                                     </w:t>
      </w:r>
    </w:p>
    <w:p w14:paraId="3A77F7B3">
      <w:pPr>
        <w:pStyle w:val="4"/>
        <w:tabs>
          <w:tab w:val="left" w:pos="420"/>
        </w:tabs>
        <w:spacing w:before="0" w:after="0" w:line="400" w:lineRule="exact"/>
        <w:rPr>
          <w:rFonts w:ascii="仿宋" w:hAnsi="仿宋" w:eastAsia="仿宋" w:cs="仿宋"/>
          <w:bCs w:val="0"/>
          <w:sz w:val="24"/>
          <w:szCs w:val="24"/>
          <w:lang w:eastAsia="zh-CN"/>
        </w:rPr>
      </w:pPr>
      <w:bookmarkStart w:id="569" w:name="_Toc25085"/>
      <w:bookmarkStart w:id="570" w:name="_Toc29630"/>
      <w:bookmarkStart w:id="571" w:name="_Toc194073182"/>
      <w:bookmarkStart w:id="572" w:name="_Toc13396"/>
      <w:r>
        <w:rPr>
          <w:rFonts w:hint="eastAsia" w:ascii="仿宋" w:hAnsi="仿宋" w:eastAsia="仿宋" w:cs="仿宋"/>
          <w:bCs w:val="0"/>
          <w:sz w:val="24"/>
          <w:szCs w:val="24"/>
          <w:lang w:eastAsia="zh-CN"/>
        </w:rPr>
        <w:t>★71</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工作量或工程量</w:t>
      </w:r>
      <w:bookmarkEnd w:id="569"/>
      <w:bookmarkEnd w:id="570"/>
      <w:bookmarkEnd w:id="571"/>
      <w:bookmarkEnd w:id="572"/>
    </w:p>
    <w:p w14:paraId="24A791D8">
      <w:pPr>
        <w:pStyle w:val="22"/>
        <w:adjustRightInd w:val="0"/>
        <w:snapToGrid w:val="0"/>
        <w:spacing w:line="400" w:lineRule="exact"/>
        <w:rPr>
          <w:rFonts w:ascii="仿宋" w:hAnsi="仿宋" w:eastAsia="仿宋" w:cs="仿宋"/>
          <w:b/>
          <w:bCs/>
          <w:sz w:val="24"/>
          <w:szCs w:val="24"/>
          <w:lang w:eastAsia="zh-CN"/>
        </w:rPr>
      </w:pPr>
      <w:r>
        <w:rPr>
          <w:rFonts w:hint="eastAsia" w:ascii="仿宋" w:hAnsi="仿宋" w:eastAsia="仿宋" w:cs="仿宋"/>
          <w:b/>
          <w:bCs/>
          <w:sz w:val="24"/>
          <w:szCs w:val="24"/>
          <w:lang w:eastAsia="zh-CN"/>
        </w:rPr>
        <w:t>71</w:t>
      </w:r>
      <w:r>
        <w:rPr>
          <w:rFonts w:ascii="仿宋" w:hAnsi="仿宋" w:eastAsia="仿宋" w:cs="仿宋"/>
          <w:b/>
          <w:bCs/>
          <w:sz w:val="24"/>
          <w:szCs w:val="24"/>
          <w:lang w:eastAsia="zh-CN"/>
        </w:rPr>
        <w:t>.1</w:t>
      </w:r>
    </w:p>
    <w:p w14:paraId="6141CFDF">
      <w:pPr>
        <w:pStyle w:val="22"/>
        <w:widowControl w:val="0"/>
        <w:adjustRightInd w:val="0"/>
        <w:snapToGrid w:val="0"/>
        <w:spacing w:line="400" w:lineRule="exact"/>
        <w:ind w:left="1850" w:leftChars="771"/>
        <w:jc w:val="both"/>
        <w:rPr>
          <w:rFonts w:ascii="仿宋" w:hAnsi="仿宋" w:eastAsia="仿宋" w:cs="仿宋"/>
          <w:sz w:val="24"/>
          <w:szCs w:val="24"/>
          <w:lang w:eastAsia="zh-CN"/>
        </w:rPr>
      </w:pPr>
      <w:r>
        <mc:AlternateContent>
          <mc:Choice Requires="wps">
            <w:drawing>
              <wp:anchor distT="0" distB="0" distL="114300" distR="114300" simplePos="0" relativeHeight="251858944" behindDoc="0" locked="0" layoutInCell="1" allowOverlap="1">
                <wp:simplePos x="0" y="0"/>
                <wp:positionH relativeFrom="column">
                  <wp:posOffset>-114300</wp:posOffset>
                </wp:positionH>
                <wp:positionV relativeFrom="paragraph">
                  <wp:posOffset>75565</wp:posOffset>
                </wp:positionV>
                <wp:extent cx="832485" cy="537845"/>
                <wp:effectExtent l="0" t="0" r="0" b="0"/>
                <wp:wrapNone/>
                <wp:docPr id="318" name="文本框 959"/>
                <wp:cNvGraphicFramePr/>
                <a:graphic xmlns:a="http://schemas.openxmlformats.org/drawingml/2006/main">
                  <a:graphicData uri="http://schemas.microsoft.com/office/word/2010/wordprocessingShape">
                    <wps:wsp>
                      <wps:cNvSpPr txBox="1"/>
                      <wps:spPr>
                        <a:xfrm>
                          <a:off x="0" y="0"/>
                          <a:ext cx="832485" cy="537845"/>
                        </a:xfrm>
                        <a:prstGeom prst="rect">
                          <a:avLst/>
                        </a:prstGeom>
                        <a:noFill/>
                        <a:ln w="12700">
                          <a:noFill/>
                        </a:ln>
                      </wps:spPr>
                      <wps:txbx>
                        <w:txbxContent>
                          <w:p w14:paraId="51B8C022">
                            <w:pPr>
                              <w:pStyle w:val="17"/>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清单工程量包括的工作内容</w:t>
                            </w:r>
                          </w:p>
                        </w:txbxContent>
                      </wps:txbx>
                      <wps:bodyPr rot="0" vert="horz" wrap="square" lIns="91440" tIns="45720" rIns="91440" bIns="45720" anchor="t" anchorCtr="0"/>
                    </wps:wsp>
                  </a:graphicData>
                </a:graphic>
              </wp:anchor>
            </w:drawing>
          </mc:Choice>
          <mc:Fallback>
            <w:pict>
              <v:shape id="文本框 959" o:spid="_x0000_s1026" o:spt="202" type="#_x0000_t202" style="position:absolute;left:0pt;margin-left:-9pt;margin-top:5.95pt;height:42.35pt;width:65.55pt;z-index:251858944;mso-width-relative:page;mso-height-relative:page;" filled="f" stroked="f" coordsize="21600,21600" o:gfxdata="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X7L4&#10;xNYAAAAJAQAADwAAAAAAAAABACAAAAAiAAAAZHJzL2Rvd25yZXYueG1sUEsBAhQAFAAAAAgAh07i&#10;QKXfCRfrAQAAvgMAAA4AAAAAAAAAAQAgAAAAJQEAAGRycy9lMm9Eb2MueG1sUEsFBgAAAAAGAAYA&#10;WQEAAIIFAAAAAA==&#10;">
                <v:fill on="f" focussize="0,0"/>
                <v:stroke on="f" weight="1pt"/>
                <v:imagedata o:title=""/>
                <o:lock v:ext="edit" aspectratio="f"/>
                <v:textbox>
                  <w:txbxContent>
                    <w:p w14:paraId="51B8C022">
                      <w:pPr>
                        <w:pStyle w:val="17"/>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清单工程量包括的工作内容</w:t>
                      </w:r>
                    </w:p>
                  </w:txbxContent>
                </v:textbox>
              </v:shape>
            </w:pict>
          </mc:Fallback>
        </mc:AlternateContent>
      </w:r>
      <w:r>
        <w:rPr>
          <w:rFonts w:hint="eastAsia" w:ascii="仿宋" w:hAnsi="仿宋" w:eastAsia="仿宋" w:cs="仿宋"/>
          <w:sz w:val="24"/>
          <w:szCs w:val="24"/>
          <w:lang w:eastAsia="zh-CN"/>
        </w:rPr>
        <w:t>合同价格清单包括勘察项目清单（如果有）、设计项目清单、BIM技术应用项目清单、设备及工器具购置项目清单（如果有）、建筑安装工程工程量清单及其他服务项目清单（如果有）。</w:t>
      </w:r>
    </w:p>
    <w:p w14:paraId="24BC2B31">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除专用条款另有约定外，合同价格清单中开列的工作量和工程量应包括由承包人完成合同工程总承包范围内的所有工作和工程内容。其任何遗漏或错误，既不能使合同无效，也不能免除承包人按照发包人要求、标准与规范、项目基础资料等实施、完成和保修合同工程的任何责任。合同履行过程中，如果合同约定允许的调整事项发生，可按约定增加或减少合同价格。</w:t>
      </w:r>
    </w:p>
    <w:p w14:paraId="13B57597">
      <w:pPr>
        <w:spacing w:line="400" w:lineRule="exact"/>
        <w:rPr>
          <w:rFonts w:ascii="仿宋" w:hAnsi="仿宋" w:eastAsia="仿宋"/>
          <w:b/>
          <w:bCs/>
          <w:lang w:eastAsia="zh-CN"/>
        </w:rPr>
      </w:pPr>
      <w:bookmarkStart w:id="573" w:name="_Toc7410"/>
      <w:r>
        <w:rPr>
          <w:rFonts w:hint="eastAsia" w:ascii="仿宋" w:hAnsi="仿宋" w:eastAsia="仿宋" w:cs="仿宋"/>
          <w:b/>
          <w:bCs/>
          <w:lang w:eastAsia="zh-CN"/>
        </w:rPr>
        <w:t>71</w:t>
      </w:r>
      <w:r>
        <w:rPr>
          <w:rFonts w:ascii="仿宋" w:hAnsi="仿宋" w:eastAsia="仿宋" w:cs="仿宋"/>
          <w:b/>
          <w:bCs/>
          <w:lang w:eastAsia="zh-CN"/>
        </w:rPr>
        <w:t>.2</w:t>
      </w:r>
      <w:bookmarkEnd w:id="573"/>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02C7B653">
      <w:pPr>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859968" behindDoc="0" locked="0" layoutInCell="1" allowOverlap="1">
                <wp:simplePos x="0" y="0"/>
                <wp:positionH relativeFrom="column">
                  <wp:posOffset>-114300</wp:posOffset>
                </wp:positionH>
                <wp:positionV relativeFrom="paragraph">
                  <wp:posOffset>11430</wp:posOffset>
                </wp:positionV>
                <wp:extent cx="762635" cy="628015"/>
                <wp:effectExtent l="0" t="0" r="0" b="0"/>
                <wp:wrapNone/>
                <wp:docPr id="319" name="文本框 960"/>
                <wp:cNvGraphicFramePr/>
                <a:graphic xmlns:a="http://schemas.openxmlformats.org/drawingml/2006/main">
                  <a:graphicData uri="http://schemas.microsoft.com/office/word/2010/wordprocessingShape">
                    <wps:wsp>
                      <wps:cNvSpPr txBox="1"/>
                      <wps:spPr>
                        <a:xfrm>
                          <a:off x="0" y="0"/>
                          <a:ext cx="762635" cy="628015"/>
                        </a:xfrm>
                        <a:prstGeom prst="rect">
                          <a:avLst/>
                        </a:prstGeom>
                        <a:noFill/>
                        <a:ln w="12700">
                          <a:noFill/>
                        </a:ln>
                      </wps:spPr>
                      <wps:txbx>
                        <w:txbxContent>
                          <w:p w14:paraId="2FCC3BF2">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wps:txbx>
                      <wps:bodyPr rot="0" vert="horz" wrap="square" lIns="91440" tIns="45720" rIns="91440" bIns="45720" anchor="t" anchorCtr="0"/>
                    </wps:wsp>
                  </a:graphicData>
                </a:graphic>
              </wp:anchor>
            </w:drawing>
          </mc:Choice>
          <mc:Fallback>
            <w:pict>
              <v:shape id="文本框 960" o:spid="_x0000_s1026" o:spt="202" type="#_x0000_t202" style="position:absolute;left:0pt;margin-left:-9pt;margin-top:0.9pt;height:49.45pt;width:60.05pt;z-index:251859968;mso-width-relative:page;mso-height-relative:page;" filled="f" stroked="f" coordsize="21600,21600" o:gfxdata="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w3ikqNUA&#10;AAAJAQAADwAAAAAAAAABACAAAAAiAAAAZHJzL2Rvd25yZXYueG1sUEsBAhQAFAAAAAgAh07iQK8u&#10;BuHpAQAAvgMAAA4AAAAAAAAAAQAgAAAAJAEAAGRycy9lMm9Eb2MueG1sUEsFBgAAAAAGAAYAWQEA&#10;AH8FAAAAAA==&#10;">
                <v:fill on="f" focussize="0,0"/>
                <v:stroke on="f" weight="1pt"/>
                <v:imagedata o:title=""/>
                <o:lock v:ext="edit" aspectratio="f"/>
                <v:textbox>
                  <w:txbxContent>
                    <w:p w14:paraId="2FCC3BF2">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v:textbox>
              </v:shape>
            </w:pict>
          </mc:Fallback>
        </mc:AlternateContent>
      </w:r>
      <w:r>
        <w:rPr>
          <w:rFonts w:hint="eastAsia" w:ascii="仿宋" w:hAnsi="仿宋" w:eastAsia="仿宋" w:cs="仿宋"/>
          <w:lang w:eastAsia="zh-CN"/>
        </w:rPr>
        <w:t>合同价格清单中开列的工作量或工程量是根据发包人要求、标准与规范、项目基础资料等计列的工程量，不能作为承包人履行合同义务中应予完成合同工程的实际或准确工程量。</w:t>
      </w:r>
      <w:r>
        <w:rPr>
          <w:rFonts w:hint="eastAsia" w:ascii="仿宋" w:hAnsi="仿宋" w:eastAsia="仿宋"/>
          <w:lang w:eastAsia="zh-CN"/>
        </w:rPr>
        <w:t>合同价格清单中列出的任何工作量和价格数据仅限用于变更和支付的参考资料，而不能用于其他目的。</w:t>
      </w:r>
    </w:p>
    <w:p w14:paraId="3306C05E">
      <w:pPr>
        <w:pStyle w:val="22"/>
        <w:widowControl w:val="0"/>
        <w:adjustRightInd w:val="0"/>
        <w:snapToGrid w:val="0"/>
        <w:spacing w:line="400" w:lineRule="exact"/>
        <w:ind w:left="1850" w:leftChars="771"/>
        <w:jc w:val="both"/>
        <w:rPr>
          <w:rFonts w:ascii="仿宋" w:hAnsi="仿宋" w:eastAsia="仿宋" w:cs="仿宋"/>
          <w:b/>
          <w:bCs/>
          <w:sz w:val="24"/>
          <w:szCs w:val="24"/>
          <w:lang w:eastAsia="zh-CN"/>
        </w:rPr>
      </w:pPr>
      <w:r>
        <w:rPr>
          <w:rFonts w:hint="eastAsia" w:ascii="仿宋" w:hAnsi="仿宋" w:eastAsia="仿宋"/>
          <w:sz w:val="24"/>
          <w:szCs w:val="24"/>
          <w:lang w:eastAsia="zh-CN"/>
        </w:rPr>
        <w:t>承包人应按审查批准或备案的设计施工图、发包人要求、标准、规范等实施、完成并保修合同工程，不得以合同价格清单项目特征错误、描述不清、清单漏项、工作量偏差、工程量偏差等原因增减工作内容，也不免除承包人履行工程总承包合同应承担的责任。</w:t>
      </w:r>
    </w:p>
    <w:p w14:paraId="3BAE505B">
      <w:pPr>
        <w:pStyle w:val="22"/>
        <w:tabs>
          <w:tab w:val="left" w:pos="1800"/>
        </w:tabs>
        <w:adjustRightInd w:val="0"/>
        <w:snapToGrid w:val="0"/>
        <w:spacing w:line="400" w:lineRule="exact"/>
        <w:rPr>
          <w:rFonts w:ascii="仿宋" w:hAnsi="仿宋" w:eastAsia="仿宋"/>
          <w:sz w:val="24"/>
          <w:szCs w:val="24"/>
          <w:lang w:eastAsia="zh-CN"/>
        </w:rPr>
      </w:pPr>
      <w:r>
        <w:rPr>
          <w:rFonts w:ascii="仿宋" w:hAnsi="仿宋" w:eastAsia="仿宋" w:cs="仿宋"/>
          <w:b/>
          <w:bCs/>
          <w:sz w:val="24"/>
          <w:szCs w:val="24"/>
          <w:u w:val="single"/>
          <w:lang w:eastAsia="zh-CN"/>
        </w:rPr>
        <w:t xml:space="preserve">                                                                                     </w:t>
      </w:r>
    </w:p>
    <w:p w14:paraId="2E5B254B">
      <w:pPr>
        <w:pStyle w:val="4"/>
        <w:tabs>
          <w:tab w:val="left" w:pos="420"/>
        </w:tabs>
        <w:spacing w:before="0" w:after="0" w:line="400" w:lineRule="exact"/>
        <w:rPr>
          <w:rFonts w:ascii="仿宋" w:hAnsi="仿宋" w:eastAsia="仿宋" w:cs="仿宋"/>
          <w:bCs w:val="0"/>
          <w:sz w:val="24"/>
          <w:szCs w:val="24"/>
          <w:lang w:eastAsia="zh-CN"/>
        </w:rPr>
      </w:pPr>
      <w:bookmarkStart w:id="574" w:name="_Toc194073183"/>
      <w:bookmarkStart w:id="575" w:name="_Toc11731"/>
      <w:bookmarkStart w:id="576" w:name="_Toc31815"/>
      <w:bookmarkStart w:id="577" w:name="_Toc28441"/>
      <w:r>
        <w:rPr>
          <w:rFonts w:hint="eastAsia" w:ascii="仿宋" w:hAnsi="仿宋" w:eastAsia="仿宋" w:cs="仿宋"/>
          <w:bCs w:val="0"/>
          <w:sz w:val="24"/>
          <w:szCs w:val="24"/>
          <w:lang w:eastAsia="zh-CN"/>
        </w:rPr>
        <w:t>★72</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计量和计价</w:t>
      </w:r>
      <w:bookmarkEnd w:id="574"/>
      <w:bookmarkEnd w:id="575"/>
      <w:bookmarkEnd w:id="576"/>
      <w:bookmarkEnd w:id="577"/>
    </w:p>
    <w:p w14:paraId="45FEA9B9">
      <w:pPr>
        <w:spacing w:line="400" w:lineRule="exact"/>
        <w:rPr>
          <w:rFonts w:ascii="仿宋" w:hAnsi="仿宋" w:eastAsia="仿宋" w:cs="仿宋"/>
          <w:b/>
          <w:bCs/>
          <w:lang w:eastAsia="zh-CN"/>
        </w:rPr>
      </w:pPr>
      <w:bookmarkStart w:id="578" w:name="_Toc28023"/>
      <w:r>
        <w:rPr>
          <w:rFonts w:hint="eastAsia" w:ascii="仿宋" w:hAnsi="仿宋" w:eastAsia="仿宋" w:cs="仿宋"/>
          <w:b/>
          <w:bCs/>
          <w:lang w:eastAsia="zh-CN"/>
        </w:rPr>
        <w:t>72</w:t>
      </w:r>
      <w:r>
        <w:rPr>
          <w:rFonts w:ascii="仿宋" w:hAnsi="仿宋" w:eastAsia="仿宋" w:cs="仿宋"/>
          <w:b/>
          <w:bCs/>
          <w:lang w:eastAsia="zh-CN"/>
        </w:rPr>
        <w:t>.1</w:t>
      </w:r>
      <w:bookmarkEnd w:id="578"/>
    </w:p>
    <w:p w14:paraId="4E36F920">
      <w:pPr>
        <w:pStyle w:val="22"/>
        <w:widowControl w:val="0"/>
        <w:adjustRightInd w:val="0"/>
        <w:snapToGrid w:val="0"/>
        <w:spacing w:line="400" w:lineRule="exact"/>
        <w:ind w:left="1850" w:leftChars="771"/>
        <w:jc w:val="both"/>
        <w:rPr>
          <w:rFonts w:ascii="仿宋" w:hAnsi="仿宋" w:eastAsia="仿宋" w:cs="仿宋"/>
          <w:sz w:val="24"/>
          <w:szCs w:val="24"/>
          <w:lang w:eastAsia="zh-CN"/>
        </w:rPr>
      </w:pPr>
      <w:r>
        <mc:AlternateContent>
          <mc:Choice Requires="wps">
            <w:drawing>
              <wp:anchor distT="0" distB="0" distL="114300" distR="114300" simplePos="0" relativeHeight="251860992" behindDoc="0" locked="0" layoutInCell="1" allowOverlap="1">
                <wp:simplePos x="0" y="0"/>
                <wp:positionH relativeFrom="column">
                  <wp:posOffset>-114300</wp:posOffset>
                </wp:positionH>
                <wp:positionV relativeFrom="paragraph">
                  <wp:posOffset>12700</wp:posOffset>
                </wp:positionV>
                <wp:extent cx="842645" cy="556260"/>
                <wp:effectExtent l="0" t="0" r="0" b="0"/>
                <wp:wrapNone/>
                <wp:docPr id="320" name="文本框 961"/>
                <wp:cNvGraphicFramePr/>
                <a:graphic xmlns:a="http://schemas.openxmlformats.org/drawingml/2006/main">
                  <a:graphicData uri="http://schemas.microsoft.com/office/word/2010/wordprocessingShape">
                    <wps:wsp>
                      <wps:cNvSpPr txBox="1"/>
                      <wps:spPr>
                        <a:xfrm>
                          <a:off x="0" y="0"/>
                          <a:ext cx="842645" cy="556260"/>
                        </a:xfrm>
                        <a:prstGeom prst="rect">
                          <a:avLst/>
                        </a:prstGeom>
                        <a:noFill/>
                        <a:ln w="12700">
                          <a:noFill/>
                        </a:ln>
                      </wps:spPr>
                      <wps:txbx>
                        <w:txbxContent>
                          <w:p w14:paraId="22F00849">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计量和计价的依据</w:t>
                            </w:r>
                          </w:p>
                        </w:txbxContent>
                      </wps:txbx>
                      <wps:bodyPr rot="0" vert="horz" wrap="square" lIns="91440" tIns="45720" rIns="91440" bIns="45720" anchor="t" anchorCtr="0"/>
                    </wps:wsp>
                  </a:graphicData>
                </a:graphic>
              </wp:anchor>
            </w:drawing>
          </mc:Choice>
          <mc:Fallback>
            <w:pict>
              <v:shape id="文本框 961" o:spid="_x0000_s1026" o:spt="202" type="#_x0000_t202" style="position:absolute;left:0pt;margin-left:-9pt;margin-top:1pt;height:43.8pt;width:66.35pt;z-index:251860992;mso-width-relative:page;mso-height-relative:page;" filled="f" stroked="f" coordsize="21600,21600" o:gfxdata="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IB&#10;V+XXAAAACAEAAA8AAAAAAAAAAQAgAAAAIgAAAGRycy9kb3ducmV2LnhtbFBLAQIUABQAAAAIAIdO&#10;4kAVyaUU6wEAAL4DAAAOAAAAAAAAAAEAIAAAACYBAABkcnMvZTJvRG9jLnhtbFBLBQYAAAAABgAG&#10;AFkBAACDBQAAAAA=&#10;">
                <v:fill on="f" focussize="0,0"/>
                <v:stroke on="f" weight="1pt"/>
                <v:imagedata o:title=""/>
                <o:lock v:ext="edit" aspectratio="f"/>
                <v:textbox>
                  <w:txbxContent>
                    <w:p w14:paraId="22F00849">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计量和计价的依据</w:t>
                      </w:r>
                    </w:p>
                  </w:txbxContent>
                </v:textbox>
              </v:shape>
            </w:pict>
          </mc:Fallback>
        </mc:AlternateContent>
      </w:r>
      <w:r>
        <w:rPr>
          <w:rFonts w:hint="eastAsia" w:ascii="仿宋" w:hAnsi="仿宋" w:eastAsia="仿宋" w:cs="仿宋"/>
          <w:sz w:val="24"/>
          <w:szCs w:val="24"/>
          <w:lang w:eastAsia="zh-CN"/>
        </w:rPr>
        <w:t>72.1.1工程勘察费（如果有）的计量规则与计价办法，由合同当事人在专用条款中约定。专用条款中没有约定的，应结合市场行情，参照基准日期前相关价格指导文件，由双方协商确定。招标发包工程，按承包人的投标文件及有效澄清文件、招标文件规定的报价要求及相关澄清文件执行。</w:t>
      </w:r>
    </w:p>
    <w:p w14:paraId="327A8FFB">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72.1.2 工程设计费的计量规则与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14:paraId="11F7D355">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72.1.3 BIM技术应用费的计量规则与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14:paraId="6973ED74">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72.1.4 设备及工器具购置费（如果有）的计量规则与计价办法，由合同当事人在专用条款中约定。招标发包工程以承包人的投标文件及有效澄清文件、招标文件规定的报价要求及相关澄清文件执行。</w:t>
      </w:r>
    </w:p>
    <w:p w14:paraId="3B9F2318">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72.1.5 建筑安装工程费的工程量计算规则和计价办法，由合同当事人在专用条款中约定。专用条款中没有约定的，应结合市场行情，参照基准日期前国家、行业相关规范、标准、定额及当地发布的政府指导价，由双方协商确定。招标发包工程以承包人的投标文件及有效的澄清文件、招标文件规定的报价要求及相关澄清文件执行。</w:t>
      </w:r>
    </w:p>
    <w:p w14:paraId="272E2719">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72.1.6 其他服务项目费用（如果有）的计量规则和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14:paraId="67728476">
      <w:pPr>
        <w:pStyle w:val="22"/>
        <w:adjustRightInd w:val="0"/>
        <w:snapToGrid w:val="0"/>
        <w:spacing w:line="400" w:lineRule="exact"/>
        <w:rPr>
          <w:rFonts w:ascii="仿宋" w:hAnsi="仿宋" w:eastAsia="仿宋"/>
          <w:b/>
          <w:bCs/>
          <w:sz w:val="24"/>
          <w:szCs w:val="24"/>
          <w:lang w:eastAsia="zh-CN"/>
        </w:rPr>
      </w:pPr>
      <w:r>
        <w:rPr>
          <w:rFonts w:hint="eastAsia" w:ascii="仿宋" w:hAnsi="仿宋" w:eastAsia="仿宋" w:cs="仿宋"/>
          <w:b/>
          <w:bCs/>
          <w:sz w:val="24"/>
          <w:szCs w:val="24"/>
          <w:lang w:eastAsia="zh-CN"/>
        </w:rPr>
        <w:t>72</w:t>
      </w:r>
      <w:r>
        <w:rPr>
          <w:rFonts w:ascii="仿宋" w:hAnsi="仿宋" w:eastAsia="仿宋" w:cs="仿宋"/>
          <w:b/>
          <w:bCs/>
          <w:sz w:val="24"/>
          <w:szCs w:val="24"/>
          <w:lang w:eastAsia="zh-CN"/>
        </w:rPr>
        <w:t xml:space="preserve">.2  </w:t>
      </w:r>
      <w:r>
        <w:rPr>
          <w:rFonts w:ascii="仿宋" w:hAnsi="仿宋" w:eastAsia="仿宋" w:cs="仿宋"/>
          <w:b/>
          <w:bCs/>
          <w:sz w:val="24"/>
          <w:szCs w:val="24"/>
          <w:u w:val="dotted"/>
          <w:lang w:eastAsia="zh-CN"/>
        </w:rPr>
        <w:t xml:space="preserve">                                                                               </w:t>
      </w:r>
    </w:p>
    <w:p w14:paraId="79420675">
      <w:pPr>
        <w:pStyle w:val="22"/>
        <w:adjustRightInd w:val="0"/>
        <w:snapToGrid w:val="0"/>
        <w:spacing w:line="400" w:lineRule="exact"/>
        <w:ind w:left="1850" w:leftChars="771"/>
        <w:rPr>
          <w:rFonts w:ascii="仿宋" w:hAnsi="仿宋" w:eastAsia="仿宋"/>
          <w:sz w:val="24"/>
          <w:szCs w:val="24"/>
          <w:lang w:eastAsia="zh-CN"/>
        </w:rPr>
      </w:pPr>
      <w:r>
        <mc:AlternateContent>
          <mc:Choice Requires="wps">
            <w:drawing>
              <wp:anchor distT="0" distB="0" distL="114300" distR="114300" simplePos="0" relativeHeight="251862016" behindDoc="0" locked="0" layoutInCell="1" allowOverlap="1">
                <wp:simplePos x="0" y="0"/>
                <wp:positionH relativeFrom="column">
                  <wp:posOffset>-114300</wp:posOffset>
                </wp:positionH>
                <wp:positionV relativeFrom="paragraph">
                  <wp:posOffset>50800</wp:posOffset>
                </wp:positionV>
                <wp:extent cx="823595" cy="489585"/>
                <wp:effectExtent l="0" t="0" r="0" b="0"/>
                <wp:wrapNone/>
                <wp:docPr id="321" name="文本框 962"/>
                <wp:cNvGraphicFramePr/>
                <a:graphic xmlns:a="http://schemas.openxmlformats.org/drawingml/2006/main">
                  <a:graphicData uri="http://schemas.microsoft.com/office/word/2010/wordprocessingShape">
                    <wps:wsp>
                      <wps:cNvSpPr txBox="1"/>
                      <wps:spPr>
                        <a:xfrm>
                          <a:off x="0" y="0"/>
                          <a:ext cx="823595" cy="489585"/>
                        </a:xfrm>
                        <a:prstGeom prst="rect">
                          <a:avLst/>
                        </a:prstGeom>
                        <a:noFill/>
                        <a:ln w="12700">
                          <a:noFill/>
                        </a:ln>
                      </wps:spPr>
                      <wps:txbx>
                        <w:txbxContent>
                          <w:p w14:paraId="0EBAA803">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计量和计价的要求</w:t>
                            </w:r>
                          </w:p>
                        </w:txbxContent>
                      </wps:txbx>
                      <wps:bodyPr rot="0" vert="horz" wrap="square" lIns="91440" tIns="45720" rIns="91440" bIns="45720" anchor="t" anchorCtr="0"/>
                    </wps:wsp>
                  </a:graphicData>
                </a:graphic>
              </wp:anchor>
            </w:drawing>
          </mc:Choice>
          <mc:Fallback>
            <w:pict>
              <v:shape id="文本框 962" o:spid="_x0000_s1026" o:spt="202" type="#_x0000_t202" style="position:absolute;left:0pt;margin-left:-9pt;margin-top:4pt;height:38.55pt;width:64.85pt;z-index:251862016;mso-width-relative:page;mso-height-relative:page;" filled="f" stroked="f" coordsize="21600,21600" o:gfxdata="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6Owp9&#10;1QAAAAgBAAAPAAAAAAAAAAEAIAAAACIAAABkcnMvZG93bnJldi54bWxQSwECFAAUAAAACACHTuJA&#10;UW43SOsBAAC+AwAADgAAAAAAAAABACAAAAAkAQAAZHJzL2Uyb0RvYy54bWxQSwUGAAAAAAYABgBZ&#10;AQAAgQUAAAAA&#10;">
                <v:fill on="f" focussize="0,0"/>
                <v:stroke on="f" weight="1pt"/>
                <v:imagedata o:title=""/>
                <o:lock v:ext="edit" aspectratio="f"/>
                <v:textbox>
                  <w:txbxContent>
                    <w:p w14:paraId="0EBAA803">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计量和计价的要求</w:t>
                      </w:r>
                    </w:p>
                  </w:txbxContent>
                </v:textbox>
              </v:shape>
            </w:pict>
          </mc:Fallback>
        </mc:AlternateContent>
      </w:r>
      <w:r>
        <w:rPr>
          <w:rFonts w:hint="eastAsia" w:ascii="仿宋" w:hAnsi="仿宋" w:eastAsia="仿宋" w:cs="仿宋"/>
          <w:sz w:val="24"/>
          <w:szCs w:val="24"/>
          <w:lang w:eastAsia="zh-CN"/>
        </w:rPr>
        <w:t>合同双方当事人应按照专用条款约定的计量规则、计价办法、计价依据、允许调整事项及合同价格调整办法，进行工程计量和计价。</w:t>
      </w:r>
    </w:p>
    <w:p w14:paraId="1698C4E3">
      <w:pPr>
        <w:pStyle w:val="22"/>
        <w:adjustRightInd w:val="0"/>
        <w:snapToGrid w:val="0"/>
        <w:spacing w:line="400" w:lineRule="exact"/>
        <w:ind w:left="1850" w:leftChars="771"/>
        <w:rPr>
          <w:lang w:eastAsia="zh-CN"/>
        </w:rPr>
      </w:pPr>
      <w:r>
        <w:rPr>
          <w:rFonts w:hint="eastAsia" w:ascii="仿宋" w:hAnsi="仿宋" w:eastAsia="仿宋" w:cs="仿宋"/>
          <w:sz w:val="24"/>
          <w:szCs w:val="24"/>
          <w:lang w:eastAsia="zh-CN"/>
        </w:rPr>
        <w:t>监理人、造价咨询人负责工程计量和计价的核实工作。</w:t>
      </w:r>
    </w:p>
    <w:p w14:paraId="4B43495F">
      <w:pPr>
        <w:spacing w:line="400" w:lineRule="exact"/>
        <w:rPr>
          <w:rFonts w:ascii="仿宋" w:hAnsi="仿宋" w:eastAsia="仿宋"/>
          <w:b/>
          <w:bCs/>
          <w:lang w:eastAsia="zh-CN"/>
        </w:rPr>
      </w:pPr>
      <w:bookmarkStart w:id="579" w:name="_Toc15382"/>
      <w:r>
        <mc:AlternateContent>
          <mc:Choice Requires="wps">
            <w:drawing>
              <wp:anchor distT="0" distB="0" distL="114300" distR="114300" simplePos="0" relativeHeight="251863040" behindDoc="0" locked="0" layoutInCell="1" allowOverlap="1">
                <wp:simplePos x="0" y="0"/>
                <wp:positionH relativeFrom="column">
                  <wp:posOffset>-95250</wp:posOffset>
                </wp:positionH>
                <wp:positionV relativeFrom="paragraph">
                  <wp:posOffset>247015</wp:posOffset>
                </wp:positionV>
                <wp:extent cx="851535" cy="650875"/>
                <wp:effectExtent l="0" t="0" r="0" b="0"/>
                <wp:wrapNone/>
                <wp:docPr id="322" name="文本框 963"/>
                <wp:cNvGraphicFramePr/>
                <a:graphic xmlns:a="http://schemas.openxmlformats.org/drawingml/2006/main">
                  <a:graphicData uri="http://schemas.microsoft.com/office/word/2010/wordprocessingShape">
                    <wps:wsp>
                      <wps:cNvSpPr txBox="1"/>
                      <wps:spPr>
                        <a:xfrm>
                          <a:off x="0" y="0"/>
                          <a:ext cx="851535" cy="650875"/>
                        </a:xfrm>
                        <a:prstGeom prst="rect">
                          <a:avLst/>
                        </a:prstGeom>
                        <a:noFill/>
                        <a:ln w="12700">
                          <a:noFill/>
                        </a:ln>
                      </wps:spPr>
                      <wps:txbx>
                        <w:txbxContent>
                          <w:p w14:paraId="0A7BA828">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已完工作或工程款额报告的提交和核实</w:t>
                            </w:r>
                          </w:p>
                        </w:txbxContent>
                      </wps:txbx>
                      <wps:bodyPr rot="0" vert="horz" wrap="square" lIns="91440" tIns="45720" rIns="91440" bIns="45720" anchor="t" anchorCtr="0"/>
                    </wps:wsp>
                  </a:graphicData>
                </a:graphic>
              </wp:anchor>
            </w:drawing>
          </mc:Choice>
          <mc:Fallback>
            <w:pict>
              <v:shape id="文本框 963" o:spid="_x0000_s1026" o:spt="202" type="#_x0000_t202" style="position:absolute;left:0pt;margin-left:-7.5pt;margin-top:19.45pt;height:51.25pt;width:67.05pt;z-index:251863040;mso-width-relative:page;mso-height-relative:page;" filled="f" stroked="f" coordsize="21600,21600" o:gfxdata="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R&#10;jvxq2AAAAAoBAAAPAAAAAAAAAAEAIAAAACIAAABkcnMvZG93bnJldi54bWxQSwECFAAUAAAACACH&#10;TuJAVs6IS+sBAAC+AwAADgAAAAAAAAABACAAAAAnAQAAZHJzL2Uyb0RvYy54bWxQSwUGAAAAAAYA&#10;BgBZAQAAhAUAAAAA&#10;">
                <v:fill on="f" focussize="0,0"/>
                <v:stroke on="f" weight="1pt"/>
                <v:imagedata o:title=""/>
                <o:lock v:ext="edit" aspectratio="f"/>
                <v:textbox>
                  <w:txbxContent>
                    <w:p w14:paraId="0A7BA828">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已完工作或工程款额报告的提交和核实</w:t>
                      </w:r>
                    </w:p>
                  </w:txbxContent>
                </v:textbox>
              </v:shape>
            </w:pict>
          </mc:Fallback>
        </mc:AlternateContent>
      </w:r>
      <w:r>
        <w:rPr>
          <w:rFonts w:hint="eastAsia" w:ascii="仿宋" w:hAnsi="仿宋" w:eastAsia="仿宋" w:cs="仿宋"/>
          <w:b/>
          <w:bCs/>
          <w:lang w:eastAsia="zh-CN"/>
        </w:rPr>
        <w:t>72</w:t>
      </w:r>
      <w:r>
        <w:rPr>
          <w:rFonts w:ascii="仿宋" w:hAnsi="仿宋" w:eastAsia="仿宋" w:cs="仿宋"/>
          <w:b/>
          <w:bCs/>
          <w:lang w:eastAsia="zh-CN"/>
        </w:rPr>
        <w:t>.3</w:t>
      </w:r>
      <w:bookmarkEnd w:id="579"/>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2FEC1410">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承包人应按照第</w:t>
      </w:r>
      <w:r>
        <w:rPr>
          <w:rFonts w:ascii="仿宋" w:hAnsi="仿宋" w:eastAsia="仿宋" w:cs="仿宋"/>
          <w:sz w:val="24"/>
          <w:szCs w:val="24"/>
          <w:lang w:eastAsia="zh-CN"/>
        </w:rPr>
        <w:t>8</w:t>
      </w:r>
      <w:r>
        <w:rPr>
          <w:rFonts w:hint="eastAsia" w:ascii="仿宋" w:hAnsi="仿宋" w:eastAsia="仿宋" w:cs="仿宋"/>
          <w:sz w:val="24"/>
          <w:szCs w:val="24"/>
          <w:lang w:eastAsia="zh-CN"/>
        </w:rPr>
        <w:t>6</w:t>
      </w:r>
      <w:r>
        <w:rPr>
          <w:rFonts w:ascii="仿宋" w:hAnsi="仿宋" w:eastAsia="仿宋" w:cs="仿宋"/>
          <w:sz w:val="24"/>
          <w:szCs w:val="24"/>
          <w:lang w:eastAsia="zh-CN"/>
        </w:rPr>
        <w:t>.1</w:t>
      </w:r>
      <w:r>
        <w:rPr>
          <w:rFonts w:hint="eastAsia" w:ascii="仿宋" w:hAnsi="仿宋" w:eastAsia="仿宋" w:cs="仿宋"/>
          <w:sz w:val="24"/>
          <w:szCs w:val="24"/>
          <w:lang w:eastAsia="zh-CN"/>
        </w:rPr>
        <w:t>款约定向造价咨询人提交已完工作或工程款额报告。监理人、造价咨询人应在收到报告后的</w:t>
      </w:r>
      <w:r>
        <w:rPr>
          <w:rFonts w:ascii="仿宋" w:hAnsi="仿宋" w:eastAsia="仿宋" w:cs="仿宋"/>
          <w:sz w:val="24"/>
          <w:szCs w:val="24"/>
          <w:lang w:eastAsia="zh-CN"/>
        </w:rPr>
        <w:t>14</w:t>
      </w:r>
      <w:r>
        <w:rPr>
          <w:rFonts w:hint="eastAsia" w:ascii="仿宋" w:hAnsi="仿宋" w:eastAsia="仿宋" w:cs="仿宋"/>
          <w:sz w:val="24"/>
          <w:szCs w:val="24"/>
          <w:lang w:eastAsia="zh-CN"/>
        </w:rPr>
        <w:t>天内核实工作量或工程量，并将核实结果通知承包人、抄报发包人，作为计价和支付的依据。</w:t>
      </w:r>
    </w:p>
    <w:p w14:paraId="5992A182">
      <w:pPr>
        <w:pStyle w:val="22"/>
        <w:adjustRightInd w:val="0"/>
        <w:snapToGrid w:val="0"/>
        <w:spacing w:line="400" w:lineRule="exact"/>
        <w:rPr>
          <w:lang w:eastAsia="zh-CN"/>
        </w:rPr>
      </w:pPr>
      <w:r>
        <w:rPr>
          <w:rFonts w:hint="eastAsia" w:ascii="仿宋" w:hAnsi="仿宋" w:eastAsia="仿宋" w:cs="仿宋"/>
          <w:b/>
          <w:bCs/>
          <w:sz w:val="24"/>
          <w:szCs w:val="24"/>
          <w:lang w:eastAsia="zh-CN"/>
        </w:rPr>
        <w:t>72</w:t>
      </w:r>
      <w:r>
        <w:rPr>
          <w:rFonts w:ascii="仿宋" w:hAnsi="仿宋" w:eastAsia="仿宋" w:cs="仿宋"/>
          <w:b/>
          <w:bCs/>
          <w:sz w:val="24"/>
          <w:szCs w:val="24"/>
          <w:lang w:eastAsia="zh-CN"/>
        </w:rPr>
        <w:t xml:space="preserve">.4  </w:t>
      </w:r>
      <w:r>
        <w:rPr>
          <w:rFonts w:ascii="仿宋" w:hAnsi="仿宋" w:eastAsia="仿宋" w:cs="仿宋"/>
          <w:b/>
          <w:bCs/>
          <w:sz w:val="24"/>
          <w:szCs w:val="24"/>
          <w:u w:val="dotted"/>
          <w:lang w:eastAsia="zh-CN"/>
        </w:rPr>
        <w:t xml:space="preserve">                                                                               </w:t>
      </w:r>
    </w:p>
    <w:p w14:paraId="09E0F176">
      <w:pPr>
        <w:pStyle w:val="22"/>
        <w:widowControl w:val="0"/>
        <w:adjustRightInd w:val="0"/>
        <w:snapToGrid w:val="0"/>
        <w:spacing w:line="400" w:lineRule="exact"/>
        <w:ind w:left="1850" w:leftChars="771"/>
        <w:jc w:val="both"/>
        <w:rPr>
          <w:rFonts w:ascii="仿宋" w:hAnsi="仿宋" w:eastAsia="仿宋"/>
          <w:sz w:val="24"/>
          <w:szCs w:val="24"/>
          <w:lang w:eastAsia="zh-CN"/>
        </w:rPr>
      </w:pPr>
      <w:r>
        <mc:AlternateContent>
          <mc:Choice Requires="wps">
            <w:drawing>
              <wp:anchor distT="0" distB="0" distL="114300" distR="114300" simplePos="0" relativeHeight="251864064" behindDoc="0" locked="0" layoutInCell="1" allowOverlap="1">
                <wp:simplePos x="0" y="0"/>
                <wp:positionH relativeFrom="column">
                  <wp:posOffset>-114300</wp:posOffset>
                </wp:positionH>
                <wp:positionV relativeFrom="paragraph">
                  <wp:posOffset>50165</wp:posOffset>
                </wp:positionV>
                <wp:extent cx="827405" cy="527685"/>
                <wp:effectExtent l="0" t="0" r="0" b="0"/>
                <wp:wrapNone/>
                <wp:docPr id="323" name="文本框 964"/>
                <wp:cNvGraphicFramePr/>
                <a:graphic xmlns:a="http://schemas.openxmlformats.org/drawingml/2006/main">
                  <a:graphicData uri="http://schemas.microsoft.com/office/word/2010/wordprocessingShape">
                    <wps:wsp>
                      <wps:cNvSpPr txBox="1"/>
                      <wps:spPr>
                        <a:xfrm>
                          <a:off x="0" y="0"/>
                          <a:ext cx="827405" cy="527685"/>
                        </a:xfrm>
                        <a:prstGeom prst="rect">
                          <a:avLst/>
                        </a:prstGeom>
                        <a:noFill/>
                        <a:ln w="12700">
                          <a:noFill/>
                        </a:ln>
                      </wps:spPr>
                      <wps:txbx>
                        <w:txbxContent>
                          <w:p w14:paraId="4AB6EAFA">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现场计量</w:t>
                            </w:r>
                          </w:p>
                        </w:txbxContent>
                      </wps:txbx>
                      <wps:bodyPr rot="0" vert="horz" wrap="square" lIns="91440" tIns="45720" rIns="91440" bIns="45720" anchor="t" anchorCtr="0"/>
                    </wps:wsp>
                  </a:graphicData>
                </a:graphic>
              </wp:anchor>
            </w:drawing>
          </mc:Choice>
          <mc:Fallback>
            <w:pict>
              <v:shape id="文本框 964" o:spid="_x0000_s1026" o:spt="202" type="#_x0000_t202" style="position:absolute;left:0pt;margin-left:-9pt;margin-top:3.95pt;height:41.55pt;width:65.15pt;z-index:251864064;mso-width-relative:page;mso-height-relative:page;" filled="f" stroked="f" coordsize="21600,21600" o:gfxdata="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3R4E&#10;FdYAAAAIAQAADwAAAAAAAAABACAAAAAiAAAAZHJzL2Rvd25yZXYueG1sUEsBAhQAFAAAAAgAh07i&#10;QLvmGYjrAQAAvgMAAA4AAAAAAAAAAQAgAAAAJQEAAGRycy9lMm9Eb2MueG1sUEsFBgAAAAAGAAYA&#10;WQEAAIIFAAAAAA==&#10;">
                <v:fill on="f" focussize="0,0"/>
                <v:stroke on="f" weight="1pt"/>
                <v:imagedata o:title=""/>
                <o:lock v:ext="edit" aspectratio="f"/>
                <v:textbox>
                  <w:txbxContent>
                    <w:p w14:paraId="4AB6EAFA">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现场计量</w:t>
                      </w:r>
                    </w:p>
                  </w:txbxContent>
                </v:textbox>
              </v:shape>
            </w:pict>
          </mc:Fallback>
        </mc:AlternateContent>
      </w:r>
      <w:r>
        <w:rPr>
          <w:rFonts w:hint="eastAsia" w:ascii="仿宋" w:hAnsi="仿宋" w:eastAsia="仿宋" w:cs="仿宋"/>
          <w:sz w:val="24"/>
          <w:szCs w:val="24"/>
          <w:lang w:eastAsia="zh-CN"/>
        </w:rPr>
        <w:t>当造价咨询人进行现场计量时，应在计量前</w:t>
      </w:r>
      <w:r>
        <w:rPr>
          <w:rFonts w:ascii="仿宋" w:hAnsi="仿宋" w:eastAsia="仿宋" w:cs="仿宋"/>
          <w:sz w:val="24"/>
          <w:szCs w:val="24"/>
          <w:lang w:eastAsia="zh-CN"/>
        </w:rPr>
        <w:t>24</w:t>
      </w:r>
      <w:r>
        <w:rPr>
          <w:rFonts w:hint="eastAsia" w:ascii="仿宋" w:hAnsi="仿宋" w:eastAsia="仿宋" w:cs="仿宋"/>
          <w:sz w:val="24"/>
          <w:szCs w:val="24"/>
          <w:lang w:eastAsia="zh-CN"/>
        </w:rPr>
        <w:t>小时通知承包人，承包人应为计量提供便利条件并派人参加。承包人收到通知后不派人参加计量，视为认可计量结果。造价咨询人不按照约定时间通知承包人，致使承包人未能派人参加计量，计量结果无效。</w:t>
      </w:r>
    </w:p>
    <w:p w14:paraId="0B91880A">
      <w:pPr>
        <w:spacing w:line="400" w:lineRule="exact"/>
        <w:rPr>
          <w:rFonts w:ascii="仿宋" w:hAnsi="仿宋" w:eastAsia="仿宋"/>
          <w:b/>
          <w:bCs/>
          <w:lang w:eastAsia="zh-CN"/>
        </w:rPr>
      </w:pPr>
      <w:bookmarkStart w:id="580" w:name="_Toc14982"/>
      <w:r>
        <w:rPr>
          <w:rFonts w:hint="eastAsia" w:ascii="仿宋" w:hAnsi="仿宋" w:eastAsia="仿宋" w:cs="仿宋"/>
          <w:b/>
          <w:bCs/>
          <w:lang w:eastAsia="zh-CN"/>
        </w:rPr>
        <w:t>72</w:t>
      </w:r>
      <w:r>
        <w:rPr>
          <w:rFonts w:ascii="仿宋" w:hAnsi="仿宋" w:eastAsia="仿宋" w:cs="仿宋"/>
          <w:b/>
          <w:bCs/>
          <w:lang w:eastAsia="zh-CN"/>
        </w:rPr>
        <w:t>.5</w:t>
      </w:r>
      <w:bookmarkEnd w:id="580"/>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78D238EE">
      <w:pPr>
        <w:pStyle w:val="22"/>
        <w:widowControl w:val="0"/>
        <w:adjustRightInd w:val="0"/>
        <w:snapToGrid w:val="0"/>
        <w:spacing w:line="400" w:lineRule="exact"/>
        <w:ind w:left="1850" w:leftChars="771"/>
        <w:jc w:val="both"/>
        <w:rPr>
          <w:rFonts w:ascii="仿宋" w:hAnsi="仿宋" w:eastAsia="仿宋"/>
          <w:sz w:val="24"/>
          <w:szCs w:val="24"/>
          <w:lang w:eastAsia="zh-CN"/>
        </w:rPr>
      </w:pPr>
      <w:r>
        <mc:AlternateContent>
          <mc:Choice Requires="wps">
            <w:drawing>
              <wp:anchor distT="0" distB="0" distL="114300" distR="114300" simplePos="0" relativeHeight="251865088" behindDoc="0" locked="0" layoutInCell="1" allowOverlap="1">
                <wp:simplePos x="0" y="0"/>
                <wp:positionH relativeFrom="column">
                  <wp:posOffset>-114300</wp:posOffset>
                </wp:positionH>
                <wp:positionV relativeFrom="paragraph">
                  <wp:posOffset>44450</wp:posOffset>
                </wp:positionV>
                <wp:extent cx="775335" cy="598170"/>
                <wp:effectExtent l="0" t="0" r="0" b="0"/>
                <wp:wrapNone/>
                <wp:docPr id="324" name="文本框 965"/>
                <wp:cNvGraphicFramePr/>
                <a:graphic xmlns:a="http://schemas.openxmlformats.org/drawingml/2006/main">
                  <a:graphicData uri="http://schemas.microsoft.com/office/word/2010/wordprocessingShape">
                    <wps:wsp>
                      <wps:cNvSpPr txBox="1"/>
                      <wps:spPr>
                        <a:xfrm>
                          <a:off x="0" y="0"/>
                          <a:ext cx="775335" cy="598170"/>
                        </a:xfrm>
                        <a:prstGeom prst="rect">
                          <a:avLst/>
                        </a:prstGeom>
                        <a:noFill/>
                        <a:ln w="12700">
                          <a:noFill/>
                        </a:ln>
                      </wps:spPr>
                      <wps:txbx>
                        <w:txbxContent>
                          <w:p w14:paraId="150361B3">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收到已完工作或工程款额报告的限制</w:t>
                            </w:r>
                          </w:p>
                        </w:txbxContent>
                      </wps:txbx>
                      <wps:bodyPr rot="0" vert="horz" wrap="square" lIns="91440" tIns="45720" rIns="91440" bIns="45720" anchor="t" anchorCtr="0"/>
                    </wps:wsp>
                  </a:graphicData>
                </a:graphic>
              </wp:anchor>
            </w:drawing>
          </mc:Choice>
          <mc:Fallback>
            <w:pict>
              <v:shape id="文本框 965" o:spid="_x0000_s1026" o:spt="202" type="#_x0000_t202" style="position:absolute;left:0pt;margin-left:-9pt;margin-top:3.5pt;height:47.1pt;width:61.05pt;z-index:251865088;mso-width-relative:page;mso-height-relative:page;" filled="f" stroked="f" coordsize="21600,21600" o:gfxdata="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W&#10;s14l1gAAAAkBAAAPAAAAAAAAAAEAIAAAACIAAABkcnMvZG93bnJldi54bWxQSwECFAAUAAAACACH&#10;TuJA07MW3O0BAAC+AwAADgAAAAAAAAABACAAAAAlAQAAZHJzL2Uyb0RvYy54bWxQSwUGAAAAAAYA&#10;BgBZAQAAhAUAAAAA&#10;">
                <v:fill on="f" focussize="0,0"/>
                <v:stroke on="f" weight="1pt"/>
                <v:imagedata o:title=""/>
                <o:lock v:ext="edit" aspectratio="f"/>
                <v:textbox>
                  <w:txbxContent>
                    <w:p w14:paraId="150361B3">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收到已完工作或工程款额报告的限制</w:t>
                      </w:r>
                    </w:p>
                  </w:txbxContent>
                </v:textbox>
              </v:shape>
            </w:pict>
          </mc:Fallback>
        </mc:AlternateContent>
      </w:r>
      <w:r>
        <w:rPr>
          <w:rFonts w:hint="eastAsia" w:ascii="仿宋" w:hAnsi="仿宋" w:eastAsia="仿宋" w:cs="仿宋"/>
          <w:sz w:val="24"/>
          <w:szCs w:val="24"/>
          <w:lang w:eastAsia="zh-CN"/>
        </w:rPr>
        <w:t>造价咨询人收到承包人按照第</w:t>
      </w:r>
      <w:r>
        <w:rPr>
          <w:rFonts w:ascii="仿宋" w:hAnsi="仿宋" w:eastAsia="仿宋" w:cs="仿宋"/>
          <w:sz w:val="24"/>
          <w:szCs w:val="24"/>
          <w:lang w:eastAsia="zh-CN"/>
        </w:rPr>
        <w:t>8</w:t>
      </w:r>
      <w:r>
        <w:rPr>
          <w:rFonts w:hint="eastAsia" w:ascii="仿宋" w:hAnsi="仿宋" w:eastAsia="仿宋" w:cs="仿宋"/>
          <w:sz w:val="24"/>
          <w:szCs w:val="24"/>
          <w:lang w:eastAsia="zh-CN"/>
        </w:rPr>
        <w:t>6</w:t>
      </w:r>
      <w:r>
        <w:rPr>
          <w:rFonts w:ascii="仿宋" w:hAnsi="仿宋" w:eastAsia="仿宋" w:cs="仿宋"/>
          <w:sz w:val="24"/>
          <w:szCs w:val="24"/>
          <w:lang w:eastAsia="zh-CN"/>
        </w:rPr>
        <w:t>.1</w:t>
      </w:r>
      <w:r>
        <w:rPr>
          <w:rFonts w:hint="eastAsia" w:ascii="仿宋" w:hAnsi="仿宋" w:eastAsia="仿宋" w:cs="仿宋"/>
          <w:sz w:val="24"/>
          <w:szCs w:val="24"/>
          <w:lang w:eastAsia="zh-CN"/>
        </w:rPr>
        <w:t>款约定提交的已完工作或工程款额报告后</w:t>
      </w:r>
      <w:r>
        <w:rPr>
          <w:rFonts w:ascii="仿宋" w:hAnsi="仿宋" w:eastAsia="仿宋" w:cs="仿宋"/>
          <w:sz w:val="24"/>
          <w:szCs w:val="24"/>
          <w:lang w:eastAsia="zh-CN"/>
        </w:rPr>
        <w:t>14</w:t>
      </w:r>
      <w:r>
        <w:rPr>
          <w:rFonts w:hint="eastAsia" w:ascii="仿宋" w:hAnsi="仿宋" w:eastAsia="仿宋" w:cs="仿宋"/>
          <w:sz w:val="24"/>
          <w:szCs w:val="24"/>
          <w:lang w:eastAsia="zh-CN"/>
        </w:rPr>
        <w:t>天内，未进行计量或未向承包人通知计量结果的，从第</w:t>
      </w:r>
      <w:r>
        <w:rPr>
          <w:rFonts w:ascii="仿宋" w:hAnsi="仿宋" w:eastAsia="仿宋" w:cs="仿宋"/>
          <w:sz w:val="24"/>
          <w:szCs w:val="24"/>
          <w:lang w:eastAsia="zh-CN"/>
        </w:rPr>
        <w:t>15</w:t>
      </w:r>
      <w:r>
        <w:rPr>
          <w:rFonts w:hint="eastAsia" w:ascii="仿宋" w:hAnsi="仿宋" w:eastAsia="仿宋" w:cs="仿宋"/>
          <w:sz w:val="24"/>
          <w:szCs w:val="24"/>
          <w:lang w:eastAsia="zh-CN"/>
        </w:rPr>
        <w:t>天起，承包人报告中开列的工作量或工程量即视为被确认，作为计价和支付的依据。</w:t>
      </w:r>
    </w:p>
    <w:p w14:paraId="4F12ADA5">
      <w:pPr>
        <w:spacing w:line="400" w:lineRule="exact"/>
        <w:rPr>
          <w:rFonts w:ascii="仿宋" w:hAnsi="仿宋" w:eastAsia="仿宋"/>
          <w:b/>
          <w:bCs/>
          <w:lang w:eastAsia="zh-CN"/>
        </w:rPr>
      </w:pPr>
      <w:r>
        <w:rPr>
          <w:rFonts w:hint="eastAsia" w:ascii="仿宋" w:hAnsi="仿宋" w:eastAsia="仿宋" w:cs="仿宋"/>
          <w:b/>
          <w:bCs/>
          <w:lang w:eastAsia="zh-CN"/>
        </w:rPr>
        <w:t>72</w:t>
      </w:r>
      <w:r>
        <w:rPr>
          <w:rFonts w:ascii="仿宋" w:hAnsi="仿宋" w:eastAsia="仿宋" w:cs="仿宋"/>
          <w:b/>
          <w:bCs/>
          <w:lang w:eastAsia="zh-CN"/>
        </w:rPr>
        <w:t xml:space="preserve">.6  </w:t>
      </w:r>
      <w:r>
        <w:rPr>
          <w:rFonts w:ascii="仿宋" w:hAnsi="仿宋" w:eastAsia="仿宋" w:cs="仿宋"/>
          <w:b/>
          <w:bCs/>
          <w:u w:val="dotted"/>
          <w:lang w:eastAsia="zh-CN"/>
        </w:rPr>
        <w:t xml:space="preserve">                                                                               </w:t>
      </w:r>
    </w:p>
    <w:p w14:paraId="2BF8675F">
      <w:pPr>
        <w:pStyle w:val="22"/>
        <w:widowControl w:val="0"/>
        <w:adjustRightInd w:val="0"/>
        <w:snapToGrid w:val="0"/>
        <w:spacing w:line="400" w:lineRule="exact"/>
        <w:ind w:left="1850" w:leftChars="771"/>
        <w:jc w:val="both"/>
        <w:rPr>
          <w:rFonts w:ascii="仿宋" w:hAnsi="仿宋" w:eastAsia="仿宋"/>
          <w:sz w:val="24"/>
          <w:szCs w:val="24"/>
          <w:lang w:eastAsia="zh-CN"/>
        </w:rPr>
      </w:pPr>
      <w:r>
        <mc:AlternateContent>
          <mc:Choice Requires="wps">
            <w:drawing>
              <wp:anchor distT="0" distB="0" distL="114300" distR="114300" simplePos="0" relativeHeight="251866112" behindDoc="0" locked="0" layoutInCell="1" allowOverlap="1">
                <wp:simplePos x="0" y="0"/>
                <wp:positionH relativeFrom="column">
                  <wp:posOffset>-114300</wp:posOffset>
                </wp:positionH>
                <wp:positionV relativeFrom="paragraph">
                  <wp:posOffset>45720</wp:posOffset>
                </wp:positionV>
                <wp:extent cx="832485" cy="550545"/>
                <wp:effectExtent l="0" t="0" r="0" b="0"/>
                <wp:wrapNone/>
                <wp:docPr id="325" name="文本框 966"/>
                <wp:cNvGraphicFramePr/>
                <a:graphic xmlns:a="http://schemas.openxmlformats.org/drawingml/2006/main">
                  <a:graphicData uri="http://schemas.microsoft.com/office/word/2010/wordprocessingShape">
                    <wps:wsp>
                      <wps:cNvSpPr txBox="1"/>
                      <wps:spPr>
                        <a:xfrm>
                          <a:off x="0" y="0"/>
                          <a:ext cx="832485" cy="550545"/>
                        </a:xfrm>
                        <a:prstGeom prst="rect">
                          <a:avLst/>
                        </a:prstGeom>
                        <a:noFill/>
                        <a:ln w="12700">
                          <a:noFill/>
                        </a:ln>
                      </wps:spPr>
                      <wps:txbx>
                        <w:txbxContent>
                          <w:p w14:paraId="47712050">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wps:txbx>
                      <wps:bodyPr rot="0" vert="horz" wrap="square" lIns="91440" tIns="45720" rIns="91440" bIns="45720" anchor="t" anchorCtr="0"/>
                    </wps:wsp>
                  </a:graphicData>
                </a:graphic>
              </wp:anchor>
            </w:drawing>
          </mc:Choice>
          <mc:Fallback>
            <w:pict>
              <v:shape id="文本框 966" o:spid="_x0000_s1026" o:spt="202" type="#_x0000_t202" style="position:absolute;left:0pt;margin-left:-9pt;margin-top:3.6pt;height:43.35pt;width:65.55pt;z-index:251866112;mso-width-relative:page;mso-height-relative:page;" filled="f" stroked="f" coordsize="21600,21600" o:gfxdata="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w/Rk&#10;ydcAAAAIAQAADwAAAAAAAAABACAAAAAiAAAAZHJzL2Rvd25yZXYueG1sUEsBAhQAFAAAAAgAh07i&#10;QGEOwdfqAQAAvgMAAA4AAAAAAAAAAQAgAAAAJgEAAGRycy9lMm9Eb2MueG1sUEsFBgAAAAAGAAYA&#10;WQEAAIIFAAAAAA==&#10;">
                <v:fill on="f" focussize="0,0"/>
                <v:stroke on="f" weight="1pt"/>
                <v:imagedata o:title=""/>
                <o:lock v:ext="edit" aspectratio="f"/>
                <v:textbox>
                  <w:txbxContent>
                    <w:p w14:paraId="47712050">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v:textbox>
              </v:shape>
            </w:pict>
          </mc:Fallback>
        </mc:AlternateContent>
      </w:r>
      <w:r>
        <w:rPr>
          <w:rFonts w:hint="eastAsia" w:ascii="仿宋" w:hAnsi="仿宋" w:eastAsia="仿宋" w:cs="仿宋"/>
          <w:sz w:val="24"/>
          <w:szCs w:val="24"/>
          <w:lang w:eastAsia="zh-CN"/>
        </w:rPr>
        <w:t>如果承包人认为造价咨询人的计量结果有误，应在收到计量结果通知后的</w:t>
      </w:r>
      <w:r>
        <w:rPr>
          <w:rFonts w:ascii="仿宋" w:hAnsi="仿宋" w:eastAsia="仿宋" w:cs="仿宋"/>
          <w:sz w:val="24"/>
          <w:szCs w:val="24"/>
          <w:lang w:eastAsia="zh-CN"/>
        </w:rPr>
        <w:t>7</w:t>
      </w:r>
      <w:r>
        <w:rPr>
          <w:rFonts w:hint="eastAsia" w:ascii="仿宋" w:hAnsi="仿宋" w:eastAsia="仿宋" w:cs="仿宋"/>
          <w:sz w:val="24"/>
          <w:szCs w:val="24"/>
          <w:lang w:eastAsia="zh-CN"/>
        </w:rPr>
        <w:t>天内向造价咨询人提出书面意见，并附上其认为正确的计量结果和详细的计算过程等资料。造价咨询人收到书面意见后，应立即会同承包人对计量结果进行复核，并在签发支付证书前确定计量结果，同时通知承包人、抄报发包人。承包人对复核计量结果仍有异议或发包人对计量结果有异议的，按照第91条约定处理。</w:t>
      </w:r>
    </w:p>
    <w:p w14:paraId="758B8469">
      <w:pPr>
        <w:spacing w:line="400" w:lineRule="exact"/>
        <w:rPr>
          <w:rFonts w:ascii="仿宋" w:hAnsi="仿宋" w:eastAsia="仿宋"/>
          <w:b/>
          <w:bCs/>
          <w:lang w:eastAsia="zh-CN"/>
        </w:rPr>
      </w:pPr>
      <w:r>
        <w:rPr>
          <w:rFonts w:hint="eastAsia" w:ascii="仿宋" w:hAnsi="仿宋" w:eastAsia="仿宋" w:cs="仿宋"/>
          <w:b/>
          <w:bCs/>
          <w:lang w:eastAsia="zh-CN"/>
        </w:rPr>
        <w:t>72</w:t>
      </w:r>
      <w:r>
        <w:rPr>
          <w:rFonts w:ascii="仿宋" w:hAnsi="仿宋" w:eastAsia="仿宋" w:cs="仿宋"/>
          <w:b/>
          <w:bCs/>
          <w:lang w:eastAsia="zh-CN"/>
        </w:rPr>
        <w:t xml:space="preserve">.7  </w:t>
      </w:r>
      <w:r>
        <w:rPr>
          <w:rFonts w:ascii="仿宋" w:hAnsi="仿宋" w:eastAsia="仿宋" w:cs="仿宋"/>
          <w:b/>
          <w:bCs/>
          <w:u w:val="dotted"/>
          <w:lang w:eastAsia="zh-CN"/>
        </w:rPr>
        <w:t xml:space="preserve">                                                                              </w:t>
      </w:r>
    </w:p>
    <w:p w14:paraId="717CDFC9">
      <w:pPr>
        <w:pStyle w:val="22"/>
        <w:widowControl w:val="0"/>
        <w:adjustRightInd w:val="0"/>
        <w:snapToGrid w:val="0"/>
        <w:spacing w:line="400" w:lineRule="exact"/>
        <w:ind w:left="1850" w:leftChars="771"/>
        <w:jc w:val="both"/>
        <w:rPr>
          <w:rFonts w:ascii="仿宋" w:hAnsi="仿宋" w:eastAsia="仿宋"/>
          <w:sz w:val="24"/>
          <w:szCs w:val="24"/>
          <w:lang w:eastAsia="zh-CN"/>
        </w:rPr>
      </w:pPr>
      <w:r>
        <mc:AlternateContent>
          <mc:Choice Requires="wps">
            <w:drawing>
              <wp:anchor distT="0" distB="0" distL="114300" distR="114300" simplePos="0" relativeHeight="251867136" behindDoc="0" locked="0" layoutInCell="1" allowOverlap="1">
                <wp:simplePos x="0" y="0"/>
                <wp:positionH relativeFrom="column">
                  <wp:posOffset>-114300</wp:posOffset>
                </wp:positionH>
                <wp:positionV relativeFrom="paragraph">
                  <wp:posOffset>36195</wp:posOffset>
                </wp:positionV>
                <wp:extent cx="788670" cy="433705"/>
                <wp:effectExtent l="0" t="0" r="0" b="0"/>
                <wp:wrapNone/>
                <wp:docPr id="326" name="文本框 967"/>
                <wp:cNvGraphicFramePr/>
                <a:graphic xmlns:a="http://schemas.openxmlformats.org/drawingml/2006/main">
                  <a:graphicData uri="http://schemas.microsoft.com/office/word/2010/wordprocessingShape">
                    <wps:wsp>
                      <wps:cNvSpPr txBox="1"/>
                      <wps:spPr>
                        <a:xfrm>
                          <a:off x="0" y="0"/>
                          <a:ext cx="788670" cy="433705"/>
                        </a:xfrm>
                        <a:prstGeom prst="rect">
                          <a:avLst/>
                        </a:prstGeom>
                        <a:noFill/>
                        <a:ln w="12700">
                          <a:noFill/>
                        </a:ln>
                      </wps:spPr>
                      <wps:txbx>
                        <w:txbxContent>
                          <w:p w14:paraId="5C2D705E">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wps:txbx>
                      <wps:bodyPr rot="0" vert="horz" wrap="square" lIns="91440" tIns="45720" rIns="91440" bIns="45720" anchor="t" anchorCtr="0"/>
                    </wps:wsp>
                  </a:graphicData>
                </a:graphic>
              </wp:anchor>
            </w:drawing>
          </mc:Choice>
          <mc:Fallback>
            <w:pict>
              <v:shape id="文本框 967" o:spid="_x0000_s1026" o:spt="202" type="#_x0000_t202" style="position:absolute;left:0pt;margin-left:-9pt;margin-top:2.85pt;height:34.15pt;width:62.1pt;z-index:251867136;mso-width-relative:page;mso-height-relative:page;" filled="f" stroked="f" coordsize="21600,21600" o:gfxdata="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6a&#10;7IXXAAAACAEAAA8AAAAAAAAAAQAgAAAAIgAAAGRycy9kb3ducmV2LnhtbFBLAQIUABQAAAAIAIdO&#10;4kCOJm676wEAAL4DAAAOAAAAAAAAAAEAIAAAACYBAABkcnMvZTJvRG9jLnhtbFBLBQYAAAAABgAG&#10;AFkBAACDBQAAAAA=&#10;">
                <v:fill on="f" focussize="0,0"/>
                <v:stroke on="f" weight="1pt"/>
                <v:imagedata o:title=""/>
                <o:lock v:ext="edit" aspectratio="f"/>
                <v:textbox>
                  <w:txbxContent>
                    <w:p w14:paraId="5C2D705E">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v:textbox>
              </v:shape>
            </w:pict>
          </mc:Fallback>
        </mc:AlternateContent>
      </w:r>
      <w:r>
        <w:rPr>
          <w:rFonts w:hint="eastAsia" w:ascii="仿宋" w:hAnsi="仿宋" w:eastAsia="仿宋" w:cs="仿宋"/>
          <w:sz w:val="24"/>
          <w:szCs w:val="24"/>
          <w:lang w:eastAsia="zh-CN"/>
        </w:rPr>
        <w:t>对承包人超出总承包范围的工程内容、服务内容或因承包人的原因造成返工的工作量或工程量，造价工程师均不予计量。</w:t>
      </w:r>
    </w:p>
    <w:p w14:paraId="74FF4B6F">
      <w:pPr>
        <w:spacing w:line="400" w:lineRule="exact"/>
        <w:rPr>
          <w:rFonts w:ascii="仿宋" w:hAnsi="仿宋" w:eastAsia="仿宋"/>
          <w:b/>
          <w:bCs/>
          <w:lang w:eastAsia="zh-CN"/>
        </w:rPr>
      </w:pPr>
      <w:bookmarkStart w:id="581" w:name="_Toc13755"/>
      <w:r>
        <w:rPr>
          <w:rFonts w:hint="eastAsia" w:ascii="仿宋" w:hAnsi="仿宋" w:eastAsia="仿宋" w:cs="仿宋"/>
          <w:b/>
          <w:bCs/>
          <w:lang w:eastAsia="zh-CN"/>
        </w:rPr>
        <w:t>72</w:t>
      </w:r>
      <w:r>
        <w:rPr>
          <w:rFonts w:ascii="仿宋" w:hAnsi="仿宋" w:eastAsia="仿宋" w:cs="仿宋"/>
          <w:b/>
          <w:bCs/>
          <w:lang w:eastAsia="zh-CN"/>
        </w:rPr>
        <w:t>.8</w:t>
      </w:r>
      <w:bookmarkEnd w:id="581"/>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1788AC2E">
      <w:pPr>
        <w:pStyle w:val="22"/>
        <w:widowControl w:val="0"/>
        <w:adjustRightInd w:val="0"/>
        <w:snapToGrid w:val="0"/>
        <w:spacing w:line="400" w:lineRule="exact"/>
        <w:ind w:left="1850" w:leftChars="771"/>
        <w:jc w:val="both"/>
        <w:rPr>
          <w:rFonts w:ascii="仿宋" w:hAnsi="仿宋" w:eastAsia="仿宋"/>
          <w:sz w:val="24"/>
          <w:szCs w:val="24"/>
          <w:lang w:eastAsia="zh-CN"/>
        </w:rPr>
      </w:pPr>
      <w:r>
        <mc:AlternateContent>
          <mc:Choice Requires="wps">
            <w:drawing>
              <wp:anchor distT="0" distB="0" distL="114300" distR="114300" simplePos="0" relativeHeight="251868160" behindDoc="0" locked="0" layoutInCell="1" allowOverlap="1">
                <wp:simplePos x="0" y="0"/>
                <wp:positionH relativeFrom="column">
                  <wp:posOffset>-114300</wp:posOffset>
                </wp:positionH>
                <wp:positionV relativeFrom="paragraph">
                  <wp:posOffset>24130</wp:posOffset>
                </wp:positionV>
                <wp:extent cx="785495" cy="501650"/>
                <wp:effectExtent l="0" t="0" r="0" b="0"/>
                <wp:wrapNone/>
                <wp:docPr id="327" name="文本框 968"/>
                <wp:cNvGraphicFramePr/>
                <a:graphic xmlns:a="http://schemas.openxmlformats.org/drawingml/2006/main">
                  <a:graphicData uri="http://schemas.microsoft.com/office/word/2010/wordprocessingShape">
                    <wps:wsp>
                      <wps:cNvSpPr txBox="1"/>
                      <wps:spPr>
                        <a:xfrm>
                          <a:off x="0" y="0"/>
                          <a:ext cx="785495" cy="501650"/>
                        </a:xfrm>
                        <a:prstGeom prst="rect">
                          <a:avLst/>
                        </a:prstGeom>
                        <a:noFill/>
                        <a:ln w="12700">
                          <a:noFill/>
                        </a:ln>
                      </wps:spPr>
                      <wps:txbx>
                        <w:txbxContent>
                          <w:p w14:paraId="3D6B9DF6">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wps:txbx>
                      <wps:bodyPr rot="0" vert="horz" wrap="square" lIns="91440" tIns="45720" rIns="91440" bIns="45720" anchor="t" anchorCtr="0"/>
                    </wps:wsp>
                  </a:graphicData>
                </a:graphic>
              </wp:anchor>
            </w:drawing>
          </mc:Choice>
          <mc:Fallback>
            <w:pict>
              <v:shape id="文本框 968" o:spid="_x0000_s1026" o:spt="202" type="#_x0000_t202" style="position:absolute;left:0pt;margin-left:-9pt;margin-top:1.9pt;height:39.5pt;width:61.85pt;z-index:251868160;mso-width-relative:page;mso-height-relative:page;" filled="f" stroked="f" coordsize="21600,21600" o:gfxdata="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QO&#10;utHWAAAACAEAAA8AAAAAAAAAAQAgAAAAIgAAAGRycy9kb3ducmV2LnhtbFBLAQIUABQAAAAIAIdO&#10;4kC+EjRG7AEAAL4DAAAOAAAAAAAAAAEAIAAAACUBAABkcnMvZTJvRG9jLnhtbFBLBQYAAAAABgAG&#10;AFkBAACDBQAAAAA=&#10;">
                <v:fill on="f" focussize="0,0"/>
                <v:stroke on="f" weight="1pt"/>
                <v:imagedata o:title=""/>
                <o:lock v:ext="edit" aspectratio="f"/>
                <v:textbox>
                  <w:txbxContent>
                    <w:p w14:paraId="3D6B9DF6">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v:textbox>
              </v:shape>
            </w:pict>
          </mc:Fallback>
        </mc:AlternateContent>
      </w:r>
      <w:r>
        <w:rPr>
          <w:rFonts w:hint="eastAsia" w:ascii="仿宋" w:hAnsi="仿宋" w:eastAsia="仿宋" w:cs="仿宋"/>
          <w:sz w:val="24"/>
          <w:szCs w:val="24"/>
          <w:lang w:eastAsia="zh-CN"/>
        </w:rPr>
        <w:t>除按照第78条至第82条约定所做的调整外，应按照合同约定的该项工作的单价（费率），并按照本条约定计量得到的工作量或工程量与适用的单价（费率）的乘积确定该项工作的价款。造价咨询人根据各个支付期所有各项工作的价款计算该支付期工程款或服务费，并将各支付期的价款汇总计算合同价格。但专用条款约定总价包干的项目，其各支付期计算的价款及累计金额，不得超过合同约定的资金支付计划相应支付节点的金额及累计金额，且各支付期汇总金额不得超过合同约定的总价及允许调整金额。</w:t>
      </w:r>
    </w:p>
    <w:p w14:paraId="6CC8DF43">
      <w:pPr>
        <w:pStyle w:val="22"/>
        <w:tabs>
          <w:tab w:val="left" w:pos="1620"/>
        </w:tabs>
        <w:adjustRightInd w:val="0"/>
        <w:snapToGrid w:val="0"/>
        <w:spacing w:line="400" w:lineRule="exact"/>
        <w:rPr>
          <w:rFonts w:ascii="仿宋" w:hAnsi="仿宋" w:eastAsia="仿宋" w:cs="仿宋"/>
          <w:b/>
          <w:bCs/>
          <w:sz w:val="24"/>
          <w:szCs w:val="24"/>
          <w:u w:val="single"/>
          <w:lang w:eastAsia="zh-CN"/>
        </w:rPr>
      </w:pPr>
      <w:r>
        <w:rPr>
          <w:rFonts w:ascii="仿宋" w:hAnsi="仿宋" w:eastAsia="仿宋" w:cs="仿宋"/>
          <w:b/>
          <w:bCs/>
          <w:sz w:val="24"/>
          <w:szCs w:val="24"/>
          <w:u w:val="single"/>
          <w:lang w:eastAsia="zh-CN"/>
        </w:rPr>
        <w:t xml:space="preserve">                                                                                     </w:t>
      </w:r>
    </w:p>
    <w:p w14:paraId="390A8BCD">
      <w:pPr>
        <w:pStyle w:val="4"/>
        <w:tabs>
          <w:tab w:val="left" w:pos="420"/>
        </w:tabs>
        <w:spacing w:before="0" w:after="0" w:line="400" w:lineRule="exact"/>
        <w:rPr>
          <w:rFonts w:ascii="仿宋" w:hAnsi="仿宋" w:eastAsia="仿宋" w:cs="仿宋"/>
          <w:bCs w:val="0"/>
          <w:sz w:val="24"/>
          <w:szCs w:val="24"/>
          <w:lang w:eastAsia="zh-CN"/>
        </w:rPr>
      </w:pPr>
      <w:bookmarkStart w:id="582" w:name="_Toc11127"/>
      <w:bookmarkStart w:id="583" w:name="_Toc194073184"/>
      <w:bookmarkStart w:id="584" w:name="_Toc12092"/>
      <w:bookmarkStart w:id="585" w:name="_Toc3952"/>
      <w:r>
        <w:rPr>
          <w:rFonts w:hint="eastAsia" w:ascii="仿宋" w:hAnsi="仿宋" w:eastAsia="仿宋" w:cs="仿宋"/>
          <w:bCs w:val="0"/>
          <w:sz w:val="24"/>
          <w:szCs w:val="24"/>
          <w:lang w:eastAsia="zh-CN"/>
        </w:rPr>
        <w:t>★73</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暂列金额</w:t>
      </w:r>
      <w:bookmarkEnd w:id="582"/>
      <w:bookmarkEnd w:id="583"/>
      <w:bookmarkEnd w:id="584"/>
      <w:bookmarkEnd w:id="585"/>
    </w:p>
    <w:p w14:paraId="69AB232A">
      <w:pPr>
        <w:spacing w:line="400" w:lineRule="exact"/>
        <w:rPr>
          <w:rFonts w:ascii="仿宋" w:hAnsi="仿宋" w:eastAsia="仿宋" w:cs="仿宋"/>
          <w:b/>
          <w:bCs/>
          <w:lang w:eastAsia="zh-CN"/>
        </w:rPr>
      </w:pPr>
      <w:bookmarkStart w:id="586" w:name="_Toc19770"/>
      <w:r>
        <w:rPr>
          <w:rFonts w:hint="eastAsia" w:ascii="仿宋" w:hAnsi="仿宋" w:eastAsia="仿宋" w:cs="仿宋"/>
          <w:b/>
          <w:bCs/>
          <w:lang w:eastAsia="zh-CN"/>
        </w:rPr>
        <w:t>73</w:t>
      </w:r>
      <w:r>
        <w:rPr>
          <w:rFonts w:ascii="仿宋" w:hAnsi="仿宋" w:eastAsia="仿宋" w:cs="仿宋"/>
          <w:b/>
          <w:bCs/>
          <w:lang w:eastAsia="zh-CN"/>
        </w:rPr>
        <w:t>.1</w:t>
      </w:r>
      <w:bookmarkEnd w:id="586"/>
    </w:p>
    <w:p w14:paraId="79967256">
      <w:pPr>
        <w:widowControl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869184" behindDoc="0" locked="0" layoutInCell="1" allowOverlap="1">
                <wp:simplePos x="0" y="0"/>
                <wp:positionH relativeFrom="column">
                  <wp:posOffset>-114300</wp:posOffset>
                </wp:positionH>
                <wp:positionV relativeFrom="paragraph">
                  <wp:posOffset>45720</wp:posOffset>
                </wp:positionV>
                <wp:extent cx="790575" cy="470535"/>
                <wp:effectExtent l="0" t="0" r="0" b="0"/>
                <wp:wrapNone/>
                <wp:docPr id="328" name="文本框 969"/>
                <wp:cNvGraphicFramePr/>
                <a:graphic xmlns:a="http://schemas.openxmlformats.org/drawingml/2006/main">
                  <a:graphicData uri="http://schemas.microsoft.com/office/word/2010/wordprocessingShape">
                    <wps:wsp>
                      <wps:cNvSpPr txBox="1"/>
                      <wps:spPr>
                        <a:xfrm>
                          <a:off x="0" y="0"/>
                          <a:ext cx="790575" cy="470535"/>
                        </a:xfrm>
                        <a:prstGeom prst="rect">
                          <a:avLst/>
                        </a:prstGeom>
                        <a:noFill/>
                        <a:ln w="12700">
                          <a:noFill/>
                        </a:ln>
                      </wps:spPr>
                      <wps:txbx>
                        <w:txbxContent>
                          <w:p w14:paraId="657EFC18">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暂列金额的用途</w:t>
                            </w:r>
                          </w:p>
                        </w:txbxContent>
                      </wps:txbx>
                      <wps:bodyPr rot="0" vert="horz" wrap="square" lIns="91440" tIns="45720" rIns="91440" bIns="45720" anchor="t" anchorCtr="0"/>
                    </wps:wsp>
                  </a:graphicData>
                </a:graphic>
              </wp:anchor>
            </w:drawing>
          </mc:Choice>
          <mc:Fallback>
            <w:pict>
              <v:shape id="文本框 969" o:spid="_x0000_s1026" o:spt="202" type="#_x0000_t202" style="position:absolute;left:0pt;margin-left:-9pt;margin-top:3.6pt;height:37.05pt;width:62.25pt;z-index:251869184;mso-width-relative:page;mso-height-relative:page;" filled="f" stroked="f" coordsize="21600,21600" o:gfxdata="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2h&#10;QeTXAAAACAEAAA8AAAAAAAAAAQAgAAAAIgAAAGRycy9kb3ducmV2LnhtbFBLAQIUABQAAAAIAIdO&#10;4kARNtKJ6wEAAL4DAAAOAAAAAAAAAAEAIAAAACYBAABkcnMvZTJvRG9jLnhtbFBLBQYAAAAABgAG&#10;AFkBAACDBQAAAAA=&#10;">
                <v:fill on="f" focussize="0,0"/>
                <v:stroke on="f" weight="1pt"/>
                <v:imagedata o:title=""/>
                <o:lock v:ext="edit" aspectratio="f"/>
                <v:textbox>
                  <w:txbxContent>
                    <w:p w14:paraId="657EFC18">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暂列金额的用途</w:t>
                      </w:r>
                    </w:p>
                  </w:txbxContent>
                </v:textbox>
              </v:shape>
            </w:pict>
          </mc:Fallback>
        </mc:AlternateContent>
      </w:r>
      <w:r>
        <w:rPr>
          <w:rFonts w:hint="eastAsia" w:ascii="仿宋" w:hAnsi="仿宋" w:eastAsia="仿宋" w:cs="仿宋"/>
          <w:lang w:eastAsia="zh-CN"/>
        </w:rPr>
        <w:t>合同双方当事人应在专用条款中明确合同价格清单中开列的暂列金额。</w:t>
      </w:r>
    </w:p>
    <w:p w14:paraId="109B409B">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暂列金额是用于实施合同工程的任一增加部分，或用于提供不可预见的工程材料和工程设备，或用于工程变更等允许调整事项发生的工程款调增，以及经确认的索赔、现场签证，或用于提供相关服务或意外事项的一笔款项。</w:t>
      </w:r>
    </w:p>
    <w:p w14:paraId="297CD5BD">
      <w:pPr>
        <w:spacing w:line="400" w:lineRule="exact"/>
        <w:rPr>
          <w:rFonts w:ascii="仿宋" w:hAnsi="仿宋" w:eastAsia="仿宋"/>
          <w:b/>
          <w:bCs/>
          <w:lang w:eastAsia="zh-CN"/>
        </w:rPr>
      </w:pPr>
      <w:bookmarkStart w:id="587" w:name="_Toc32231"/>
      <w:r>
        <w:rPr>
          <w:rFonts w:hint="eastAsia" w:ascii="仿宋" w:hAnsi="仿宋" w:eastAsia="仿宋" w:cs="仿宋"/>
          <w:b/>
          <w:bCs/>
          <w:lang w:eastAsia="zh-CN"/>
        </w:rPr>
        <w:t>73</w:t>
      </w:r>
      <w:r>
        <w:rPr>
          <w:rFonts w:ascii="仿宋" w:hAnsi="仿宋" w:eastAsia="仿宋" w:cs="仿宋"/>
          <w:b/>
          <w:bCs/>
          <w:lang w:eastAsia="zh-CN"/>
        </w:rPr>
        <w:t>.2</w:t>
      </w:r>
      <w:bookmarkEnd w:id="587"/>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3A3C4D10">
      <w:pPr>
        <w:pStyle w:val="22"/>
        <w:adjustRightInd w:val="0"/>
        <w:snapToGrid w:val="0"/>
        <w:spacing w:line="400" w:lineRule="exact"/>
        <w:ind w:left="1850" w:leftChars="771"/>
        <w:rPr>
          <w:rFonts w:ascii="仿宋" w:hAnsi="仿宋" w:eastAsia="仿宋"/>
          <w:b/>
          <w:bCs/>
          <w:sz w:val="24"/>
          <w:szCs w:val="24"/>
          <w:lang w:eastAsia="zh-CN"/>
        </w:rPr>
      </w:pPr>
      <w:r>
        <mc:AlternateContent>
          <mc:Choice Requires="wps">
            <w:drawing>
              <wp:anchor distT="0" distB="0" distL="114300" distR="114300" simplePos="0" relativeHeight="251870208" behindDoc="0" locked="0" layoutInCell="1" allowOverlap="1">
                <wp:simplePos x="0" y="0"/>
                <wp:positionH relativeFrom="column">
                  <wp:posOffset>-133350</wp:posOffset>
                </wp:positionH>
                <wp:positionV relativeFrom="paragraph">
                  <wp:posOffset>99695</wp:posOffset>
                </wp:positionV>
                <wp:extent cx="857250" cy="537845"/>
                <wp:effectExtent l="0" t="0" r="0" b="0"/>
                <wp:wrapNone/>
                <wp:docPr id="329" name="文本框 970"/>
                <wp:cNvGraphicFramePr/>
                <a:graphic xmlns:a="http://schemas.openxmlformats.org/drawingml/2006/main">
                  <a:graphicData uri="http://schemas.microsoft.com/office/word/2010/wordprocessingShape">
                    <wps:wsp>
                      <wps:cNvSpPr txBox="1"/>
                      <wps:spPr>
                        <a:xfrm>
                          <a:off x="0" y="0"/>
                          <a:ext cx="857250" cy="537845"/>
                        </a:xfrm>
                        <a:prstGeom prst="rect">
                          <a:avLst/>
                        </a:prstGeom>
                        <a:noFill/>
                        <a:ln w="12700">
                          <a:noFill/>
                        </a:ln>
                      </wps:spPr>
                      <wps:txbx>
                        <w:txbxContent>
                          <w:p w14:paraId="02FFB1A1">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暂列金额的核实与支付</w:t>
                            </w:r>
                          </w:p>
                        </w:txbxContent>
                      </wps:txbx>
                      <wps:bodyPr rot="0" vert="horz" wrap="square" lIns="91440" tIns="45720" rIns="91440" bIns="45720" anchor="t" anchorCtr="0"/>
                    </wps:wsp>
                  </a:graphicData>
                </a:graphic>
              </wp:anchor>
            </w:drawing>
          </mc:Choice>
          <mc:Fallback>
            <w:pict>
              <v:shape id="文本框 970" o:spid="_x0000_s1026" o:spt="202" type="#_x0000_t202" style="position:absolute;left:0pt;margin-left:-10.5pt;margin-top:7.85pt;height:42.35pt;width:67.5pt;z-index:251870208;mso-width-relative:page;mso-height-relative:page;" filled="f" stroked="f" coordsize="21600,21600" o:gfxdata="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13mRjdYA&#10;AAAKAQAADwAAAAAAAAABACAAAAAiAAAAZHJzL2Rvd25yZXYueG1sUEsBAhQAFAAAAAgAh07iQPFn&#10;i07oAQAAvgMAAA4AAAAAAAAAAQAgAAAAJQEAAGRycy9lMm9Eb2MueG1sUEsFBgAAAAAGAAYAWQEA&#10;AH8FAAAAAA==&#10;">
                <v:fill on="f" focussize="0,0"/>
                <v:stroke on="f" weight="1pt"/>
                <v:imagedata o:title=""/>
                <o:lock v:ext="edit" aspectratio="f"/>
                <v:textbox>
                  <w:txbxContent>
                    <w:p w14:paraId="02FFB1A1">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暂列金额的核实与支付</w:t>
                      </w:r>
                    </w:p>
                  </w:txbxContent>
                </v:textbox>
              </v:shape>
            </w:pict>
          </mc:Fallback>
        </mc:AlternateContent>
      </w:r>
      <w:r>
        <w:rPr>
          <w:rFonts w:hint="eastAsia" w:ascii="仿宋" w:hAnsi="仿宋" w:eastAsia="仿宋" w:cs="仿宋"/>
          <w:sz w:val="24"/>
          <w:szCs w:val="24"/>
          <w:lang w:eastAsia="zh-CN"/>
        </w:rPr>
        <w:t>经发包人批准后，监理人应就承包人实施第73</w:t>
      </w:r>
      <w:r>
        <w:rPr>
          <w:rFonts w:ascii="仿宋" w:hAnsi="仿宋" w:eastAsia="仿宋" w:cs="仿宋"/>
          <w:sz w:val="24"/>
          <w:szCs w:val="24"/>
          <w:lang w:eastAsia="zh-CN"/>
        </w:rPr>
        <w:t>.1</w:t>
      </w:r>
      <w:r>
        <w:rPr>
          <w:rFonts w:hint="eastAsia" w:ascii="仿宋" w:hAnsi="仿宋" w:eastAsia="仿宋" w:cs="仿宋"/>
          <w:sz w:val="24"/>
          <w:szCs w:val="24"/>
          <w:lang w:eastAsia="zh-CN"/>
        </w:rPr>
        <w:t>款约定的工作发出书面指令。承包人应就此项指令提出所需价款，经造价咨询人核实并由其报发包人确认后，向承包人支付相关款项。</w:t>
      </w:r>
    </w:p>
    <w:p w14:paraId="4A736B8D">
      <w:pPr>
        <w:spacing w:line="400" w:lineRule="exact"/>
        <w:rPr>
          <w:rFonts w:ascii="仿宋" w:hAnsi="仿宋" w:eastAsia="仿宋"/>
          <w:b/>
          <w:bCs/>
          <w:lang w:eastAsia="zh-CN"/>
        </w:rPr>
      </w:pPr>
      <w:bookmarkStart w:id="588" w:name="_Toc3441"/>
      <w:r>
        <w:rPr>
          <w:rFonts w:hint="eastAsia" w:ascii="仿宋" w:hAnsi="仿宋" w:eastAsia="仿宋" w:cs="仿宋"/>
          <w:b/>
          <w:bCs/>
          <w:lang w:eastAsia="zh-CN"/>
        </w:rPr>
        <w:t>73</w:t>
      </w:r>
      <w:r>
        <w:rPr>
          <w:rFonts w:ascii="仿宋" w:hAnsi="仿宋" w:eastAsia="仿宋" w:cs="仿宋"/>
          <w:b/>
          <w:bCs/>
          <w:lang w:eastAsia="zh-CN"/>
        </w:rPr>
        <w:t>.3</w:t>
      </w:r>
      <w:bookmarkEnd w:id="588"/>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16A67333">
      <w:pPr>
        <w:pStyle w:val="22"/>
        <w:adjustRightInd w:val="0"/>
        <w:snapToGrid w:val="0"/>
        <w:spacing w:line="400" w:lineRule="exact"/>
        <w:ind w:left="1850" w:leftChars="771"/>
        <w:rPr>
          <w:rFonts w:ascii="仿宋" w:hAnsi="仿宋" w:eastAsia="仿宋"/>
          <w:sz w:val="24"/>
          <w:szCs w:val="24"/>
          <w:lang w:eastAsia="zh-CN"/>
        </w:rPr>
      </w:pPr>
      <w:r>
        <mc:AlternateContent>
          <mc:Choice Requires="wps">
            <w:drawing>
              <wp:anchor distT="0" distB="0" distL="114300" distR="114300" simplePos="0" relativeHeight="251871232" behindDoc="0" locked="0" layoutInCell="1" allowOverlap="1">
                <wp:simplePos x="0" y="0"/>
                <wp:positionH relativeFrom="column">
                  <wp:posOffset>-114300</wp:posOffset>
                </wp:positionH>
                <wp:positionV relativeFrom="paragraph">
                  <wp:posOffset>15875</wp:posOffset>
                </wp:positionV>
                <wp:extent cx="831850" cy="459105"/>
                <wp:effectExtent l="0" t="0" r="0" b="0"/>
                <wp:wrapNone/>
                <wp:docPr id="330" name="文本框 971"/>
                <wp:cNvGraphicFramePr/>
                <a:graphic xmlns:a="http://schemas.openxmlformats.org/drawingml/2006/main">
                  <a:graphicData uri="http://schemas.microsoft.com/office/word/2010/wordprocessingShape">
                    <wps:wsp>
                      <wps:cNvSpPr txBox="1"/>
                      <wps:spPr>
                        <a:xfrm>
                          <a:off x="0" y="0"/>
                          <a:ext cx="831850" cy="459105"/>
                        </a:xfrm>
                        <a:prstGeom prst="rect">
                          <a:avLst/>
                        </a:prstGeom>
                        <a:noFill/>
                        <a:ln w="12700">
                          <a:noFill/>
                        </a:ln>
                      </wps:spPr>
                      <wps:txbx>
                        <w:txbxContent>
                          <w:p w14:paraId="4A5A886F">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wps:txbx>
                      <wps:bodyPr rot="0" vert="horz" wrap="square" lIns="91440" tIns="45720" rIns="91440" bIns="45720" anchor="t" anchorCtr="0"/>
                    </wps:wsp>
                  </a:graphicData>
                </a:graphic>
              </wp:anchor>
            </w:drawing>
          </mc:Choice>
          <mc:Fallback>
            <w:pict>
              <v:shape id="文本框 971" o:spid="_x0000_s1026" o:spt="202" type="#_x0000_t202" style="position:absolute;left:0pt;margin-left:-9pt;margin-top:1.25pt;height:36.15pt;width:65.5pt;z-index:251871232;mso-width-relative:page;mso-height-relative:page;" filled="f" stroked="f" coordsize="21600,21600" o:gfxdata="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CnkvDW&#10;AAAACAEAAA8AAAAAAAAAAQAgAAAAIgAAAGRycy9kb3ducmV2LnhtbFBLAQIUABQAAAAIAIdO4kBX&#10;VoMl6QEAAL4DAAAOAAAAAAAAAAEAIAAAACUBAABkcnMvZTJvRG9jLnhtbFBLBQYAAAAABgAGAFkB&#10;AACABQAAAAA=&#10;">
                <v:fill on="f" focussize="0,0"/>
                <v:stroke on="f" weight="1pt"/>
                <v:imagedata o:title=""/>
                <o:lock v:ext="edit" aspectratio="f"/>
                <v:textbox>
                  <w:txbxContent>
                    <w:p w14:paraId="4A5A886F">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v:textbox>
              </v:shape>
            </w:pict>
          </mc:Fallback>
        </mc:AlternateContent>
      </w:r>
      <w:r>
        <w:rPr>
          <w:rFonts w:hint="eastAsia" w:ascii="仿宋" w:hAnsi="仿宋" w:eastAsia="仿宋" w:cs="仿宋"/>
          <w:sz w:val="24"/>
          <w:szCs w:val="24"/>
          <w:lang w:eastAsia="zh-CN"/>
        </w:rPr>
        <w:t>造价咨询人有要求时，承包人应提供使用暂列金额支付项目的所有报价单、发票、账单或收据。</w:t>
      </w:r>
    </w:p>
    <w:p w14:paraId="3F53B4AC">
      <w:pPr>
        <w:pStyle w:val="22"/>
        <w:adjustRightInd w:val="0"/>
        <w:snapToGrid w:val="0"/>
        <w:spacing w:line="400" w:lineRule="exact"/>
        <w:rPr>
          <w:rFonts w:ascii="仿宋" w:hAnsi="仿宋" w:eastAsia="仿宋" w:cs="仿宋"/>
          <w:b/>
          <w:bCs/>
          <w:sz w:val="24"/>
          <w:szCs w:val="24"/>
          <w:u w:val="single"/>
          <w:lang w:eastAsia="zh-CN"/>
        </w:rPr>
      </w:pPr>
      <w:r>
        <w:rPr>
          <w:rFonts w:ascii="仿宋" w:hAnsi="仿宋" w:eastAsia="仿宋" w:cs="仿宋"/>
          <w:b/>
          <w:bCs/>
          <w:sz w:val="24"/>
          <w:szCs w:val="24"/>
          <w:u w:val="single"/>
          <w:lang w:eastAsia="zh-CN"/>
        </w:rPr>
        <w:t xml:space="preserve">                                                                                     </w:t>
      </w:r>
    </w:p>
    <w:p w14:paraId="4AAB0B0E">
      <w:pPr>
        <w:pStyle w:val="4"/>
        <w:tabs>
          <w:tab w:val="left" w:pos="420"/>
        </w:tabs>
        <w:spacing w:before="0" w:after="0" w:line="400" w:lineRule="exact"/>
        <w:rPr>
          <w:rFonts w:ascii="仿宋" w:hAnsi="仿宋" w:eastAsia="仿宋" w:cs="仿宋"/>
          <w:bCs w:val="0"/>
          <w:sz w:val="24"/>
          <w:szCs w:val="24"/>
          <w:lang w:eastAsia="zh-CN"/>
        </w:rPr>
      </w:pPr>
      <w:bookmarkStart w:id="589" w:name="_Toc194073185"/>
      <w:bookmarkStart w:id="590" w:name="_Toc29431"/>
      <w:bookmarkStart w:id="591" w:name="_Toc28145"/>
      <w:bookmarkStart w:id="592" w:name="_Toc24296"/>
      <w:r>
        <w:rPr>
          <w:rFonts w:hint="eastAsia" w:ascii="仿宋" w:hAnsi="仿宋" w:eastAsia="仿宋" w:cs="仿宋"/>
          <w:bCs w:val="0"/>
          <w:sz w:val="24"/>
          <w:szCs w:val="24"/>
          <w:lang w:eastAsia="zh-CN"/>
        </w:rPr>
        <w:t>★74</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计日工</w:t>
      </w:r>
      <w:bookmarkEnd w:id="589"/>
      <w:bookmarkEnd w:id="590"/>
      <w:bookmarkEnd w:id="591"/>
      <w:bookmarkEnd w:id="592"/>
    </w:p>
    <w:p w14:paraId="5E301DBC">
      <w:pPr>
        <w:pStyle w:val="22"/>
        <w:adjustRightInd w:val="0"/>
        <w:snapToGrid w:val="0"/>
        <w:spacing w:line="400" w:lineRule="exact"/>
        <w:rPr>
          <w:rFonts w:ascii="仿宋" w:hAnsi="仿宋" w:eastAsia="仿宋" w:cs="仿宋"/>
          <w:b/>
          <w:bCs/>
          <w:sz w:val="24"/>
          <w:szCs w:val="24"/>
          <w:lang w:eastAsia="zh-CN"/>
        </w:rPr>
      </w:pPr>
      <w:r>
        <w:rPr>
          <w:rFonts w:hint="eastAsia" w:ascii="仿宋" w:hAnsi="仿宋" w:eastAsia="仿宋" w:cs="仿宋"/>
          <w:b/>
          <w:bCs/>
          <w:sz w:val="24"/>
          <w:szCs w:val="24"/>
          <w:lang w:eastAsia="zh-CN"/>
        </w:rPr>
        <w:t>74</w:t>
      </w:r>
      <w:r>
        <w:rPr>
          <w:rFonts w:ascii="仿宋" w:hAnsi="仿宋" w:eastAsia="仿宋" w:cs="仿宋"/>
          <w:b/>
          <w:bCs/>
          <w:sz w:val="24"/>
          <w:szCs w:val="24"/>
          <w:lang w:eastAsia="zh-CN"/>
        </w:rPr>
        <w:t>.1</w:t>
      </w:r>
    </w:p>
    <w:p w14:paraId="72FD667C">
      <w:pPr>
        <w:pStyle w:val="22"/>
        <w:widowControl w:val="0"/>
        <w:adjustRightInd w:val="0"/>
        <w:snapToGrid w:val="0"/>
        <w:spacing w:line="400" w:lineRule="exact"/>
        <w:ind w:left="1850" w:leftChars="771"/>
        <w:rPr>
          <w:rFonts w:ascii="仿宋" w:hAnsi="仿宋" w:eastAsia="仿宋"/>
          <w:sz w:val="24"/>
          <w:szCs w:val="24"/>
          <w:lang w:eastAsia="zh-CN"/>
        </w:rPr>
      </w:pPr>
      <w:r>
        <mc:AlternateContent>
          <mc:Choice Requires="wps">
            <w:drawing>
              <wp:anchor distT="0" distB="0" distL="114300" distR="114300" simplePos="0" relativeHeight="251872256" behindDoc="0" locked="0" layoutInCell="1" allowOverlap="1">
                <wp:simplePos x="0" y="0"/>
                <wp:positionH relativeFrom="column">
                  <wp:posOffset>-114300</wp:posOffset>
                </wp:positionH>
                <wp:positionV relativeFrom="paragraph">
                  <wp:posOffset>15875</wp:posOffset>
                </wp:positionV>
                <wp:extent cx="794385" cy="424815"/>
                <wp:effectExtent l="0" t="0" r="0" b="0"/>
                <wp:wrapNone/>
                <wp:docPr id="331" name="文本框 972"/>
                <wp:cNvGraphicFramePr/>
                <a:graphic xmlns:a="http://schemas.openxmlformats.org/drawingml/2006/main">
                  <a:graphicData uri="http://schemas.microsoft.com/office/word/2010/wordprocessingShape">
                    <wps:wsp>
                      <wps:cNvSpPr txBox="1"/>
                      <wps:spPr>
                        <a:xfrm>
                          <a:off x="0" y="0"/>
                          <a:ext cx="794385" cy="424815"/>
                        </a:xfrm>
                        <a:prstGeom prst="rect">
                          <a:avLst/>
                        </a:prstGeom>
                        <a:noFill/>
                        <a:ln w="12700">
                          <a:noFill/>
                        </a:ln>
                      </wps:spPr>
                      <wps:txbx>
                        <w:txbxContent>
                          <w:p w14:paraId="127E975B">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wps:txbx>
                      <wps:bodyPr rot="0" vert="horz" wrap="square" lIns="91440" tIns="45720" rIns="91440" bIns="45720" anchor="t" anchorCtr="0"/>
                    </wps:wsp>
                  </a:graphicData>
                </a:graphic>
              </wp:anchor>
            </w:drawing>
          </mc:Choice>
          <mc:Fallback>
            <w:pict>
              <v:shape id="文本框 972" o:spid="_x0000_s1026" o:spt="202" type="#_x0000_t202" style="position:absolute;left:0pt;margin-left:-9pt;margin-top:1.25pt;height:33.45pt;width:62.55pt;z-index:251872256;mso-width-relative:page;mso-height-relative:page;" filled="f" stroked="f" coordsize="21600,21600" o:gfxdata="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UE&#10;jDLYAAAACAEAAA8AAAAAAAAAAQAgAAAAIgAAAGRycy9kb3ducmV2LnhtbFBLAQIUABQAAAAIAIdO&#10;4kD/FOck6gEAAL4DAAAOAAAAAAAAAAEAIAAAACcBAABkcnMvZTJvRG9jLnhtbFBLBQYAAAAABgAG&#10;AFkBAACDBQAAAAA=&#10;">
                <v:fill on="f" focussize="0,0"/>
                <v:stroke on="f" weight="1pt"/>
                <v:imagedata o:title=""/>
                <o:lock v:ext="edit" aspectratio="f"/>
                <v:textbox>
                  <w:txbxContent>
                    <w:p w14:paraId="127E975B">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v:textbox>
              </v:shape>
            </w:pict>
          </mc:Fallback>
        </mc:AlternateContent>
      </w:r>
      <w:r>
        <w:rPr>
          <w:rFonts w:hint="eastAsia" w:ascii="仿宋" w:hAnsi="仿宋" w:eastAsia="仿宋" w:cs="仿宋"/>
          <w:sz w:val="24"/>
          <w:szCs w:val="24"/>
          <w:lang w:eastAsia="zh-CN"/>
        </w:rPr>
        <w:t>计日工单价是用于承包人实施发包人要求的合同以外零星工作项目所需的人工单价、工程材料单价、工程设备单价和施工设备机械台班单价。</w:t>
      </w:r>
    </w:p>
    <w:p w14:paraId="423DB4BF">
      <w:pPr>
        <w:pStyle w:val="22"/>
        <w:adjustRightInd w:val="0"/>
        <w:snapToGrid w:val="0"/>
        <w:spacing w:line="400" w:lineRule="exact"/>
        <w:rPr>
          <w:rFonts w:ascii="仿宋" w:hAnsi="仿宋" w:eastAsia="仿宋"/>
          <w:sz w:val="24"/>
          <w:szCs w:val="24"/>
          <w:lang w:eastAsia="zh-CN"/>
        </w:rPr>
      </w:pPr>
      <w:r>
        <w:rPr>
          <w:rFonts w:hint="eastAsia" w:ascii="仿宋" w:hAnsi="仿宋" w:eastAsia="仿宋" w:cs="仿宋"/>
          <w:b/>
          <w:bCs/>
          <w:sz w:val="24"/>
          <w:szCs w:val="24"/>
          <w:lang w:eastAsia="zh-CN"/>
        </w:rPr>
        <w:t>74</w:t>
      </w:r>
      <w:r>
        <w:rPr>
          <w:rFonts w:ascii="仿宋" w:hAnsi="仿宋" w:eastAsia="仿宋" w:cs="仿宋"/>
          <w:b/>
          <w:bCs/>
          <w:sz w:val="24"/>
          <w:szCs w:val="24"/>
          <w:lang w:eastAsia="zh-CN"/>
        </w:rPr>
        <w:t xml:space="preserve">.2 </w:t>
      </w:r>
      <w:r>
        <w:rPr>
          <w:rFonts w:ascii="仿宋" w:hAnsi="仿宋" w:eastAsia="仿宋" w:cs="仿宋"/>
          <w:sz w:val="24"/>
          <w:szCs w:val="24"/>
          <w:lang w:eastAsia="zh-CN"/>
        </w:rPr>
        <w:t xml:space="preserve"> </w:t>
      </w:r>
      <w:r>
        <w:rPr>
          <w:rFonts w:ascii="仿宋" w:hAnsi="仿宋" w:eastAsia="仿宋" w:cs="仿宋"/>
          <w:sz w:val="24"/>
          <w:szCs w:val="24"/>
          <w:u w:val="dotted"/>
          <w:lang w:eastAsia="zh-CN"/>
        </w:rPr>
        <w:t xml:space="preserve">                                                                               </w:t>
      </w:r>
    </w:p>
    <w:p w14:paraId="4130D4EC">
      <w:pPr>
        <w:pStyle w:val="22"/>
        <w:adjustRightInd w:val="0"/>
        <w:snapToGrid w:val="0"/>
        <w:spacing w:line="400" w:lineRule="exact"/>
        <w:ind w:left="1850" w:leftChars="771"/>
        <w:rPr>
          <w:rFonts w:ascii="仿宋" w:hAnsi="仿宋" w:eastAsia="仿宋"/>
          <w:sz w:val="24"/>
          <w:szCs w:val="24"/>
          <w:lang w:eastAsia="zh-CN"/>
        </w:rPr>
      </w:pPr>
      <w:r>
        <w:rPr>
          <w:rFonts w:hint="eastAsia" w:ascii="仿宋" w:hAnsi="仿宋" w:eastAsia="仿宋" w:cs="仿宋"/>
          <w:sz w:val="24"/>
          <w:szCs w:val="24"/>
          <w:lang w:eastAsia="zh-CN"/>
        </w:rPr>
        <w:t>经发包人批准后，监理人应就使用计日工项目发出书面指令。</w:t>
      </w:r>
      <w:r>
        <mc:AlternateContent>
          <mc:Choice Requires="wps">
            <w:drawing>
              <wp:anchor distT="0" distB="0" distL="114300" distR="114300" simplePos="0" relativeHeight="251873280" behindDoc="0" locked="0" layoutInCell="1" allowOverlap="1">
                <wp:simplePos x="0" y="0"/>
                <wp:positionH relativeFrom="column">
                  <wp:posOffset>-114300</wp:posOffset>
                </wp:positionH>
                <wp:positionV relativeFrom="paragraph">
                  <wp:posOffset>14605</wp:posOffset>
                </wp:positionV>
                <wp:extent cx="861060" cy="506730"/>
                <wp:effectExtent l="0" t="0" r="0" b="0"/>
                <wp:wrapNone/>
                <wp:docPr id="332" name="文本框 973"/>
                <wp:cNvGraphicFramePr/>
                <a:graphic xmlns:a="http://schemas.openxmlformats.org/drawingml/2006/main">
                  <a:graphicData uri="http://schemas.microsoft.com/office/word/2010/wordprocessingShape">
                    <wps:wsp>
                      <wps:cNvSpPr txBox="1"/>
                      <wps:spPr>
                        <a:xfrm>
                          <a:off x="0" y="0"/>
                          <a:ext cx="861060" cy="506730"/>
                        </a:xfrm>
                        <a:prstGeom prst="rect">
                          <a:avLst/>
                        </a:prstGeom>
                        <a:noFill/>
                        <a:ln w="12700">
                          <a:noFill/>
                        </a:ln>
                      </wps:spPr>
                      <wps:txbx>
                        <w:txbxContent>
                          <w:p w14:paraId="0F68439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txbxContent>
                      </wps:txbx>
                      <wps:bodyPr rot="0" vert="horz" wrap="square" lIns="91440" tIns="45720" rIns="91440" bIns="45720" anchor="t" anchorCtr="0"/>
                    </wps:wsp>
                  </a:graphicData>
                </a:graphic>
              </wp:anchor>
            </w:drawing>
          </mc:Choice>
          <mc:Fallback>
            <w:pict>
              <v:shape id="文本框 973" o:spid="_x0000_s1026" o:spt="202" type="#_x0000_t202" style="position:absolute;left:0pt;margin-left:-9pt;margin-top:1.15pt;height:39.9pt;width:67.8pt;z-index:251873280;mso-width-relative:page;mso-height-relative:page;" filled="f" stroked="f" coordsize="21600,21600" o:gfxdata="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Z&#10;dqmV1wAAAAgBAAAPAAAAAAAAAAEAIAAAACIAAABkcnMvZG93bnJldi54bWxQSwECFAAUAAAACACH&#10;TuJAbo/V3ewBAAC+AwAADgAAAAAAAAABACAAAAAmAQAAZHJzL2Uyb0RvYy54bWxQSwUGAAAAAAYA&#10;BgBZAQAAhAUAAAAA&#10;">
                <v:fill on="f" focussize="0,0"/>
                <v:stroke on="f" weight="1pt"/>
                <v:imagedata o:title=""/>
                <o:lock v:ext="edit" aspectratio="f"/>
                <v:textbox>
                  <w:txbxContent>
                    <w:p w14:paraId="0F68439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txbxContent>
                </v:textbox>
              </v:shape>
            </w:pict>
          </mc:Fallback>
        </mc:AlternateContent>
      </w:r>
      <w:r>
        <w:rPr>
          <w:rFonts w:hint="eastAsia" w:ascii="仿宋" w:hAnsi="仿宋" w:eastAsia="仿宋" w:cs="仿宋"/>
          <w:sz w:val="24"/>
          <w:szCs w:val="24"/>
          <w:lang w:eastAsia="zh-CN"/>
        </w:rPr>
        <w:t>任一按照计日工方式计价的工作，承包人应在该项工作实施结束后的</w:t>
      </w:r>
      <w:r>
        <w:rPr>
          <w:rFonts w:ascii="仿宋" w:hAnsi="仿宋" w:eastAsia="仿宋" w:cs="仿宋"/>
          <w:sz w:val="24"/>
          <w:szCs w:val="24"/>
          <w:lang w:eastAsia="zh-CN"/>
        </w:rPr>
        <w:t>24</w:t>
      </w:r>
      <w:r>
        <w:rPr>
          <w:rFonts w:hint="eastAsia" w:ascii="仿宋" w:hAnsi="仿宋" w:eastAsia="仿宋" w:cs="仿宋"/>
          <w:sz w:val="24"/>
          <w:szCs w:val="24"/>
          <w:lang w:eastAsia="zh-CN"/>
        </w:rPr>
        <w:t>小时内，向监理人提交有计日工记录的现场签证报告一式两份。</w:t>
      </w:r>
    </w:p>
    <w:p w14:paraId="7C3C9965">
      <w:pPr>
        <w:pStyle w:val="22"/>
        <w:adjustRightInd w:val="0"/>
        <w:snapToGrid w:val="0"/>
        <w:spacing w:line="400" w:lineRule="exact"/>
        <w:ind w:left="1800" w:leftChars="750"/>
        <w:rPr>
          <w:rFonts w:ascii="仿宋" w:hAnsi="仿宋" w:eastAsia="仿宋"/>
          <w:sz w:val="24"/>
          <w:szCs w:val="24"/>
          <w:lang w:eastAsia="zh-CN"/>
        </w:rPr>
      </w:pPr>
      <w:r>
        <w:rPr>
          <w:rFonts w:hint="eastAsia" w:ascii="仿宋" w:hAnsi="仿宋" w:eastAsia="仿宋" w:cs="仿宋"/>
          <w:sz w:val="24"/>
          <w:szCs w:val="24"/>
          <w:lang w:eastAsia="zh-CN"/>
        </w:rPr>
        <w:t>当此工作持续进行时，承包人应每天向监理人提交当天计日工记录完毕的现场签证报告。监理人在收到承包人提交现场签证报告后的</w:t>
      </w:r>
      <w:r>
        <w:rPr>
          <w:rFonts w:ascii="仿宋" w:hAnsi="仿宋" w:eastAsia="仿宋" w:cs="仿宋"/>
          <w:sz w:val="24"/>
          <w:szCs w:val="24"/>
          <w:lang w:eastAsia="zh-CN"/>
        </w:rPr>
        <w:t>2</w:t>
      </w:r>
      <w:r>
        <w:rPr>
          <w:rFonts w:hint="eastAsia" w:ascii="仿宋" w:hAnsi="仿宋" w:eastAsia="仿宋" w:cs="仿宋"/>
          <w:sz w:val="24"/>
          <w:szCs w:val="24"/>
          <w:lang w:eastAsia="zh-CN"/>
        </w:rPr>
        <w:t>天内予以确认并由其报发包人批准后，将其中一份返还给承包人，作为计日工计价和支付的依据。监理人逾期未确认也未提出修改意见的，视为承包人提交的现场签证报告已被认可。</w:t>
      </w:r>
    </w:p>
    <w:p w14:paraId="50F72752">
      <w:pPr>
        <w:spacing w:line="400" w:lineRule="exact"/>
        <w:rPr>
          <w:rFonts w:ascii="仿宋" w:hAnsi="仿宋" w:eastAsia="仿宋"/>
          <w:b/>
          <w:bCs/>
          <w:lang w:eastAsia="zh-CN"/>
        </w:rPr>
      </w:pPr>
      <w:bookmarkStart w:id="593" w:name="_Toc27830"/>
      <w:r>
        <w:rPr>
          <w:rFonts w:hint="eastAsia" w:ascii="仿宋" w:hAnsi="仿宋" w:eastAsia="仿宋" w:cs="仿宋"/>
          <w:b/>
          <w:bCs/>
          <w:lang w:eastAsia="zh-CN"/>
        </w:rPr>
        <w:t>74</w:t>
      </w:r>
      <w:r>
        <w:rPr>
          <w:rFonts w:ascii="仿宋" w:hAnsi="仿宋" w:eastAsia="仿宋" w:cs="仿宋"/>
          <w:b/>
          <w:bCs/>
          <w:lang w:eastAsia="zh-CN"/>
        </w:rPr>
        <w:t>.3</w:t>
      </w:r>
      <w:bookmarkEnd w:id="593"/>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09713303">
      <w:pPr>
        <w:pStyle w:val="22"/>
        <w:adjustRightInd w:val="0"/>
        <w:snapToGrid w:val="0"/>
        <w:spacing w:line="400" w:lineRule="exact"/>
        <w:ind w:left="1850" w:leftChars="771"/>
        <w:rPr>
          <w:rFonts w:ascii="仿宋" w:hAnsi="仿宋" w:eastAsia="仿宋"/>
          <w:sz w:val="24"/>
          <w:szCs w:val="24"/>
          <w:lang w:eastAsia="zh-CN"/>
        </w:rPr>
      </w:pPr>
      <w:r>
        <mc:AlternateContent>
          <mc:Choice Requires="wps">
            <w:drawing>
              <wp:anchor distT="0" distB="0" distL="114300" distR="114300" simplePos="0" relativeHeight="251874304" behindDoc="0" locked="0" layoutInCell="1" allowOverlap="1">
                <wp:simplePos x="0" y="0"/>
                <wp:positionH relativeFrom="column">
                  <wp:posOffset>-114300</wp:posOffset>
                </wp:positionH>
                <wp:positionV relativeFrom="paragraph">
                  <wp:posOffset>5080</wp:posOffset>
                </wp:positionV>
                <wp:extent cx="823595" cy="496570"/>
                <wp:effectExtent l="0" t="0" r="0" b="0"/>
                <wp:wrapNone/>
                <wp:docPr id="333" name="文本框 974"/>
                <wp:cNvGraphicFramePr/>
                <a:graphic xmlns:a="http://schemas.openxmlformats.org/drawingml/2006/main">
                  <a:graphicData uri="http://schemas.microsoft.com/office/word/2010/wordprocessingShape">
                    <wps:wsp>
                      <wps:cNvSpPr txBox="1"/>
                      <wps:spPr>
                        <a:xfrm>
                          <a:off x="0" y="0"/>
                          <a:ext cx="823595" cy="496570"/>
                        </a:xfrm>
                        <a:prstGeom prst="rect">
                          <a:avLst/>
                        </a:prstGeom>
                        <a:noFill/>
                        <a:ln w="12700">
                          <a:noFill/>
                        </a:ln>
                      </wps:spPr>
                      <wps:txbx>
                        <w:txbxContent>
                          <w:p w14:paraId="23E91DCA">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wps:txbx>
                      <wps:bodyPr rot="0" vert="horz" wrap="square" lIns="91440" tIns="45720" rIns="91440" bIns="45720" anchor="t" anchorCtr="0"/>
                    </wps:wsp>
                  </a:graphicData>
                </a:graphic>
              </wp:anchor>
            </w:drawing>
          </mc:Choice>
          <mc:Fallback>
            <w:pict>
              <v:shape id="文本框 974" o:spid="_x0000_s1026" o:spt="202" type="#_x0000_t202" style="position:absolute;left:0pt;margin-left:-9pt;margin-top:0.4pt;height:39.1pt;width:64.85pt;z-index:251874304;mso-width-relative:page;mso-height-relative:page;" filled="f" stroked="f" coordsize="21600,21600" o:gfxdata="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Dh&#10;sqjVAAAABwEAAA8AAAAAAAAAAQAgAAAAIgAAAGRycy9kb3ducmV2LnhtbFBLAQIUABQAAAAIAIdO&#10;4kB2SbWt7QEAAL4DAAAOAAAAAAAAAAEAIAAAACQBAABkcnMvZTJvRG9jLnhtbFBLBQYAAAAABgAG&#10;AFkBAACDBQAAAAA=&#10;">
                <v:fill on="f" focussize="0,0"/>
                <v:stroke on="f" weight="1pt"/>
                <v:imagedata o:title=""/>
                <o:lock v:ext="edit" aspectratio="f"/>
                <v:textbox>
                  <w:txbxContent>
                    <w:p w14:paraId="23E91DCA">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v:textbox>
              </v:shape>
            </w:pict>
          </mc:Fallback>
        </mc:AlternateContent>
      </w:r>
      <w:r>
        <w:rPr>
          <w:rFonts w:hint="eastAsia" w:ascii="仿宋" w:hAnsi="仿宋" w:eastAsia="仿宋" w:cs="仿宋"/>
          <w:sz w:val="24"/>
          <w:szCs w:val="24"/>
          <w:lang w:eastAsia="zh-CN"/>
        </w:rPr>
        <w:t>计日工工作，应从暂列金额中支付。造价咨询人应按照监理人确认的现场签证报告核实该类项目的数量，并根据核实的数量和合同价格清单中填报的计日工单价的乘积计算应付价款，经合同双方当事人确认后，与工程进度款同期支付。</w:t>
      </w:r>
    </w:p>
    <w:p w14:paraId="247C1E8B">
      <w:pPr>
        <w:pStyle w:val="22"/>
        <w:adjustRightInd w:val="0"/>
        <w:snapToGrid w:val="0"/>
        <w:spacing w:line="400" w:lineRule="exact"/>
        <w:ind w:left="1850" w:leftChars="771"/>
        <w:rPr>
          <w:rFonts w:ascii="仿宋" w:hAnsi="仿宋" w:eastAsia="仿宋" w:cs="仿宋"/>
          <w:sz w:val="24"/>
          <w:szCs w:val="24"/>
          <w:lang w:eastAsia="zh-CN"/>
        </w:rPr>
      </w:pPr>
      <w:r>
        <w:rPr>
          <w:rFonts w:hint="eastAsia" w:ascii="仿宋" w:hAnsi="仿宋" w:eastAsia="仿宋" w:cs="仿宋"/>
          <w:sz w:val="24"/>
          <w:szCs w:val="24"/>
          <w:lang w:eastAsia="zh-CN"/>
        </w:rPr>
        <w:t>每个支付期末，承包人应按照第</w:t>
      </w:r>
      <w:r>
        <w:rPr>
          <w:rFonts w:ascii="仿宋" w:hAnsi="仿宋" w:eastAsia="仿宋" w:cs="仿宋"/>
          <w:sz w:val="24"/>
          <w:szCs w:val="24"/>
          <w:lang w:eastAsia="zh-CN"/>
        </w:rPr>
        <w:t>8</w:t>
      </w:r>
      <w:r>
        <w:rPr>
          <w:rFonts w:hint="eastAsia" w:ascii="仿宋" w:hAnsi="仿宋" w:eastAsia="仿宋" w:cs="仿宋"/>
          <w:sz w:val="24"/>
          <w:szCs w:val="24"/>
          <w:lang w:eastAsia="zh-CN"/>
        </w:rPr>
        <w:t>6</w:t>
      </w:r>
      <w:r>
        <w:rPr>
          <w:rFonts w:ascii="仿宋" w:hAnsi="仿宋" w:eastAsia="仿宋" w:cs="仿宋"/>
          <w:sz w:val="24"/>
          <w:szCs w:val="24"/>
          <w:lang w:eastAsia="zh-CN"/>
        </w:rPr>
        <w:t>.1</w:t>
      </w:r>
      <w:r>
        <w:rPr>
          <w:rFonts w:hint="eastAsia" w:ascii="仿宋" w:hAnsi="仿宋" w:eastAsia="仿宋" w:cs="仿宋"/>
          <w:sz w:val="24"/>
          <w:szCs w:val="24"/>
          <w:lang w:eastAsia="zh-CN"/>
        </w:rPr>
        <w:t>款约定向发包人提交本期间所有计日工记录的签证汇总表，以说明本期间自己认为有权得到的计日工费用。</w:t>
      </w:r>
    </w:p>
    <w:p w14:paraId="02F3ACAD">
      <w:pPr>
        <w:pStyle w:val="22"/>
        <w:tabs>
          <w:tab w:val="left" w:pos="540"/>
        </w:tabs>
        <w:adjustRightInd w:val="0"/>
        <w:snapToGrid w:val="0"/>
        <w:spacing w:line="400" w:lineRule="exact"/>
        <w:rPr>
          <w:rFonts w:ascii="仿宋" w:hAnsi="仿宋" w:eastAsia="仿宋"/>
          <w:b/>
          <w:bCs/>
          <w:sz w:val="24"/>
          <w:szCs w:val="24"/>
          <w:lang w:eastAsia="zh-CN"/>
        </w:rPr>
      </w:pPr>
      <w:r>
        <w:rPr>
          <w:rFonts w:ascii="仿宋" w:hAnsi="仿宋" w:eastAsia="仿宋" w:cs="仿宋"/>
          <w:b/>
          <w:bCs/>
          <w:sz w:val="24"/>
          <w:szCs w:val="24"/>
          <w:u w:val="single"/>
          <w:lang w:eastAsia="zh-CN"/>
        </w:rPr>
        <w:t xml:space="preserve">                                                                         </w:t>
      </w:r>
      <w:r>
        <w:rPr>
          <w:rFonts w:hint="eastAsia" w:ascii="仿宋" w:hAnsi="仿宋" w:eastAsia="仿宋" w:cs="仿宋"/>
          <w:b/>
          <w:bCs/>
          <w:sz w:val="24"/>
          <w:szCs w:val="24"/>
          <w:u w:val="single"/>
          <w:lang w:eastAsia="zh-CN"/>
        </w:rPr>
        <w:t xml:space="preserve">     </w:t>
      </w:r>
      <w:r>
        <w:rPr>
          <w:rFonts w:ascii="仿宋" w:hAnsi="仿宋" w:eastAsia="仿宋" w:cs="仿宋"/>
          <w:b/>
          <w:bCs/>
          <w:sz w:val="24"/>
          <w:szCs w:val="24"/>
          <w:u w:val="single"/>
          <w:lang w:eastAsia="zh-CN"/>
        </w:rPr>
        <w:t xml:space="preserve">      </w:t>
      </w:r>
    </w:p>
    <w:p w14:paraId="20C19F82">
      <w:pPr>
        <w:pStyle w:val="4"/>
        <w:tabs>
          <w:tab w:val="left" w:pos="420"/>
        </w:tabs>
        <w:spacing w:before="0" w:after="0" w:line="400" w:lineRule="exact"/>
        <w:rPr>
          <w:rFonts w:ascii="仿宋" w:hAnsi="仿宋" w:eastAsia="仿宋" w:cs="仿宋"/>
          <w:bCs w:val="0"/>
          <w:sz w:val="24"/>
          <w:szCs w:val="24"/>
          <w:lang w:eastAsia="zh-CN"/>
        </w:rPr>
      </w:pPr>
      <w:bookmarkStart w:id="594" w:name="_Toc6102"/>
      <w:bookmarkStart w:id="595" w:name="_Toc2837"/>
      <w:bookmarkStart w:id="596" w:name="_Toc194073186"/>
      <w:bookmarkStart w:id="597" w:name="_Toc14260"/>
      <w:r>
        <w:rPr>
          <w:rFonts w:hint="eastAsia" w:ascii="仿宋" w:hAnsi="仿宋" w:eastAsia="仿宋" w:cs="仿宋"/>
          <w:bCs w:val="0"/>
          <w:sz w:val="24"/>
          <w:szCs w:val="24"/>
          <w:lang w:eastAsia="zh-CN"/>
        </w:rPr>
        <w:t>★75</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暂估价</w:t>
      </w:r>
      <w:bookmarkEnd w:id="594"/>
      <w:bookmarkEnd w:id="595"/>
      <w:bookmarkEnd w:id="596"/>
      <w:bookmarkEnd w:id="597"/>
    </w:p>
    <w:p w14:paraId="2222A42F">
      <w:pPr>
        <w:pStyle w:val="22"/>
        <w:adjustRightInd w:val="0"/>
        <w:snapToGrid w:val="0"/>
        <w:spacing w:line="400" w:lineRule="exact"/>
        <w:rPr>
          <w:rFonts w:ascii="仿宋" w:hAnsi="仿宋" w:eastAsia="仿宋" w:cs="仿宋"/>
          <w:b/>
          <w:bCs/>
          <w:sz w:val="24"/>
          <w:szCs w:val="24"/>
          <w:lang w:eastAsia="zh-CN"/>
        </w:rPr>
      </w:pPr>
      <w:r>
        <mc:AlternateContent>
          <mc:Choice Requires="wps">
            <w:drawing>
              <wp:anchor distT="0" distB="0" distL="114300" distR="114300" simplePos="0" relativeHeight="252058624" behindDoc="0" locked="0" layoutInCell="1" allowOverlap="1">
                <wp:simplePos x="0" y="0"/>
                <wp:positionH relativeFrom="column">
                  <wp:posOffset>-133350</wp:posOffset>
                </wp:positionH>
                <wp:positionV relativeFrom="paragraph">
                  <wp:posOffset>320040</wp:posOffset>
                </wp:positionV>
                <wp:extent cx="784225" cy="932180"/>
                <wp:effectExtent l="0" t="0" r="0" b="0"/>
                <wp:wrapNone/>
                <wp:docPr id="334" name="文本框 975"/>
                <wp:cNvGraphicFramePr/>
                <a:graphic xmlns:a="http://schemas.openxmlformats.org/drawingml/2006/main">
                  <a:graphicData uri="http://schemas.microsoft.com/office/word/2010/wordprocessingShape">
                    <wps:wsp>
                      <wps:cNvSpPr txBox="1"/>
                      <wps:spPr>
                        <a:xfrm>
                          <a:off x="0" y="0"/>
                          <a:ext cx="784225" cy="932180"/>
                        </a:xfrm>
                        <a:prstGeom prst="rect">
                          <a:avLst/>
                        </a:prstGeom>
                        <a:noFill/>
                        <a:ln w="12700">
                          <a:noFill/>
                        </a:ln>
                      </wps:spPr>
                      <wps:txbx>
                        <w:txbxContent>
                          <w:p w14:paraId="6DCC02C6">
                            <w:pPr>
                              <w:pStyle w:val="16"/>
                              <w:spacing w:line="20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依法必须招标的工程材料、工程设备或专业工程暂估价的约定</w:t>
                            </w:r>
                          </w:p>
                          <w:p w14:paraId="01B0F4A1">
                            <w:pPr>
                              <w:rPr>
                                <w:rFonts w:ascii="楷体_GB2312" w:hAnsi="宋体" w:eastAsia="楷体_GB2312"/>
                                <w:b/>
                                <w:bCs/>
                                <w:color w:val="000000"/>
                                <w:sz w:val="18"/>
                                <w:szCs w:val="18"/>
                                <w:lang w:eastAsia="zh-CN"/>
                              </w:rPr>
                            </w:pPr>
                          </w:p>
                          <w:p w14:paraId="1497F397">
                            <w:pPr>
                              <w:rPr>
                                <w:sz w:val="18"/>
                                <w:szCs w:val="18"/>
                                <w:lang w:eastAsia="zh-CN"/>
                              </w:rPr>
                            </w:pPr>
                          </w:p>
                        </w:txbxContent>
                      </wps:txbx>
                      <wps:bodyPr rot="0" vert="horz" wrap="square" lIns="91440" tIns="45720" rIns="91440" bIns="45720" anchor="t" anchorCtr="0"/>
                    </wps:wsp>
                  </a:graphicData>
                </a:graphic>
              </wp:anchor>
            </w:drawing>
          </mc:Choice>
          <mc:Fallback>
            <w:pict>
              <v:shape id="文本框 975" o:spid="_x0000_s1026" o:spt="202" type="#_x0000_t202" style="position:absolute;left:0pt;margin-left:-10.5pt;margin-top:25.2pt;height:73.4pt;width:61.75pt;z-index:252058624;mso-width-relative:page;mso-height-relative:page;" filled="f" stroked="f" coordsize="21600,21600" o:gfxdata="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a3NOjNgAAAAKAQAADwAAAAAAAAABACAAAAAiAAAAZHJzL2Rvd25yZXYueG1sUEsBAhQAFAAAAAgA&#10;h07iQCC4aoPsAQAAvgMAAA4AAAAAAAAAAQAgAAAAJwEAAGRycy9lMm9Eb2MueG1sUEsFBgAAAAAG&#10;AAYAWQEAAIUFAAAAAA==&#10;">
                <v:fill on="f" focussize="0,0"/>
                <v:stroke on="f" weight="1pt"/>
                <v:imagedata o:title=""/>
                <o:lock v:ext="edit" aspectratio="f"/>
                <v:textbox>
                  <w:txbxContent>
                    <w:p w14:paraId="6DCC02C6">
                      <w:pPr>
                        <w:pStyle w:val="16"/>
                        <w:spacing w:line="20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依法必须招标的工程材料、工程设备或专业工程暂估价的约定</w:t>
                      </w:r>
                    </w:p>
                    <w:p w14:paraId="01B0F4A1">
                      <w:pPr>
                        <w:rPr>
                          <w:rFonts w:ascii="楷体_GB2312" w:hAnsi="宋体" w:eastAsia="楷体_GB2312"/>
                          <w:b/>
                          <w:bCs/>
                          <w:color w:val="000000"/>
                          <w:sz w:val="18"/>
                          <w:szCs w:val="18"/>
                          <w:lang w:eastAsia="zh-CN"/>
                        </w:rPr>
                      </w:pPr>
                    </w:p>
                    <w:p w14:paraId="1497F397">
                      <w:pPr>
                        <w:rPr>
                          <w:sz w:val="18"/>
                          <w:szCs w:val="18"/>
                          <w:lang w:eastAsia="zh-CN"/>
                        </w:rPr>
                      </w:pPr>
                    </w:p>
                  </w:txbxContent>
                </v:textbox>
              </v:shape>
            </w:pict>
          </mc:Fallback>
        </mc:AlternateContent>
      </w:r>
      <w:r>
        <w:rPr>
          <w:rFonts w:hint="eastAsia" w:ascii="仿宋" w:hAnsi="仿宋" w:eastAsia="仿宋" w:cs="仿宋"/>
          <w:b/>
          <w:bCs/>
          <w:sz w:val="24"/>
          <w:szCs w:val="24"/>
          <w:lang w:eastAsia="zh-CN"/>
        </w:rPr>
        <w:t>75</w:t>
      </w:r>
      <w:r>
        <w:rPr>
          <w:rFonts w:ascii="仿宋" w:hAnsi="仿宋" w:eastAsia="仿宋" w:cs="仿宋"/>
          <w:b/>
          <w:bCs/>
          <w:sz w:val="24"/>
          <w:szCs w:val="24"/>
          <w:lang w:eastAsia="zh-CN"/>
        </w:rPr>
        <w:t>.1</w:t>
      </w:r>
    </w:p>
    <w:p w14:paraId="0BCA4943">
      <w:pPr>
        <w:pStyle w:val="22"/>
        <w:adjustRightInd w:val="0"/>
        <w:snapToGrid w:val="0"/>
        <w:spacing w:line="400" w:lineRule="exact"/>
        <w:ind w:left="1850" w:leftChars="771"/>
        <w:rPr>
          <w:rFonts w:ascii="仿宋" w:hAnsi="仿宋" w:eastAsia="仿宋"/>
          <w:sz w:val="24"/>
          <w:szCs w:val="24"/>
          <w:lang w:eastAsia="zh-CN"/>
        </w:rPr>
      </w:pPr>
      <w:r>
        <w:rPr>
          <w:rFonts w:hint="eastAsia" w:ascii="仿宋" w:hAnsi="仿宋" w:eastAsia="仿宋" w:cs="仿宋"/>
          <w:sz w:val="24"/>
          <w:szCs w:val="24"/>
          <w:lang w:eastAsia="zh-CN"/>
        </w:rPr>
        <w:t>发包人在合同价格清单中给定暂估价的工程材料、工程设备或专业工程，达到依法必须招标的规模、标准的，由承包人作为招标主体会同发包人共同选择供应商或分包人。合同双方当事人应在专用条款中约定各自的权利和义务。供应商或分包人的中标价格以及相应的税金等其他费用，应代替</w:t>
      </w:r>
      <w:r>
        <w:rPr>
          <w:rFonts w:ascii="仿宋" w:hAnsi="仿宋" w:eastAsia="仿宋" w:cs="仿宋"/>
          <w:sz w:val="24"/>
          <w:szCs w:val="24"/>
          <w:lang w:eastAsia="zh-CN"/>
        </w:rPr>
        <w:t>暂估价</w:t>
      </w:r>
      <w:r>
        <w:rPr>
          <w:rFonts w:hint="eastAsia" w:ascii="仿宋" w:hAnsi="仿宋" w:eastAsia="仿宋" w:cs="仿宋"/>
          <w:sz w:val="24"/>
          <w:szCs w:val="24"/>
          <w:lang w:eastAsia="zh-CN"/>
        </w:rPr>
        <w:t>计入合同价格。</w:t>
      </w:r>
    </w:p>
    <w:p w14:paraId="5BA1730B">
      <w:pPr>
        <w:pStyle w:val="22"/>
        <w:adjustRightInd w:val="0"/>
        <w:snapToGrid w:val="0"/>
        <w:spacing w:line="400" w:lineRule="exact"/>
        <w:rPr>
          <w:rFonts w:ascii="仿宋" w:hAnsi="仿宋" w:eastAsia="仿宋"/>
          <w:b/>
          <w:bCs/>
          <w:sz w:val="24"/>
          <w:szCs w:val="24"/>
          <w:lang w:eastAsia="zh-CN"/>
        </w:rPr>
      </w:pPr>
      <w:r>
        <w:rPr>
          <w:rFonts w:hint="eastAsia" w:ascii="仿宋" w:hAnsi="仿宋" w:eastAsia="仿宋" w:cs="仿宋"/>
          <w:b/>
          <w:bCs/>
          <w:sz w:val="24"/>
          <w:szCs w:val="24"/>
          <w:lang w:eastAsia="zh-CN"/>
        </w:rPr>
        <w:t>75</w:t>
      </w:r>
      <w:r>
        <w:rPr>
          <w:rFonts w:ascii="仿宋" w:hAnsi="仿宋" w:eastAsia="仿宋" w:cs="仿宋"/>
          <w:b/>
          <w:bCs/>
          <w:sz w:val="24"/>
          <w:szCs w:val="24"/>
          <w:lang w:eastAsia="zh-CN"/>
        </w:rPr>
        <w:t xml:space="preserve">.2  </w:t>
      </w:r>
      <w:r>
        <w:rPr>
          <w:rFonts w:ascii="仿宋" w:hAnsi="仿宋" w:eastAsia="仿宋" w:cs="仿宋"/>
          <w:b/>
          <w:bCs/>
          <w:sz w:val="24"/>
          <w:szCs w:val="24"/>
          <w:u w:val="dotted"/>
          <w:lang w:eastAsia="zh-CN"/>
        </w:rPr>
        <w:t xml:space="preserve">                                                                               </w:t>
      </w:r>
    </w:p>
    <w:p w14:paraId="344C4AFA">
      <w:pPr>
        <w:pStyle w:val="22"/>
        <w:widowControl w:val="0"/>
        <w:adjustRightInd w:val="0"/>
        <w:snapToGrid w:val="0"/>
        <w:spacing w:line="400" w:lineRule="exact"/>
        <w:ind w:left="1850" w:leftChars="771"/>
        <w:jc w:val="both"/>
        <w:rPr>
          <w:rFonts w:ascii="仿宋" w:hAnsi="仿宋" w:eastAsia="仿宋"/>
          <w:sz w:val="24"/>
          <w:szCs w:val="24"/>
          <w:lang w:eastAsia="zh-CN"/>
        </w:rPr>
      </w:pPr>
      <w:r>
        <mc:AlternateContent>
          <mc:Choice Requires="wps">
            <w:drawing>
              <wp:anchor distT="0" distB="0" distL="114300" distR="114300" simplePos="0" relativeHeight="251875328" behindDoc="0" locked="0" layoutInCell="1" allowOverlap="1">
                <wp:simplePos x="0" y="0"/>
                <wp:positionH relativeFrom="column">
                  <wp:posOffset>-114300</wp:posOffset>
                </wp:positionH>
                <wp:positionV relativeFrom="paragraph">
                  <wp:posOffset>42545</wp:posOffset>
                </wp:positionV>
                <wp:extent cx="857250" cy="982345"/>
                <wp:effectExtent l="0" t="0" r="0" b="0"/>
                <wp:wrapNone/>
                <wp:docPr id="335" name="文本框 976"/>
                <wp:cNvGraphicFramePr/>
                <a:graphic xmlns:a="http://schemas.openxmlformats.org/drawingml/2006/main">
                  <a:graphicData uri="http://schemas.microsoft.com/office/word/2010/wordprocessingShape">
                    <wps:wsp>
                      <wps:cNvSpPr txBox="1"/>
                      <wps:spPr>
                        <a:xfrm>
                          <a:off x="0" y="0"/>
                          <a:ext cx="857250" cy="982345"/>
                        </a:xfrm>
                        <a:prstGeom prst="rect">
                          <a:avLst/>
                        </a:prstGeom>
                        <a:noFill/>
                        <a:ln w="12700">
                          <a:noFill/>
                        </a:ln>
                      </wps:spPr>
                      <wps:txbx>
                        <w:txbxContent>
                          <w:p w14:paraId="2435B7A6">
                            <w:pPr>
                              <w:pStyle w:val="16"/>
                              <w:spacing w:line="200" w:lineRule="exact"/>
                              <w:rPr>
                                <w:lang w:eastAsia="zh-CN"/>
                              </w:rPr>
                            </w:pPr>
                            <w:r>
                              <w:rPr>
                                <w:rFonts w:hint="eastAsia" w:ascii="楷体_GB2312" w:hAnsi="宋体" w:eastAsia="楷体_GB2312" w:cs="楷体_GB2312"/>
                                <w:b/>
                                <w:bCs/>
                                <w:color w:val="000000"/>
                                <w:sz w:val="18"/>
                                <w:szCs w:val="18"/>
                                <w:lang w:eastAsia="zh-CN"/>
                              </w:rPr>
                              <w:t>依法不需要招标的工程材料和工程设备暂估价的约定</w:t>
                            </w:r>
                          </w:p>
                        </w:txbxContent>
                      </wps:txbx>
                      <wps:bodyPr rot="0" vert="horz" wrap="square" lIns="91440" tIns="45720" rIns="91440" bIns="45720" anchor="t" anchorCtr="0"/>
                    </wps:wsp>
                  </a:graphicData>
                </a:graphic>
              </wp:anchor>
            </w:drawing>
          </mc:Choice>
          <mc:Fallback>
            <w:pict>
              <v:shape id="文本框 976" o:spid="_x0000_s1026" o:spt="202" type="#_x0000_t202" style="position:absolute;left:0pt;margin-left:-9pt;margin-top:3.35pt;height:77.35pt;width:67.5pt;z-index:251875328;mso-width-relative:page;mso-height-relative:page;" filled="f" stroked="f" coordsize="21600,21600" o:gfxdata="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HXNhv&#10;1wAAAAkBAAAPAAAAAAAAAAEAIAAAACIAAABkcnMvZG93bnJldi54bWxQSwECFAAUAAAACACHTuJA&#10;K7cUaukBAAC+AwAADgAAAAAAAAABACAAAAAmAQAAZHJzL2Uyb0RvYy54bWxQSwUGAAAAAAYABgBZ&#10;AQAAgQUAAAAA&#10;">
                <v:fill on="f" focussize="0,0"/>
                <v:stroke on="f" weight="1pt"/>
                <v:imagedata o:title=""/>
                <o:lock v:ext="edit" aspectratio="f"/>
                <v:textbox>
                  <w:txbxContent>
                    <w:p w14:paraId="2435B7A6">
                      <w:pPr>
                        <w:pStyle w:val="16"/>
                        <w:spacing w:line="200" w:lineRule="exact"/>
                        <w:rPr>
                          <w:lang w:eastAsia="zh-CN"/>
                        </w:rPr>
                      </w:pPr>
                      <w:r>
                        <w:rPr>
                          <w:rFonts w:hint="eastAsia" w:ascii="楷体_GB2312" w:hAnsi="宋体" w:eastAsia="楷体_GB2312" w:cs="楷体_GB2312"/>
                          <w:b/>
                          <w:bCs/>
                          <w:color w:val="000000"/>
                          <w:sz w:val="18"/>
                          <w:szCs w:val="18"/>
                          <w:lang w:eastAsia="zh-CN"/>
                        </w:rPr>
                        <w:t>依法不需要招标的工程材料和工程设备暂估价的约定</w:t>
                      </w:r>
                    </w:p>
                  </w:txbxContent>
                </v:textbox>
              </v:shape>
            </w:pict>
          </mc:Fallback>
        </mc:AlternateContent>
      </w:r>
      <w:r>
        <w:rPr>
          <w:rFonts w:hint="eastAsia" w:ascii="仿宋" w:hAnsi="仿宋" w:eastAsia="仿宋" w:cs="仿宋"/>
          <w:sz w:val="24"/>
          <w:szCs w:val="24"/>
          <w:lang w:eastAsia="zh-CN"/>
        </w:rPr>
        <w:t>发包人在合同价格清单中给定暂估价的工程材料和工程设备，未达到依法必须招标的规模、标准的，由承包人按照第56条约定采购。经监理人、造价咨询人确认的工程材料和工程设备价格以及相应的税金等其他费用，应代替</w:t>
      </w:r>
      <w:r>
        <w:rPr>
          <w:rFonts w:ascii="仿宋" w:hAnsi="仿宋" w:eastAsia="仿宋" w:cs="仿宋"/>
          <w:sz w:val="24"/>
          <w:szCs w:val="24"/>
          <w:lang w:eastAsia="zh-CN"/>
        </w:rPr>
        <w:t>暂估价</w:t>
      </w:r>
      <w:r>
        <w:rPr>
          <w:rFonts w:hint="eastAsia" w:ascii="仿宋" w:hAnsi="仿宋" w:eastAsia="仿宋" w:cs="仿宋"/>
          <w:sz w:val="24"/>
          <w:szCs w:val="24"/>
          <w:lang w:eastAsia="zh-CN"/>
        </w:rPr>
        <w:t>计入合同价格。</w:t>
      </w:r>
    </w:p>
    <w:p w14:paraId="06B60B9C">
      <w:pPr>
        <w:pStyle w:val="22"/>
        <w:adjustRightInd w:val="0"/>
        <w:snapToGrid w:val="0"/>
        <w:spacing w:line="400" w:lineRule="exact"/>
        <w:rPr>
          <w:rFonts w:ascii="仿宋" w:hAnsi="仿宋" w:eastAsia="仿宋"/>
          <w:b/>
          <w:bCs/>
          <w:sz w:val="24"/>
          <w:szCs w:val="24"/>
          <w:lang w:eastAsia="zh-CN"/>
        </w:rPr>
      </w:pPr>
      <w:bookmarkStart w:id="598" w:name="_Toc27828"/>
      <w:r>
        <w:rPr>
          <w:rFonts w:hint="eastAsia" w:ascii="仿宋" w:hAnsi="仿宋" w:eastAsia="仿宋" w:cs="仿宋"/>
          <w:b/>
          <w:bCs/>
          <w:sz w:val="24"/>
          <w:szCs w:val="24"/>
          <w:lang w:eastAsia="zh-CN"/>
        </w:rPr>
        <w:t>75</w:t>
      </w:r>
      <w:r>
        <w:rPr>
          <w:rFonts w:ascii="仿宋" w:hAnsi="仿宋" w:eastAsia="仿宋" w:cs="仿宋"/>
          <w:b/>
          <w:bCs/>
          <w:sz w:val="24"/>
          <w:szCs w:val="24"/>
          <w:lang w:eastAsia="zh-CN"/>
        </w:rPr>
        <w:t>.3</w:t>
      </w:r>
      <w:bookmarkEnd w:id="598"/>
      <w:r>
        <w:rPr>
          <w:rFonts w:ascii="仿宋" w:hAnsi="仿宋" w:eastAsia="仿宋" w:cs="仿宋"/>
          <w:b/>
          <w:bCs/>
          <w:sz w:val="24"/>
          <w:szCs w:val="24"/>
          <w:u w:val="dotted"/>
          <w:lang w:eastAsia="zh-CN"/>
        </w:rPr>
        <w:t xml:space="preserve">                                                                                 </w:t>
      </w:r>
    </w:p>
    <w:p w14:paraId="543D67AF">
      <w:pPr>
        <w:pStyle w:val="22"/>
        <w:widowControl w:val="0"/>
        <w:adjustRightInd w:val="0"/>
        <w:snapToGrid w:val="0"/>
        <w:spacing w:line="400" w:lineRule="exact"/>
        <w:ind w:left="1850" w:leftChars="771"/>
        <w:jc w:val="both"/>
        <w:rPr>
          <w:rFonts w:ascii="仿宋" w:hAnsi="仿宋" w:eastAsia="仿宋" w:cs="仿宋"/>
          <w:sz w:val="24"/>
          <w:szCs w:val="24"/>
          <w:lang w:eastAsia="zh-CN"/>
        </w:rPr>
      </w:pPr>
      <w:r>
        <mc:AlternateContent>
          <mc:Choice Requires="wps">
            <w:drawing>
              <wp:anchor distT="0" distB="0" distL="114300" distR="114300" simplePos="0" relativeHeight="251876352" behindDoc="0" locked="0" layoutInCell="1" allowOverlap="1">
                <wp:simplePos x="0" y="0"/>
                <wp:positionH relativeFrom="column">
                  <wp:posOffset>-66675</wp:posOffset>
                </wp:positionH>
                <wp:positionV relativeFrom="paragraph">
                  <wp:posOffset>71755</wp:posOffset>
                </wp:positionV>
                <wp:extent cx="845820" cy="819785"/>
                <wp:effectExtent l="0" t="0" r="0" b="0"/>
                <wp:wrapNone/>
                <wp:docPr id="336" name="文本框 977"/>
                <wp:cNvGraphicFramePr/>
                <a:graphic xmlns:a="http://schemas.openxmlformats.org/drawingml/2006/main">
                  <a:graphicData uri="http://schemas.microsoft.com/office/word/2010/wordprocessingShape">
                    <wps:wsp>
                      <wps:cNvSpPr txBox="1"/>
                      <wps:spPr>
                        <a:xfrm>
                          <a:off x="0" y="0"/>
                          <a:ext cx="845820" cy="819785"/>
                        </a:xfrm>
                        <a:prstGeom prst="rect">
                          <a:avLst/>
                        </a:prstGeom>
                        <a:noFill/>
                        <a:ln w="12700">
                          <a:noFill/>
                        </a:ln>
                      </wps:spPr>
                      <wps:txbx>
                        <w:txbxContent>
                          <w:p w14:paraId="75C224C8">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依法不需要招标的专业工程暂估价的约定</w:t>
                            </w:r>
                          </w:p>
                        </w:txbxContent>
                      </wps:txbx>
                      <wps:bodyPr rot="0" vert="horz" wrap="square" lIns="91440" tIns="45720" rIns="91440" bIns="45720" anchor="t" anchorCtr="0"/>
                    </wps:wsp>
                  </a:graphicData>
                </a:graphic>
              </wp:anchor>
            </w:drawing>
          </mc:Choice>
          <mc:Fallback>
            <w:pict>
              <v:shape id="文本框 977" o:spid="_x0000_s1026" o:spt="202" type="#_x0000_t202" style="position:absolute;left:0pt;margin-left:-5.25pt;margin-top:5.65pt;height:64.55pt;width:66.6pt;z-index:251876352;mso-width-relative:page;mso-height-relative:page;" filled="f" stroked="f" coordsize="21600,21600" o:gfxdata="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J&#10;1V3/2AAAAAoBAAAPAAAAAAAAAAEAIAAAACIAAABkcnMvZG93bnJldi54bWxQSwECFAAUAAAACACH&#10;TuJAhEE8i+sBAAC+AwAADgAAAAAAAAABACAAAAAnAQAAZHJzL2Uyb0RvYy54bWxQSwUGAAAAAAYA&#10;BgBZAQAAhAUAAAAA&#10;">
                <v:fill on="f" focussize="0,0"/>
                <v:stroke on="f" weight="1pt"/>
                <v:imagedata o:title=""/>
                <o:lock v:ext="edit" aspectratio="f"/>
                <v:textbox>
                  <w:txbxContent>
                    <w:p w14:paraId="75C224C8">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依法不需要招标的专业工程暂估价的约定</w:t>
                      </w:r>
                    </w:p>
                  </w:txbxContent>
                </v:textbox>
              </v:shape>
            </w:pict>
          </mc:Fallback>
        </mc:AlternateContent>
      </w:r>
      <w:r>
        <w:rPr>
          <w:rFonts w:hint="eastAsia" w:ascii="仿宋" w:hAnsi="仿宋" w:eastAsia="仿宋" w:cs="仿宋"/>
          <w:sz w:val="24"/>
          <w:szCs w:val="24"/>
          <w:lang w:eastAsia="zh-CN"/>
        </w:rPr>
        <w:t>发包人在合同价格清单中给定暂估价的专业工程，未达到依法必须招标的规模及标准的，除专用条款另有约定外，由造价咨询人与承包人按照第79.3款约定确定专业工程价格。经确认的专业工程价格以及相应的税金等其他费用，应代替</w:t>
      </w:r>
      <w:r>
        <w:rPr>
          <w:rFonts w:ascii="仿宋" w:hAnsi="仿宋" w:eastAsia="仿宋" w:cs="仿宋"/>
          <w:sz w:val="24"/>
          <w:szCs w:val="24"/>
          <w:lang w:eastAsia="zh-CN"/>
        </w:rPr>
        <w:t>暂估价</w:t>
      </w:r>
      <w:r>
        <w:rPr>
          <w:rFonts w:hint="eastAsia" w:ascii="仿宋" w:hAnsi="仿宋" w:eastAsia="仿宋" w:cs="仿宋"/>
          <w:sz w:val="24"/>
          <w:szCs w:val="24"/>
          <w:lang w:eastAsia="zh-CN"/>
        </w:rPr>
        <w:t>计入合同价格。</w:t>
      </w:r>
    </w:p>
    <w:p w14:paraId="77D04552">
      <w:pPr>
        <w:pStyle w:val="22"/>
        <w:tabs>
          <w:tab w:val="left" w:pos="3038"/>
        </w:tabs>
        <w:adjustRightInd w:val="0"/>
        <w:snapToGrid w:val="0"/>
        <w:spacing w:line="400" w:lineRule="exact"/>
        <w:rPr>
          <w:rFonts w:ascii="仿宋" w:hAnsi="仿宋" w:eastAsia="仿宋" w:cs="仿宋"/>
          <w:b/>
          <w:bCs/>
          <w:sz w:val="24"/>
          <w:szCs w:val="24"/>
          <w:u w:val="single"/>
          <w:lang w:eastAsia="zh-CN"/>
        </w:rPr>
      </w:pPr>
      <w:r>
        <w:rPr>
          <w:rFonts w:ascii="仿宋" w:hAnsi="仿宋" w:eastAsia="仿宋" w:cs="仿宋"/>
          <w:b/>
          <w:bCs/>
          <w:sz w:val="24"/>
          <w:szCs w:val="24"/>
          <w:u w:val="single"/>
          <w:lang w:eastAsia="zh-CN"/>
        </w:rPr>
        <w:t xml:space="preserve">                                                                                     </w:t>
      </w:r>
    </w:p>
    <w:p w14:paraId="01C8E1D1">
      <w:pPr>
        <w:pStyle w:val="4"/>
        <w:tabs>
          <w:tab w:val="left" w:pos="420"/>
        </w:tabs>
        <w:spacing w:before="0" w:after="0" w:line="400" w:lineRule="exact"/>
        <w:rPr>
          <w:rFonts w:ascii="仿宋" w:hAnsi="仿宋" w:eastAsia="仿宋" w:cs="仿宋"/>
          <w:bCs w:val="0"/>
          <w:sz w:val="24"/>
          <w:szCs w:val="24"/>
          <w:lang w:eastAsia="zh-CN"/>
        </w:rPr>
      </w:pPr>
      <w:bookmarkStart w:id="599" w:name="_Toc194073187"/>
      <w:bookmarkStart w:id="600" w:name="_Toc10040"/>
      <w:bookmarkStart w:id="601" w:name="_Toc25053"/>
      <w:bookmarkStart w:id="602" w:name="_Toc3491"/>
      <w:r>
        <w:rPr>
          <w:rFonts w:hint="eastAsia" w:ascii="仿宋" w:hAnsi="仿宋" w:eastAsia="仿宋" w:cs="仿宋"/>
          <w:bCs w:val="0"/>
          <w:sz w:val="24"/>
          <w:szCs w:val="24"/>
          <w:lang w:eastAsia="zh-CN"/>
        </w:rPr>
        <w:t>★76</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提前竣工奖与误期赔偿费</w:t>
      </w:r>
      <w:bookmarkEnd w:id="599"/>
      <w:bookmarkEnd w:id="600"/>
      <w:bookmarkEnd w:id="601"/>
      <w:bookmarkEnd w:id="602"/>
    </w:p>
    <w:p w14:paraId="7DABDB51">
      <w:pPr>
        <w:spacing w:line="400" w:lineRule="exact"/>
        <w:rPr>
          <w:rFonts w:ascii="仿宋" w:hAnsi="仿宋" w:eastAsia="仿宋" w:cs="仿宋"/>
          <w:b/>
          <w:bCs/>
          <w:lang w:eastAsia="zh-CN"/>
        </w:rPr>
      </w:pPr>
      <w:bookmarkStart w:id="603" w:name="_Toc23082"/>
      <w:r>
        <w:rPr>
          <w:rFonts w:hint="eastAsia" w:ascii="仿宋" w:hAnsi="仿宋" w:eastAsia="仿宋" w:cs="仿宋"/>
          <w:b/>
          <w:bCs/>
          <w:lang w:eastAsia="zh-CN"/>
        </w:rPr>
        <w:t>76</w:t>
      </w:r>
      <w:r>
        <w:rPr>
          <w:rFonts w:ascii="仿宋" w:hAnsi="仿宋" w:eastAsia="仿宋" w:cs="仿宋"/>
          <w:b/>
          <w:bCs/>
          <w:lang w:eastAsia="zh-CN"/>
        </w:rPr>
        <w:t>.1</w:t>
      </w:r>
      <w:bookmarkEnd w:id="603"/>
    </w:p>
    <w:p w14:paraId="58AF7AE0">
      <w:pPr>
        <w:pStyle w:val="22"/>
        <w:widowControl w:val="0"/>
        <w:adjustRightInd w:val="0"/>
        <w:snapToGrid w:val="0"/>
        <w:spacing w:line="400" w:lineRule="exact"/>
        <w:ind w:left="1850" w:leftChars="771"/>
        <w:jc w:val="both"/>
        <w:rPr>
          <w:rFonts w:ascii="仿宋" w:hAnsi="仿宋" w:eastAsia="仿宋"/>
          <w:sz w:val="24"/>
          <w:szCs w:val="24"/>
          <w:lang w:eastAsia="zh-CN"/>
        </w:rPr>
      </w:pPr>
      <w:r>
        <mc:AlternateContent>
          <mc:Choice Requires="wps">
            <w:drawing>
              <wp:anchor distT="0" distB="0" distL="114300" distR="114300" simplePos="0" relativeHeight="251877376" behindDoc="0" locked="0" layoutInCell="1" allowOverlap="1">
                <wp:simplePos x="0" y="0"/>
                <wp:positionH relativeFrom="column">
                  <wp:posOffset>-114300</wp:posOffset>
                </wp:positionH>
                <wp:positionV relativeFrom="paragraph">
                  <wp:posOffset>30480</wp:posOffset>
                </wp:positionV>
                <wp:extent cx="800100" cy="415925"/>
                <wp:effectExtent l="0" t="0" r="0" b="0"/>
                <wp:wrapNone/>
                <wp:docPr id="337" name="文本框 978"/>
                <wp:cNvGraphicFramePr/>
                <a:graphic xmlns:a="http://schemas.openxmlformats.org/drawingml/2006/main">
                  <a:graphicData uri="http://schemas.microsoft.com/office/word/2010/wordprocessingShape">
                    <wps:wsp>
                      <wps:cNvSpPr txBox="1"/>
                      <wps:spPr>
                        <a:xfrm>
                          <a:off x="0" y="0"/>
                          <a:ext cx="800100" cy="415925"/>
                        </a:xfrm>
                        <a:prstGeom prst="rect">
                          <a:avLst/>
                        </a:prstGeom>
                        <a:noFill/>
                        <a:ln w="12700">
                          <a:noFill/>
                        </a:ln>
                      </wps:spPr>
                      <wps:txbx>
                        <w:txbxContent>
                          <w:p w14:paraId="706B591C">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wps:txbx>
                      <wps:bodyPr rot="0" vert="horz" wrap="square" lIns="91440" tIns="45720" rIns="91440" bIns="45720" anchor="t" anchorCtr="0"/>
                    </wps:wsp>
                  </a:graphicData>
                </a:graphic>
              </wp:anchor>
            </w:drawing>
          </mc:Choice>
          <mc:Fallback>
            <w:pict>
              <v:shape id="文本框 978" o:spid="_x0000_s1026" o:spt="202" type="#_x0000_t202" style="position:absolute;left:0pt;margin-left:-9pt;margin-top:2.4pt;height:32.75pt;width:63pt;z-index:251877376;mso-width-relative:page;mso-height-relative:page;" filled="f" stroked="f" coordsize="21600,21600" o:gfxdata="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CorwR1QAA&#10;AAgBAAAPAAAAAAAAAAEAIAAAACIAAABkcnMvZG93bnJldi54bWxQSwECFAAUAAAACACHTuJAgrQV&#10;WOgBAAC+AwAADgAAAAAAAAABACAAAAAkAQAAZHJzL2Uyb0RvYy54bWxQSwUGAAAAAAYABgBZAQAA&#10;fgUAAAAA&#10;">
                <v:fill on="f" focussize="0,0"/>
                <v:stroke on="f" weight="1pt"/>
                <v:imagedata o:title=""/>
                <o:lock v:ext="edit" aspectratio="f"/>
                <v:textbox>
                  <w:txbxContent>
                    <w:p w14:paraId="706B591C">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v:textbox>
              </v:shape>
            </w:pict>
          </mc:Fallback>
        </mc:AlternateContent>
      </w:r>
      <w:r>
        <w:rPr>
          <w:rFonts w:hint="eastAsia" w:ascii="仿宋" w:hAnsi="仿宋" w:eastAsia="仿宋" w:cs="仿宋"/>
          <w:sz w:val="24"/>
          <w:szCs w:val="24"/>
          <w:lang w:eastAsia="zh-CN"/>
        </w:rPr>
        <w:t>合同双方当事人可在专用条款中约定提前竣工奖，明确每日历天应奖额度。约定提前竣工奖的，如果承包人的实际竣工日期早于计划竣工日期，承包人有权向发包人提出并得到提前竣工天数和专用条款约定的每日历天应奖额度的乘积计算的提前竣工奖。除专用条款另有约定外，提前竣工奖的最高限额为合同价格的</w:t>
      </w:r>
      <w:r>
        <w:rPr>
          <w:rFonts w:ascii="仿宋" w:hAnsi="仿宋" w:eastAsia="仿宋" w:cs="仿宋"/>
          <w:sz w:val="24"/>
          <w:szCs w:val="24"/>
          <w:lang w:eastAsia="zh-CN"/>
        </w:rPr>
        <w:t>5%</w:t>
      </w:r>
      <w:r>
        <w:rPr>
          <w:rFonts w:hint="eastAsia" w:ascii="仿宋" w:hAnsi="仿宋" w:eastAsia="仿宋" w:cs="仿宋"/>
          <w:sz w:val="24"/>
          <w:szCs w:val="24"/>
          <w:lang w:eastAsia="zh-CN"/>
        </w:rPr>
        <w:t>。提前竣工奖列入竣工结算文件中，与结算款一并支付。</w:t>
      </w:r>
    </w:p>
    <w:p w14:paraId="4C430201">
      <w:pPr>
        <w:spacing w:line="400" w:lineRule="exact"/>
        <w:rPr>
          <w:rFonts w:ascii="仿宋" w:hAnsi="仿宋" w:eastAsia="仿宋"/>
          <w:b/>
          <w:bCs/>
          <w:lang w:eastAsia="zh-CN"/>
        </w:rPr>
      </w:pPr>
      <w:bookmarkStart w:id="604" w:name="_Toc21897"/>
      <w:r>
        <w:rPr>
          <w:rFonts w:hint="eastAsia" w:ascii="仿宋" w:hAnsi="仿宋" w:eastAsia="仿宋" w:cs="仿宋"/>
          <w:b/>
          <w:bCs/>
          <w:lang w:eastAsia="zh-CN"/>
        </w:rPr>
        <w:t>76</w:t>
      </w:r>
      <w:r>
        <w:rPr>
          <w:rFonts w:ascii="仿宋" w:hAnsi="仿宋" w:eastAsia="仿宋" w:cs="仿宋"/>
          <w:b/>
          <w:bCs/>
          <w:lang w:eastAsia="zh-CN"/>
        </w:rPr>
        <w:t>.2</w:t>
      </w:r>
      <w:bookmarkEnd w:id="604"/>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31CFF7DC">
      <w:pPr>
        <w:pStyle w:val="22"/>
        <w:widowControl w:val="0"/>
        <w:adjustRightInd w:val="0"/>
        <w:snapToGrid w:val="0"/>
        <w:spacing w:line="400" w:lineRule="exact"/>
        <w:ind w:left="1850" w:leftChars="771"/>
        <w:jc w:val="both"/>
        <w:rPr>
          <w:rFonts w:ascii="仿宋" w:hAnsi="仿宋" w:eastAsia="仿宋"/>
          <w:sz w:val="24"/>
          <w:szCs w:val="24"/>
          <w:lang w:eastAsia="zh-CN"/>
        </w:rPr>
      </w:pPr>
      <w:r>
        <mc:AlternateContent>
          <mc:Choice Requires="wps">
            <w:drawing>
              <wp:anchor distT="0" distB="0" distL="114300" distR="114300" simplePos="0" relativeHeight="251878400" behindDoc="0" locked="0" layoutInCell="1" allowOverlap="1">
                <wp:simplePos x="0" y="0"/>
                <wp:positionH relativeFrom="column">
                  <wp:posOffset>-114300</wp:posOffset>
                </wp:positionH>
                <wp:positionV relativeFrom="paragraph">
                  <wp:posOffset>16510</wp:posOffset>
                </wp:positionV>
                <wp:extent cx="785495" cy="466090"/>
                <wp:effectExtent l="0" t="0" r="0" b="0"/>
                <wp:wrapNone/>
                <wp:docPr id="338" name="文本框 979"/>
                <wp:cNvGraphicFramePr/>
                <a:graphic xmlns:a="http://schemas.openxmlformats.org/drawingml/2006/main">
                  <a:graphicData uri="http://schemas.microsoft.com/office/word/2010/wordprocessingShape">
                    <wps:wsp>
                      <wps:cNvSpPr txBox="1"/>
                      <wps:spPr>
                        <a:xfrm>
                          <a:off x="0" y="0"/>
                          <a:ext cx="785495" cy="466090"/>
                        </a:xfrm>
                        <a:prstGeom prst="rect">
                          <a:avLst/>
                        </a:prstGeom>
                        <a:noFill/>
                        <a:ln w="12700">
                          <a:noFill/>
                        </a:ln>
                      </wps:spPr>
                      <wps:txbx>
                        <w:txbxContent>
                          <w:p w14:paraId="6EFEFC51">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wps:txbx>
                      <wps:bodyPr rot="0" vert="horz" wrap="square" lIns="91440" tIns="45720" rIns="91440" bIns="45720" anchor="t" anchorCtr="0"/>
                    </wps:wsp>
                  </a:graphicData>
                </a:graphic>
              </wp:anchor>
            </w:drawing>
          </mc:Choice>
          <mc:Fallback>
            <w:pict>
              <v:shape id="文本框 979" o:spid="_x0000_s1026" o:spt="202" type="#_x0000_t202" style="position:absolute;left:0pt;margin-left:-9pt;margin-top:1.3pt;height:36.7pt;width:61.85pt;z-index:251878400;mso-width-relative:page;mso-height-relative:page;" filled="f" stroked="f" coordsize="21600,21600" o:gfxdata="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KyZz49cAAAAIAQAADwAAAAAAAAABACAAAAAiAAAAZHJzL2Rvd25yZXYueG1sUEsBAhQAFAAAAAgA&#10;h07iQFc3etztAQAAvgMAAA4AAAAAAAAAAQAgAAAAJgEAAGRycy9lMm9Eb2MueG1sUEsFBgAAAAAG&#10;AAYAWQEAAIUFAAAAAA==&#10;">
                <v:fill on="f" focussize="0,0"/>
                <v:stroke on="f" weight="1pt"/>
                <v:imagedata o:title=""/>
                <o:lock v:ext="edit" aspectratio="f"/>
                <v:textbox>
                  <w:txbxContent>
                    <w:p w14:paraId="6EFEFC51">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v:textbox>
              </v:shape>
            </w:pict>
          </mc:Fallback>
        </mc:AlternateContent>
      </w:r>
      <w:r>
        <w:rPr>
          <w:rFonts w:hint="eastAsia" w:ascii="仿宋" w:hAnsi="仿宋" w:eastAsia="仿宋" w:cs="仿宋"/>
          <w:sz w:val="24"/>
          <w:szCs w:val="24"/>
          <w:lang w:eastAsia="zh-CN"/>
        </w:rPr>
        <w:t>合同双方当事人应在专用条款中约定勘察（如果有）、设计、BIM技术应用、设备及工器具购置（如果有）、施工等各阶段工期及合同总工期的误期赔偿费，明确每日历天应赔额度。如果承包人的实际进度迟于计划进度，发包人有权向承包人索取并得到实际延误天数和专用条款约定的每日历天应赔额度的乘积计算的误期赔偿费。除专用条款另有约定外，误期赔偿费的最高限额为合同价格的</w:t>
      </w:r>
      <w:r>
        <w:rPr>
          <w:rFonts w:ascii="仿宋" w:hAnsi="仿宋" w:eastAsia="仿宋" w:cs="仿宋"/>
          <w:sz w:val="24"/>
          <w:szCs w:val="24"/>
          <w:lang w:eastAsia="zh-CN"/>
        </w:rPr>
        <w:t>5%</w:t>
      </w:r>
      <w:r>
        <w:rPr>
          <w:rFonts w:hint="eastAsia" w:ascii="仿宋" w:hAnsi="仿宋" w:eastAsia="仿宋" w:cs="仿宋"/>
          <w:sz w:val="24"/>
          <w:szCs w:val="24"/>
          <w:lang w:eastAsia="zh-CN"/>
        </w:rPr>
        <w:t>。误期赔偿费列入进度支付文件或竣工结算文件中，在进度款或结算款中扣除。</w:t>
      </w:r>
    </w:p>
    <w:p w14:paraId="40C2AA13">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如果在工程竣工之前，合同工程内的某单项工程已通过了竣工验收或某项服务已通过合同约定的质量标准或发包人要求，且该单项工程接收证书中标明的竣工日期并未延误或某项服务的书面证明并未延误，而是合同工程的其他部分产生了工期延误，则误期赔偿费应按照已颁发工程接收证书的单项工程造价或某项服务占合同价格的比例幅度予以扣减。</w:t>
      </w:r>
    </w:p>
    <w:p w14:paraId="54D9F81F">
      <w:pPr>
        <w:pStyle w:val="22"/>
        <w:adjustRightInd w:val="0"/>
        <w:snapToGrid w:val="0"/>
        <w:spacing w:line="400" w:lineRule="exact"/>
        <w:rPr>
          <w:rFonts w:ascii="仿宋" w:hAnsi="仿宋" w:eastAsia="仿宋" w:cs="仿宋"/>
          <w:b/>
          <w:bCs/>
          <w:sz w:val="24"/>
          <w:szCs w:val="24"/>
          <w:u w:val="single"/>
          <w:lang w:eastAsia="zh-CN"/>
        </w:rPr>
      </w:pPr>
      <w:r>
        <w:rPr>
          <w:rFonts w:ascii="仿宋" w:hAnsi="仿宋" w:eastAsia="仿宋" w:cs="仿宋"/>
          <w:b/>
          <w:bCs/>
          <w:sz w:val="24"/>
          <w:szCs w:val="24"/>
          <w:u w:val="single"/>
          <w:lang w:eastAsia="zh-CN"/>
        </w:rPr>
        <w:t xml:space="preserve">                                                                      </w:t>
      </w:r>
      <w:r>
        <w:rPr>
          <w:rFonts w:hint="eastAsia" w:ascii="仿宋" w:hAnsi="仿宋" w:eastAsia="仿宋" w:cs="仿宋"/>
          <w:b/>
          <w:bCs/>
          <w:sz w:val="24"/>
          <w:szCs w:val="24"/>
          <w:u w:val="single"/>
          <w:lang w:eastAsia="zh-CN"/>
        </w:rPr>
        <w:t xml:space="preserve">   </w:t>
      </w:r>
      <w:r>
        <w:rPr>
          <w:rFonts w:ascii="仿宋" w:hAnsi="仿宋" w:eastAsia="仿宋" w:cs="仿宋"/>
          <w:b/>
          <w:bCs/>
          <w:sz w:val="24"/>
          <w:szCs w:val="24"/>
          <w:u w:val="single"/>
          <w:lang w:eastAsia="zh-CN"/>
        </w:rPr>
        <w:t xml:space="preserve">            </w:t>
      </w:r>
    </w:p>
    <w:p w14:paraId="3A948F2E">
      <w:pPr>
        <w:pStyle w:val="4"/>
        <w:tabs>
          <w:tab w:val="left" w:pos="420"/>
        </w:tabs>
        <w:spacing w:before="0" w:after="0" w:line="400" w:lineRule="exact"/>
        <w:rPr>
          <w:rFonts w:ascii="仿宋" w:hAnsi="仿宋" w:eastAsia="仿宋" w:cs="仿宋"/>
          <w:bCs w:val="0"/>
          <w:sz w:val="24"/>
          <w:szCs w:val="24"/>
          <w:lang w:eastAsia="zh-CN"/>
        </w:rPr>
      </w:pPr>
      <w:bookmarkStart w:id="605" w:name="_Toc194073188"/>
      <w:bookmarkStart w:id="606" w:name="_Toc14856"/>
      <w:bookmarkStart w:id="607" w:name="_Toc6548"/>
      <w:bookmarkStart w:id="608" w:name="_Toc2320"/>
      <w:r>
        <w:rPr>
          <w:rFonts w:hint="eastAsia" w:ascii="仿宋" w:hAnsi="仿宋" w:eastAsia="仿宋" w:cs="仿宋"/>
          <w:bCs w:val="0"/>
          <w:sz w:val="24"/>
          <w:szCs w:val="24"/>
          <w:lang w:eastAsia="zh-CN"/>
        </w:rPr>
        <w:t>★77</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优质优价费用</w:t>
      </w:r>
      <w:bookmarkEnd w:id="605"/>
      <w:bookmarkEnd w:id="606"/>
      <w:bookmarkEnd w:id="607"/>
      <w:bookmarkEnd w:id="608"/>
    </w:p>
    <w:p w14:paraId="653F971E">
      <w:pPr>
        <w:spacing w:line="400" w:lineRule="exact"/>
        <w:rPr>
          <w:rFonts w:ascii="仿宋" w:hAnsi="仿宋" w:eastAsia="仿宋" w:cs="仿宋"/>
          <w:b/>
          <w:bCs/>
          <w:lang w:eastAsia="zh-CN"/>
        </w:rPr>
      </w:pPr>
      <w:bookmarkStart w:id="609" w:name="_Toc3293"/>
      <w:r>
        <w:rPr>
          <w:rFonts w:hint="eastAsia" w:ascii="仿宋" w:hAnsi="仿宋" w:eastAsia="仿宋" w:cs="仿宋"/>
          <w:b/>
          <w:bCs/>
          <w:lang w:eastAsia="zh-CN"/>
        </w:rPr>
        <w:t>77</w:t>
      </w:r>
      <w:r>
        <w:rPr>
          <w:rFonts w:ascii="仿宋" w:hAnsi="仿宋" w:eastAsia="仿宋" w:cs="仿宋"/>
          <w:b/>
          <w:bCs/>
          <w:lang w:eastAsia="zh-CN"/>
        </w:rPr>
        <w:t>.1</w:t>
      </w:r>
      <w:bookmarkEnd w:id="609"/>
    </w:p>
    <w:p w14:paraId="23BB842F">
      <w:pPr>
        <w:pStyle w:val="22"/>
        <w:widowControl w:val="0"/>
        <w:adjustRightInd w:val="0"/>
        <w:snapToGrid w:val="0"/>
        <w:spacing w:line="400" w:lineRule="exact"/>
        <w:ind w:left="1850" w:leftChars="771"/>
        <w:jc w:val="both"/>
        <w:rPr>
          <w:rFonts w:ascii="仿宋" w:hAnsi="仿宋" w:eastAsia="仿宋"/>
          <w:sz w:val="24"/>
          <w:szCs w:val="24"/>
          <w:lang w:eastAsia="zh-CN"/>
        </w:rPr>
      </w:pPr>
      <w:r>
        <mc:AlternateContent>
          <mc:Choice Requires="wps">
            <w:drawing>
              <wp:anchor distT="0" distB="0" distL="114300" distR="114300" simplePos="0" relativeHeight="251879424" behindDoc="0" locked="0" layoutInCell="1" allowOverlap="1">
                <wp:simplePos x="0" y="0"/>
                <wp:positionH relativeFrom="column">
                  <wp:posOffset>-114300</wp:posOffset>
                </wp:positionH>
                <wp:positionV relativeFrom="paragraph">
                  <wp:posOffset>30480</wp:posOffset>
                </wp:positionV>
                <wp:extent cx="818515" cy="511175"/>
                <wp:effectExtent l="0" t="0" r="0" b="0"/>
                <wp:wrapNone/>
                <wp:docPr id="339" name="文本框 980"/>
                <wp:cNvGraphicFramePr/>
                <a:graphic xmlns:a="http://schemas.openxmlformats.org/drawingml/2006/main">
                  <a:graphicData uri="http://schemas.microsoft.com/office/word/2010/wordprocessingShape">
                    <wps:wsp>
                      <wps:cNvSpPr txBox="1"/>
                      <wps:spPr>
                        <a:xfrm>
                          <a:off x="0" y="0"/>
                          <a:ext cx="818515" cy="511175"/>
                        </a:xfrm>
                        <a:prstGeom prst="rect">
                          <a:avLst/>
                        </a:prstGeom>
                        <a:noFill/>
                        <a:ln w="12700">
                          <a:noFill/>
                        </a:ln>
                      </wps:spPr>
                      <wps:txbx>
                        <w:txbxContent>
                          <w:p w14:paraId="3ED8E821">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lang w:eastAsia="zh-CN"/>
                              </w:rPr>
                              <w:t>优质优价费用</w:t>
                            </w:r>
                            <w:r>
                              <w:rPr>
                                <w:rFonts w:hint="eastAsia" w:ascii="楷体_GB2312" w:hAnsi="宋体" w:eastAsia="楷体_GB2312" w:cs="楷体_GB2312"/>
                                <w:b/>
                                <w:bCs/>
                                <w:color w:val="000000"/>
                                <w:sz w:val="18"/>
                                <w:szCs w:val="18"/>
                              </w:rPr>
                              <w:t>的约定</w:t>
                            </w:r>
                          </w:p>
                        </w:txbxContent>
                      </wps:txbx>
                      <wps:bodyPr rot="0" vert="horz" wrap="square" lIns="91440" tIns="45720" rIns="91440" bIns="45720" anchor="t" anchorCtr="0"/>
                    </wps:wsp>
                  </a:graphicData>
                </a:graphic>
              </wp:anchor>
            </w:drawing>
          </mc:Choice>
          <mc:Fallback>
            <w:pict>
              <v:shape id="文本框 980" o:spid="_x0000_s1026" o:spt="202" type="#_x0000_t202" style="position:absolute;left:0pt;margin-left:-9pt;margin-top:2.4pt;height:40.25pt;width:64.45pt;z-index:251879424;mso-width-relative:page;mso-height-relative:page;" filled="f" stroked="f" coordsize="21600,21600" o:gfxdata="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QBhbTW&#10;AAAACAEAAA8AAAAAAAAAAQAgAAAAIgAAAGRycy9kb3ducmV2LnhtbFBLAQIUABQAAAAIAIdO4kBK&#10;2g4g6QEAAL4DAAAOAAAAAAAAAAEAIAAAACUBAABkcnMvZTJvRG9jLnhtbFBLBQYAAAAABgAGAFkB&#10;AACABQAAAAA=&#10;">
                <v:fill on="f" focussize="0,0"/>
                <v:stroke on="f" weight="1pt"/>
                <v:imagedata o:title=""/>
                <o:lock v:ext="edit" aspectratio="f"/>
                <v:textbox>
                  <w:txbxContent>
                    <w:p w14:paraId="3ED8E821">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lang w:eastAsia="zh-CN"/>
                        </w:rPr>
                        <w:t>优质优价费用</w:t>
                      </w:r>
                      <w:r>
                        <w:rPr>
                          <w:rFonts w:hint="eastAsia" w:ascii="楷体_GB2312" w:hAnsi="宋体" w:eastAsia="楷体_GB2312" w:cs="楷体_GB2312"/>
                          <w:b/>
                          <w:bCs/>
                          <w:color w:val="000000"/>
                          <w:sz w:val="18"/>
                          <w:szCs w:val="18"/>
                        </w:rPr>
                        <w:t>的约定</w:t>
                      </w:r>
                    </w:p>
                  </w:txbxContent>
                </v:textbox>
              </v:shape>
            </w:pict>
          </mc:Fallback>
        </mc:AlternateContent>
      </w:r>
      <w:r>
        <w:rPr>
          <w:rFonts w:hint="eastAsia" w:ascii="仿宋" w:hAnsi="仿宋" w:eastAsia="仿宋" w:cs="仿宋"/>
          <w:sz w:val="24"/>
          <w:szCs w:val="24"/>
          <w:lang w:eastAsia="zh-CN"/>
        </w:rPr>
        <w:t>合同双方当事人可在专用条款中约定优质优价费用，明确合同优质优价费用的计算方法。约定优质优价费用的，如果承包人实施、完成合同质量高于国家规定或合同约定的质量验收合格标准的，承包人有权向发包人提出并得到专用条款约定的优质优价费用。</w:t>
      </w:r>
    </w:p>
    <w:p w14:paraId="3F0CE9A6">
      <w:pPr>
        <w:spacing w:line="400" w:lineRule="exact"/>
        <w:rPr>
          <w:rFonts w:ascii="仿宋" w:hAnsi="仿宋" w:eastAsia="仿宋"/>
          <w:b/>
          <w:bCs/>
          <w:lang w:eastAsia="zh-CN"/>
        </w:rPr>
      </w:pPr>
      <w:bookmarkStart w:id="610" w:name="_Toc14393"/>
      <w:r>
        <w:rPr>
          <w:rFonts w:hint="eastAsia" w:ascii="仿宋" w:hAnsi="仿宋" w:eastAsia="仿宋" w:cs="仿宋"/>
          <w:b/>
          <w:bCs/>
          <w:lang w:eastAsia="zh-CN"/>
        </w:rPr>
        <w:t>77</w:t>
      </w:r>
      <w:r>
        <w:rPr>
          <w:rFonts w:ascii="仿宋" w:hAnsi="仿宋" w:eastAsia="仿宋" w:cs="仿宋"/>
          <w:b/>
          <w:bCs/>
          <w:lang w:eastAsia="zh-CN"/>
        </w:rPr>
        <w:t>.2</w:t>
      </w:r>
      <w:bookmarkEnd w:id="610"/>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36109ADC">
      <w:pPr>
        <w:pStyle w:val="22"/>
        <w:widowControl w:val="0"/>
        <w:adjustRightInd w:val="0"/>
        <w:snapToGrid w:val="0"/>
        <w:spacing w:line="400" w:lineRule="exact"/>
        <w:ind w:left="1850" w:leftChars="771"/>
        <w:jc w:val="both"/>
        <w:rPr>
          <w:rFonts w:ascii="仿宋" w:hAnsi="仿宋" w:eastAsia="仿宋" w:cs="仿宋"/>
          <w:sz w:val="24"/>
          <w:szCs w:val="24"/>
          <w:lang w:eastAsia="zh-CN"/>
        </w:rPr>
      </w:pPr>
      <w:r>
        <mc:AlternateContent>
          <mc:Choice Requires="wps">
            <w:drawing>
              <wp:anchor distT="0" distB="0" distL="114300" distR="114300" simplePos="0" relativeHeight="251880448" behindDoc="0" locked="0" layoutInCell="1" allowOverlap="1">
                <wp:simplePos x="0" y="0"/>
                <wp:positionH relativeFrom="column">
                  <wp:posOffset>-114300</wp:posOffset>
                </wp:positionH>
                <wp:positionV relativeFrom="paragraph">
                  <wp:posOffset>12065</wp:posOffset>
                </wp:positionV>
                <wp:extent cx="775335" cy="800100"/>
                <wp:effectExtent l="0" t="0" r="0" b="0"/>
                <wp:wrapNone/>
                <wp:docPr id="340" name="文本框 981"/>
                <wp:cNvGraphicFramePr/>
                <a:graphic xmlns:a="http://schemas.openxmlformats.org/drawingml/2006/main">
                  <a:graphicData uri="http://schemas.microsoft.com/office/word/2010/wordprocessingShape">
                    <wps:wsp>
                      <wps:cNvSpPr txBox="1"/>
                      <wps:spPr>
                        <a:xfrm>
                          <a:off x="0" y="0"/>
                          <a:ext cx="775335" cy="800100"/>
                        </a:xfrm>
                        <a:prstGeom prst="rect">
                          <a:avLst/>
                        </a:prstGeom>
                        <a:noFill/>
                        <a:ln w="12700">
                          <a:noFill/>
                        </a:ln>
                      </wps:spPr>
                      <wps:txbx>
                        <w:txbxContent>
                          <w:p w14:paraId="51250C52">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优质优价费用计提与支付</w:t>
                            </w:r>
                          </w:p>
                        </w:txbxContent>
                      </wps:txbx>
                      <wps:bodyPr rot="0" vert="horz" wrap="square" lIns="91440" tIns="45720" rIns="91440" bIns="45720" anchor="t" anchorCtr="0"/>
                    </wps:wsp>
                  </a:graphicData>
                </a:graphic>
              </wp:anchor>
            </w:drawing>
          </mc:Choice>
          <mc:Fallback>
            <w:pict>
              <v:shape id="文本框 981" o:spid="_x0000_s1026" o:spt="202" type="#_x0000_t202" style="position:absolute;left:0pt;margin-left:-9pt;margin-top:0.95pt;height:63pt;width:61.05pt;z-index:251880448;mso-width-relative:page;mso-height-relative:page;" filled="f" stroked="f" coordsize="21600,21600" o:gfxdata="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0OyCjX&#10;AAAACQEAAA8AAAAAAAAAAQAgAAAAIgAAAGRycy9kb3ducmV2LnhtbFBLAQIUABQAAAAIAIdO4kBq&#10;nd3a6AEAAL4DAAAOAAAAAAAAAAEAIAAAACYBAABkcnMvZTJvRG9jLnhtbFBLBQYAAAAABgAGAFkB&#10;AACABQAAAAA=&#10;">
                <v:fill on="f" focussize="0,0"/>
                <v:stroke on="f" weight="1pt"/>
                <v:imagedata o:title=""/>
                <o:lock v:ext="edit" aspectratio="f"/>
                <v:textbox>
                  <w:txbxContent>
                    <w:p w14:paraId="51250C52">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优质优价费用计提与支付</w:t>
                      </w:r>
                    </w:p>
                  </w:txbxContent>
                </v:textbox>
              </v:shape>
            </w:pict>
          </mc:Fallback>
        </mc:AlternateContent>
      </w:r>
      <w:r>
        <w:rPr>
          <w:rFonts w:hint="eastAsia" w:ascii="仿宋" w:hAnsi="仿宋" w:eastAsia="仿宋" w:cs="仿宋"/>
          <w:sz w:val="24"/>
          <w:szCs w:val="24"/>
          <w:lang w:eastAsia="zh-CN"/>
        </w:rPr>
        <w:t>除专用条款另有约定外，工程质量的国家级质量奖、省级质量奖、市级质量奖、其他质量奖项的优质优价费用，按照招标发包工程的中标通知书日期（直接发包工程按合同签订日期）同时期执行的省、市有关的工程优质费计费标准计算。当合同工程同时获得上述多个奖项的，工程优质费只按最高奖项的额度计算。工程勘察设计及其他优质优价费用的计算标准在专用条款中约定，每一奖项只按最高奖项的额度计算。优质优价费用计入竣工结算文件中，与竣工结算款一并支付。在竣工结算后且在专用条款约定时间内获得优质奖项的，发包人应在获得奖项后的</w:t>
      </w:r>
      <w:r>
        <w:rPr>
          <w:rFonts w:ascii="仿宋" w:hAnsi="仿宋" w:eastAsia="仿宋" w:cs="仿宋"/>
          <w:sz w:val="24"/>
          <w:szCs w:val="24"/>
          <w:lang w:eastAsia="zh-CN"/>
        </w:rPr>
        <w:t>28</w:t>
      </w:r>
      <w:r>
        <w:rPr>
          <w:rFonts w:hint="eastAsia" w:ascii="仿宋" w:hAnsi="仿宋" w:eastAsia="仿宋" w:cs="仿宋"/>
          <w:sz w:val="24"/>
          <w:szCs w:val="24"/>
          <w:lang w:eastAsia="zh-CN"/>
        </w:rPr>
        <w:t>天内支付；超过约定时间后获得的，发包人有权不予支付。</w:t>
      </w:r>
    </w:p>
    <w:p w14:paraId="30B46B4E">
      <w:pPr>
        <w:pStyle w:val="22"/>
        <w:tabs>
          <w:tab w:val="left" w:pos="3480"/>
        </w:tabs>
        <w:adjustRightInd w:val="0"/>
        <w:snapToGrid w:val="0"/>
        <w:spacing w:line="400" w:lineRule="exact"/>
        <w:rPr>
          <w:rFonts w:ascii="仿宋" w:hAnsi="仿宋" w:eastAsia="仿宋" w:cs="仿宋"/>
          <w:b/>
          <w:bCs/>
          <w:sz w:val="24"/>
          <w:szCs w:val="24"/>
          <w:u w:val="single"/>
          <w:lang w:eastAsia="zh-CN"/>
        </w:rPr>
      </w:pPr>
      <w:r>
        <w:rPr>
          <w:rFonts w:ascii="仿宋" w:hAnsi="仿宋" w:eastAsia="仿宋" w:cs="仿宋"/>
          <w:b/>
          <w:bCs/>
          <w:sz w:val="24"/>
          <w:szCs w:val="24"/>
          <w:u w:val="single"/>
          <w:lang w:eastAsia="zh-CN"/>
        </w:rPr>
        <w:t xml:space="preserve">                                                                                     </w:t>
      </w:r>
    </w:p>
    <w:p w14:paraId="3D18BD47">
      <w:pPr>
        <w:pStyle w:val="4"/>
        <w:tabs>
          <w:tab w:val="left" w:pos="420"/>
        </w:tabs>
        <w:spacing w:before="0" w:after="0" w:line="400" w:lineRule="exact"/>
        <w:rPr>
          <w:rFonts w:ascii="仿宋" w:hAnsi="仿宋" w:eastAsia="仿宋" w:cs="仿宋"/>
          <w:bCs w:val="0"/>
          <w:sz w:val="24"/>
          <w:szCs w:val="24"/>
          <w:lang w:eastAsia="zh-CN"/>
        </w:rPr>
      </w:pPr>
      <w:bookmarkStart w:id="611" w:name="_Toc469384053"/>
      <w:bookmarkStart w:id="612" w:name="_Toc10809"/>
      <w:bookmarkStart w:id="613" w:name="_Toc19937"/>
      <w:bookmarkStart w:id="614" w:name="_Toc194073189"/>
      <w:bookmarkStart w:id="615" w:name="_Toc1163"/>
      <w:r>
        <w:rPr>
          <w:rFonts w:hint="eastAsia" w:ascii="仿宋" w:hAnsi="仿宋" w:eastAsia="仿宋" w:cs="仿宋"/>
          <w:bCs w:val="0"/>
          <w:sz w:val="24"/>
          <w:szCs w:val="24"/>
          <w:lang w:eastAsia="zh-CN"/>
        </w:rPr>
        <w:t>★78</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后继法律变化</w:t>
      </w:r>
      <w:bookmarkEnd w:id="611"/>
      <w:r>
        <w:rPr>
          <w:rFonts w:hint="eastAsia" w:ascii="仿宋" w:hAnsi="仿宋" w:eastAsia="仿宋" w:cs="仿宋"/>
          <w:bCs w:val="0"/>
          <w:sz w:val="24"/>
          <w:szCs w:val="24"/>
          <w:lang w:eastAsia="zh-CN"/>
        </w:rPr>
        <w:t>引起的价格调整</w:t>
      </w:r>
      <w:bookmarkEnd w:id="612"/>
      <w:bookmarkEnd w:id="613"/>
      <w:bookmarkEnd w:id="614"/>
      <w:bookmarkEnd w:id="615"/>
    </w:p>
    <w:p w14:paraId="78BDDD07">
      <w:pPr>
        <w:spacing w:line="400" w:lineRule="exact"/>
        <w:rPr>
          <w:rFonts w:ascii="仿宋" w:hAnsi="仿宋" w:eastAsia="仿宋" w:cs="仿宋"/>
          <w:b/>
          <w:bCs/>
          <w:lang w:eastAsia="zh-CN"/>
        </w:rPr>
      </w:pPr>
      <w:bookmarkStart w:id="616" w:name="_Toc24565"/>
      <w:r>
        <mc:AlternateContent>
          <mc:Choice Requires="wps">
            <w:drawing>
              <wp:anchor distT="0" distB="0" distL="114300" distR="114300" simplePos="0" relativeHeight="252059648" behindDoc="0" locked="0" layoutInCell="1" allowOverlap="1">
                <wp:simplePos x="0" y="0"/>
                <wp:positionH relativeFrom="column">
                  <wp:posOffset>-133350</wp:posOffset>
                </wp:positionH>
                <wp:positionV relativeFrom="paragraph">
                  <wp:posOffset>273685</wp:posOffset>
                </wp:positionV>
                <wp:extent cx="812800" cy="608330"/>
                <wp:effectExtent l="0" t="0" r="0" b="0"/>
                <wp:wrapNone/>
                <wp:docPr id="341" name="文本框 986"/>
                <wp:cNvGraphicFramePr/>
                <a:graphic xmlns:a="http://schemas.openxmlformats.org/drawingml/2006/main">
                  <a:graphicData uri="http://schemas.microsoft.com/office/word/2010/wordprocessingShape">
                    <wps:wsp>
                      <wps:cNvSpPr txBox="1"/>
                      <wps:spPr>
                        <a:xfrm>
                          <a:off x="0" y="0"/>
                          <a:ext cx="812800" cy="608330"/>
                        </a:xfrm>
                        <a:prstGeom prst="rect">
                          <a:avLst/>
                        </a:prstGeom>
                        <a:noFill/>
                        <a:ln w="12700">
                          <a:noFill/>
                        </a:ln>
                      </wps:spPr>
                      <wps:txbx>
                        <w:txbxContent>
                          <w:p w14:paraId="286789DD">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后继法律变化的价款调整</w:t>
                            </w:r>
                          </w:p>
                        </w:txbxContent>
                      </wps:txbx>
                      <wps:bodyPr rot="0" vert="horz" wrap="square" lIns="91440" tIns="45720" rIns="91440" bIns="45720" anchor="t" anchorCtr="0"/>
                    </wps:wsp>
                  </a:graphicData>
                </a:graphic>
              </wp:anchor>
            </w:drawing>
          </mc:Choice>
          <mc:Fallback>
            <w:pict>
              <v:shape id="文本框 986" o:spid="_x0000_s1026" o:spt="202" type="#_x0000_t202" style="position:absolute;left:0pt;margin-left:-10.5pt;margin-top:21.55pt;height:47.9pt;width:64pt;z-index:252059648;mso-width-relative:page;mso-height-relative:page;" filled="f" stroked="f" coordsize="21600,21600" o:gfxdata="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n2jZ&#10;RdgAAAAKAQAADwAAAAAAAAABACAAAAAiAAAAZHJzL2Rvd25yZXYueG1sUEsBAhQAFAAAAAgAh07i&#10;QEvG1qDpAQAAvgMAAA4AAAAAAAAAAQAgAAAAJwEAAGRycy9lMm9Eb2MueG1sUEsFBgAAAAAGAAYA&#10;WQEAAIIFAAAAAA==&#10;">
                <v:fill on="f" focussize="0,0"/>
                <v:stroke on="f" weight="1pt"/>
                <v:imagedata o:title=""/>
                <o:lock v:ext="edit" aspectratio="f"/>
                <v:textbox>
                  <w:txbxContent>
                    <w:p w14:paraId="286789DD">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后继法律变化的价款调整</w:t>
                      </w:r>
                    </w:p>
                  </w:txbxContent>
                </v:textbox>
              </v:shape>
            </w:pict>
          </mc:Fallback>
        </mc:AlternateContent>
      </w:r>
      <w:r>
        <w:rPr>
          <w:rFonts w:hint="eastAsia" w:ascii="仿宋" w:hAnsi="仿宋" w:eastAsia="仿宋" w:cs="仿宋"/>
          <w:b/>
          <w:bCs/>
          <w:lang w:eastAsia="zh-CN"/>
        </w:rPr>
        <w:t>78</w:t>
      </w:r>
      <w:r>
        <w:rPr>
          <w:rFonts w:ascii="仿宋" w:hAnsi="仿宋" w:eastAsia="仿宋" w:cs="仿宋"/>
          <w:b/>
          <w:bCs/>
          <w:lang w:eastAsia="zh-CN"/>
        </w:rPr>
        <w:t>.1</w:t>
      </w:r>
      <w:bookmarkEnd w:id="616"/>
    </w:p>
    <w:p w14:paraId="391B8FDD">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合同履行期间，出现国家或省颁布的法律和政策在合同工程基准日期后发生变化，且因执行上述法律和政策引起除第82条约定以外的合同价格增减事项的，合同双方当事人应调整合同价格。</w:t>
      </w:r>
    </w:p>
    <w:p w14:paraId="50BF152D">
      <w:pPr>
        <w:spacing w:line="400" w:lineRule="exact"/>
        <w:rPr>
          <w:rFonts w:ascii="仿宋" w:hAnsi="仿宋" w:eastAsia="仿宋" w:cs="仿宋"/>
          <w:b/>
          <w:bCs/>
          <w:u w:val="dotted"/>
          <w:lang w:eastAsia="zh-CN"/>
        </w:rPr>
      </w:pPr>
      <w:bookmarkStart w:id="617" w:name="_Toc8596"/>
      <w:r>
        <w:rPr>
          <w:rFonts w:hint="eastAsia" w:ascii="仿宋" w:hAnsi="仿宋" w:eastAsia="仿宋" w:cs="仿宋"/>
          <w:b/>
          <w:bCs/>
          <w:lang w:eastAsia="zh-CN"/>
        </w:rPr>
        <w:t>78</w:t>
      </w:r>
      <w:r>
        <w:rPr>
          <w:rFonts w:ascii="仿宋" w:hAnsi="仿宋" w:eastAsia="仿宋" w:cs="仿宋"/>
          <w:b/>
          <w:bCs/>
          <w:lang w:eastAsia="zh-CN"/>
        </w:rPr>
        <w:t>.2</w:t>
      </w:r>
      <w:bookmarkEnd w:id="617"/>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5531FB4A">
      <w:pPr>
        <w:pStyle w:val="22"/>
        <w:widowControl w:val="0"/>
        <w:adjustRightInd w:val="0"/>
        <w:snapToGrid w:val="0"/>
        <w:spacing w:line="400" w:lineRule="exact"/>
        <w:ind w:left="1850" w:leftChars="771"/>
        <w:jc w:val="both"/>
        <w:rPr>
          <w:rFonts w:ascii="仿宋" w:hAnsi="仿宋" w:eastAsia="仿宋"/>
          <w:sz w:val="24"/>
          <w:szCs w:val="24"/>
          <w:lang w:eastAsia="zh-CN"/>
        </w:rPr>
      </w:pPr>
      <w:r>
        <mc:AlternateContent>
          <mc:Choice Requires="wps">
            <w:drawing>
              <wp:anchor distT="0" distB="0" distL="114300" distR="114300" simplePos="0" relativeHeight="251881472" behindDoc="0" locked="0" layoutInCell="1" allowOverlap="1">
                <wp:simplePos x="0" y="0"/>
                <wp:positionH relativeFrom="column">
                  <wp:posOffset>-114300</wp:posOffset>
                </wp:positionH>
                <wp:positionV relativeFrom="paragraph">
                  <wp:posOffset>15875</wp:posOffset>
                </wp:positionV>
                <wp:extent cx="775970" cy="417830"/>
                <wp:effectExtent l="0" t="0" r="0" b="0"/>
                <wp:wrapNone/>
                <wp:docPr id="342" name="文本框 987"/>
                <wp:cNvGraphicFramePr/>
                <a:graphic xmlns:a="http://schemas.openxmlformats.org/drawingml/2006/main">
                  <a:graphicData uri="http://schemas.microsoft.com/office/word/2010/wordprocessingShape">
                    <wps:wsp>
                      <wps:cNvSpPr txBox="1"/>
                      <wps:spPr>
                        <a:xfrm>
                          <a:off x="0" y="0"/>
                          <a:ext cx="775970" cy="417830"/>
                        </a:xfrm>
                        <a:prstGeom prst="rect">
                          <a:avLst/>
                        </a:prstGeom>
                        <a:noFill/>
                        <a:ln w="12700">
                          <a:noFill/>
                        </a:ln>
                      </wps:spPr>
                      <wps:txbx>
                        <w:txbxContent>
                          <w:p w14:paraId="00DD3C2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wps:txbx>
                      <wps:bodyPr rot="0" vert="horz" wrap="square" lIns="91440" tIns="45720" rIns="91440" bIns="45720" anchor="t" anchorCtr="0"/>
                    </wps:wsp>
                  </a:graphicData>
                </a:graphic>
              </wp:anchor>
            </w:drawing>
          </mc:Choice>
          <mc:Fallback>
            <w:pict>
              <v:shape id="文本框 987" o:spid="_x0000_s1026" o:spt="202" type="#_x0000_t202" style="position:absolute;left:0pt;margin-left:-9pt;margin-top:1.25pt;height:32.9pt;width:61.1pt;z-index:251881472;mso-width-relative:page;mso-height-relative:page;" filled="f" stroked="f" coordsize="21600,21600" o:gfxdata="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c&#10;np+s1wAAAAgBAAAPAAAAAAAAAAEAIAAAACIAAABkcnMvZG93bnJldi54bWxQSwECFAAUAAAACACH&#10;TuJAWnHv6ewBAAC+AwAADgAAAAAAAAABACAAAAAmAQAAZHJzL2Uyb0RvYy54bWxQSwUGAAAAAAYA&#10;BgBZAQAAhAUAAAAA&#10;">
                <v:fill on="f" focussize="0,0"/>
                <v:stroke on="f" weight="1pt"/>
                <v:imagedata o:title=""/>
                <o:lock v:ext="edit" aspectratio="f"/>
                <v:textbox>
                  <w:txbxContent>
                    <w:p w14:paraId="00DD3C2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v:textbox>
              </v:shape>
            </w:pict>
          </mc:Fallback>
        </mc:AlternateContent>
      </w:r>
      <w:r>
        <w:rPr>
          <w:rFonts w:hint="eastAsia" w:ascii="仿宋" w:hAnsi="仿宋" w:eastAsia="仿宋" w:cs="仿宋"/>
          <w:sz w:val="24"/>
          <w:szCs w:val="24"/>
          <w:lang w:eastAsia="zh-CN"/>
        </w:rPr>
        <w:t>发生第78</w:t>
      </w:r>
      <w:r>
        <w:rPr>
          <w:rFonts w:ascii="仿宋" w:hAnsi="仿宋" w:eastAsia="仿宋" w:cs="仿宋"/>
          <w:sz w:val="24"/>
          <w:szCs w:val="24"/>
          <w:lang w:eastAsia="zh-CN"/>
        </w:rPr>
        <w:t>.1</w:t>
      </w:r>
      <w:r>
        <w:rPr>
          <w:rFonts w:hint="eastAsia" w:ascii="仿宋" w:hAnsi="仿宋" w:eastAsia="仿宋" w:cs="仿宋"/>
          <w:sz w:val="24"/>
          <w:szCs w:val="24"/>
          <w:lang w:eastAsia="zh-CN"/>
        </w:rPr>
        <w:t>款情况的，应根据合同工程实际情况，按照上述法律和政策规定计算调整的合同价格。</w:t>
      </w:r>
    </w:p>
    <w:p w14:paraId="4BF28640">
      <w:pPr>
        <w:tabs>
          <w:tab w:val="left" w:pos="1620"/>
        </w:tabs>
        <w:spacing w:line="400" w:lineRule="exact"/>
        <w:rPr>
          <w:rFonts w:ascii="仿宋" w:hAnsi="仿宋" w:eastAsia="仿宋"/>
          <w:b/>
          <w:bCs/>
          <w:u w:val="single"/>
          <w:lang w:eastAsia="zh-CN"/>
        </w:rPr>
      </w:pPr>
      <w:r>
        <w:rPr>
          <w:rFonts w:ascii="仿宋" w:hAnsi="仿宋" w:eastAsia="仿宋" w:cs="仿宋"/>
          <w:b/>
          <w:bCs/>
          <w:u w:val="single"/>
          <w:lang w:eastAsia="zh-CN"/>
        </w:rPr>
        <w:t xml:space="preserve">                                                                                     </w:t>
      </w:r>
    </w:p>
    <w:p w14:paraId="793C0D68">
      <w:pPr>
        <w:pStyle w:val="4"/>
        <w:tabs>
          <w:tab w:val="left" w:pos="420"/>
        </w:tabs>
        <w:spacing w:before="0" w:after="0" w:line="400" w:lineRule="exact"/>
        <w:rPr>
          <w:rFonts w:ascii="仿宋" w:hAnsi="仿宋" w:eastAsia="仿宋" w:cs="仿宋"/>
          <w:bCs w:val="0"/>
          <w:sz w:val="24"/>
          <w:szCs w:val="24"/>
          <w:lang w:eastAsia="zh-CN"/>
        </w:rPr>
      </w:pPr>
      <w:bookmarkStart w:id="618" w:name="_Toc9565"/>
      <w:bookmarkStart w:id="619" w:name="_Toc26540"/>
      <w:bookmarkStart w:id="620" w:name="_Toc194073190"/>
      <w:bookmarkStart w:id="621" w:name="_Toc22664"/>
      <w:r>
        <w:rPr>
          <w:rFonts w:hint="eastAsia" w:ascii="仿宋" w:hAnsi="仿宋" w:eastAsia="仿宋" w:cs="仿宋"/>
          <w:bCs w:val="0"/>
          <w:sz w:val="24"/>
          <w:szCs w:val="24"/>
          <w:lang w:eastAsia="zh-CN"/>
        </w:rPr>
        <w:t>★79</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 xml:space="preserve"> 可调价变更定价</w:t>
      </w:r>
      <w:bookmarkEnd w:id="618"/>
      <w:bookmarkEnd w:id="619"/>
      <w:bookmarkEnd w:id="620"/>
      <w:bookmarkEnd w:id="621"/>
    </w:p>
    <w:p w14:paraId="5E69C97A">
      <w:pPr>
        <w:pStyle w:val="22"/>
        <w:adjustRightInd w:val="0"/>
        <w:snapToGrid w:val="0"/>
        <w:spacing w:line="400" w:lineRule="exact"/>
        <w:rPr>
          <w:rFonts w:ascii="仿宋" w:hAnsi="仿宋" w:eastAsia="仿宋" w:cs="仿宋"/>
          <w:b/>
          <w:bCs/>
          <w:sz w:val="24"/>
          <w:szCs w:val="24"/>
          <w:lang w:eastAsia="zh-CN"/>
        </w:rPr>
      </w:pPr>
      <w:r>
        <mc:AlternateContent>
          <mc:Choice Requires="wps">
            <w:drawing>
              <wp:anchor distT="0" distB="0" distL="114300" distR="114300" simplePos="0" relativeHeight="252111872" behindDoc="0" locked="0" layoutInCell="1" allowOverlap="1">
                <wp:simplePos x="0" y="0"/>
                <wp:positionH relativeFrom="column">
                  <wp:posOffset>-133350</wp:posOffset>
                </wp:positionH>
                <wp:positionV relativeFrom="paragraph">
                  <wp:posOffset>266065</wp:posOffset>
                </wp:positionV>
                <wp:extent cx="781050" cy="482600"/>
                <wp:effectExtent l="0" t="0" r="0" b="0"/>
                <wp:wrapNone/>
                <wp:docPr id="343" name="文本框 995"/>
                <wp:cNvGraphicFramePr/>
                <a:graphic xmlns:a="http://schemas.openxmlformats.org/drawingml/2006/main">
                  <a:graphicData uri="http://schemas.microsoft.com/office/word/2010/wordprocessingShape">
                    <wps:wsp>
                      <wps:cNvSpPr txBox="1"/>
                      <wps:spPr>
                        <a:xfrm>
                          <a:off x="0" y="0"/>
                          <a:ext cx="781050" cy="482600"/>
                        </a:xfrm>
                        <a:prstGeom prst="rect">
                          <a:avLst/>
                        </a:prstGeom>
                        <a:noFill/>
                        <a:ln w="12700">
                          <a:noFill/>
                        </a:ln>
                      </wps:spPr>
                      <wps:txbx>
                        <w:txbxContent>
                          <w:p w14:paraId="43BCD444">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可调价工程变更的价款调整</w:t>
                            </w:r>
                          </w:p>
                        </w:txbxContent>
                      </wps:txbx>
                      <wps:bodyPr rot="0" vert="horz" wrap="square" lIns="91440" tIns="45720" rIns="91440" bIns="45720" anchor="t" anchorCtr="0"/>
                    </wps:wsp>
                  </a:graphicData>
                </a:graphic>
              </wp:anchor>
            </w:drawing>
          </mc:Choice>
          <mc:Fallback>
            <w:pict>
              <v:shape id="文本框 995" o:spid="_x0000_s1026" o:spt="202" type="#_x0000_t202" style="position:absolute;left:0pt;margin-left:-10.5pt;margin-top:20.95pt;height:38pt;width:61.5pt;z-index:252111872;mso-width-relative:page;mso-height-relative:page;" filled="f" stroked="f" coordsize="21600,21600" o:gfxdata="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fIt&#10;9dcAAAAKAQAADwAAAAAAAAABACAAAAAiAAAAZHJzL2Rvd25yZXYueG1sUEsBAhQAFAAAAAgAh07i&#10;QMDgfBPqAQAAvgMAAA4AAAAAAAAAAQAgAAAAJgEAAGRycy9lMm9Eb2MueG1sUEsFBgAAAAAGAAYA&#10;WQEAAIIFAAAAAA==&#10;">
                <v:fill on="f" focussize="0,0"/>
                <v:stroke on="f" weight="1pt"/>
                <v:imagedata o:title=""/>
                <o:lock v:ext="edit" aspectratio="f"/>
                <v:textbox>
                  <w:txbxContent>
                    <w:p w14:paraId="43BCD444">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可调价工程变更的价款调整</w:t>
                      </w:r>
                    </w:p>
                  </w:txbxContent>
                </v:textbox>
              </v:shape>
            </w:pict>
          </mc:Fallback>
        </mc:AlternateContent>
      </w:r>
      <w:r>
        <w:rPr>
          <w:rFonts w:hint="eastAsia" w:ascii="仿宋" w:hAnsi="仿宋" w:eastAsia="仿宋" w:cs="仿宋"/>
          <w:b/>
          <w:bCs/>
          <w:sz w:val="24"/>
          <w:szCs w:val="24"/>
          <w:lang w:eastAsia="zh-CN"/>
        </w:rPr>
        <w:t>79</w:t>
      </w:r>
      <w:r>
        <w:rPr>
          <w:rFonts w:ascii="仿宋" w:hAnsi="仿宋" w:eastAsia="仿宋" w:cs="仿宋"/>
          <w:b/>
          <w:bCs/>
          <w:sz w:val="24"/>
          <w:szCs w:val="24"/>
          <w:lang w:eastAsia="zh-CN"/>
        </w:rPr>
        <w:t>.1</w:t>
      </w:r>
    </w:p>
    <w:p w14:paraId="6F08E193">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合同履行期间，出现第63条工程变更事项且符合第69.3款可调价条件的，合同双方当事人应调整合同价格。</w:t>
      </w:r>
    </w:p>
    <w:p w14:paraId="40F2311E">
      <w:pPr>
        <w:spacing w:line="400" w:lineRule="exact"/>
        <w:rPr>
          <w:rFonts w:ascii="仿宋" w:hAnsi="仿宋" w:eastAsia="仿宋" w:cs="仿宋"/>
          <w:b/>
          <w:bCs/>
          <w:lang w:eastAsia="zh-CN"/>
        </w:rPr>
      </w:pPr>
      <w:bookmarkStart w:id="622" w:name="_Toc18705"/>
      <w:r>
        <mc:AlternateContent>
          <mc:Choice Requires="wps">
            <w:drawing>
              <wp:anchor distT="0" distB="0" distL="114300" distR="114300" simplePos="0" relativeHeight="252110848" behindDoc="0" locked="0" layoutInCell="1" allowOverlap="1">
                <wp:simplePos x="0" y="0"/>
                <wp:positionH relativeFrom="column">
                  <wp:posOffset>-114300</wp:posOffset>
                </wp:positionH>
                <wp:positionV relativeFrom="paragraph">
                  <wp:posOffset>302895</wp:posOffset>
                </wp:positionV>
                <wp:extent cx="823595" cy="750570"/>
                <wp:effectExtent l="0" t="0" r="0" b="0"/>
                <wp:wrapNone/>
                <wp:docPr id="344" name="文本框 1328"/>
                <wp:cNvGraphicFramePr/>
                <a:graphic xmlns:a="http://schemas.openxmlformats.org/drawingml/2006/main">
                  <a:graphicData uri="http://schemas.microsoft.com/office/word/2010/wordprocessingShape">
                    <wps:wsp>
                      <wps:cNvSpPr txBox="1"/>
                      <wps:spPr>
                        <a:xfrm>
                          <a:off x="0" y="0"/>
                          <a:ext cx="823595" cy="750570"/>
                        </a:xfrm>
                        <a:prstGeom prst="rect">
                          <a:avLst/>
                        </a:prstGeom>
                        <a:noFill/>
                        <a:ln w="12700">
                          <a:noFill/>
                        </a:ln>
                      </wps:spPr>
                      <wps:txbx>
                        <w:txbxContent>
                          <w:p w14:paraId="64E0AA2D">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可调价变更工作项目的定价</w:t>
                            </w:r>
                          </w:p>
                        </w:txbxContent>
                      </wps:txbx>
                      <wps:bodyPr rot="0" vert="horz" wrap="square" lIns="91440" tIns="45720" rIns="91440" bIns="45720" anchor="t" anchorCtr="0"/>
                    </wps:wsp>
                  </a:graphicData>
                </a:graphic>
              </wp:anchor>
            </w:drawing>
          </mc:Choice>
          <mc:Fallback>
            <w:pict>
              <v:shape id="文本框 1328" o:spid="_x0000_s1026" o:spt="202" type="#_x0000_t202" style="position:absolute;left:0pt;margin-left:-9pt;margin-top:23.85pt;height:59.1pt;width:64.85pt;z-index:252110848;mso-width-relative:page;mso-height-relative:page;" filled="f" stroked="f" coordsize="21600,21600" o:gfxdata="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4/D202AAAAAoBAAAPAAAAAAAAAAEAIAAAACIAAABkcnMvZG93bnJldi54bWxQSwECFAAUAAAA&#10;CACHTuJAjWmhEu4BAAC/AwAADgAAAAAAAAABACAAAAAnAQAAZHJzL2Uyb0RvYy54bWxQSwUGAAAA&#10;AAYABgBZAQAAhwUAAAAA&#10;">
                <v:fill on="f" focussize="0,0"/>
                <v:stroke on="f" weight="1pt"/>
                <v:imagedata o:title=""/>
                <o:lock v:ext="edit" aspectratio="f"/>
                <v:textbox>
                  <w:txbxContent>
                    <w:p w14:paraId="64E0AA2D">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可调价变更工作项目的定价</w:t>
                      </w:r>
                    </w:p>
                  </w:txbxContent>
                </v:textbox>
              </v:shape>
            </w:pict>
          </mc:Fallback>
        </mc:AlternateContent>
      </w:r>
      <w:r>
        <w:rPr>
          <w:rFonts w:hint="eastAsia" w:ascii="仿宋" w:hAnsi="仿宋" w:eastAsia="仿宋" w:cs="仿宋"/>
          <w:b/>
          <w:bCs/>
          <w:lang w:eastAsia="zh-CN"/>
        </w:rPr>
        <w:t>79.2</w:t>
      </w:r>
      <w:bookmarkEnd w:id="622"/>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064F5540">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除专用条款另有约定外，非承包人原因，工程勘察、工程设计、BIM技术应用、设备及工器具购置等总承包工作内容发生变更，其增加或减少的工作项目单价按下列方法确定：</w:t>
      </w:r>
    </w:p>
    <w:p w14:paraId="5470EC9D">
      <w:pPr>
        <w:pStyle w:val="22"/>
        <w:widowControl w:val="0"/>
        <w:numPr>
          <w:ilvl w:val="1"/>
          <w:numId w:val="26"/>
        </w:numPr>
        <w:tabs>
          <w:tab w:val="clear" w:pos="3285"/>
        </w:tabs>
        <w:adjustRightInd w:val="0"/>
        <w:snapToGrid w:val="0"/>
        <w:spacing w:line="400" w:lineRule="exact"/>
        <w:ind w:left="1850" w:leftChars="771" w:firstLine="0"/>
        <w:jc w:val="both"/>
        <w:rPr>
          <w:rFonts w:ascii="仿宋" w:hAnsi="仿宋" w:eastAsia="仿宋" w:cs="仿宋"/>
          <w:sz w:val="24"/>
          <w:szCs w:val="24"/>
          <w:lang w:eastAsia="zh-CN"/>
        </w:rPr>
      </w:pPr>
      <w:r>
        <w:rPr>
          <w:rFonts w:hint="eastAsia" w:ascii="仿宋" w:hAnsi="仿宋" w:eastAsia="仿宋" w:cs="仿宋"/>
          <w:sz w:val="24"/>
          <w:szCs w:val="24"/>
          <w:lang w:eastAsia="zh-CN"/>
        </w:rPr>
        <w:t>合同价格清单中已有相同清单项目的，按照相同清单项目的单价确定</w:t>
      </w:r>
      <w:r>
        <w:rPr>
          <w:rFonts w:ascii="仿宋" w:hAnsi="仿宋" w:eastAsia="仿宋" w:cs="仿宋"/>
          <w:sz w:val="24"/>
          <w:szCs w:val="24"/>
          <w:lang w:eastAsia="zh-CN"/>
        </w:rPr>
        <w:t>;</w:t>
      </w:r>
    </w:p>
    <w:p w14:paraId="53CE2B38">
      <w:pPr>
        <w:pStyle w:val="22"/>
        <w:widowControl w:val="0"/>
        <w:numPr>
          <w:ilvl w:val="1"/>
          <w:numId w:val="26"/>
        </w:numPr>
        <w:tabs>
          <w:tab w:val="clear" w:pos="3285"/>
        </w:tabs>
        <w:adjustRightInd w:val="0"/>
        <w:snapToGrid w:val="0"/>
        <w:spacing w:line="400" w:lineRule="exact"/>
        <w:ind w:left="1850" w:leftChars="771" w:firstLine="0"/>
        <w:jc w:val="both"/>
        <w:rPr>
          <w:rFonts w:ascii="仿宋" w:hAnsi="仿宋" w:eastAsia="仿宋" w:cs="仿宋"/>
          <w:sz w:val="24"/>
          <w:szCs w:val="24"/>
          <w:lang w:eastAsia="zh-CN"/>
        </w:rPr>
      </w:pPr>
      <w:r>
        <w:rPr>
          <w:rFonts w:hint="eastAsia" w:ascii="仿宋" w:hAnsi="仿宋" w:eastAsia="仿宋" w:cs="仿宋"/>
          <w:sz w:val="24"/>
          <w:szCs w:val="24"/>
          <w:lang w:eastAsia="zh-CN"/>
        </w:rPr>
        <w:t>合同价格清单中没有相同、只有类似清单项目的，参照类似清单项目的单价调整确定</w:t>
      </w:r>
      <w:r>
        <w:rPr>
          <w:rFonts w:ascii="仿宋" w:hAnsi="仿宋" w:eastAsia="仿宋" w:cs="仿宋"/>
          <w:sz w:val="24"/>
          <w:szCs w:val="24"/>
          <w:lang w:eastAsia="zh-CN"/>
        </w:rPr>
        <w:t>;</w:t>
      </w:r>
    </w:p>
    <w:p w14:paraId="4DC5C65F">
      <w:pPr>
        <w:pStyle w:val="22"/>
        <w:widowControl w:val="0"/>
        <w:numPr>
          <w:ilvl w:val="1"/>
          <w:numId w:val="26"/>
        </w:numPr>
        <w:tabs>
          <w:tab w:val="clear" w:pos="3285"/>
        </w:tabs>
        <w:adjustRightInd w:val="0"/>
        <w:snapToGrid w:val="0"/>
        <w:spacing w:line="400" w:lineRule="exact"/>
        <w:ind w:left="1850" w:leftChars="771" w:firstLine="0"/>
        <w:jc w:val="both"/>
        <w:rPr>
          <w:rFonts w:ascii="仿宋" w:hAnsi="仿宋" w:eastAsia="仿宋" w:cs="仿宋"/>
          <w:sz w:val="24"/>
          <w:szCs w:val="24"/>
          <w:lang w:eastAsia="zh-CN"/>
        </w:rPr>
      </w:pPr>
      <w:r>
        <w:rPr>
          <w:rFonts w:hint="eastAsia" w:ascii="仿宋" w:hAnsi="仿宋" w:eastAsia="仿宋" w:cs="仿宋"/>
          <w:sz w:val="24"/>
          <w:szCs w:val="24"/>
          <w:lang w:eastAsia="zh-CN"/>
        </w:rPr>
        <w:t>合同价格清单中没有相同也没有类似清单项目的，其计价依据、计量规则和计价办法、由合同双方当事人在专用条款中约定。可调价变更工作项目应包含合理的利润，专用条款约定的计价依据、计价办法中不含利润的，可按通用条款约定的利润率计算利润；</w:t>
      </w:r>
    </w:p>
    <w:p w14:paraId="78C599BB">
      <w:pPr>
        <w:pStyle w:val="22"/>
        <w:widowControl w:val="0"/>
        <w:numPr>
          <w:ilvl w:val="1"/>
          <w:numId w:val="26"/>
        </w:numPr>
        <w:tabs>
          <w:tab w:val="clear" w:pos="3285"/>
        </w:tabs>
        <w:adjustRightInd w:val="0"/>
        <w:snapToGrid w:val="0"/>
        <w:spacing w:line="400" w:lineRule="exact"/>
        <w:ind w:left="1850" w:leftChars="771" w:firstLine="0"/>
        <w:jc w:val="both"/>
        <w:rPr>
          <w:rFonts w:ascii="仿宋" w:hAnsi="仿宋" w:eastAsia="仿宋" w:cs="仿宋"/>
          <w:sz w:val="24"/>
          <w:szCs w:val="24"/>
          <w:lang w:eastAsia="zh-CN"/>
        </w:rPr>
      </w:pPr>
      <w:r>
        <w:rPr>
          <w:rFonts w:hint="eastAsia" w:ascii="仿宋" w:hAnsi="仿宋" w:eastAsia="仿宋" w:cs="仿宋"/>
          <w:sz w:val="24"/>
          <w:szCs w:val="24"/>
          <w:lang w:eastAsia="zh-CN"/>
        </w:rPr>
        <w:t>关于“类似清单项目”的认定原则在合同专用条款中约定。</w:t>
      </w:r>
    </w:p>
    <w:p w14:paraId="4F244163">
      <w:pPr>
        <w:spacing w:line="400" w:lineRule="exact"/>
        <w:rPr>
          <w:rFonts w:ascii="仿宋" w:hAnsi="仿宋" w:eastAsia="仿宋" w:cs="仿宋"/>
          <w:b/>
          <w:bCs/>
          <w:lang w:eastAsia="zh-CN"/>
        </w:rPr>
      </w:pPr>
      <w:bookmarkStart w:id="623" w:name="_Toc11960"/>
      <w:r>
        <w:rPr>
          <w:rFonts w:hint="eastAsia" w:ascii="仿宋" w:hAnsi="仿宋" w:eastAsia="仿宋" w:cs="仿宋"/>
          <w:b/>
          <w:bCs/>
          <w:lang w:eastAsia="zh-CN"/>
        </w:rPr>
        <w:t>79.3</w:t>
      </w:r>
      <w:bookmarkEnd w:id="623"/>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396294E7">
      <w:pPr>
        <w:pStyle w:val="22"/>
        <w:widowControl w:val="0"/>
        <w:adjustRightInd w:val="0"/>
        <w:snapToGrid w:val="0"/>
        <w:spacing w:line="400" w:lineRule="exact"/>
        <w:ind w:left="1850" w:leftChars="771"/>
        <w:jc w:val="both"/>
        <w:rPr>
          <w:rFonts w:ascii="仿宋" w:hAnsi="仿宋" w:eastAsia="仿宋"/>
          <w:sz w:val="24"/>
          <w:szCs w:val="24"/>
          <w:lang w:eastAsia="zh-CN"/>
        </w:rPr>
      </w:pPr>
      <w:r>
        <mc:AlternateContent>
          <mc:Choice Requires="wps">
            <w:drawing>
              <wp:anchor distT="0" distB="0" distL="114300" distR="114300" simplePos="0" relativeHeight="251882496" behindDoc="0" locked="0" layoutInCell="1" allowOverlap="1">
                <wp:simplePos x="0" y="0"/>
                <wp:positionH relativeFrom="column">
                  <wp:posOffset>-114300</wp:posOffset>
                </wp:positionH>
                <wp:positionV relativeFrom="paragraph">
                  <wp:posOffset>6350</wp:posOffset>
                </wp:positionV>
                <wp:extent cx="831850" cy="563245"/>
                <wp:effectExtent l="0" t="0" r="0" b="0"/>
                <wp:wrapNone/>
                <wp:docPr id="345" name="文本框 996"/>
                <wp:cNvGraphicFramePr/>
                <a:graphic xmlns:a="http://schemas.openxmlformats.org/drawingml/2006/main">
                  <a:graphicData uri="http://schemas.microsoft.com/office/word/2010/wordprocessingShape">
                    <wps:wsp>
                      <wps:cNvSpPr txBox="1"/>
                      <wps:spPr>
                        <a:xfrm>
                          <a:off x="0" y="0"/>
                          <a:ext cx="831850" cy="563245"/>
                        </a:xfrm>
                        <a:prstGeom prst="rect">
                          <a:avLst/>
                        </a:prstGeom>
                        <a:noFill/>
                        <a:ln w="12700">
                          <a:noFill/>
                        </a:ln>
                      </wps:spPr>
                      <wps:txbx>
                        <w:txbxContent>
                          <w:p w14:paraId="01CA8866">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可调价变更实体项目的定价</w:t>
                            </w:r>
                          </w:p>
                        </w:txbxContent>
                      </wps:txbx>
                      <wps:bodyPr rot="0" vert="horz" wrap="square" lIns="91440" tIns="45720" rIns="91440" bIns="45720" anchor="t" anchorCtr="0"/>
                    </wps:wsp>
                  </a:graphicData>
                </a:graphic>
              </wp:anchor>
            </w:drawing>
          </mc:Choice>
          <mc:Fallback>
            <w:pict>
              <v:shape id="文本框 996" o:spid="_x0000_s1026" o:spt="202" type="#_x0000_t202" style="position:absolute;left:0pt;margin-left:-9pt;margin-top:0.5pt;height:44.35pt;width:65.5pt;z-index:251882496;mso-width-relative:page;mso-height-relative:page;" filled="f" stroked="f" coordsize="21600,21600" o:gfxdata="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fCwi+&#10;1gAAAAgBAAAPAAAAAAAAAAEAIAAAACIAAABkcnMvZG93bnJldi54bWxQSwECFAAUAAAACACHTuJA&#10;sm47Y+oBAAC+AwAADgAAAAAAAAABACAAAAAlAQAAZHJzL2Uyb0RvYy54bWxQSwUGAAAAAAYABgBZ&#10;AQAAgQUAAAAA&#10;">
                <v:fill on="f" focussize="0,0"/>
                <v:stroke on="f" weight="1pt"/>
                <v:imagedata o:title=""/>
                <o:lock v:ext="edit" aspectratio="f"/>
                <v:textbox>
                  <w:txbxContent>
                    <w:p w14:paraId="01CA8866">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可调价变更实体项目的定价</w:t>
                      </w:r>
                    </w:p>
                  </w:txbxContent>
                </v:textbox>
              </v:shape>
            </w:pict>
          </mc:Fallback>
        </mc:AlternateContent>
      </w:r>
      <w:r>
        <w:rPr>
          <w:rFonts w:hint="eastAsia" w:ascii="仿宋" w:hAnsi="仿宋" w:eastAsia="仿宋" w:cs="仿宋"/>
          <w:sz w:val="24"/>
          <w:szCs w:val="24"/>
          <w:lang w:eastAsia="zh-CN"/>
        </w:rPr>
        <w:t>除专用条款另有约定外，符合第69.3款约定可调价条件的实体项目变更，其增加或减少的实体项目单价按下列方法确定：</w:t>
      </w:r>
    </w:p>
    <w:p w14:paraId="28143E74">
      <w:pPr>
        <w:pStyle w:val="22"/>
        <w:widowControl w:val="0"/>
        <w:numPr>
          <w:ilvl w:val="1"/>
          <w:numId w:val="27"/>
        </w:numPr>
        <w:tabs>
          <w:tab w:val="clear" w:pos="3285"/>
        </w:tabs>
        <w:adjustRightInd w:val="0"/>
        <w:snapToGrid w:val="0"/>
        <w:spacing w:line="400" w:lineRule="exact"/>
        <w:ind w:left="1850" w:leftChars="771" w:firstLine="0"/>
        <w:jc w:val="both"/>
        <w:rPr>
          <w:rFonts w:ascii="仿宋" w:hAnsi="仿宋" w:eastAsia="仿宋" w:cs="仿宋"/>
          <w:sz w:val="24"/>
          <w:szCs w:val="24"/>
          <w:lang w:eastAsia="zh-CN"/>
        </w:rPr>
      </w:pPr>
      <w:r>
        <w:rPr>
          <w:rFonts w:hint="eastAsia" w:ascii="仿宋" w:hAnsi="仿宋" w:eastAsia="仿宋" w:cs="仿宋"/>
          <w:sz w:val="24"/>
          <w:szCs w:val="24"/>
          <w:lang w:eastAsia="zh-CN"/>
        </w:rPr>
        <w:t>合同价格清单中已有相同清单项目的，按照相同清单项目的单价确定</w:t>
      </w:r>
      <w:r>
        <w:rPr>
          <w:rFonts w:ascii="仿宋" w:hAnsi="仿宋" w:eastAsia="仿宋" w:cs="仿宋"/>
          <w:sz w:val="24"/>
          <w:szCs w:val="24"/>
          <w:lang w:eastAsia="zh-CN"/>
        </w:rPr>
        <w:t>;</w:t>
      </w:r>
    </w:p>
    <w:p w14:paraId="4273D1C4">
      <w:pPr>
        <w:pStyle w:val="22"/>
        <w:widowControl w:val="0"/>
        <w:numPr>
          <w:ilvl w:val="1"/>
          <w:numId w:val="27"/>
        </w:numPr>
        <w:tabs>
          <w:tab w:val="clear" w:pos="3285"/>
        </w:tabs>
        <w:adjustRightInd w:val="0"/>
        <w:snapToGrid w:val="0"/>
        <w:spacing w:line="400" w:lineRule="exact"/>
        <w:ind w:left="1850" w:leftChars="771" w:firstLine="0"/>
        <w:jc w:val="both"/>
        <w:rPr>
          <w:rFonts w:ascii="仿宋" w:hAnsi="仿宋" w:eastAsia="仿宋" w:cs="仿宋"/>
          <w:sz w:val="24"/>
          <w:szCs w:val="24"/>
          <w:lang w:eastAsia="zh-CN"/>
        </w:rPr>
      </w:pPr>
      <w:r>
        <w:rPr>
          <w:rFonts w:hint="eastAsia" w:ascii="仿宋" w:hAnsi="仿宋" w:eastAsia="仿宋" w:cs="仿宋"/>
          <w:sz w:val="24"/>
          <w:szCs w:val="24"/>
          <w:lang w:eastAsia="zh-CN"/>
        </w:rPr>
        <w:t>合同价格清单中没有相同、只有类似清单项目的，参照类似清单项目的单价调整确定</w:t>
      </w:r>
      <w:r>
        <w:rPr>
          <w:rFonts w:ascii="仿宋" w:hAnsi="仿宋" w:eastAsia="仿宋" w:cs="仿宋"/>
          <w:sz w:val="24"/>
          <w:szCs w:val="24"/>
          <w:lang w:eastAsia="zh-CN"/>
        </w:rPr>
        <w:t>;</w:t>
      </w:r>
    </w:p>
    <w:p w14:paraId="660F02DE">
      <w:pPr>
        <w:pStyle w:val="22"/>
        <w:widowControl w:val="0"/>
        <w:numPr>
          <w:ilvl w:val="1"/>
          <w:numId w:val="27"/>
        </w:numPr>
        <w:tabs>
          <w:tab w:val="clear" w:pos="3285"/>
        </w:tabs>
        <w:adjustRightInd w:val="0"/>
        <w:snapToGrid w:val="0"/>
        <w:spacing w:line="400" w:lineRule="exact"/>
        <w:ind w:left="1850" w:leftChars="771" w:firstLine="0"/>
        <w:jc w:val="both"/>
        <w:rPr>
          <w:rFonts w:ascii="仿宋" w:hAnsi="仿宋" w:eastAsia="仿宋" w:cs="仿宋"/>
          <w:sz w:val="24"/>
          <w:szCs w:val="24"/>
          <w:lang w:eastAsia="zh-CN"/>
        </w:rPr>
      </w:pPr>
      <w:r>
        <w:rPr>
          <w:rFonts w:hint="eastAsia" w:ascii="仿宋" w:hAnsi="仿宋" w:eastAsia="仿宋" w:cs="仿宋"/>
          <w:sz w:val="24"/>
          <w:szCs w:val="24"/>
          <w:lang w:eastAsia="zh-CN"/>
        </w:rPr>
        <w:t>合同价格清单中没有相同也没有类似清单项目的，其计价依据、计量规则和计价办法、由合同双方当事人在专用条款中约定。可调价变更实体项目应包含合理的利润，专用条款约定的计价依据、计价办法中不含利润的，可按通用条款约定的利润率计算利润；</w:t>
      </w:r>
    </w:p>
    <w:p w14:paraId="2800E8A5">
      <w:pPr>
        <w:pStyle w:val="22"/>
        <w:widowControl w:val="0"/>
        <w:numPr>
          <w:ilvl w:val="1"/>
          <w:numId w:val="27"/>
        </w:numPr>
        <w:tabs>
          <w:tab w:val="clear" w:pos="3285"/>
        </w:tabs>
        <w:adjustRightInd w:val="0"/>
        <w:snapToGrid w:val="0"/>
        <w:spacing w:line="400" w:lineRule="exact"/>
        <w:ind w:left="1850" w:leftChars="771" w:firstLine="0"/>
        <w:jc w:val="both"/>
        <w:rPr>
          <w:rFonts w:ascii="仿宋" w:hAnsi="仿宋" w:eastAsia="仿宋" w:cs="仿宋"/>
          <w:sz w:val="24"/>
          <w:szCs w:val="24"/>
          <w:lang w:eastAsia="zh-CN"/>
        </w:rPr>
      </w:pPr>
      <w:r>
        <w:rPr>
          <w:rFonts w:hint="eastAsia" w:ascii="仿宋" w:hAnsi="仿宋" w:eastAsia="仿宋" w:cs="仿宋"/>
          <w:sz w:val="24"/>
          <w:szCs w:val="24"/>
          <w:lang w:eastAsia="zh-CN"/>
        </w:rPr>
        <w:t>关于“类似清单项目”的认定原则在合同专用条款中约定。</w:t>
      </w:r>
    </w:p>
    <w:p w14:paraId="57A6A160">
      <w:pPr>
        <w:pStyle w:val="22"/>
        <w:adjustRightInd w:val="0"/>
        <w:snapToGrid w:val="0"/>
        <w:spacing w:line="400" w:lineRule="exact"/>
        <w:rPr>
          <w:rFonts w:ascii="仿宋" w:hAnsi="仿宋" w:eastAsia="仿宋"/>
          <w:b/>
          <w:bCs/>
          <w:sz w:val="24"/>
          <w:szCs w:val="24"/>
          <w:lang w:eastAsia="zh-CN"/>
        </w:rPr>
      </w:pPr>
      <w:r>
        <w:rPr>
          <w:rFonts w:hint="eastAsia" w:ascii="仿宋" w:hAnsi="仿宋" w:eastAsia="仿宋" w:cs="仿宋"/>
          <w:b/>
          <w:bCs/>
          <w:sz w:val="24"/>
          <w:szCs w:val="24"/>
          <w:lang w:eastAsia="zh-CN"/>
        </w:rPr>
        <w:t>79</w:t>
      </w:r>
      <w:r>
        <w:rPr>
          <w:rFonts w:ascii="仿宋" w:hAnsi="仿宋" w:eastAsia="仿宋" w:cs="仿宋"/>
          <w:b/>
          <w:bCs/>
          <w:sz w:val="24"/>
          <w:szCs w:val="24"/>
          <w:lang w:eastAsia="zh-CN"/>
        </w:rPr>
        <w:t>.</w:t>
      </w:r>
      <w:r>
        <w:rPr>
          <w:rFonts w:hint="eastAsia" w:ascii="仿宋" w:hAnsi="仿宋" w:eastAsia="仿宋" w:cs="仿宋"/>
          <w:b/>
          <w:bCs/>
          <w:sz w:val="24"/>
          <w:szCs w:val="24"/>
          <w:lang w:eastAsia="zh-CN"/>
        </w:rPr>
        <w:t>4</w:t>
      </w:r>
      <w:r>
        <w:rPr>
          <w:rFonts w:ascii="仿宋" w:hAnsi="仿宋" w:eastAsia="仿宋" w:cs="仿宋"/>
          <w:b/>
          <w:bCs/>
          <w:sz w:val="24"/>
          <w:szCs w:val="24"/>
          <w:lang w:eastAsia="zh-CN"/>
        </w:rPr>
        <w:t xml:space="preserve">  </w:t>
      </w:r>
      <w:r>
        <w:rPr>
          <w:rFonts w:ascii="仿宋" w:hAnsi="仿宋" w:eastAsia="仿宋" w:cs="仿宋"/>
          <w:b/>
          <w:bCs/>
          <w:sz w:val="24"/>
          <w:szCs w:val="24"/>
          <w:u w:val="dotted"/>
          <w:lang w:eastAsia="zh-CN"/>
        </w:rPr>
        <w:t xml:space="preserve">                                                                               </w:t>
      </w:r>
    </w:p>
    <w:p w14:paraId="3F79A32D">
      <w:pPr>
        <w:pStyle w:val="22"/>
        <w:adjustRightInd w:val="0"/>
        <w:snapToGrid w:val="0"/>
        <w:spacing w:line="400" w:lineRule="exact"/>
        <w:ind w:left="1850" w:leftChars="771"/>
        <w:rPr>
          <w:rFonts w:ascii="仿宋" w:hAnsi="仿宋" w:eastAsia="仿宋"/>
          <w:sz w:val="24"/>
          <w:szCs w:val="24"/>
          <w:lang w:eastAsia="zh-CN"/>
        </w:rPr>
      </w:pPr>
      <w:r>
        <mc:AlternateContent>
          <mc:Choice Requires="wps">
            <w:drawing>
              <wp:anchor distT="0" distB="0" distL="114300" distR="114300" simplePos="0" relativeHeight="251883520" behindDoc="0" locked="0" layoutInCell="1" allowOverlap="1">
                <wp:simplePos x="0" y="0"/>
                <wp:positionH relativeFrom="column">
                  <wp:posOffset>-114300</wp:posOffset>
                </wp:positionH>
                <wp:positionV relativeFrom="paragraph">
                  <wp:posOffset>45720</wp:posOffset>
                </wp:positionV>
                <wp:extent cx="861060" cy="553085"/>
                <wp:effectExtent l="0" t="0" r="0" b="0"/>
                <wp:wrapNone/>
                <wp:docPr id="346" name="文本框 997"/>
                <wp:cNvGraphicFramePr/>
                <a:graphic xmlns:a="http://schemas.openxmlformats.org/drawingml/2006/main">
                  <a:graphicData uri="http://schemas.microsoft.com/office/word/2010/wordprocessingShape">
                    <wps:wsp>
                      <wps:cNvSpPr txBox="1"/>
                      <wps:spPr>
                        <a:xfrm>
                          <a:off x="0" y="0"/>
                          <a:ext cx="861060" cy="553085"/>
                        </a:xfrm>
                        <a:prstGeom prst="rect">
                          <a:avLst/>
                        </a:prstGeom>
                        <a:noFill/>
                        <a:ln w="12700">
                          <a:noFill/>
                        </a:ln>
                      </wps:spPr>
                      <wps:txbx>
                        <w:txbxContent>
                          <w:p w14:paraId="78FC120E">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可调价变更措施项目的定价</w:t>
                            </w:r>
                          </w:p>
                        </w:txbxContent>
                      </wps:txbx>
                      <wps:bodyPr rot="0" vert="horz" wrap="square" lIns="91440" tIns="45720" rIns="91440" bIns="45720" anchor="t" anchorCtr="0"/>
                    </wps:wsp>
                  </a:graphicData>
                </a:graphic>
              </wp:anchor>
            </w:drawing>
          </mc:Choice>
          <mc:Fallback>
            <w:pict>
              <v:shape id="文本框 997" o:spid="_x0000_s1026" o:spt="202" type="#_x0000_t202" style="position:absolute;left:0pt;margin-left:-9pt;margin-top:3.6pt;height:43.55pt;width:67.8pt;z-index:251883520;mso-width-relative:page;mso-height-relative:page;" filled="f" stroked="f" coordsize="21600,21600" o:gfxdata="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1vs3&#10;gdgAAAAIAQAADwAAAAAAAAABACAAAAAiAAAAZHJzL2Rvd25yZXYueG1sUEsBAhQAFAAAAAgAh07i&#10;QPrCU9TpAQAAvgMAAA4AAAAAAAAAAQAgAAAAJwEAAGRycy9lMm9Eb2MueG1sUEsFBgAAAAAGAAYA&#10;WQEAAIIFAAAAAA==&#10;">
                <v:fill on="f" focussize="0,0"/>
                <v:stroke on="f" weight="1pt"/>
                <v:imagedata o:title=""/>
                <o:lock v:ext="edit" aspectratio="f"/>
                <v:textbox>
                  <w:txbxContent>
                    <w:p w14:paraId="78FC120E">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可调价变更措施项目的定价</w:t>
                      </w:r>
                    </w:p>
                  </w:txbxContent>
                </v:textbox>
              </v:shape>
            </w:pict>
          </mc:Fallback>
        </mc:AlternateContent>
      </w:r>
      <w:r>
        <w:rPr>
          <w:rFonts w:hint="eastAsia" w:ascii="仿宋" w:hAnsi="仿宋" w:eastAsia="仿宋" w:cs="仿宋"/>
          <w:sz w:val="24"/>
          <w:szCs w:val="24"/>
          <w:lang w:eastAsia="zh-CN"/>
        </w:rPr>
        <w:t>除专用条款另有约定外，符合第69.3款约定可调价条件的变更，引起措施项目发生变化的，合同不利一方当事人有权提出调整措施项目费。提出调整措施项目费的，应事先将拟实施的方案提交另一方当事人确认，并详细说明与原方案措施项目相比的变化情况。拟实施的方案，经合同双方当事人确认后执行。该情况下，增加或减少的措施项目费按下列约定计算：</w:t>
      </w:r>
    </w:p>
    <w:p w14:paraId="20BF4BC2">
      <w:pPr>
        <w:pStyle w:val="22"/>
        <w:adjustRightInd w:val="0"/>
        <w:snapToGrid w:val="0"/>
        <w:spacing w:line="400" w:lineRule="exact"/>
        <w:ind w:left="1850" w:leftChars="771"/>
        <w:rPr>
          <w:rFonts w:ascii="仿宋" w:hAnsi="仿宋" w:eastAsia="仿宋"/>
          <w:sz w:val="24"/>
          <w:szCs w:val="24"/>
          <w:lang w:eastAsia="zh-CN"/>
        </w:rPr>
      </w:pPr>
      <w:r>
        <w:rPr>
          <w:rFonts w:ascii="仿宋" w:hAnsi="仿宋" w:eastAsia="仿宋" w:cs="仿宋"/>
          <w:sz w:val="24"/>
          <w:szCs w:val="24"/>
          <w:lang w:eastAsia="zh-CN"/>
        </w:rPr>
        <w:t xml:space="preserve">(1) </w:t>
      </w:r>
      <w:r>
        <w:rPr>
          <w:rFonts w:hint="eastAsia" w:ascii="仿宋" w:hAnsi="仿宋" w:eastAsia="仿宋" w:cs="仿宋"/>
          <w:sz w:val="24"/>
          <w:szCs w:val="24"/>
          <w:lang w:eastAsia="zh-CN"/>
        </w:rPr>
        <w:t>绿色施工安全防护费，执行政府的相关计费文件规定的单价或费率，按照实际发生变化的措施项目计算确定。</w:t>
      </w:r>
    </w:p>
    <w:p w14:paraId="7A9C51BD">
      <w:pPr>
        <w:pStyle w:val="22"/>
        <w:adjustRightInd w:val="0"/>
        <w:snapToGrid w:val="0"/>
        <w:spacing w:line="400" w:lineRule="exact"/>
        <w:ind w:left="1850" w:leftChars="771"/>
        <w:rPr>
          <w:rFonts w:ascii="仿宋" w:hAnsi="仿宋" w:eastAsia="仿宋"/>
          <w:sz w:val="24"/>
          <w:szCs w:val="24"/>
          <w:lang w:eastAsia="zh-CN"/>
        </w:rPr>
      </w:pPr>
      <w:r>
        <w:rPr>
          <w:rFonts w:ascii="仿宋" w:hAnsi="仿宋" w:eastAsia="仿宋" w:cs="仿宋"/>
          <w:sz w:val="24"/>
          <w:szCs w:val="24"/>
          <w:lang w:eastAsia="zh-CN"/>
        </w:rPr>
        <w:t>(2)</w:t>
      </w:r>
      <w:r>
        <w:rPr>
          <w:rFonts w:hint="eastAsia" w:ascii="仿宋" w:hAnsi="仿宋" w:eastAsia="仿宋" w:cs="仿宋"/>
          <w:sz w:val="24"/>
          <w:szCs w:val="24"/>
          <w:lang w:eastAsia="zh-CN"/>
        </w:rPr>
        <w:t xml:space="preserve"> 凡可计算工程量的措施项目，其单价按照第79.3款约定确定。</w:t>
      </w:r>
    </w:p>
    <w:p w14:paraId="7C1C4558">
      <w:pPr>
        <w:pStyle w:val="22"/>
        <w:adjustRightInd w:val="0"/>
        <w:snapToGrid w:val="0"/>
        <w:spacing w:line="400" w:lineRule="exact"/>
        <w:ind w:left="1850" w:leftChars="771"/>
        <w:rPr>
          <w:rFonts w:ascii="仿宋" w:hAnsi="仿宋" w:eastAsia="仿宋"/>
          <w:sz w:val="24"/>
          <w:szCs w:val="24"/>
          <w:lang w:eastAsia="zh-CN"/>
        </w:rPr>
      </w:pPr>
      <w:r>
        <w:rPr>
          <w:rFonts w:ascii="仿宋" w:hAnsi="仿宋" w:eastAsia="仿宋" w:cs="仿宋"/>
          <w:sz w:val="24"/>
          <w:szCs w:val="24"/>
          <w:lang w:eastAsia="zh-CN"/>
        </w:rPr>
        <w:t>(3)</w:t>
      </w:r>
      <w:r>
        <w:rPr>
          <w:rFonts w:hint="eastAsia" w:ascii="仿宋" w:hAnsi="仿宋" w:eastAsia="仿宋" w:cs="仿宋"/>
          <w:sz w:val="24"/>
          <w:szCs w:val="24"/>
          <w:lang w:eastAsia="zh-CN"/>
        </w:rPr>
        <w:t xml:space="preserve"> 凡按系数计算的措施项目费，除本款第</w:t>
      </w:r>
      <w:r>
        <w:rPr>
          <w:rFonts w:ascii="仿宋" w:hAnsi="仿宋" w:eastAsia="仿宋" w:cs="仿宋"/>
          <w:sz w:val="24"/>
          <w:szCs w:val="24"/>
          <w:lang w:eastAsia="zh-CN"/>
        </w:rPr>
        <w:t>(1)</w:t>
      </w:r>
      <w:r>
        <w:rPr>
          <w:rFonts w:hint="eastAsia" w:ascii="仿宋" w:hAnsi="仿宋" w:eastAsia="仿宋" w:cs="仿宋"/>
          <w:sz w:val="24"/>
          <w:szCs w:val="24"/>
          <w:lang w:eastAsia="zh-CN"/>
        </w:rPr>
        <w:t>点情形外，执行合同价格清单中标明的计费基础和系数计算确定。</w:t>
      </w:r>
    </w:p>
    <w:p w14:paraId="413635A2">
      <w:pPr>
        <w:pStyle w:val="22"/>
        <w:adjustRightInd w:val="0"/>
        <w:snapToGrid w:val="0"/>
        <w:spacing w:line="400" w:lineRule="exact"/>
        <w:ind w:left="1850" w:leftChars="771"/>
        <w:rPr>
          <w:rFonts w:ascii="仿宋" w:hAnsi="仿宋" w:eastAsia="仿宋"/>
          <w:sz w:val="24"/>
          <w:szCs w:val="24"/>
          <w:lang w:eastAsia="zh-CN"/>
        </w:rPr>
      </w:pPr>
      <w:r>
        <w:rPr>
          <w:rFonts w:hint="eastAsia" w:ascii="仿宋" w:hAnsi="仿宋" w:eastAsia="仿宋" w:cs="仿宋"/>
          <w:sz w:val="24"/>
          <w:szCs w:val="24"/>
          <w:lang w:eastAsia="zh-CN"/>
        </w:rPr>
        <w:t>如果不利一方当事人未按本款约定事先将拟实施的方案提交给另一方当事人，则认为工程变更不引起措施项目费的调整或不利一方当事人放弃调整措施项目费的权利。</w:t>
      </w:r>
    </w:p>
    <w:p w14:paraId="19014F1A">
      <w:pPr>
        <w:spacing w:line="400" w:lineRule="exact"/>
        <w:rPr>
          <w:rFonts w:ascii="仿宋" w:hAnsi="仿宋" w:eastAsia="仿宋"/>
          <w:b/>
          <w:bCs/>
          <w:lang w:eastAsia="zh-CN"/>
        </w:rPr>
      </w:pPr>
      <w:bookmarkStart w:id="624" w:name="_Toc12720"/>
      <w:r>
        <w:rPr>
          <w:rFonts w:hint="eastAsia" w:ascii="仿宋" w:hAnsi="仿宋" w:eastAsia="仿宋" w:cs="仿宋"/>
          <w:b/>
          <w:bCs/>
          <w:lang w:eastAsia="zh-CN"/>
        </w:rPr>
        <w:t>79</w:t>
      </w:r>
      <w:r>
        <w:rPr>
          <w:rFonts w:ascii="仿宋" w:hAnsi="仿宋" w:eastAsia="仿宋" w:cs="仿宋"/>
          <w:b/>
          <w:bCs/>
          <w:lang w:eastAsia="zh-CN"/>
        </w:rPr>
        <w:t>.</w:t>
      </w:r>
      <w:r>
        <w:rPr>
          <w:rFonts w:hint="eastAsia" w:ascii="仿宋" w:hAnsi="仿宋" w:eastAsia="仿宋" w:cs="仿宋"/>
          <w:b/>
          <w:bCs/>
          <w:lang w:eastAsia="zh-CN"/>
        </w:rPr>
        <w:t>5</w:t>
      </w:r>
      <w:bookmarkEnd w:id="624"/>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4C2749EA">
      <w:pPr>
        <w:pStyle w:val="22"/>
        <w:adjustRightInd w:val="0"/>
        <w:snapToGrid w:val="0"/>
        <w:spacing w:line="400" w:lineRule="exact"/>
        <w:ind w:left="1850" w:leftChars="771"/>
        <w:rPr>
          <w:rFonts w:ascii="仿宋" w:hAnsi="仿宋" w:eastAsia="仿宋"/>
          <w:sz w:val="24"/>
          <w:szCs w:val="24"/>
          <w:lang w:eastAsia="zh-CN"/>
        </w:rPr>
      </w:pPr>
      <w:r>
        <mc:AlternateContent>
          <mc:Choice Requires="wps">
            <w:drawing>
              <wp:anchor distT="0" distB="0" distL="114300" distR="114300" simplePos="0" relativeHeight="251884544" behindDoc="0" locked="0" layoutInCell="1" allowOverlap="1">
                <wp:simplePos x="0" y="0"/>
                <wp:positionH relativeFrom="column">
                  <wp:posOffset>-114300</wp:posOffset>
                </wp:positionH>
                <wp:positionV relativeFrom="paragraph">
                  <wp:posOffset>45720</wp:posOffset>
                </wp:positionV>
                <wp:extent cx="775970" cy="393065"/>
                <wp:effectExtent l="0" t="0" r="0" b="0"/>
                <wp:wrapNone/>
                <wp:docPr id="347" name="文本框 999"/>
                <wp:cNvGraphicFramePr/>
                <a:graphic xmlns:a="http://schemas.openxmlformats.org/drawingml/2006/main">
                  <a:graphicData uri="http://schemas.microsoft.com/office/word/2010/wordprocessingShape">
                    <wps:wsp>
                      <wps:cNvSpPr txBox="1"/>
                      <wps:spPr>
                        <a:xfrm>
                          <a:off x="0" y="0"/>
                          <a:ext cx="775970" cy="393065"/>
                        </a:xfrm>
                        <a:prstGeom prst="rect">
                          <a:avLst/>
                        </a:prstGeom>
                        <a:noFill/>
                        <a:ln w="12700">
                          <a:noFill/>
                        </a:ln>
                      </wps:spPr>
                      <wps:txbx>
                        <w:txbxContent>
                          <w:p w14:paraId="410AA65B">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wps:txbx>
                      <wps:bodyPr rot="0" vert="horz" wrap="square" lIns="91440" tIns="45720" rIns="91440" bIns="45720" anchor="t" anchorCtr="0"/>
                    </wps:wsp>
                  </a:graphicData>
                </a:graphic>
              </wp:anchor>
            </w:drawing>
          </mc:Choice>
          <mc:Fallback>
            <w:pict>
              <v:shape id="文本框 999" o:spid="_x0000_s1026" o:spt="202" type="#_x0000_t202" style="position:absolute;left:0pt;margin-left:-9pt;margin-top:3.6pt;height:30.95pt;width:61.1pt;z-index:251884544;mso-width-relative:page;mso-height-relative:page;" filled="f" stroked="f" coordsize="21600,21600" o:gfxdata="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iwV8P&#10;1wAAAAgBAAAPAAAAAAAAAAEAIAAAACIAAABkcnMvZG93bnJldi54bWxQSwECFAAUAAAACACHTuJA&#10;R85MjOkBAAC+AwAADgAAAAAAAAABACAAAAAmAQAAZHJzL2Uyb0RvYy54bWxQSwUGAAAAAAYABgBZ&#10;AQAAgQUAAAAA&#10;">
                <v:fill on="f" focussize="0,0"/>
                <v:stroke on="f" weight="1pt"/>
                <v:imagedata o:title=""/>
                <o:lock v:ext="edit" aspectratio="f"/>
                <v:textbox>
                  <w:txbxContent>
                    <w:p w14:paraId="410AA65B">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v:textbox>
              </v:shape>
            </w:pict>
          </mc:Fallback>
        </mc:AlternateContent>
      </w:r>
      <w:r>
        <w:rPr>
          <w:rFonts w:hint="eastAsia" w:ascii="仿宋" w:hAnsi="仿宋" w:eastAsia="仿宋" w:cs="仿宋"/>
          <w:sz w:val="24"/>
          <w:szCs w:val="24"/>
          <w:lang w:eastAsia="zh-CN"/>
        </w:rPr>
        <w:t>如果因为非承包人原因删减了合同中的某项原定工作或工程，致使承包人发生的费用或</w:t>
      </w:r>
      <w:r>
        <w:rPr>
          <w:rFonts w:ascii="仿宋" w:hAnsi="仿宋" w:eastAsia="仿宋" w:cs="仿宋"/>
          <w:sz w:val="24"/>
          <w:szCs w:val="24"/>
          <w:lang w:eastAsia="zh-CN"/>
        </w:rPr>
        <w:t>(</w:t>
      </w:r>
      <w:r>
        <w:rPr>
          <w:rFonts w:hint="eastAsia" w:ascii="仿宋" w:hAnsi="仿宋" w:eastAsia="仿宋" w:cs="仿宋"/>
          <w:sz w:val="24"/>
          <w:szCs w:val="24"/>
          <w:lang w:eastAsia="zh-CN"/>
        </w:rPr>
        <w:t>和</w:t>
      </w:r>
      <w:r>
        <w:rPr>
          <w:rFonts w:ascii="仿宋" w:hAnsi="仿宋" w:eastAsia="仿宋" w:cs="仿宋"/>
          <w:sz w:val="24"/>
          <w:szCs w:val="24"/>
          <w:lang w:eastAsia="zh-CN"/>
        </w:rPr>
        <w:t>)</w:t>
      </w:r>
      <w:r>
        <w:rPr>
          <w:rFonts w:hint="eastAsia" w:ascii="仿宋" w:hAnsi="仿宋" w:eastAsia="仿宋" w:cs="仿宋"/>
          <w:sz w:val="24"/>
          <w:szCs w:val="24"/>
          <w:lang w:eastAsia="zh-CN"/>
        </w:rPr>
        <w:t>得到的收益不能被包括在其他已支付或应支付的项目中，也未被包含在任何替代的工作或工程中，则承包人有权按照本条约定提出并得到补偿。</w:t>
      </w:r>
    </w:p>
    <w:p w14:paraId="6204F1D9">
      <w:pPr>
        <w:tabs>
          <w:tab w:val="left" w:pos="1620"/>
        </w:tabs>
        <w:spacing w:line="400" w:lineRule="exact"/>
        <w:rPr>
          <w:rFonts w:ascii="仿宋" w:hAnsi="仿宋" w:eastAsia="仿宋"/>
          <w:b/>
          <w:bCs/>
          <w:u w:val="single"/>
          <w:lang w:eastAsia="zh-CN"/>
        </w:rPr>
      </w:pPr>
      <w:r>
        <w:rPr>
          <w:rFonts w:ascii="仿宋" w:hAnsi="仿宋" w:eastAsia="仿宋" w:cs="仿宋"/>
          <w:b/>
          <w:bCs/>
          <w:u w:val="single"/>
          <w:lang w:eastAsia="zh-CN"/>
        </w:rPr>
        <w:t xml:space="preserve">                                                                                     </w:t>
      </w:r>
    </w:p>
    <w:p w14:paraId="1016CBC0">
      <w:pPr>
        <w:pStyle w:val="4"/>
        <w:tabs>
          <w:tab w:val="left" w:pos="420"/>
        </w:tabs>
        <w:spacing w:before="0" w:after="0" w:line="400" w:lineRule="exact"/>
        <w:rPr>
          <w:rFonts w:ascii="仿宋" w:hAnsi="仿宋" w:eastAsia="仿宋" w:cs="仿宋"/>
          <w:bCs w:val="0"/>
          <w:sz w:val="24"/>
          <w:szCs w:val="24"/>
          <w:lang w:eastAsia="zh-CN"/>
        </w:rPr>
      </w:pPr>
      <w:bookmarkStart w:id="625" w:name="_Toc28526"/>
      <w:bookmarkStart w:id="626" w:name="_Toc11193"/>
      <w:bookmarkStart w:id="627" w:name="_Toc194073191"/>
      <w:bookmarkStart w:id="628" w:name="_Toc6707"/>
      <w:r>
        <w:rPr>
          <w:rFonts w:hint="eastAsia" w:ascii="仿宋" w:hAnsi="仿宋" w:eastAsia="仿宋" w:cs="仿宋"/>
          <w:bCs w:val="0"/>
          <w:sz w:val="24"/>
          <w:szCs w:val="24"/>
          <w:lang w:eastAsia="zh-CN"/>
        </w:rPr>
        <w:t>★80</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费用索赔</w:t>
      </w:r>
      <w:bookmarkEnd w:id="625"/>
      <w:bookmarkEnd w:id="626"/>
      <w:bookmarkEnd w:id="627"/>
      <w:bookmarkEnd w:id="628"/>
    </w:p>
    <w:p w14:paraId="5A56CED6">
      <w:pPr>
        <w:pStyle w:val="22"/>
        <w:adjustRightInd w:val="0"/>
        <w:snapToGrid w:val="0"/>
        <w:spacing w:line="400" w:lineRule="exact"/>
        <w:rPr>
          <w:rFonts w:ascii="仿宋" w:hAnsi="仿宋" w:eastAsia="仿宋" w:cs="仿宋"/>
          <w:b/>
          <w:bCs/>
          <w:sz w:val="24"/>
          <w:szCs w:val="24"/>
          <w:lang w:eastAsia="zh-CN"/>
        </w:rPr>
      </w:pPr>
      <w:r>
        <mc:AlternateContent>
          <mc:Choice Requires="wps">
            <w:drawing>
              <wp:anchor distT="0" distB="0" distL="114300" distR="114300" simplePos="0" relativeHeight="251885568" behindDoc="0" locked="0" layoutInCell="1" allowOverlap="1">
                <wp:simplePos x="0" y="0"/>
                <wp:positionH relativeFrom="column">
                  <wp:posOffset>-114300</wp:posOffset>
                </wp:positionH>
                <wp:positionV relativeFrom="paragraph">
                  <wp:posOffset>207010</wp:posOffset>
                </wp:positionV>
                <wp:extent cx="813435" cy="391795"/>
                <wp:effectExtent l="0" t="0" r="0" b="0"/>
                <wp:wrapNone/>
                <wp:docPr id="348" name="文本框 1003"/>
                <wp:cNvGraphicFramePr/>
                <a:graphic xmlns:a="http://schemas.openxmlformats.org/drawingml/2006/main">
                  <a:graphicData uri="http://schemas.microsoft.com/office/word/2010/wordprocessingShape">
                    <wps:wsp>
                      <wps:cNvSpPr txBox="1"/>
                      <wps:spPr>
                        <a:xfrm>
                          <a:off x="0" y="0"/>
                          <a:ext cx="813435" cy="391795"/>
                        </a:xfrm>
                        <a:prstGeom prst="rect">
                          <a:avLst/>
                        </a:prstGeom>
                        <a:noFill/>
                        <a:ln w="12700">
                          <a:noFill/>
                        </a:ln>
                      </wps:spPr>
                      <wps:txbx>
                        <w:txbxContent>
                          <w:p w14:paraId="3A576F79">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wps:txbx>
                      <wps:bodyPr rot="0" vert="horz" wrap="square" lIns="91440" tIns="45720" rIns="91440" bIns="45720" anchor="t" anchorCtr="0"/>
                    </wps:wsp>
                  </a:graphicData>
                </a:graphic>
              </wp:anchor>
            </w:drawing>
          </mc:Choice>
          <mc:Fallback>
            <w:pict>
              <v:shape id="文本框 1003" o:spid="_x0000_s1026" o:spt="202" type="#_x0000_t202" style="position:absolute;left:0pt;margin-left:-9pt;margin-top:16.3pt;height:30.85pt;width:64.05pt;z-index:251885568;mso-width-relative:page;mso-height-relative:page;" filled="f" stroked="f" coordsize="21600,21600" o:gfxdata="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wec4TYAAAACQEAAA8AAAAAAAAAAQAgAAAAIgAAAGRycy9kb3ducmV2LnhtbFBLAQIUABQAAAAI&#10;AIdO4kBaSUGT7QEAAL8DAAAOAAAAAAAAAAEAIAAAACcBAABkcnMvZTJvRG9jLnhtbFBLBQYAAAAA&#10;BgAGAFkBAACGBQAAAAA=&#10;">
                <v:fill on="f" focussize="0,0"/>
                <v:stroke on="f" weight="1pt"/>
                <v:imagedata o:title=""/>
                <o:lock v:ext="edit" aspectratio="f"/>
                <v:textbox>
                  <w:txbxContent>
                    <w:p w14:paraId="3A576F79">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v:textbox>
              </v:shape>
            </w:pict>
          </mc:Fallback>
        </mc:AlternateContent>
      </w:r>
      <w:r>
        <w:rPr>
          <w:rFonts w:hint="eastAsia" w:ascii="仿宋" w:hAnsi="仿宋" w:eastAsia="仿宋" w:cs="仿宋"/>
          <w:b/>
          <w:bCs/>
          <w:sz w:val="24"/>
          <w:szCs w:val="24"/>
          <w:lang w:eastAsia="zh-CN"/>
        </w:rPr>
        <w:t>80</w:t>
      </w:r>
      <w:r>
        <w:rPr>
          <w:rFonts w:ascii="仿宋" w:hAnsi="仿宋" w:eastAsia="仿宋" w:cs="仿宋"/>
          <w:b/>
          <w:bCs/>
          <w:sz w:val="24"/>
          <w:szCs w:val="24"/>
          <w:lang w:eastAsia="zh-CN"/>
        </w:rPr>
        <w:t>.1</w:t>
      </w:r>
    </w:p>
    <w:p w14:paraId="7E3C94C1">
      <w:pPr>
        <w:pStyle w:val="22"/>
        <w:adjustRightInd w:val="0"/>
        <w:snapToGrid w:val="0"/>
        <w:spacing w:line="400" w:lineRule="exact"/>
        <w:ind w:left="1850" w:leftChars="771"/>
        <w:rPr>
          <w:rFonts w:ascii="仿宋" w:hAnsi="仿宋" w:eastAsia="仿宋"/>
          <w:sz w:val="24"/>
          <w:szCs w:val="24"/>
          <w:lang w:eastAsia="zh-CN"/>
        </w:rPr>
      </w:pPr>
      <w:r>
        <w:rPr>
          <w:rFonts w:hint="eastAsia" w:ascii="仿宋" w:hAnsi="仿宋" w:eastAsia="仿宋" w:cs="仿宋"/>
          <w:sz w:val="24"/>
          <w:szCs w:val="24"/>
          <w:lang w:eastAsia="zh-CN"/>
        </w:rPr>
        <w:t>合同履行期间，出现费用索赔事项的，合同双方当事人应调整合同价格。</w:t>
      </w:r>
    </w:p>
    <w:p w14:paraId="53D01458">
      <w:pPr>
        <w:spacing w:line="400" w:lineRule="exact"/>
        <w:rPr>
          <w:rFonts w:ascii="仿宋" w:hAnsi="仿宋" w:eastAsia="仿宋" w:cs="仿宋"/>
          <w:b/>
          <w:bCs/>
          <w:lang w:eastAsia="zh-CN"/>
        </w:rPr>
      </w:pPr>
      <w:bookmarkStart w:id="629" w:name="_Toc20195"/>
      <w:r>
        <w:rPr>
          <w:rFonts w:hint="eastAsia" w:ascii="仿宋" w:hAnsi="仿宋" w:eastAsia="仿宋" w:cs="仿宋"/>
          <w:b/>
          <w:bCs/>
          <w:lang w:eastAsia="zh-CN"/>
        </w:rPr>
        <w:t>80</w:t>
      </w:r>
      <w:r>
        <w:rPr>
          <w:rFonts w:ascii="仿宋" w:hAnsi="仿宋" w:eastAsia="仿宋" w:cs="仿宋"/>
          <w:b/>
          <w:bCs/>
          <w:lang w:eastAsia="zh-CN"/>
        </w:rPr>
        <w:t>.2</w:t>
      </w:r>
      <w:bookmarkEnd w:id="629"/>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0A89C4E3">
      <w:pPr>
        <w:pStyle w:val="22"/>
        <w:adjustRightInd w:val="0"/>
        <w:snapToGrid w:val="0"/>
        <w:spacing w:line="400" w:lineRule="exact"/>
        <w:ind w:left="1850" w:leftChars="771"/>
        <w:rPr>
          <w:rFonts w:ascii="仿宋" w:hAnsi="仿宋" w:eastAsia="仿宋"/>
          <w:sz w:val="24"/>
          <w:szCs w:val="24"/>
          <w:lang w:eastAsia="zh-CN"/>
        </w:rPr>
      </w:pPr>
      <w:r>
        <mc:AlternateContent>
          <mc:Choice Requires="wps">
            <w:drawing>
              <wp:anchor distT="0" distB="0" distL="114300" distR="114300" simplePos="0" relativeHeight="251886592" behindDoc="0" locked="0" layoutInCell="1" allowOverlap="1">
                <wp:simplePos x="0" y="0"/>
                <wp:positionH relativeFrom="column">
                  <wp:posOffset>-114300</wp:posOffset>
                </wp:positionH>
                <wp:positionV relativeFrom="paragraph">
                  <wp:posOffset>15875</wp:posOffset>
                </wp:positionV>
                <wp:extent cx="775970" cy="363220"/>
                <wp:effectExtent l="0" t="0" r="0" b="0"/>
                <wp:wrapNone/>
                <wp:docPr id="349" name="文本框 1004"/>
                <wp:cNvGraphicFramePr/>
                <a:graphic xmlns:a="http://schemas.openxmlformats.org/drawingml/2006/main">
                  <a:graphicData uri="http://schemas.microsoft.com/office/word/2010/wordprocessingShape">
                    <wps:wsp>
                      <wps:cNvSpPr txBox="1"/>
                      <wps:spPr>
                        <a:xfrm>
                          <a:off x="0" y="0"/>
                          <a:ext cx="775970" cy="363220"/>
                        </a:xfrm>
                        <a:prstGeom prst="rect">
                          <a:avLst/>
                        </a:prstGeom>
                        <a:noFill/>
                        <a:ln w="12700">
                          <a:noFill/>
                        </a:ln>
                      </wps:spPr>
                      <wps:txbx>
                        <w:txbxContent>
                          <w:p w14:paraId="168DD166">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wps:txbx>
                      <wps:bodyPr rot="0" vert="horz" wrap="square" lIns="91440" tIns="45720" rIns="91440" bIns="45720" anchor="t" anchorCtr="0"/>
                    </wps:wsp>
                  </a:graphicData>
                </a:graphic>
              </wp:anchor>
            </w:drawing>
          </mc:Choice>
          <mc:Fallback>
            <w:pict>
              <v:shape id="文本框 1004" o:spid="_x0000_s1026" o:spt="202" type="#_x0000_t202" style="position:absolute;left:0pt;margin-left:-9pt;margin-top:1.25pt;height:28.6pt;width:61.1pt;z-index:251886592;mso-width-relative:page;mso-height-relative:page;" filled="f" stroked="f" coordsize="21600,21600" o:gfxdata="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2yqOW9gAAAAIAQAADwAAAAAAAAABACAAAAAiAAAAZHJzL2Rvd25yZXYueG1sUEsBAhQAFAAAAAgA&#10;h07iQA+svUTsAQAAvwMAAA4AAAAAAAAAAQAgAAAAJwEAAGRycy9lMm9Eb2MueG1sUEsFBgAAAAAG&#10;AAYAWQEAAIUFAAAAAA==&#10;">
                <v:fill on="f" focussize="0,0"/>
                <v:stroke on="f" weight="1pt"/>
                <v:imagedata o:title=""/>
                <o:lock v:ext="edit" aspectratio="f"/>
                <v:textbox>
                  <w:txbxContent>
                    <w:p w14:paraId="168DD166">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v:textbox>
              </v:shape>
            </w:pict>
          </mc:Fallback>
        </mc:AlternateContent>
      </w:r>
      <w:r>
        <w:rPr>
          <w:rFonts w:hint="eastAsia" w:ascii="仿宋" w:hAnsi="仿宋" w:eastAsia="仿宋" w:cs="仿宋"/>
          <w:sz w:val="24"/>
          <w:szCs w:val="24"/>
          <w:lang w:eastAsia="zh-CN"/>
        </w:rPr>
        <w:t>如果承包人根据合同约定提出任何费用或其他形式的损失索赔时，应在该索赔事项发生之后的</w:t>
      </w:r>
      <w:r>
        <w:rPr>
          <w:rFonts w:ascii="仿宋" w:hAnsi="仿宋" w:eastAsia="仿宋" w:cs="仿宋"/>
          <w:sz w:val="24"/>
          <w:szCs w:val="24"/>
          <w:lang w:eastAsia="zh-CN"/>
        </w:rPr>
        <w:t>14</w:t>
      </w:r>
      <w:r>
        <w:rPr>
          <w:rFonts w:hint="eastAsia" w:ascii="仿宋" w:hAnsi="仿宋" w:eastAsia="仿宋" w:cs="仿宋"/>
          <w:sz w:val="24"/>
          <w:szCs w:val="24"/>
          <w:lang w:eastAsia="zh-CN"/>
        </w:rPr>
        <w:t>天内向监理人、造价咨询人发出索赔意向书，并抄送发包人。</w:t>
      </w:r>
    </w:p>
    <w:p w14:paraId="60CA9AEC">
      <w:pPr>
        <w:spacing w:line="400" w:lineRule="exact"/>
        <w:rPr>
          <w:rFonts w:ascii="仿宋" w:hAnsi="仿宋" w:eastAsia="仿宋"/>
          <w:b/>
          <w:bCs/>
          <w:lang w:eastAsia="zh-CN"/>
        </w:rPr>
      </w:pPr>
      <w:bookmarkStart w:id="630" w:name="_Toc23897"/>
      <w:r>
        <w:rPr>
          <w:rFonts w:hint="eastAsia" w:ascii="仿宋" w:hAnsi="仿宋" w:eastAsia="仿宋" w:cs="仿宋"/>
          <w:b/>
          <w:bCs/>
          <w:lang w:eastAsia="zh-CN"/>
        </w:rPr>
        <w:t>80</w:t>
      </w:r>
      <w:r>
        <w:rPr>
          <w:rFonts w:ascii="仿宋" w:hAnsi="仿宋" w:eastAsia="仿宋" w:cs="仿宋"/>
          <w:b/>
          <w:bCs/>
          <w:lang w:eastAsia="zh-CN"/>
        </w:rPr>
        <w:t>.3</w:t>
      </w:r>
      <w:bookmarkEnd w:id="630"/>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363A030A">
      <w:pPr>
        <w:pStyle w:val="22"/>
        <w:adjustRightInd w:val="0"/>
        <w:snapToGrid w:val="0"/>
        <w:spacing w:line="400" w:lineRule="exact"/>
        <w:ind w:left="1850" w:leftChars="771"/>
        <w:rPr>
          <w:rFonts w:ascii="仿宋" w:hAnsi="仿宋" w:eastAsia="仿宋"/>
          <w:sz w:val="24"/>
          <w:szCs w:val="24"/>
          <w:lang w:eastAsia="zh-CN"/>
        </w:rPr>
      </w:pPr>
      <w:r>
        <mc:AlternateContent>
          <mc:Choice Requires="wps">
            <w:drawing>
              <wp:anchor distT="0" distB="0" distL="114300" distR="114300" simplePos="0" relativeHeight="251887616" behindDoc="0" locked="0" layoutInCell="1" allowOverlap="1">
                <wp:simplePos x="0" y="0"/>
                <wp:positionH relativeFrom="column">
                  <wp:posOffset>-114300</wp:posOffset>
                </wp:positionH>
                <wp:positionV relativeFrom="paragraph">
                  <wp:posOffset>635</wp:posOffset>
                </wp:positionV>
                <wp:extent cx="823595" cy="490220"/>
                <wp:effectExtent l="0" t="0" r="0" b="0"/>
                <wp:wrapNone/>
                <wp:docPr id="350" name="文本框 1005"/>
                <wp:cNvGraphicFramePr/>
                <a:graphic xmlns:a="http://schemas.openxmlformats.org/drawingml/2006/main">
                  <a:graphicData uri="http://schemas.microsoft.com/office/word/2010/wordprocessingShape">
                    <wps:wsp>
                      <wps:cNvSpPr txBox="1"/>
                      <wps:spPr>
                        <a:xfrm>
                          <a:off x="0" y="0"/>
                          <a:ext cx="823595" cy="490220"/>
                        </a:xfrm>
                        <a:prstGeom prst="rect">
                          <a:avLst/>
                        </a:prstGeom>
                        <a:noFill/>
                        <a:ln w="12700">
                          <a:noFill/>
                        </a:ln>
                      </wps:spPr>
                      <wps:txbx>
                        <w:txbxContent>
                          <w:p w14:paraId="6D458176">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wps:txbx>
                      <wps:bodyPr rot="0" vert="horz" wrap="square" lIns="91440" tIns="45720" rIns="91440" bIns="45720" anchor="t" anchorCtr="0"/>
                    </wps:wsp>
                  </a:graphicData>
                </a:graphic>
              </wp:anchor>
            </w:drawing>
          </mc:Choice>
          <mc:Fallback>
            <w:pict>
              <v:shape id="文本框 1005" o:spid="_x0000_s1026" o:spt="202" type="#_x0000_t202" style="position:absolute;left:0pt;margin-left:-9pt;margin-top:0.05pt;height:38.6pt;width:64.85pt;z-index:251887616;mso-width-relative:page;mso-height-relative:page;" filled="f" stroked="f" coordsize="21600,21600" o:gfxdata="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VJ&#10;zPfVAAAABwEAAA8AAAAAAAAAAQAgAAAAIgAAAGRycy9kb3ducmV2LnhtbFBLAQIUABQAAAAIAIdO&#10;4kChtPoM7QEAAL8DAAAOAAAAAAAAAAEAIAAAACQBAABkcnMvZTJvRG9jLnhtbFBLBQYAAAAABgAG&#10;AFkBAACDBQAAAAA=&#10;">
                <v:fill on="f" focussize="0,0"/>
                <v:stroke on="f" weight="1pt"/>
                <v:imagedata o:title=""/>
                <o:lock v:ext="edit" aspectratio="f"/>
                <v:textbox>
                  <w:txbxContent>
                    <w:p w14:paraId="6D458176">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v:textbox>
              </v:shape>
            </w:pict>
          </mc:Fallback>
        </mc:AlternateContent>
      </w:r>
      <w:r>
        <w:rPr>
          <w:rFonts w:hint="eastAsia" w:ascii="仿宋" w:hAnsi="仿宋" w:eastAsia="仿宋" w:cs="仿宋"/>
          <w:sz w:val="24"/>
          <w:szCs w:val="24"/>
          <w:lang w:eastAsia="zh-CN"/>
        </w:rPr>
        <w:t>在索赔事项发生时，承包人应保存当时的记录，作为申请索赔的凭证。造价咨询人在接到索赔意向书时，无需确认是否属于发包人责任，应先审查记录并可要求承包人进一步做好补充记录。承包人应配合造价咨询人审查其记录，在造价咨询人有要求时，应当向造价咨询人提供记录的复印件。</w:t>
      </w:r>
    </w:p>
    <w:p w14:paraId="71AF0B3E">
      <w:pPr>
        <w:spacing w:line="400" w:lineRule="exact"/>
        <w:rPr>
          <w:rFonts w:ascii="仿宋" w:hAnsi="仿宋" w:eastAsia="仿宋"/>
          <w:lang w:eastAsia="zh-CN"/>
        </w:rPr>
      </w:pPr>
      <w:r>
        <w:rPr>
          <w:rFonts w:hint="eastAsia" w:ascii="仿宋" w:hAnsi="仿宋" w:eastAsia="仿宋" w:cs="仿宋"/>
          <w:b/>
          <w:bCs/>
          <w:lang w:eastAsia="zh-CN"/>
        </w:rPr>
        <w:t>80</w:t>
      </w:r>
      <w:r>
        <w:rPr>
          <w:rFonts w:ascii="仿宋" w:hAnsi="仿宋" w:eastAsia="仿宋" w:cs="仿宋"/>
          <w:b/>
          <w:bCs/>
          <w:lang w:eastAsia="zh-CN"/>
        </w:rPr>
        <w:t xml:space="preserve">.4 </w:t>
      </w:r>
      <w:r>
        <w:rPr>
          <w:rFonts w:ascii="仿宋" w:hAnsi="仿宋" w:eastAsia="仿宋" w:cs="仿宋"/>
          <w:lang w:eastAsia="zh-CN"/>
        </w:rPr>
        <w:t xml:space="preserve"> </w:t>
      </w:r>
      <w:r>
        <w:rPr>
          <w:rFonts w:ascii="仿宋" w:hAnsi="仿宋" w:eastAsia="仿宋" w:cs="仿宋"/>
          <w:u w:val="dotted"/>
          <w:lang w:eastAsia="zh-CN"/>
        </w:rPr>
        <w:t xml:space="preserve">                                                                               </w:t>
      </w:r>
    </w:p>
    <w:p w14:paraId="04D85C46">
      <w:pPr>
        <w:pStyle w:val="22"/>
        <w:adjustRightInd w:val="0"/>
        <w:snapToGrid w:val="0"/>
        <w:spacing w:line="400" w:lineRule="exact"/>
        <w:ind w:left="1850" w:leftChars="771"/>
        <w:rPr>
          <w:rFonts w:ascii="仿宋" w:hAnsi="仿宋" w:eastAsia="仿宋"/>
          <w:sz w:val="24"/>
          <w:szCs w:val="24"/>
          <w:lang w:eastAsia="zh-CN"/>
        </w:rPr>
      </w:pPr>
      <w:r>
        <mc:AlternateContent>
          <mc:Choice Requires="wps">
            <w:drawing>
              <wp:anchor distT="0" distB="0" distL="114300" distR="114300" simplePos="0" relativeHeight="251888640" behindDoc="0" locked="0" layoutInCell="1" allowOverlap="1">
                <wp:simplePos x="0" y="0"/>
                <wp:positionH relativeFrom="column">
                  <wp:posOffset>-114300</wp:posOffset>
                </wp:positionH>
                <wp:positionV relativeFrom="paragraph">
                  <wp:posOffset>5080</wp:posOffset>
                </wp:positionV>
                <wp:extent cx="800100" cy="501650"/>
                <wp:effectExtent l="0" t="0" r="0" b="0"/>
                <wp:wrapNone/>
                <wp:docPr id="351" name="文本框 1006"/>
                <wp:cNvGraphicFramePr/>
                <a:graphic xmlns:a="http://schemas.openxmlformats.org/drawingml/2006/main">
                  <a:graphicData uri="http://schemas.microsoft.com/office/word/2010/wordprocessingShape">
                    <wps:wsp>
                      <wps:cNvSpPr txBox="1"/>
                      <wps:spPr>
                        <a:xfrm>
                          <a:off x="0" y="0"/>
                          <a:ext cx="800100" cy="501650"/>
                        </a:xfrm>
                        <a:prstGeom prst="rect">
                          <a:avLst/>
                        </a:prstGeom>
                        <a:noFill/>
                        <a:ln w="12700">
                          <a:noFill/>
                        </a:ln>
                      </wps:spPr>
                      <wps:txbx>
                        <w:txbxContent>
                          <w:p w14:paraId="04CF9AA6">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提交费用索赔报告</w:t>
                            </w:r>
                          </w:p>
                        </w:txbxContent>
                      </wps:txbx>
                      <wps:bodyPr rot="0" vert="horz" wrap="square" lIns="91440" tIns="45720" rIns="91440" bIns="45720" anchor="t" anchorCtr="0"/>
                    </wps:wsp>
                  </a:graphicData>
                </a:graphic>
              </wp:anchor>
            </w:drawing>
          </mc:Choice>
          <mc:Fallback>
            <w:pict>
              <v:shape id="文本框 1006" o:spid="_x0000_s1026" o:spt="202" type="#_x0000_t202" style="position:absolute;left:0pt;margin-left:-9pt;margin-top:0.4pt;height:39.5pt;width:63pt;z-index:251888640;mso-width-relative:page;mso-height-relative:page;" filled="f" stroked="f" coordsize="21600,21600" o:gfxdata="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Cdtsc1AAA&#10;AAcBAAAPAAAAAAAAAAEAIAAAACIAAABkcnMvZG93bnJldi54bWxQSwECFAAUAAAACACHTuJA0HaS&#10;gukBAAC/AwAADgAAAAAAAAABACAAAAAjAQAAZHJzL2Uyb0RvYy54bWxQSwUGAAAAAAYABgBZAQAA&#10;fgUAAAAA&#10;">
                <v:fill on="f" focussize="0,0"/>
                <v:stroke on="f" weight="1pt"/>
                <v:imagedata o:title=""/>
                <o:lock v:ext="edit" aspectratio="f"/>
                <v:textbox>
                  <w:txbxContent>
                    <w:p w14:paraId="04CF9AA6">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提交费用索赔报告</w:t>
                      </w:r>
                    </w:p>
                  </w:txbxContent>
                </v:textbox>
              </v:shape>
            </w:pict>
          </mc:Fallback>
        </mc:AlternateContent>
      </w:r>
      <w:r>
        <w:rPr>
          <w:rFonts w:hint="eastAsia" w:ascii="仿宋" w:hAnsi="仿宋" w:eastAsia="仿宋" w:cs="仿宋"/>
          <w:sz w:val="24"/>
          <w:szCs w:val="24"/>
          <w:lang w:eastAsia="zh-CN"/>
        </w:rPr>
        <w:t>在发出索赔意向书后的</w:t>
      </w:r>
      <w:r>
        <w:rPr>
          <w:rFonts w:ascii="仿宋" w:hAnsi="仿宋" w:eastAsia="仿宋" w:cs="仿宋"/>
          <w:sz w:val="24"/>
          <w:szCs w:val="24"/>
          <w:lang w:eastAsia="zh-CN"/>
        </w:rPr>
        <w:t>14</w:t>
      </w:r>
      <w:r>
        <w:rPr>
          <w:rFonts w:hint="eastAsia" w:ascii="仿宋" w:hAnsi="仿宋" w:eastAsia="仿宋" w:cs="仿宋"/>
          <w:sz w:val="24"/>
          <w:szCs w:val="24"/>
          <w:lang w:eastAsia="zh-CN"/>
        </w:rPr>
        <w:t>天内，承包人应向造价咨询人提交费用索赔报告和有关资料。如果索赔事项持续进行，承包人应每隔</w:t>
      </w:r>
      <w:r>
        <w:rPr>
          <w:rFonts w:ascii="仿宋" w:hAnsi="仿宋" w:eastAsia="仿宋" w:cs="仿宋"/>
          <w:sz w:val="24"/>
          <w:szCs w:val="24"/>
          <w:lang w:eastAsia="zh-CN"/>
        </w:rPr>
        <w:t>7</w:t>
      </w:r>
      <w:r>
        <w:rPr>
          <w:rFonts w:hint="eastAsia" w:ascii="仿宋" w:hAnsi="仿宋" w:eastAsia="仿宋" w:cs="仿宋"/>
          <w:sz w:val="24"/>
          <w:szCs w:val="24"/>
          <w:lang w:eastAsia="zh-CN"/>
        </w:rPr>
        <w:t>天向造价咨询人发出索赔意向书，在索赔事项终结后的</w:t>
      </w:r>
      <w:r>
        <w:rPr>
          <w:rFonts w:ascii="仿宋" w:hAnsi="仿宋" w:eastAsia="仿宋" w:cs="仿宋"/>
          <w:sz w:val="24"/>
          <w:szCs w:val="24"/>
          <w:lang w:eastAsia="zh-CN"/>
        </w:rPr>
        <w:t>14</w:t>
      </w:r>
      <w:r>
        <w:rPr>
          <w:rFonts w:hint="eastAsia" w:ascii="仿宋" w:hAnsi="仿宋" w:eastAsia="仿宋" w:cs="仿宋"/>
          <w:sz w:val="24"/>
          <w:szCs w:val="24"/>
          <w:lang w:eastAsia="zh-CN"/>
        </w:rPr>
        <w:t>天内，提交最终费用索赔报告和有关资料。</w:t>
      </w:r>
    </w:p>
    <w:p w14:paraId="5BBB916D">
      <w:pPr>
        <w:spacing w:line="400" w:lineRule="exact"/>
        <w:rPr>
          <w:rFonts w:ascii="仿宋" w:hAnsi="仿宋" w:eastAsia="仿宋"/>
          <w:b/>
          <w:bCs/>
          <w:lang w:eastAsia="zh-CN"/>
        </w:rPr>
      </w:pPr>
      <w:bookmarkStart w:id="631" w:name="_Toc1734"/>
      <w:r>
        <w:rPr>
          <w:rFonts w:hint="eastAsia" w:ascii="仿宋" w:hAnsi="仿宋" w:eastAsia="仿宋" w:cs="仿宋"/>
          <w:b/>
          <w:bCs/>
          <w:lang w:eastAsia="zh-CN"/>
        </w:rPr>
        <w:t>80</w:t>
      </w:r>
      <w:r>
        <w:rPr>
          <w:rFonts w:ascii="仿宋" w:hAnsi="仿宋" w:eastAsia="仿宋" w:cs="仿宋"/>
          <w:b/>
          <w:bCs/>
          <w:lang w:eastAsia="zh-CN"/>
        </w:rPr>
        <w:t>.5</w:t>
      </w:r>
      <w:bookmarkEnd w:id="631"/>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2B59806F">
      <w:pPr>
        <w:pStyle w:val="22"/>
        <w:widowControl w:val="0"/>
        <w:adjustRightInd w:val="0"/>
        <w:snapToGrid w:val="0"/>
        <w:spacing w:line="400" w:lineRule="exact"/>
        <w:ind w:left="1850" w:leftChars="771"/>
        <w:jc w:val="both"/>
        <w:rPr>
          <w:rFonts w:ascii="仿宋" w:hAnsi="仿宋" w:eastAsia="仿宋"/>
          <w:b/>
          <w:bCs/>
          <w:sz w:val="24"/>
          <w:szCs w:val="24"/>
          <w:lang w:eastAsia="zh-CN"/>
        </w:rPr>
      </w:pPr>
      <w:r>
        <w:rPr>
          <w:rFonts w:ascii="仿宋" w:hAnsi="仿宋" w:eastAsia="仿宋" w:cs="仿宋"/>
          <w:b/>
          <w:bCs/>
        </w:rPr>
        <mc:AlternateContent>
          <mc:Choice Requires="wps">
            <w:drawing>
              <wp:anchor distT="0" distB="0" distL="114300" distR="114300" simplePos="0" relativeHeight="252060672" behindDoc="0" locked="0" layoutInCell="1" allowOverlap="1">
                <wp:simplePos x="0" y="0"/>
                <wp:positionH relativeFrom="column">
                  <wp:posOffset>-47625</wp:posOffset>
                </wp:positionH>
                <wp:positionV relativeFrom="paragraph">
                  <wp:posOffset>15875</wp:posOffset>
                </wp:positionV>
                <wp:extent cx="845820" cy="327025"/>
                <wp:effectExtent l="0" t="0" r="0" b="0"/>
                <wp:wrapNone/>
                <wp:docPr id="352" name="文本框 1007"/>
                <wp:cNvGraphicFramePr/>
                <a:graphic xmlns:a="http://schemas.openxmlformats.org/drawingml/2006/main">
                  <a:graphicData uri="http://schemas.microsoft.com/office/word/2010/wordprocessingShape">
                    <wps:wsp>
                      <wps:cNvSpPr txBox="1"/>
                      <wps:spPr>
                        <a:xfrm>
                          <a:off x="0" y="0"/>
                          <a:ext cx="845820" cy="327025"/>
                        </a:xfrm>
                        <a:prstGeom prst="rect">
                          <a:avLst/>
                        </a:prstGeom>
                        <a:noFill/>
                        <a:ln w="12700">
                          <a:noFill/>
                        </a:ln>
                      </wps:spPr>
                      <wps:txbx>
                        <w:txbxContent>
                          <w:p w14:paraId="76EC509A">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wps:txbx>
                      <wps:bodyPr rot="0" vert="horz" wrap="square" lIns="91440" tIns="45720" rIns="91440" bIns="45720" anchor="t" anchorCtr="0"/>
                    </wps:wsp>
                  </a:graphicData>
                </a:graphic>
              </wp:anchor>
            </w:drawing>
          </mc:Choice>
          <mc:Fallback>
            <w:pict>
              <v:shape id="文本框 1007" o:spid="_x0000_s1026" o:spt="202" type="#_x0000_t202" style="position:absolute;left:0pt;margin-left:-3.75pt;margin-top:1.25pt;height:25.75pt;width:66.6pt;z-index:252060672;mso-width-relative:page;mso-height-relative:page;" filled="f" stroked="f" coordsize="21600,21600" o:gfxdata="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OCeSC&#10;1gAAAAcBAAAPAAAAAAAAAAEAIAAAACIAAABkcnMvZG93bnJldi54bWxQSwECFAAUAAAACACHTuJA&#10;333CdeoBAAC/AwAADgAAAAAAAAABACAAAAAlAQAAZHJzL2Uyb0RvYy54bWxQSwUGAAAAAAYABgBZ&#10;AQAAgQUAAAAA&#10;">
                <v:fill on="f" focussize="0,0"/>
                <v:stroke on="f" weight="1pt"/>
                <v:imagedata o:title=""/>
                <o:lock v:ext="edit" aspectratio="f"/>
                <v:textbox>
                  <w:txbxContent>
                    <w:p w14:paraId="76EC509A">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v:textbox>
              </v:shape>
            </w:pict>
          </mc:Fallback>
        </mc:AlternateContent>
      </w:r>
      <w:r>
        <w:rPr>
          <w:rFonts w:hint="eastAsia" w:ascii="仿宋" w:hAnsi="仿宋" w:eastAsia="仿宋" w:cs="仿宋"/>
          <w:sz w:val="24"/>
          <w:szCs w:val="24"/>
          <w:lang w:eastAsia="zh-CN"/>
        </w:rPr>
        <w:t>如果承包人提出的索赔未能遵守第80</w:t>
      </w:r>
      <w:r>
        <w:rPr>
          <w:rFonts w:ascii="仿宋" w:hAnsi="仿宋" w:eastAsia="仿宋" w:cs="仿宋"/>
          <w:sz w:val="24"/>
          <w:szCs w:val="24"/>
          <w:lang w:eastAsia="zh-CN"/>
        </w:rPr>
        <w:t>.2</w:t>
      </w:r>
      <w:r>
        <w:rPr>
          <w:rFonts w:hint="eastAsia" w:ascii="仿宋" w:hAnsi="仿宋" w:eastAsia="仿宋" w:cs="仿宋"/>
          <w:sz w:val="24"/>
          <w:szCs w:val="24"/>
          <w:lang w:eastAsia="zh-CN"/>
        </w:rPr>
        <w:t>款至第80</w:t>
      </w:r>
      <w:r>
        <w:rPr>
          <w:rFonts w:ascii="仿宋" w:hAnsi="仿宋" w:eastAsia="仿宋" w:cs="仿宋"/>
          <w:sz w:val="24"/>
          <w:szCs w:val="24"/>
          <w:lang w:eastAsia="zh-CN"/>
        </w:rPr>
        <w:t>.4</w:t>
      </w:r>
      <w:r>
        <w:rPr>
          <w:rFonts w:hint="eastAsia" w:ascii="仿宋" w:hAnsi="仿宋" w:eastAsia="仿宋" w:cs="仿宋"/>
          <w:sz w:val="24"/>
          <w:szCs w:val="24"/>
          <w:lang w:eastAsia="zh-CN"/>
        </w:rPr>
        <w:t>款约定，则承包人无权获得索赔或只限于获得由造价咨询人按照提供记录予以核实的部分款额。</w:t>
      </w:r>
    </w:p>
    <w:p w14:paraId="15496406">
      <w:pPr>
        <w:spacing w:line="400" w:lineRule="exact"/>
        <w:rPr>
          <w:rFonts w:ascii="仿宋" w:hAnsi="仿宋" w:eastAsia="仿宋"/>
          <w:b/>
          <w:bCs/>
          <w:lang w:eastAsia="zh-CN"/>
        </w:rPr>
      </w:pPr>
      <w:r>
        <w:rPr>
          <w:rFonts w:hint="eastAsia" w:ascii="仿宋" w:hAnsi="仿宋" w:eastAsia="仿宋" w:cs="仿宋"/>
          <w:b/>
          <w:bCs/>
          <w:lang w:eastAsia="zh-CN"/>
        </w:rPr>
        <w:t>80</w:t>
      </w:r>
      <w:r>
        <w:rPr>
          <w:rFonts w:ascii="仿宋" w:hAnsi="仿宋" w:eastAsia="仿宋" w:cs="仿宋"/>
          <w:b/>
          <w:bCs/>
          <w:lang w:eastAsia="zh-CN"/>
        </w:rPr>
        <w:t xml:space="preserve">.6  </w:t>
      </w:r>
      <w:r>
        <w:rPr>
          <w:rFonts w:ascii="仿宋" w:hAnsi="仿宋" w:eastAsia="仿宋" w:cs="仿宋"/>
          <w:b/>
          <w:bCs/>
          <w:u w:val="dotted"/>
          <w:lang w:eastAsia="zh-CN"/>
        </w:rPr>
        <w:t xml:space="preserve">                                                                               </w:t>
      </w:r>
    </w:p>
    <w:p w14:paraId="2CB5B7EC">
      <w:pPr>
        <w:pStyle w:val="22"/>
        <w:widowControl w:val="0"/>
        <w:adjustRightInd w:val="0"/>
        <w:snapToGrid w:val="0"/>
        <w:spacing w:line="400" w:lineRule="exact"/>
        <w:ind w:left="1850" w:leftChars="771"/>
        <w:jc w:val="both"/>
        <w:rPr>
          <w:rFonts w:ascii="仿宋" w:hAnsi="仿宋" w:eastAsia="仿宋"/>
          <w:b/>
          <w:bCs/>
          <w:sz w:val="24"/>
          <w:szCs w:val="24"/>
          <w:lang w:eastAsia="zh-CN"/>
        </w:rPr>
      </w:pPr>
      <w:r>
        <mc:AlternateContent>
          <mc:Choice Requires="wps">
            <w:drawing>
              <wp:anchor distT="0" distB="0" distL="114300" distR="114300" simplePos="0" relativeHeight="251890688" behindDoc="0" locked="0" layoutInCell="1" allowOverlap="1">
                <wp:simplePos x="0" y="0"/>
                <wp:positionH relativeFrom="column">
                  <wp:posOffset>-114300</wp:posOffset>
                </wp:positionH>
                <wp:positionV relativeFrom="paragraph">
                  <wp:posOffset>8255</wp:posOffset>
                </wp:positionV>
                <wp:extent cx="823595" cy="494665"/>
                <wp:effectExtent l="0" t="0" r="0" b="0"/>
                <wp:wrapNone/>
                <wp:docPr id="353" name="文本框 1008"/>
                <wp:cNvGraphicFramePr/>
                <a:graphic xmlns:a="http://schemas.openxmlformats.org/drawingml/2006/main">
                  <a:graphicData uri="http://schemas.microsoft.com/office/word/2010/wordprocessingShape">
                    <wps:wsp>
                      <wps:cNvSpPr txBox="1"/>
                      <wps:spPr>
                        <a:xfrm>
                          <a:off x="0" y="0"/>
                          <a:ext cx="823595" cy="494665"/>
                        </a:xfrm>
                        <a:prstGeom prst="rect">
                          <a:avLst/>
                        </a:prstGeom>
                        <a:noFill/>
                        <a:ln w="12700">
                          <a:noFill/>
                        </a:ln>
                      </wps:spPr>
                      <wps:txbx>
                        <w:txbxContent>
                          <w:p w14:paraId="52684D50">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核实费用索赔报告的限制</w:t>
                            </w:r>
                          </w:p>
                        </w:txbxContent>
                      </wps:txbx>
                      <wps:bodyPr rot="0" vert="horz" wrap="square" lIns="91440" tIns="45720" rIns="91440" bIns="45720" anchor="t" anchorCtr="0"/>
                    </wps:wsp>
                  </a:graphicData>
                </a:graphic>
              </wp:anchor>
            </w:drawing>
          </mc:Choice>
          <mc:Fallback>
            <w:pict>
              <v:shape id="文本框 1008" o:spid="_x0000_s1026" o:spt="202" type="#_x0000_t202" style="position:absolute;left:0pt;margin-left:-9pt;margin-top:0.65pt;height:38.95pt;width:64.85pt;z-index:251890688;mso-width-relative:page;mso-height-relative:page;" filled="f" stroked="f" coordsize="21600,21600" o:gfxdata="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nO&#10;yXnWAAAACAEAAA8AAAAAAAAAAQAgAAAAIgAAAGRycy9kb3ducmV2LnhtbFBLAQIUABQAAAAIAIdO&#10;4kCixW3R7AEAAL8DAAAOAAAAAAAAAAEAIAAAACUBAABkcnMvZTJvRG9jLnhtbFBLBQYAAAAABgAG&#10;AFkBAACDBQAAAAA=&#10;">
                <v:fill on="f" focussize="0,0"/>
                <v:stroke on="f" weight="1pt"/>
                <v:imagedata o:title=""/>
                <o:lock v:ext="edit" aspectratio="f"/>
                <v:textbox>
                  <w:txbxContent>
                    <w:p w14:paraId="52684D50">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核实费用索赔报告的限制</w:t>
                      </w:r>
                    </w:p>
                  </w:txbxContent>
                </v:textbox>
              </v:shape>
            </w:pict>
          </mc:Fallback>
        </mc:AlternateContent>
      </w:r>
      <w:r>
        <w:rPr>
          <w:rFonts w:hint="eastAsia" w:ascii="仿宋" w:hAnsi="仿宋" w:eastAsia="仿宋" w:cs="仿宋"/>
          <w:sz w:val="24"/>
          <w:szCs w:val="24"/>
          <w:lang w:eastAsia="zh-CN"/>
        </w:rPr>
        <w:t>造价咨询人应在收到承包人提交的费用索赔报告和有关资料后的</w:t>
      </w:r>
      <w:r>
        <w:rPr>
          <w:rFonts w:ascii="仿宋" w:hAnsi="仿宋" w:eastAsia="仿宋" w:cs="仿宋"/>
          <w:sz w:val="24"/>
          <w:szCs w:val="24"/>
          <w:lang w:eastAsia="zh-CN"/>
        </w:rPr>
        <w:t>28</w:t>
      </w:r>
      <w:r>
        <w:rPr>
          <w:rFonts w:hint="eastAsia" w:ascii="仿宋" w:hAnsi="仿宋" w:eastAsia="仿宋" w:cs="仿宋"/>
          <w:sz w:val="24"/>
          <w:szCs w:val="24"/>
          <w:lang w:eastAsia="zh-CN"/>
        </w:rPr>
        <w:t>天内予以核实或要求承包人进一步补充索赔理由和证据，并与合同双方当事人协商确定承包人有权获得的全部或部分的索赔款额；协商不能达成一致的，由造价咨询人暂定，通知承包人并抄报发包人。如果造价咨询人在约定期限内未予答复也未对承包人作出进一步要求，视为该费用索赔报告已经被认可。</w:t>
      </w:r>
    </w:p>
    <w:p w14:paraId="462FFED5">
      <w:pPr>
        <w:spacing w:line="400" w:lineRule="exact"/>
        <w:rPr>
          <w:rFonts w:ascii="仿宋" w:hAnsi="仿宋" w:eastAsia="仿宋"/>
          <w:b/>
          <w:bCs/>
          <w:lang w:eastAsia="zh-CN"/>
        </w:rPr>
      </w:pPr>
      <w:r>
        <w:rPr>
          <w:rFonts w:hint="eastAsia" w:ascii="仿宋" w:hAnsi="仿宋" w:eastAsia="仿宋" w:cs="仿宋"/>
          <w:b/>
          <w:bCs/>
          <w:lang w:eastAsia="zh-CN"/>
        </w:rPr>
        <w:t>80</w:t>
      </w:r>
      <w:r>
        <w:rPr>
          <w:rFonts w:ascii="仿宋" w:hAnsi="仿宋" w:eastAsia="仿宋" w:cs="仿宋"/>
          <w:b/>
          <w:bCs/>
          <w:lang w:eastAsia="zh-CN"/>
        </w:rPr>
        <w:t xml:space="preserve">.7  </w:t>
      </w:r>
      <w:r>
        <w:rPr>
          <w:rFonts w:ascii="仿宋" w:hAnsi="仿宋" w:eastAsia="仿宋" w:cs="仿宋"/>
          <w:b/>
          <w:bCs/>
          <w:u w:val="dotted"/>
          <w:lang w:eastAsia="zh-CN"/>
        </w:rPr>
        <w:t xml:space="preserve">                                                                               </w:t>
      </w:r>
    </w:p>
    <w:p w14:paraId="13F7795F">
      <w:pPr>
        <w:pStyle w:val="22"/>
        <w:widowControl w:val="0"/>
        <w:adjustRightInd w:val="0"/>
        <w:snapToGrid w:val="0"/>
        <w:spacing w:line="400" w:lineRule="exact"/>
        <w:ind w:left="1850" w:leftChars="771"/>
        <w:jc w:val="both"/>
        <w:rPr>
          <w:rFonts w:ascii="仿宋" w:hAnsi="仿宋" w:eastAsia="仿宋"/>
          <w:sz w:val="24"/>
          <w:szCs w:val="24"/>
          <w:lang w:eastAsia="zh-CN"/>
        </w:rPr>
      </w:pPr>
      <w:r>
        <mc:AlternateContent>
          <mc:Choice Requires="wps">
            <w:drawing>
              <wp:anchor distT="0" distB="0" distL="114300" distR="114300" simplePos="0" relativeHeight="251891712" behindDoc="0" locked="0" layoutInCell="1" allowOverlap="1">
                <wp:simplePos x="0" y="0"/>
                <wp:positionH relativeFrom="column">
                  <wp:posOffset>-114300</wp:posOffset>
                </wp:positionH>
                <wp:positionV relativeFrom="paragraph">
                  <wp:posOffset>38735</wp:posOffset>
                </wp:positionV>
                <wp:extent cx="589915" cy="325755"/>
                <wp:effectExtent l="0" t="0" r="0" b="0"/>
                <wp:wrapNone/>
                <wp:docPr id="354" name="文本框 1009"/>
                <wp:cNvGraphicFramePr/>
                <a:graphic xmlns:a="http://schemas.openxmlformats.org/drawingml/2006/main">
                  <a:graphicData uri="http://schemas.microsoft.com/office/word/2010/wordprocessingShape">
                    <wps:wsp>
                      <wps:cNvSpPr txBox="1"/>
                      <wps:spPr>
                        <a:xfrm>
                          <a:off x="0" y="0"/>
                          <a:ext cx="589915" cy="325755"/>
                        </a:xfrm>
                        <a:prstGeom prst="rect">
                          <a:avLst/>
                        </a:prstGeom>
                        <a:noFill/>
                        <a:ln w="12700">
                          <a:noFill/>
                        </a:ln>
                      </wps:spPr>
                      <wps:txbx>
                        <w:txbxContent>
                          <w:p w14:paraId="55A622B9">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wps:txbx>
                      <wps:bodyPr rot="0" vert="horz" wrap="square" lIns="91440" tIns="45720" rIns="91440" bIns="45720" anchor="t" anchorCtr="0"/>
                    </wps:wsp>
                  </a:graphicData>
                </a:graphic>
              </wp:anchor>
            </w:drawing>
          </mc:Choice>
          <mc:Fallback>
            <w:pict>
              <v:shape id="文本框 1009" o:spid="_x0000_s1026" o:spt="202" type="#_x0000_t202" style="position:absolute;left:0pt;margin-left:-9pt;margin-top:3.05pt;height:25.65pt;width:46.45pt;z-index:251891712;mso-width-relative:page;mso-height-relative:page;" filled="f" stroked="f" coordsize="21600,21600" o:gfxdata="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ef&#10;zK7XAAAABwEAAA8AAAAAAAAAAQAgAAAAIgAAAGRycy9kb3ducmV2LnhtbFBLAQIUABQAAAAIAIdO&#10;4kDrAXQf6wEAAL8DAAAOAAAAAAAAAAEAIAAAACYBAABkcnMvZTJvRG9jLnhtbFBLBQYAAAAABgAG&#10;AFkBAACDBQAAAAA=&#10;">
                <v:fill on="f" focussize="0,0"/>
                <v:stroke on="f" weight="1pt"/>
                <v:imagedata o:title=""/>
                <o:lock v:ext="edit" aspectratio="f"/>
                <v:textbox>
                  <w:txbxContent>
                    <w:p w14:paraId="55A622B9">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v:textbox>
              </v:shape>
            </w:pict>
          </mc:Fallback>
        </mc:AlternateContent>
      </w:r>
      <w:r>
        <w:rPr>
          <w:rFonts w:hint="eastAsia" w:ascii="仿宋" w:hAnsi="仿宋" w:eastAsia="仿宋" w:cs="仿宋"/>
          <w:sz w:val="24"/>
          <w:szCs w:val="24"/>
          <w:lang w:eastAsia="zh-CN"/>
        </w:rPr>
        <w:t>承包人未能按照合同约定履行各项义务或发生错误，给发包人造成损失，发包人可按照本条约定的时限和要求向承包人提出索赔。</w:t>
      </w:r>
    </w:p>
    <w:p w14:paraId="799AB62C">
      <w:pPr>
        <w:spacing w:line="400" w:lineRule="exact"/>
        <w:rPr>
          <w:rFonts w:ascii="仿宋" w:hAnsi="仿宋" w:eastAsia="仿宋"/>
          <w:b/>
          <w:bCs/>
          <w:lang w:eastAsia="zh-CN"/>
        </w:rPr>
      </w:pPr>
      <w:bookmarkStart w:id="632" w:name="_Toc16129"/>
      <w:r>
        <w:rPr>
          <w:rFonts w:hint="eastAsia" w:ascii="仿宋" w:hAnsi="仿宋" w:eastAsia="仿宋" w:cs="仿宋"/>
          <w:b/>
          <w:bCs/>
          <w:lang w:eastAsia="zh-CN"/>
        </w:rPr>
        <w:t>80</w:t>
      </w:r>
      <w:r>
        <w:rPr>
          <w:rFonts w:ascii="仿宋" w:hAnsi="仿宋" w:eastAsia="仿宋" w:cs="仿宋"/>
          <w:b/>
          <w:bCs/>
          <w:lang w:eastAsia="zh-CN"/>
        </w:rPr>
        <w:t>.8</w:t>
      </w:r>
      <w:bookmarkEnd w:id="632"/>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7F7927E8">
      <w:pPr>
        <w:pStyle w:val="22"/>
        <w:widowControl w:val="0"/>
        <w:adjustRightInd w:val="0"/>
        <w:snapToGrid w:val="0"/>
        <w:spacing w:line="400" w:lineRule="exact"/>
        <w:ind w:left="1850" w:leftChars="771"/>
        <w:rPr>
          <w:rFonts w:ascii="仿宋" w:hAnsi="仿宋" w:eastAsia="仿宋"/>
          <w:sz w:val="24"/>
          <w:szCs w:val="24"/>
          <w:lang w:eastAsia="zh-CN"/>
        </w:rPr>
      </w:pPr>
      <w:r>
        <mc:AlternateContent>
          <mc:Choice Requires="wps">
            <w:drawing>
              <wp:anchor distT="0" distB="0" distL="114300" distR="114300" simplePos="0" relativeHeight="251893760" behindDoc="0" locked="0" layoutInCell="1" allowOverlap="1">
                <wp:simplePos x="0" y="0"/>
                <wp:positionH relativeFrom="column">
                  <wp:posOffset>-114300</wp:posOffset>
                </wp:positionH>
                <wp:positionV relativeFrom="paragraph">
                  <wp:posOffset>18415</wp:posOffset>
                </wp:positionV>
                <wp:extent cx="775970" cy="487045"/>
                <wp:effectExtent l="0" t="0" r="0" b="0"/>
                <wp:wrapNone/>
                <wp:docPr id="355" name="文本框 1010"/>
                <wp:cNvGraphicFramePr/>
                <a:graphic xmlns:a="http://schemas.openxmlformats.org/drawingml/2006/main">
                  <a:graphicData uri="http://schemas.microsoft.com/office/word/2010/wordprocessingShape">
                    <wps:wsp>
                      <wps:cNvSpPr txBox="1"/>
                      <wps:spPr>
                        <a:xfrm>
                          <a:off x="0" y="0"/>
                          <a:ext cx="775970" cy="487045"/>
                        </a:xfrm>
                        <a:prstGeom prst="rect">
                          <a:avLst/>
                        </a:prstGeom>
                        <a:noFill/>
                        <a:ln w="12700">
                          <a:noFill/>
                        </a:ln>
                      </wps:spPr>
                      <wps:txbx>
                        <w:txbxContent>
                          <w:p w14:paraId="2E4714CB">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调整价格的确认与支付</w:t>
                            </w:r>
                          </w:p>
                        </w:txbxContent>
                      </wps:txbx>
                      <wps:bodyPr rot="0" vert="horz" wrap="square" lIns="91440" tIns="45720" rIns="91440" bIns="45720" anchor="t" anchorCtr="0"/>
                    </wps:wsp>
                  </a:graphicData>
                </a:graphic>
              </wp:anchor>
            </w:drawing>
          </mc:Choice>
          <mc:Fallback>
            <w:pict>
              <v:shape id="文本框 1010" o:spid="_x0000_s1026" o:spt="202" type="#_x0000_t202" style="position:absolute;left:0pt;margin-left:-9pt;margin-top:1.45pt;height:38.35pt;width:61.1pt;z-index:251893760;mso-width-relative:page;mso-height-relative:page;" filled="f" stroked="f" coordsize="21600,21600" o:gfxdata="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HQlgg&#10;1wAAAAgBAAAPAAAAAAAAAAEAIAAAACIAAABkcnMvZG93bnJldi54bWxQSwECFAAUAAAACACHTuJA&#10;lc+1cOkBAAC/AwAADgAAAAAAAAABACAAAAAmAQAAZHJzL2Uyb0RvYy54bWxQSwUGAAAAAAYABgBZ&#10;AQAAgQUAAAAA&#10;">
                <v:fill on="f" focussize="0,0"/>
                <v:stroke on="f" weight="1pt"/>
                <v:imagedata o:title=""/>
                <o:lock v:ext="edit" aspectratio="f"/>
                <v:textbox>
                  <w:txbxContent>
                    <w:p w14:paraId="2E4714CB">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调整价格的确认与支付</w:t>
                      </w:r>
                    </w:p>
                  </w:txbxContent>
                </v:textbox>
              </v:shape>
            </w:pict>
          </mc:Fallback>
        </mc:AlternateContent>
      </w:r>
      <w:r>
        <w:rPr>
          <w:rFonts w:hint="eastAsia" w:ascii="仿宋" w:hAnsi="仿宋" w:eastAsia="仿宋" w:cs="仿宋"/>
          <w:sz w:val="24"/>
          <w:szCs w:val="24"/>
          <w:lang w:eastAsia="zh-CN"/>
        </w:rPr>
        <w:t>费用索赔报告被认可，则表明该事项已索赔成功，合同双方当事人应确认由此引起调整的合同价格，并作为追加（减）合同价格，与工程进度款或结算款同期支付。</w:t>
      </w:r>
    </w:p>
    <w:p w14:paraId="2133AC8B">
      <w:pPr>
        <w:pStyle w:val="22"/>
        <w:adjustRightInd w:val="0"/>
        <w:snapToGrid w:val="0"/>
        <w:spacing w:line="400" w:lineRule="exact"/>
        <w:rPr>
          <w:rFonts w:ascii="仿宋" w:hAnsi="仿宋" w:eastAsia="仿宋" w:cs="仿宋"/>
          <w:b/>
          <w:bCs/>
          <w:sz w:val="24"/>
          <w:szCs w:val="24"/>
          <w:u w:val="single"/>
          <w:lang w:eastAsia="zh-CN"/>
        </w:rPr>
      </w:pPr>
      <w:r>
        <w:rPr>
          <w:rFonts w:ascii="仿宋" w:hAnsi="仿宋" w:eastAsia="仿宋" w:cs="仿宋"/>
          <w:b/>
          <w:bCs/>
          <w:sz w:val="24"/>
          <w:szCs w:val="24"/>
          <w:u w:val="single"/>
          <w:lang w:eastAsia="zh-CN"/>
        </w:rPr>
        <w:t xml:space="preserve">                                                                         </w:t>
      </w:r>
      <w:r>
        <w:rPr>
          <w:rFonts w:hint="eastAsia" w:ascii="仿宋" w:hAnsi="仿宋" w:eastAsia="仿宋" w:cs="仿宋"/>
          <w:b/>
          <w:bCs/>
          <w:sz w:val="24"/>
          <w:szCs w:val="24"/>
          <w:u w:val="single"/>
          <w:lang w:eastAsia="zh-CN"/>
        </w:rPr>
        <w:t xml:space="preserve">    </w:t>
      </w:r>
      <w:r>
        <w:rPr>
          <w:rFonts w:ascii="仿宋" w:hAnsi="仿宋" w:eastAsia="仿宋" w:cs="仿宋"/>
          <w:b/>
          <w:bCs/>
          <w:sz w:val="24"/>
          <w:szCs w:val="24"/>
          <w:u w:val="single"/>
          <w:lang w:eastAsia="zh-CN"/>
        </w:rPr>
        <w:t xml:space="preserve">        </w:t>
      </w:r>
    </w:p>
    <w:p w14:paraId="124665AE">
      <w:pPr>
        <w:pStyle w:val="4"/>
        <w:tabs>
          <w:tab w:val="left" w:pos="420"/>
        </w:tabs>
        <w:spacing w:before="0" w:after="0" w:line="400" w:lineRule="exact"/>
        <w:rPr>
          <w:rFonts w:ascii="仿宋" w:hAnsi="仿宋" w:eastAsia="仿宋" w:cs="仿宋"/>
          <w:bCs w:val="0"/>
          <w:sz w:val="24"/>
          <w:szCs w:val="24"/>
          <w:lang w:eastAsia="zh-CN"/>
        </w:rPr>
      </w:pPr>
      <w:bookmarkStart w:id="633" w:name="_Toc194073192"/>
      <w:bookmarkStart w:id="634" w:name="_Toc22194"/>
      <w:bookmarkStart w:id="635" w:name="_Toc14068"/>
      <w:bookmarkStart w:id="636" w:name="_Toc10622"/>
      <w:r>
        <w:rPr>
          <w:rFonts w:hint="eastAsia" w:ascii="仿宋" w:hAnsi="仿宋" w:eastAsia="仿宋" w:cs="仿宋"/>
          <w:bCs w:val="0"/>
          <w:sz w:val="24"/>
          <w:szCs w:val="24"/>
          <w:lang w:eastAsia="zh-CN"/>
        </w:rPr>
        <w:t>★81</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现场签证价格的确定</w:t>
      </w:r>
      <w:bookmarkEnd w:id="633"/>
      <w:bookmarkEnd w:id="634"/>
      <w:bookmarkEnd w:id="635"/>
      <w:bookmarkEnd w:id="636"/>
    </w:p>
    <w:p w14:paraId="5901867B">
      <w:pPr>
        <w:widowControl w:val="0"/>
        <w:spacing w:line="400" w:lineRule="exact"/>
        <w:rPr>
          <w:rFonts w:ascii="仿宋" w:hAnsi="仿宋" w:eastAsia="仿宋"/>
          <w:b/>
          <w:bCs/>
          <w:u w:val="dotted"/>
          <w:lang w:eastAsia="zh-CN"/>
        </w:rPr>
      </w:pPr>
      <w:bookmarkStart w:id="637" w:name="_Toc10855"/>
      <w:r>
        <w:rPr>
          <w:rFonts w:hint="eastAsia" w:ascii="仿宋" w:hAnsi="仿宋" w:eastAsia="仿宋" w:cs="仿宋"/>
          <w:b/>
          <w:bCs/>
          <w:lang w:eastAsia="zh-CN"/>
        </w:rPr>
        <w:t>81</w:t>
      </w:r>
      <w:r>
        <w:rPr>
          <w:rFonts w:ascii="仿宋" w:hAnsi="仿宋" w:eastAsia="仿宋" w:cs="仿宋"/>
          <w:b/>
          <w:bCs/>
          <w:lang w:eastAsia="zh-CN"/>
        </w:rPr>
        <w:t>.1</w:t>
      </w:r>
      <w:bookmarkEnd w:id="637"/>
    </w:p>
    <w:p w14:paraId="43038426">
      <w:pPr>
        <w:pStyle w:val="22"/>
        <w:widowControl w:val="0"/>
        <w:adjustRightInd w:val="0"/>
        <w:snapToGrid w:val="0"/>
        <w:spacing w:line="400" w:lineRule="exact"/>
        <w:ind w:left="1850" w:leftChars="771"/>
        <w:jc w:val="both"/>
        <w:rPr>
          <w:rFonts w:ascii="仿宋" w:hAnsi="仿宋" w:eastAsia="仿宋"/>
          <w:sz w:val="24"/>
          <w:szCs w:val="24"/>
          <w:lang w:eastAsia="zh-CN"/>
        </w:rPr>
      </w:pPr>
      <w:r>
        <mc:AlternateContent>
          <mc:Choice Requires="wps">
            <w:drawing>
              <wp:anchor distT="0" distB="0" distL="114300" distR="114300" simplePos="0" relativeHeight="251894784" behindDoc="0" locked="0" layoutInCell="1" allowOverlap="1">
                <wp:simplePos x="0" y="0"/>
                <wp:positionH relativeFrom="column">
                  <wp:posOffset>-114300</wp:posOffset>
                </wp:positionH>
                <wp:positionV relativeFrom="paragraph">
                  <wp:posOffset>69850</wp:posOffset>
                </wp:positionV>
                <wp:extent cx="785495" cy="389255"/>
                <wp:effectExtent l="0" t="0" r="0" b="0"/>
                <wp:wrapNone/>
                <wp:docPr id="356" name="文本框 1011"/>
                <wp:cNvGraphicFramePr/>
                <a:graphic xmlns:a="http://schemas.openxmlformats.org/drawingml/2006/main">
                  <a:graphicData uri="http://schemas.microsoft.com/office/word/2010/wordprocessingShape">
                    <wps:wsp>
                      <wps:cNvSpPr txBox="1"/>
                      <wps:spPr>
                        <a:xfrm>
                          <a:off x="0" y="0"/>
                          <a:ext cx="785495" cy="389255"/>
                        </a:xfrm>
                        <a:prstGeom prst="rect">
                          <a:avLst/>
                        </a:prstGeom>
                        <a:noFill/>
                        <a:ln w="12700">
                          <a:noFill/>
                        </a:ln>
                      </wps:spPr>
                      <wps:txbx>
                        <w:txbxContent>
                          <w:p w14:paraId="460C2D71">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现场签证的价格调整</w:t>
                            </w:r>
                          </w:p>
                          <w:p w14:paraId="2DACFBF9"/>
                        </w:txbxContent>
                      </wps:txbx>
                      <wps:bodyPr rot="0" vert="horz" wrap="square" lIns="91440" tIns="45720" rIns="91440" bIns="45720" anchor="t" anchorCtr="0"/>
                    </wps:wsp>
                  </a:graphicData>
                </a:graphic>
              </wp:anchor>
            </w:drawing>
          </mc:Choice>
          <mc:Fallback>
            <w:pict>
              <v:shape id="文本框 1011" o:spid="_x0000_s1026" o:spt="202" type="#_x0000_t202" style="position:absolute;left:0pt;margin-left:-9pt;margin-top:5.5pt;height:30.65pt;width:61.85pt;z-index:251894784;mso-width-relative:page;mso-height-relative:page;" filled="f" stroked="f" coordsize="21600,21600" o:gfxdata="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a&#10;N2JY1wAAAAkBAAAPAAAAAAAAAAEAIAAAACIAAABkcnMvZG93bnJldi54bWxQSwECFAAUAAAACACH&#10;TuJAWH/a/uwBAAC/AwAADgAAAAAAAAABACAAAAAmAQAAZHJzL2Uyb0RvYy54bWxQSwUGAAAAAAYA&#10;BgBZAQAAhAUAAAAA&#10;">
                <v:fill on="f" focussize="0,0"/>
                <v:stroke on="f" weight="1pt"/>
                <v:imagedata o:title=""/>
                <o:lock v:ext="edit" aspectratio="f"/>
                <v:textbox>
                  <w:txbxContent>
                    <w:p w14:paraId="460C2D71">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现场签证的价格调整</w:t>
                      </w:r>
                    </w:p>
                    <w:p w14:paraId="2DACFBF9"/>
                  </w:txbxContent>
                </v:textbox>
              </v:shape>
            </w:pict>
          </mc:Fallback>
        </mc:AlternateContent>
      </w:r>
      <w:r>
        <w:rPr>
          <w:rFonts w:hint="eastAsia" w:ascii="仿宋" w:hAnsi="仿宋" w:eastAsia="仿宋" w:cs="仿宋"/>
          <w:sz w:val="24"/>
          <w:szCs w:val="24"/>
          <w:lang w:eastAsia="zh-CN"/>
        </w:rPr>
        <w:t>合同履行期间，由于非承包人责任产生的现场签证费用，合同双方当事人应调整合同价格。</w:t>
      </w:r>
    </w:p>
    <w:p w14:paraId="327F01A0">
      <w:pPr>
        <w:spacing w:line="400" w:lineRule="exact"/>
        <w:rPr>
          <w:rFonts w:ascii="仿宋" w:hAnsi="仿宋" w:eastAsia="仿宋"/>
          <w:b/>
          <w:bCs/>
          <w:lang w:eastAsia="zh-CN"/>
        </w:rPr>
      </w:pPr>
      <w:bookmarkStart w:id="638" w:name="_Toc25531"/>
      <w:r>
        <w:rPr>
          <w:rFonts w:hint="eastAsia" w:ascii="仿宋" w:hAnsi="仿宋" w:eastAsia="仿宋" w:cs="仿宋"/>
          <w:b/>
          <w:bCs/>
          <w:lang w:eastAsia="zh-CN"/>
        </w:rPr>
        <w:t>81</w:t>
      </w:r>
      <w:r>
        <w:rPr>
          <w:rFonts w:ascii="仿宋" w:hAnsi="仿宋" w:eastAsia="仿宋" w:cs="仿宋"/>
          <w:b/>
          <w:bCs/>
          <w:lang w:eastAsia="zh-CN"/>
        </w:rPr>
        <w:t>.2</w:t>
      </w:r>
      <w:bookmarkEnd w:id="638"/>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689F9487">
      <w:pPr>
        <w:pStyle w:val="22"/>
        <w:adjustRightInd w:val="0"/>
        <w:snapToGrid w:val="0"/>
        <w:spacing w:line="400" w:lineRule="exact"/>
        <w:ind w:left="1848" w:leftChars="770" w:firstLine="1"/>
        <w:rPr>
          <w:rFonts w:ascii="仿宋" w:hAnsi="仿宋" w:eastAsia="仿宋"/>
          <w:sz w:val="24"/>
          <w:szCs w:val="24"/>
          <w:lang w:eastAsia="zh-CN"/>
        </w:rPr>
      </w:pPr>
      <w:r>
        <mc:AlternateContent>
          <mc:Choice Requires="wps">
            <w:drawing>
              <wp:anchor distT="0" distB="0" distL="114300" distR="114300" simplePos="0" relativeHeight="251895808" behindDoc="0" locked="0" layoutInCell="1" allowOverlap="1">
                <wp:simplePos x="0" y="0"/>
                <wp:positionH relativeFrom="column">
                  <wp:posOffset>-114300</wp:posOffset>
                </wp:positionH>
                <wp:positionV relativeFrom="paragraph">
                  <wp:posOffset>18415</wp:posOffset>
                </wp:positionV>
                <wp:extent cx="850900" cy="615315"/>
                <wp:effectExtent l="0" t="0" r="0" b="0"/>
                <wp:wrapNone/>
                <wp:docPr id="357" name="文本框 1012"/>
                <wp:cNvGraphicFramePr/>
                <a:graphic xmlns:a="http://schemas.openxmlformats.org/drawingml/2006/main">
                  <a:graphicData uri="http://schemas.microsoft.com/office/word/2010/wordprocessingShape">
                    <wps:wsp>
                      <wps:cNvSpPr txBox="1"/>
                      <wps:spPr>
                        <a:xfrm>
                          <a:off x="0" y="0"/>
                          <a:ext cx="850900" cy="615315"/>
                        </a:xfrm>
                        <a:prstGeom prst="rect">
                          <a:avLst/>
                        </a:prstGeom>
                        <a:noFill/>
                        <a:ln w="12700">
                          <a:noFill/>
                        </a:ln>
                      </wps:spPr>
                      <wps:txbx>
                        <w:txbxContent>
                          <w:p w14:paraId="3601BE67">
                            <w:pPr>
                              <w:pStyle w:val="16"/>
                              <w:spacing w:line="200" w:lineRule="exact"/>
                            </w:pPr>
                            <w:r>
                              <w:rPr>
                                <w:rFonts w:hint="eastAsia" w:ascii="楷体_GB2312" w:hAnsi="宋体" w:eastAsia="楷体_GB2312" w:cs="楷体_GB2312"/>
                                <w:b/>
                                <w:bCs/>
                                <w:color w:val="000000"/>
                                <w:sz w:val="18"/>
                                <w:szCs w:val="18"/>
                              </w:rPr>
                              <w:t>现场签证的提出</w:t>
                            </w:r>
                          </w:p>
                        </w:txbxContent>
                      </wps:txbx>
                      <wps:bodyPr rot="0" vert="horz" wrap="square" lIns="91440" tIns="45720" rIns="91440" bIns="45720" anchor="t" anchorCtr="0"/>
                    </wps:wsp>
                  </a:graphicData>
                </a:graphic>
              </wp:anchor>
            </w:drawing>
          </mc:Choice>
          <mc:Fallback>
            <w:pict>
              <v:shape id="文本框 1012" o:spid="_x0000_s1026" o:spt="202" type="#_x0000_t202" style="position:absolute;left:0pt;margin-left:-9pt;margin-top:1.45pt;height:48.45pt;width:67pt;z-index:251895808;mso-width-relative:page;mso-height-relative:page;" filled="f" stroked="f" coordsize="21600,21600" o:gfxdata="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1NntrW&#10;AAAACAEAAA8AAAAAAAAAAQAgAAAAIgAAAGRycy9kb3ducmV2LnhtbFBLAQIUABQAAAAIAIdO4kBh&#10;GsAH6QEAAL8DAAAOAAAAAAAAAAEAIAAAACUBAABkcnMvZTJvRG9jLnhtbFBLBQYAAAAABgAGAFkB&#10;AACABQAAAAA=&#10;">
                <v:fill on="f" focussize="0,0"/>
                <v:stroke on="f" weight="1pt"/>
                <v:imagedata o:title=""/>
                <o:lock v:ext="edit" aspectratio="f"/>
                <v:textbox>
                  <w:txbxContent>
                    <w:p w14:paraId="3601BE67">
                      <w:pPr>
                        <w:pStyle w:val="16"/>
                        <w:spacing w:line="200" w:lineRule="exact"/>
                      </w:pPr>
                      <w:r>
                        <w:rPr>
                          <w:rFonts w:hint="eastAsia" w:ascii="楷体_GB2312" w:hAnsi="宋体" w:eastAsia="楷体_GB2312" w:cs="楷体_GB2312"/>
                          <w:b/>
                          <w:bCs/>
                          <w:color w:val="000000"/>
                          <w:sz w:val="18"/>
                          <w:szCs w:val="18"/>
                        </w:rPr>
                        <w:t>现场签证的提出</w:t>
                      </w:r>
                    </w:p>
                  </w:txbxContent>
                </v:textbox>
              </v:shape>
            </w:pict>
          </mc:Fallback>
        </mc:AlternateContent>
      </w:r>
      <w:r>
        <w:rPr>
          <w:rFonts w:hint="eastAsia" w:ascii="仿宋" w:hAnsi="仿宋" w:eastAsia="仿宋" w:cs="仿宋"/>
          <w:sz w:val="24"/>
          <w:szCs w:val="24"/>
          <w:lang w:eastAsia="zh-CN"/>
        </w:rPr>
        <w:t>承包人应发包人要求完成合同以外的零星项目、非承包人责任事项等工作的，发包人应通知监理人及时以书面形式向承包人发出工作指令，提供所需的相关资料；承包人在收到监理人书面通知后，应及时向发包人提出现场签证要求。</w:t>
      </w:r>
    </w:p>
    <w:p w14:paraId="3732F052">
      <w:pPr>
        <w:spacing w:line="400" w:lineRule="exact"/>
        <w:rPr>
          <w:rFonts w:ascii="仿宋" w:hAnsi="仿宋" w:eastAsia="仿宋"/>
          <w:b/>
          <w:bCs/>
          <w:lang w:eastAsia="zh-CN"/>
        </w:rPr>
      </w:pPr>
      <w:bookmarkStart w:id="639" w:name="_Toc19460"/>
      <w:r>
        <w:rPr>
          <w:rFonts w:hint="eastAsia" w:ascii="仿宋" w:hAnsi="仿宋" w:eastAsia="仿宋" w:cs="仿宋"/>
          <w:b/>
          <w:bCs/>
          <w:lang w:eastAsia="zh-CN"/>
        </w:rPr>
        <w:t>81</w:t>
      </w:r>
      <w:r>
        <w:rPr>
          <w:rFonts w:ascii="仿宋" w:hAnsi="仿宋" w:eastAsia="仿宋" w:cs="仿宋"/>
          <w:b/>
          <w:bCs/>
          <w:lang w:eastAsia="zh-CN"/>
        </w:rPr>
        <w:t>.3</w:t>
      </w:r>
      <w:bookmarkEnd w:id="639"/>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6B68B88D">
      <w:pPr>
        <w:pStyle w:val="22"/>
        <w:widowControl w:val="0"/>
        <w:adjustRightInd w:val="0"/>
        <w:snapToGrid w:val="0"/>
        <w:spacing w:line="400" w:lineRule="exact"/>
        <w:ind w:left="1850" w:leftChars="771"/>
        <w:jc w:val="both"/>
        <w:rPr>
          <w:rFonts w:ascii="仿宋" w:hAnsi="仿宋" w:eastAsia="仿宋"/>
          <w:sz w:val="24"/>
          <w:szCs w:val="24"/>
          <w:lang w:eastAsia="zh-CN"/>
        </w:rPr>
      </w:pPr>
      <w:r>
        <mc:AlternateContent>
          <mc:Choice Requires="wps">
            <w:drawing>
              <wp:anchor distT="0" distB="0" distL="114300" distR="114300" simplePos="0" relativeHeight="251896832" behindDoc="0" locked="0" layoutInCell="1" allowOverlap="1">
                <wp:simplePos x="0" y="0"/>
                <wp:positionH relativeFrom="column">
                  <wp:posOffset>-114300</wp:posOffset>
                </wp:positionH>
                <wp:positionV relativeFrom="paragraph">
                  <wp:posOffset>5080</wp:posOffset>
                </wp:positionV>
                <wp:extent cx="804545" cy="530860"/>
                <wp:effectExtent l="0" t="0" r="0" b="0"/>
                <wp:wrapNone/>
                <wp:docPr id="358" name="文本框 1013"/>
                <wp:cNvGraphicFramePr/>
                <a:graphic xmlns:a="http://schemas.openxmlformats.org/drawingml/2006/main">
                  <a:graphicData uri="http://schemas.microsoft.com/office/word/2010/wordprocessingShape">
                    <wps:wsp>
                      <wps:cNvSpPr txBox="1"/>
                      <wps:spPr>
                        <a:xfrm>
                          <a:off x="0" y="0"/>
                          <a:ext cx="804545" cy="530860"/>
                        </a:xfrm>
                        <a:prstGeom prst="rect">
                          <a:avLst/>
                        </a:prstGeom>
                        <a:noFill/>
                        <a:ln w="12700">
                          <a:noFill/>
                        </a:ln>
                      </wps:spPr>
                      <wps:txbx>
                        <w:txbxContent>
                          <w:p w14:paraId="2EFCEA17">
                            <w:pPr>
                              <w:pStyle w:val="16"/>
                              <w:spacing w:line="200" w:lineRule="exact"/>
                            </w:pPr>
                            <w:r>
                              <w:rPr>
                                <w:rFonts w:hint="eastAsia" w:ascii="楷体_GB2312" w:hAnsi="宋体" w:eastAsia="楷体_GB2312" w:cs="楷体_GB2312"/>
                                <w:b/>
                                <w:bCs/>
                                <w:color w:val="000000"/>
                                <w:sz w:val="18"/>
                                <w:szCs w:val="18"/>
                              </w:rPr>
                              <w:t>现场签证报告的确认</w:t>
                            </w:r>
                          </w:p>
                        </w:txbxContent>
                      </wps:txbx>
                      <wps:bodyPr rot="0" vert="horz" wrap="square" lIns="91440" tIns="45720" rIns="91440" bIns="45720" anchor="t" anchorCtr="0"/>
                    </wps:wsp>
                  </a:graphicData>
                </a:graphic>
              </wp:anchor>
            </w:drawing>
          </mc:Choice>
          <mc:Fallback>
            <w:pict>
              <v:shape id="文本框 1013" o:spid="_x0000_s1026" o:spt="202" type="#_x0000_t202" style="position:absolute;left:0pt;margin-left:-9pt;margin-top:0.4pt;height:41.8pt;width:63.35pt;z-index:251896832;mso-width-relative:page;mso-height-relative:page;" filled="f" stroked="f" coordsize="21600,21600" o:gfxdata="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Cp&#10;g9TVAAAABwEAAA8AAAAAAAAAAQAgAAAAIgAAAGRycy9kb3ducmV2LnhtbFBLAQIUABQAAAAIAIdO&#10;4kATSXah7QEAAL8DAAAOAAAAAAAAAAEAIAAAACQBAABkcnMvZTJvRG9jLnhtbFBLBQYAAAAABgAG&#10;AFkBAACDBQAAAAA=&#10;">
                <v:fill on="f" focussize="0,0"/>
                <v:stroke on="f" weight="1pt"/>
                <v:imagedata o:title=""/>
                <o:lock v:ext="edit" aspectratio="f"/>
                <v:textbox>
                  <w:txbxContent>
                    <w:p w14:paraId="2EFCEA17">
                      <w:pPr>
                        <w:pStyle w:val="16"/>
                        <w:spacing w:line="200" w:lineRule="exact"/>
                      </w:pPr>
                      <w:r>
                        <w:rPr>
                          <w:rFonts w:hint="eastAsia" w:ascii="楷体_GB2312" w:hAnsi="宋体" w:eastAsia="楷体_GB2312" w:cs="楷体_GB2312"/>
                          <w:b/>
                          <w:bCs/>
                          <w:color w:val="000000"/>
                          <w:sz w:val="18"/>
                          <w:szCs w:val="18"/>
                        </w:rPr>
                        <w:t>现场签证报告的确认</w:t>
                      </w:r>
                    </w:p>
                  </w:txbxContent>
                </v:textbox>
              </v:shape>
            </w:pict>
          </mc:Fallback>
        </mc:AlternateContent>
      </w:r>
      <w:r>
        <w:rPr>
          <w:rFonts w:hint="eastAsia" w:ascii="仿宋" w:hAnsi="仿宋" w:eastAsia="仿宋" w:cs="仿宋"/>
          <w:sz w:val="24"/>
          <w:szCs w:val="24"/>
          <w:lang w:eastAsia="zh-CN"/>
        </w:rPr>
        <w:t>除专用条款另有约定外，承包人应在收到监理人书面通知后的</w:t>
      </w:r>
      <w:r>
        <w:rPr>
          <w:rFonts w:ascii="仿宋" w:hAnsi="仿宋" w:eastAsia="仿宋" w:cs="仿宋"/>
          <w:sz w:val="24"/>
          <w:szCs w:val="24"/>
          <w:lang w:eastAsia="zh-CN"/>
        </w:rPr>
        <w:t>7</w:t>
      </w:r>
      <w:r>
        <w:rPr>
          <w:rFonts w:hint="eastAsia" w:ascii="仿宋" w:hAnsi="仿宋" w:eastAsia="仿宋" w:cs="仿宋"/>
          <w:sz w:val="24"/>
          <w:szCs w:val="24"/>
          <w:lang w:eastAsia="zh-CN"/>
        </w:rPr>
        <w:t>天内，向发包人提交现场签证报告，并抄送监理人、造价咨询人。发包人在收到承包人的现场签证报告后，应通知监理人、造价咨询人对报告内容予以核实，并在收到现场签证报告后的</w:t>
      </w:r>
      <w:r>
        <w:rPr>
          <w:rFonts w:ascii="仿宋" w:hAnsi="仿宋" w:eastAsia="仿宋" w:cs="仿宋"/>
          <w:sz w:val="24"/>
          <w:szCs w:val="24"/>
          <w:lang w:eastAsia="zh-CN"/>
        </w:rPr>
        <w:t>48</w:t>
      </w:r>
      <w:r>
        <w:rPr>
          <w:rFonts w:hint="eastAsia" w:ascii="仿宋" w:hAnsi="仿宋" w:eastAsia="仿宋" w:cs="仿宋"/>
          <w:sz w:val="24"/>
          <w:szCs w:val="24"/>
          <w:lang w:eastAsia="zh-CN"/>
        </w:rPr>
        <w:t>小时内予以确认或提出修改意见。发包人在收到承包人现场签证报告后的</w:t>
      </w:r>
      <w:r>
        <w:rPr>
          <w:rFonts w:ascii="仿宋" w:hAnsi="仿宋" w:eastAsia="仿宋" w:cs="仿宋"/>
          <w:sz w:val="24"/>
          <w:szCs w:val="24"/>
          <w:lang w:eastAsia="zh-CN"/>
        </w:rPr>
        <w:t>48</w:t>
      </w:r>
      <w:r>
        <w:rPr>
          <w:rFonts w:hint="eastAsia" w:ascii="仿宋" w:hAnsi="仿宋" w:eastAsia="仿宋" w:cs="仿宋"/>
          <w:sz w:val="24"/>
          <w:szCs w:val="24"/>
          <w:lang w:eastAsia="zh-CN"/>
        </w:rPr>
        <w:t>小时内未确认也未提出修改意见的，视为承包人提交的现场签证报告已被认可。</w:t>
      </w:r>
    </w:p>
    <w:p w14:paraId="52B4C2D6">
      <w:pPr>
        <w:spacing w:line="400" w:lineRule="exact"/>
        <w:rPr>
          <w:rFonts w:ascii="仿宋" w:hAnsi="仿宋" w:eastAsia="仿宋"/>
          <w:b/>
          <w:bCs/>
          <w:lang w:eastAsia="zh-CN"/>
        </w:rPr>
      </w:pPr>
      <w:r>
        <w:rPr>
          <w:rFonts w:hint="eastAsia" w:ascii="仿宋" w:hAnsi="仿宋" w:eastAsia="仿宋" w:cs="仿宋"/>
          <w:b/>
          <w:bCs/>
          <w:lang w:eastAsia="zh-CN"/>
        </w:rPr>
        <w:t>81</w:t>
      </w:r>
      <w:r>
        <w:rPr>
          <w:rFonts w:ascii="仿宋" w:hAnsi="仿宋" w:eastAsia="仿宋" w:cs="仿宋"/>
          <w:b/>
          <w:bCs/>
          <w:lang w:eastAsia="zh-CN"/>
        </w:rPr>
        <w:t xml:space="preserve">.4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6C4BEF1A">
      <w:pPr>
        <w:pStyle w:val="22"/>
        <w:widowControl w:val="0"/>
        <w:adjustRightInd w:val="0"/>
        <w:snapToGrid w:val="0"/>
        <w:spacing w:line="400" w:lineRule="exact"/>
        <w:ind w:left="1850" w:leftChars="771"/>
        <w:jc w:val="both"/>
        <w:rPr>
          <w:rFonts w:ascii="仿宋" w:hAnsi="仿宋" w:eastAsia="仿宋"/>
          <w:sz w:val="24"/>
          <w:szCs w:val="24"/>
          <w:lang w:eastAsia="zh-CN"/>
        </w:rPr>
      </w:pPr>
      <w:r>
        <mc:AlternateContent>
          <mc:Choice Requires="wps">
            <w:drawing>
              <wp:anchor distT="0" distB="0" distL="114300" distR="114300" simplePos="0" relativeHeight="251897856" behindDoc="0" locked="0" layoutInCell="1" allowOverlap="1">
                <wp:simplePos x="0" y="0"/>
                <wp:positionH relativeFrom="column">
                  <wp:posOffset>-114300</wp:posOffset>
                </wp:positionH>
                <wp:positionV relativeFrom="paragraph">
                  <wp:posOffset>34290</wp:posOffset>
                </wp:positionV>
                <wp:extent cx="813435" cy="530860"/>
                <wp:effectExtent l="0" t="0" r="0" b="0"/>
                <wp:wrapNone/>
                <wp:docPr id="359" name="文本框 1014"/>
                <wp:cNvGraphicFramePr/>
                <a:graphic xmlns:a="http://schemas.openxmlformats.org/drawingml/2006/main">
                  <a:graphicData uri="http://schemas.microsoft.com/office/word/2010/wordprocessingShape">
                    <wps:wsp>
                      <wps:cNvSpPr txBox="1"/>
                      <wps:spPr>
                        <a:xfrm>
                          <a:off x="0" y="0"/>
                          <a:ext cx="813435" cy="530860"/>
                        </a:xfrm>
                        <a:prstGeom prst="rect">
                          <a:avLst/>
                        </a:prstGeom>
                        <a:noFill/>
                        <a:ln w="12700">
                          <a:noFill/>
                        </a:ln>
                      </wps:spPr>
                      <wps:txbx>
                        <w:txbxContent>
                          <w:p w14:paraId="77FF3A55">
                            <w:pPr>
                              <w:pStyle w:val="16"/>
                              <w:spacing w:line="200" w:lineRule="exact"/>
                            </w:pPr>
                            <w:r>
                              <w:rPr>
                                <w:rFonts w:hint="eastAsia" w:ascii="楷体_GB2312" w:hAnsi="宋体" w:eastAsia="楷体_GB2312" w:cs="楷体_GB2312"/>
                                <w:b/>
                                <w:bCs/>
                                <w:color w:val="000000"/>
                                <w:sz w:val="18"/>
                                <w:szCs w:val="18"/>
                              </w:rPr>
                              <w:t>现场签证的要求</w:t>
                            </w:r>
                          </w:p>
                          <w:p w14:paraId="2BAB829D"/>
                        </w:txbxContent>
                      </wps:txbx>
                      <wps:bodyPr rot="0" vert="horz" wrap="square" lIns="91440" tIns="45720" rIns="91440" bIns="45720" anchor="t" anchorCtr="0"/>
                    </wps:wsp>
                  </a:graphicData>
                </a:graphic>
              </wp:anchor>
            </w:drawing>
          </mc:Choice>
          <mc:Fallback>
            <w:pict>
              <v:shape id="文本框 1014" o:spid="_x0000_s1026" o:spt="202" type="#_x0000_t202" style="position:absolute;left:0pt;margin-left:-9pt;margin-top:2.7pt;height:41.8pt;width:64.05pt;z-index:251897856;mso-width-relative:page;mso-height-relative:page;" filled="f" stroked="f" coordsize="21600,21600" o:gfxdata="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GpJnztcAAAAIAQAADwAAAAAAAAABACAAAAAiAAAAZHJzL2Rvd25yZXYueG1sUEsBAhQAFAAAAAgA&#10;h07iQPy9yVHtAQAAvwMAAA4AAAAAAAAAAQAgAAAAJgEAAGRycy9lMm9Eb2MueG1sUEsFBgAAAAAG&#10;AAYAWQEAAIUFAAAAAA==&#10;">
                <v:fill on="f" focussize="0,0"/>
                <v:stroke on="f" weight="1pt"/>
                <v:imagedata o:title=""/>
                <o:lock v:ext="edit" aspectratio="f"/>
                <v:textbox>
                  <w:txbxContent>
                    <w:p w14:paraId="77FF3A55">
                      <w:pPr>
                        <w:pStyle w:val="16"/>
                        <w:spacing w:line="200" w:lineRule="exact"/>
                      </w:pPr>
                      <w:r>
                        <w:rPr>
                          <w:rFonts w:hint="eastAsia" w:ascii="楷体_GB2312" w:hAnsi="宋体" w:eastAsia="楷体_GB2312" w:cs="楷体_GB2312"/>
                          <w:b/>
                          <w:bCs/>
                          <w:color w:val="000000"/>
                          <w:sz w:val="18"/>
                          <w:szCs w:val="18"/>
                        </w:rPr>
                        <w:t>现场签证的要求</w:t>
                      </w:r>
                    </w:p>
                    <w:p w14:paraId="2BAB829D"/>
                  </w:txbxContent>
                </v:textbox>
              </v:shape>
            </w:pict>
          </mc:Fallback>
        </mc:AlternateContent>
      </w:r>
      <w:r>
        <w:rPr>
          <w:rFonts w:hint="eastAsia" w:ascii="仿宋" w:hAnsi="仿宋" w:eastAsia="仿宋" w:cs="仿宋"/>
          <w:sz w:val="24"/>
          <w:szCs w:val="24"/>
          <w:lang w:eastAsia="zh-CN"/>
        </w:rPr>
        <w:t>计日工有相应单价或合同中有适用单价的项目，合同双方当事人仅在现场签证报告中列明完成该类项目所需的人工、工程材料、工程设备和施工设备机械台班的数量。</w:t>
      </w:r>
    </w:p>
    <w:p w14:paraId="16415C58">
      <w:pPr>
        <w:pStyle w:val="22"/>
        <w:adjustRightInd w:val="0"/>
        <w:snapToGrid w:val="0"/>
        <w:spacing w:line="400" w:lineRule="exact"/>
        <w:ind w:left="1850" w:leftChars="771"/>
        <w:rPr>
          <w:rFonts w:ascii="仿宋" w:hAnsi="仿宋" w:eastAsia="仿宋"/>
          <w:sz w:val="24"/>
          <w:szCs w:val="24"/>
          <w:lang w:eastAsia="zh-CN"/>
        </w:rPr>
      </w:pPr>
      <w:r>
        <w:rPr>
          <w:rFonts w:hint="eastAsia" w:ascii="仿宋" w:hAnsi="仿宋" w:eastAsia="仿宋" w:cs="仿宋"/>
          <w:sz w:val="24"/>
          <w:szCs w:val="24"/>
          <w:lang w:eastAsia="zh-CN"/>
        </w:rPr>
        <w:t>计日工没有相应单价或合同中没有适用单价的项目，合同双方当事人应在现场签证报告中列明完成这类项目所需的人工、工程材料、工程设备和施工设备机械台班的数量和单价。</w:t>
      </w:r>
    </w:p>
    <w:p w14:paraId="4E4447A3">
      <w:pPr>
        <w:spacing w:line="400" w:lineRule="exact"/>
        <w:rPr>
          <w:rFonts w:ascii="仿宋" w:hAnsi="仿宋" w:eastAsia="仿宋"/>
          <w:b/>
          <w:bCs/>
          <w:lang w:eastAsia="zh-CN"/>
        </w:rPr>
      </w:pPr>
      <w:bookmarkStart w:id="640" w:name="_Toc15503"/>
      <w:r>
        <w:rPr>
          <w:rFonts w:hint="eastAsia" w:ascii="仿宋" w:hAnsi="仿宋" w:eastAsia="仿宋" w:cs="仿宋"/>
          <w:b/>
          <w:bCs/>
          <w:lang w:eastAsia="zh-CN"/>
        </w:rPr>
        <w:t>81</w:t>
      </w:r>
      <w:r>
        <w:rPr>
          <w:rFonts w:ascii="仿宋" w:hAnsi="仿宋" w:eastAsia="仿宋" w:cs="仿宋"/>
          <w:b/>
          <w:bCs/>
          <w:lang w:eastAsia="zh-CN"/>
        </w:rPr>
        <w:t>.5</w:t>
      </w:r>
      <w:bookmarkEnd w:id="640"/>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5A70C126">
      <w:pPr>
        <w:pStyle w:val="22"/>
        <w:widowControl w:val="0"/>
        <w:adjustRightInd w:val="0"/>
        <w:snapToGrid w:val="0"/>
        <w:spacing w:line="400" w:lineRule="exact"/>
        <w:ind w:left="1850" w:leftChars="771"/>
        <w:jc w:val="both"/>
        <w:rPr>
          <w:rFonts w:ascii="仿宋" w:hAnsi="仿宋" w:eastAsia="仿宋"/>
          <w:sz w:val="24"/>
          <w:szCs w:val="24"/>
          <w:lang w:eastAsia="zh-CN"/>
        </w:rPr>
      </w:pPr>
      <w:r>
        <mc:AlternateContent>
          <mc:Choice Requires="wps">
            <w:drawing>
              <wp:anchor distT="0" distB="0" distL="114300" distR="114300" simplePos="0" relativeHeight="251898880" behindDoc="0" locked="0" layoutInCell="1" allowOverlap="1">
                <wp:simplePos x="0" y="0"/>
                <wp:positionH relativeFrom="column">
                  <wp:posOffset>-114300</wp:posOffset>
                </wp:positionH>
                <wp:positionV relativeFrom="paragraph">
                  <wp:posOffset>77470</wp:posOffset>
                </wp:positionV>
                <wp:extent cx="823595" cy="492760"/>
                <wp:effectExtent l="0" t="0" r="0" b="0"/>
                <wp:wrapNone/>
                <wp:docPr id="360" name="文本框 1015"/>
                <wp:cNvGraphicFramePr/>
                <a:graphic xmlns:a="http://schemas.openxmlformats.org/drawingml/2006/main">
                  <a:graphicData uri="http://schemas.microsoft.com/office/word/2010/wordprocessingShape">
                    <wps:wsp>
                      <wps:cNvSpPr txBox="1"/>
                      <wps:spPr>
                        <a:xfrm>
                          <a:off x="0" y="0"/>
                          <a:ext cx="823595" cy="492760"/>
                        </a:xfrm>
                        <a:prstGeom prst="rect">
                          <a:avLst/>
                        </a:prstGeom>
                        <a:noFill/>
                        <a:ln w="12700">
                          <a:noFill/>
                        </a:ln>
                      </wps:spPr>
                      <wps:txbx>
                        <w:txbxContent>
                          <w:p w14:paraId="12146AA7">
                            <w:pPr>
                              <w:pStyle w:val="16"/>
                              <w:spacing w:line="200" w:lineRule="exact"/>
                              <w:rPr>
                                <w:rFonts w:eastAsia="楷体_GB2312"/>
                                <w:b/>
                                <w:bCs/>
                                <w:sz w:val="18"/>
                                <w:szCs w:val="18"/>
                              </w:rPr>
                            </w:pPr>
                            <w:r>
                              <w:rPr>
                                <w:rFonts w:hint="eastAsia" w:ascii="楷体_GB2312" w:hAnsi="宋体" w:eastAsia="楷体_GB2312" w:cs="楷体_GB2312"/>
                                <w:b/>
                                <w:bCs/>
                                <w:color w:val="000000"/>
                                <w:sz w:val="18"/>
                                <w:szCs w:val="18"/>
                              </w:rPr>
                              <w:t>现场签证工作的实施</w:t>
                            </w:r>
                          </w:p>
                          <w:p w14:paraId="06875073"/>
                        </w:txbxContent>
                      </wps:txbx>
                      <wps:bodyPr rot="0" vert="horz" wrap="square" lIns="91440" tIns="45720" rIns="91440" bIns="45720" anchor="t" anchorCtr="0"/>
                    </wps:wsp>
                  </a:graphicData>
                </a:graphic>
              </wp:anchor>
            </w:drawing>
          </mc:Choice>
          <mc:Fallback>
            <w:pict>
              <v:shape id="文本框 1015" o:spid="_x0000_s1026" o:spt="202" type="#_x0000_t202" style="position:absolute;left:0pt;margin-left:-9pt;margin-top:6.1pt;height:38.8pt;width:64.85pt;z-index:251898880;mso-width-relative:page;mso-height-relative:page;" filled="f" stroked="f" coordsize="21600,21600" o:gfxdata="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OwXT&#10;QtYAAAAJAQAADwAAAAAAAAABACAAAAAiAAAAZHJzL2Rvd25yZXYueG1sUEsBAhQAFAAAAAgAh07i&#10;QE217RjrAQAAvwMAAA4AAAAAAAAAAQAgAAAAJQEAAGRycy9lMm9Eb2MueG1sUEsFBgAAAAAGAAYA&#10;WQEAAIIFAAAAAA==&#10;">
                <v:fill on="f" focussize="0,0"/>
                <v:stroke on="f" weight="1pt"/>
                <v:imagedata o:title=""/>
                <o:lock v:ext="edit" aspectratio="f"/>
                <v:textbox>
                  <w:txbxContent>
                    <w:p w14:paraId="12146AA7">
                      <w:pPr>
                        <w:pStyle w:val="16"/>
                        <w:spacing w:line="200" w:lineRule="exact"/>
                        <w:rPr>
                          <w:rFonts w:eastAsia="楷体_GB2312"/>
                          <w:b/>
                          <w:bCs/>
                          <w:sz w:val="18"/>
                          <w:szCs w:val="18"/>
                        </w:rPr>
                      </w:pPr>
                      <w:r>
                        <w:rPr>
                          <w:rFonts w:hint="eastAsia" w:ascii="楷体_GB2312" w:hAnsi="宋体" w:eastAsia="楷体_GB2312" w:cs="楷体_GB2312"/>
                          <w:b/>
                          <w:bCs/>
                          <w:color w:val="000000"/>
                          <w:sz w:val="18"/>
                          <w:szCs w:val="18"/>
                        </w:rPr>
                        <w:t>现场签证工作的实施</w:t>
                      </w:r>
                    </w:p>
                    <w:p w14:paraId="06875073"/>
                  </w:txbxContent>
                </v:textbox>
              </v:shape>
            </w:pict>
          </mc:Fallback>
        </mc:AlternateContent>
      </w:r>
      <w:r>
        <w:rPr>
          <w:rFonts w:hint="eastAsia" w:ascii="仿宋" w:hAnsi="仿宋" w:eastAsia="仿宋" w:cs="仿宋"/>
          <w:sz w:val="24"/>
          <w:szCs w:val="24"/>
          <w:lang w:eastAsia="zh-CN"/>
        </w:rPr>
        <w:t>承包人应在发包人确认现场签证报告后的</w:t>
      </w:r>
      <w:r>
        <w:rPr>
          <w:rFonts w:ascii="仿宋" w:hAnsi="仿宋" w:eastAsia="仿宋" w:cs="仿宋"/>
          <w:sz w:val="24"/>
          <w:szCs w:val="24"/>
          <w:lang w:eastAsia="zh-CN"/>
        </w:rPr>
        <w:t>48</w:t>
      </w:r>
      <w:r>
        <w:rPr>
          <w:rFonts w:hint="eastAsia" w:ascii="仿宋" w:hAnsi="仿宋" w:eastAsia="仿宋" w:cs="仿宋"/>
          <w:sz w:val="24"/>
          <w:szCs w:val="24"/>
          <w:lang w:eastAsia="zh-CN"/>
        </w:rPr>
        <w:t>小时内，按照监理人发出的工作指令及时组织实施相关工作。否则，由此引起的损失和（或）延误的工期由承包人承担。</w:t>
      </w:r>
    </w:p>
    <w:p w14:paraId="7E7E6E9A">
      <w:pPr>
        <w:spacing w:line="400" w:lineRule="exact"/>
        <w:rPr>
          <w:rFonts w:ascii="仿宋" w:hAnsi="仿宋" w:eastAsia="仿宋" w:cs="仿宋"/>
          <w:b/>
          <w:bCs/>
          <w:u w:val="dotted"/>
          <w:lang w:eastAsia="zh-CN"/>
        </w:rPr>
      </w:pPr>
      <w:r>
        <w:rPr>
          <w:rFonts w:hint="eastAsia" w:ascii="仿宋" w:hAnsi="仿宋" w:eastAsia="仿宋" w:cs="仿宋"/>
          <w:b/>
          <w:bCs/>
          <w:lang w:eastAsia="zh-CN"/>
        </w:rPr>
        <w:t>81</w:t>
      </w:r>
      <w:r>
        <w:rPr>
          <w:rFonts w:ascii="仿宋" w:hAnsi="仿宋" w:eastAsia="仿宋" w:cs="仿宋"/>
          <w:b/>
          <w:bCs/>
          <w:lang w:eastAsia="zh-CN"/>
        </w:rPr>
        <w:t xml:space="preserve">.6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3653F515">
      <w:pPr>
        <w:pStyle w:val="22"/>
        <w:adjustRightInd w:val="0"/>
        <w:snapToGrid w:val="0"/>
        <w:spacing w:line="400" w:lineRule="exact"/>
        <w:ind w:left="1850" w:leftChars="771"/>
        <w:rPr>
          <w:rFonts w:ascii="仿宋" w:hAnsi="仿宋" w:eastAsia="仿宋"/>
          <w:sz w:val="24"/>
          <w:szCs w:val="24"/>
          <w:lang w:eastAsia="zh-CN"/>
        </w:rPr>
      </w:pPr>
      <w:r>
        <mc:AlternateContent>
          <mc:Choice Requires="wps">
            <w:drawing>
              <wp:anchor distT="0" distB="0" distL="114300" distR="114300" simplePos="0" relativeHeight="251899904" behindDoc="0" locked="0" layoutInCell="1" allowOverlap="1">
                <wp:simplePos x="0" y="0"/>
                <wp:positionH relativeFrom="column">
                  <wp:posOffset>-114300</wp:posOffset>
                </wp:positionH>
                <wp:positionV relativeFrom="paragraph">
                  <wp:posOffset>77470</wp:posOffset>
                </wp:positionV>
                <wp:extent cx="785495" cy="425450"/>
                <wp:effectExtent l="0" t="0" r="0" b="0"/>
                <wp:wrapNone/>
                <wp:docPr id="361" name="文本框 1016"/>
                <wp:cNvGraphicFramePr/>
                <a:graphic xmlns:a="http://schemas.openxmlformats.org/drawingml/2006/main">
                  <a:graphicData uri="http://schemas.microsoft.com/office/word/2010/wordprocessingShape">
                    <wps:wsp>
                      <wps:cNvSpPr txBox="1"/>
                      <wps:spPr>
                        <a:xfrm>
                          <a:off x="0" y="0"/>
                          <a:ext cx="785495" cy="425450"/>
                        </a:xfrm>
                        <a:prstGeom prst="rect">
                          <a:avLst/>
                        </a:prstGeom>
                        <a:noFill/>
                        <a:ln w="12700">
                          <a:noFill/>
                        </a:ln>
                      </wps:spPr>
                      <wps:txbx>
                        <w:txbxContent>
                          <w:p w14:paraId="6F2CFCAB">
                            <w:r>
                              <w:rPr>
                                <w:rFonts w:hint="eastAsia" w:ascii="楷体_GB2312" w:hAnsi="宋体" w:eastAsia="楷体_GB2312" w:cs="楷体_GB2312"/>
                                <w:b/>
                                <w:bCs/>
                                <w:color w:val="000000"/>
                                <w:sz w:val="18"/>
                                <w:szCs w:val="18"/>
                              </w:rPr>
                              <w:t>现场签证的限制</w:t>
                            </w:r>
                          </w:p>
                        </w:txbxContent>
                      </wps:txbx>
                      <wps:bodyPr rot="0" vert="horz" wrap="square" lIns="91440" tIns="45720" rIns="91440" bIns="45720" anchor="t" anchorCtr="0"/>
                    </wps:wsp>
                  </a:graphicData>
                </a:graphic>
              </wp:anchor>
            </w:drawing>
          </mc:Choice>
          <mc:Fallback>
            <w:pict>
              <v:shape id="文本框 1016" o:spid="_x0000_s1026" o:spt="202" type="#_x0000_t202" style="position:absolute;left:0pt;margin-left:-9pt;margin-top:6.1pt;height:33.5pt;width:61.85pt;z-index:251899904;mso-width-relative:page;mso-height-relative:page;" filled="f" stroked="f" coordsize="21600,21600" o:gfxdata="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MbwDFtcAAAAJAQAADwAAAAAAAAABACAAAAAiAAAAZHJzL2Rvd25yZXYueG1sUEsBAhQAFAAAAAgA&#10;h07iQFE0NSrtAQAAvwMAAA4AAAAAAAAAAQAgAAAAJgEAAGRycy9lMm9Eb2MueG1sUEsFBgAAAAAG&#10;AAYAWQEAAIUFAAAAAA==&#10;">
                <v:fill on="f" focussize="0,0"/>
                <v:stroke on="f" weight="1pt"/>
                <v:imagedata o:title=""/>
                <o:lock v:ext="edit" aspectratio="f"/>
                <v:textbox>
                  <w:txbxContent>
                    <w:p w14:paraId="6F2CFCAB">
                      <w:r>
                        <w:rPr>
                          <w:rFonts w:hint="eastAsia" w:ascii="楷体_GB2312" w:hAnsi="宋体" w:eastAsia="楷体_GB2312" w:cs="楷体_GB2312"/>
                          <w:b/>
                          <w:bCs/>
                          <w:color w:val="000000"/>
                          <w:sz w:val="18"/>
                          <w:szCs w:val="18"/>
                        </w:rPr>
                        <w:t>现场签证的限制</w:t>
                      </w:r>
                    </w:p>
                  </w:txbxContent>
                </v:textbox>
              </v:shape>
            </w:pict>
          </mc:Fallback>
        </mc:AlternateContent>
      </w:r>
      <w:r>
        <w:rPr>
          <w:rFonts w:hint="eastAsia" w:ascii="仿宋" w:hAnsi="仿宋" w:eastAsia="仿宋" w:cs="仿宋"/>
          <w:sz w:val="24"/>
          <w:szCs w:val="24"/>
          <w:lang w:eastAsia="zh-CN"/>
        </w:rPr>
        <w:t>合同工程发生现场签证事项，未经发包人签证、确认，承包人便擅自实施相关工作的，除非征得发包人同意，否则发生的费用由承包人承担。</w:t>
      </w:r>
    </w:p>
    <w:p w14:paraId="3460895E">
      <w:pPr>
        <w:spacing w:line="400" w:lineRule="exact"/>
        <w:rPr>
          <w:rFonts w:ascii="仿宋" w:hAnsi="仿宋" w:eastAsia="仿宋" w:cs="仿宋"/>
          <w:b/>
          <w:bCs/>
          <w:u w:val="dotted"/>
          <w:lang w:eastAsia="zh-CN"/>
        </w:rPr>
      </w:pPr>
      <w:bookmarkStart w:id="641" w:name="_Toc31791"/>
      <w:r>
        <w:rPr>
          <w:rFonts w:hint="eastAsia" w:ascii="仿宋" w:hAnsi="仿宋" w:eastAsia="仿宋" w:cs="仿宋"/>
          <w:b/>
          <w:bCs/>
          <w:lang w:eastAsia="zh-CN"/>
        </w:rPr>
        <w:t>81</w:t>
      </w:r>
      <w:r>
        <w:rPr>
          <w:rFonts w:ascii="仿宋" w:hAnsi="仿宋" w:eastAsia="仿宋" w:cs="仿宋"/>
          <w:b/>
          <w:bCs/>
          <w:lang w:eastAsia="zh-CN"/>
        </w:rPr>
        <w:t>.7</w:t>
      </w:r>
      <w:bookmarkEnd w:id="641"/>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56E0A59E">
      <w:pPr>
        <w:pStyle w:val="22"/>
        <w:adjustRightInd w:val="0"/>
        <w:snapToGrid w:val="0"/>
        <w:spacing w:line="400" w:lineRule="exact"/>
        <w:ind w:left="1850" w:leftChars="771"/>
        <w:rPr>
          <w:rFonts w:ascii="仿宋" w:hAnsi="仿宋" w:eastAsia="仿宋"/>
          <w:sz w:val="24"/>
          <w:szCs w:val="24"/>
          <w:lang w:eastAsia="zh-CN"/>
        </w:rPr>
      </w:pPr>
      <w:r>
        <mc:AlternateContent>
          <mc:Choice Requires="wps">
            <w:drawing>
              <wp:anchor distT="0" distB="0" distL="114300" distR="114300" simplePos="0" relativeHeight="251900928" behindDoc="0" locked="0" layoutInCell="1" allowOverlap="1">
                <wp:simplePos x="0" y="0"/>
                <wp:positionH relativeFrom="column">
                  <wp:posOffset>-114300</wp:posOffset>
                </wp:positionH>
                <wp:positionV relativeFrom="paragraph">
                  <wp:posOffset>77470</wp:posOffset>
                </wp:positionV>
                <wp:extent cx="861695" cy="463550"/>
                <wp:effectExtent l="0" t="0" r="0" b="0"/>
                <wp:wrapNone/>
                <wp:docPr id="362" name="文本框 1017"/>
                <wp:cNvGraphicFramePr/>
                <a:graphic xmlns:a="http://schemas.openxmlformats.org/drawingml/2006/main">
                  <a:graphicData uri="http://schemas.microsoft.com/office/word/2010/wordprocessingShape">
                    <wps:wsp>
                      <wps:cNvSpPr txBox="1"/>
                      <wps:spPr>
                        <a:xfrm>
                          <a:off x="0" y="0"/>
                          <a:ext cx="861695" cy="463550"/>
                        </a:xfrm>
                        <a:prstGeom prst="rect">
                          <a:avLst/>
                        </a:prstGeom>
                        <a:noFill/>
                        <a:ln w="12700">
                          <a:noFill/>
                        </a:ln>
                      </wps:spPr>
                      <wps:txbx>
                        <w:txbxContent>
                          <w:p w14:paraId="11BD4013">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价格确认与支付</w:t>
                            </w:r>
                          </w:p>
                          <w:p w14:paraId="5288C238">
                            <w:pPr>
                              <w:pStyle w:val="22"/>
                              <w:adjustRightInd w:val="0"/>
                              <w:snapToGrid w:val="0"/>
                              <w:rPr>
                                <w:rFonts w:ascii="Times New Roman" w:hAnsi="Times New Roman" w:eastAsia="楷体_GB2312"/>
                                <w:b/>
                                <w:bCs/>
                                <w:sz w:val="18"/>
                                <w:szCs w:val="18"/>
                              </w:rPr>
                            </w:pPr>
                          </w:p>
                          <w:p w14:paraId="59B73507">
                            <w:pPr>
                              <w:pStyle w:val="22"/>
                              <w:adjustRightInd w:val="0"/>
                              <w:snapToGrid w:val="0"/>
                              <w:spacing w:line="360" w:lineRule="auto"/>
                              <w:rPr>
                                <w:rFonts w:ascii="Times New Roman" w:hAnsi="Times New Roman" w:eastAsia="楷体_GB2312"/>
                                <w:b/>
                                <w:bCs/>
                                <w:sz w:val="18"/>
                                <w:szCs w:val="18"/>
                              </w:rPr>
                            </w:pPr>
                          </w:p>
                          <w:p w14:paraId="0C230E81"/>
                        </w:txbxContent>
                      </wps:txbx>
                      <wps:bodyPr rot="0" vert="horz" wrap="square" lIns="91440" tIns="45720" rIns="91440" bIns="45720" anchor="t" anchorCtr="0"/>
                    </wps:wsp>
                  </a:graphicData>
                </a:graphic>
              </wp:anchor>
            </w:drawing>
          </mc:Choice>
          <mc:Fallback>
            <w:pict>
              <v:shape id="文本框 1017" o:spid="_x0000_s1026" o:spt="202" type="#_x0000_t202" style="position:absolute;left:0pt;margin-left:-9pt;margin-top:6.1pt;height:36.5pt;width:67.85pt;z-index:251900928;mso-width-relative:page;mso-height-relative:page;" filled="f" stroked="f" coordsize="21600,21600" o:gfxdata="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q&#10;LUzp1gAAAAkBAAAPAAAAAAAAAAEAIAAAACIAAABkcnMvZG93bnJldi54bWxQSwECFAAUAAAACACH&#10;TuJAwhHHtu0BAAC/AwAADgAAAAAAAAABACAAAAAlAQAAZHJzL2Uyb0RvYy54bWxQSwUGAAAAAAYA&#10;BgBZAQAAhAUAAAAA&#10;">
                <v:fill on="f" focussize="0,0"/>
                <v:stroke on="f" weight="1pt"/>
                <v:imagedata o:title=""/>
                <o:lock v:ext="edit" aspectratio="f"/>
                <v:textbox>
                  <w:txbxContent>
                    <w:p w14:paraId="11BD4013">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价格确认与支付</w:t>
                      </w:r>
                    </w:p>
                    <w:p w14:paraId="5288C238">
                      <w:pPr>
                        <w:pStyle w:val="22"/>
                        <w:adjustRightInd w:val="0"/>
                        <w:snapToGrid w:val="0"/>
                        <w:rPr>
                          <w:rFonts w:ascii="Times New Roman" w:hAnsi="Times New Roman" w:eastAsia="楷体_GB2312"/>
                          <w:b/>
                          <w:bCs/>
                          <w:sz w:val="18"/>
                          <w:szCs w:val="18"/>
                        </w:rPr>
                      </w:pPr>
                    </w:p>
                    <w:p w14:paraId="59B73507">
                      <w:pPr>
                        <w:pStyle w:val="22"/>
                        <w:adjustRightInd w:val="0"/>
                        <w:snapToGrid w:val="0"/>
                        <w:spacing w:line="360" w:lineRule="auto"/>
                        <w:rPr>
                          <w:rFonts w:ascii="Times New Roman" w:hAnsi="Times New Roman" w:eastAsia="楷体_GB2312"/>
                          <w:b/>
                          <w:bCs/>
                          <w:sz w:val="18"/>
                          <w:szCs w:val="18"/>
                        </w:rPr>
                      </w:pPr>
                    </w:p>
                    <w:p w14:paraId="0C230E81"/>
                  </w:txbxContent>
                </v:textbox>
              </v:shape>
            </w:pict>
          </mc:Fallback>
        </mc:AlternateContent>
      </w:r>
      <w:r>
        <w:rPr>
          <w:rFonts w:hint="eastAsia" w:ascii="仿宋" w:hAnsi="仿宋" w:eastAsia="仿宋" w:cs="仿宋"/>
          <w:sz w:val="24"/>
          <w:szCs w:val="24"/>
          <w:lang w:eastAsia="zh-CN"/>
        </w:rPr>
        <w:t>现场签证工作完成后的</w:t>
      </w:r>
      <w:r>
        <w:rPr>
          <w:rFonts w:ascii="仿宋" w:hAnsi="仿宋" w:eastAsia="仿宋" w:cs="仿宋"/>
          <w:sz w:val="24"/>
          <w:szCs w:val="24"/>
          <w:lang w:eastAsia="zh-CN"/>
        </w:rPr>
        <w:t>48</w:t>
      </w:r>
      <w:r>
        <w:rPr>
          <w:rFonts w:hint="eastAsia" w:ascii="仿宋" w:hAnsi="仿宋" w:eastAsia="仿宋" w:cs="仿宋"/>
          <w:sz w:val="24"/>
          <w:szCs w:val="24"/>
          <w:lang w:eastAsia="zh-CN"/>
        </w:rPr>
        <w:t>小时内，合同双方当事人应确认由此引起调整的合同价格，并作为追加合同价格，与工程进度款同期支付。</w:t>
      </w:r>
    </w:p>
    <w:p w14:paraId="5BB2C44F">
      <w:pPr>
        <w:pStyle w:val="22"/>
        <w:adjustRightInd w:val="0"/>
        <w:snapToGrid w:val="0"/>
        <w:spacing w:line="400" w:lineRule="exact"/>
        <w:rPr>
          <w:rFonts w:ascii="仿宋" w:hAnsi="仿宋" w:eastAsia="仿宋" w:cs="仿宋"/>
          <w:b/>
          <w:bCs/>
          <w:sz w:val="24"/>
          <w:szCs w:val="24"/>
          <w:u w:val="single"/>
          <w:lang w:eastAsia="zh-CN"/>
        </w:rPr>
      </w:pPr>
      <w:r>
        <w:rPr>
          <w:rFonts w:ascii="仿宋" w:hAnsi="仿宋" w:eastAsia="仿宋" w:cs="仿宋"/>
          <w:b/>
          <w:bCs/>
          <w:sz w:val="24"/>
          <w:szCs w:val="24"/>
          <w:u w:val="single"/>
          <w:lang w:eastAsia="zh-CN"/>
        </w:rPr>
        <w:t xml:space="preserve">                                                                    </w:t>
      </w:r>
      <w:r>
        <w:rPr>
          <w:rFonts w:hint="eastAsia" w:ascii="仿宋" w:hAnsi="仿宋" w:eastAsia="仿宋" w:cs="仿宋"/>
          <w:b/>
          <w:bCs/>
          <w:sz w:val="24"/>
          <w:szCs w:val="24"/>
          <w:u w:val="single"/>
          <w:lang w:eastAsia="zh-CN"/>
        </w:rPr>
        <w:t xml:space="preserve">       </w:t>
      </w:r>
      <w:r>
        <w:rPr>
          <w:rFonts w:ascii="仿宋" w:hAnsi="仿宋" w:eastAsia="仿宋" w:cs="仿宋"/>
          <w:b/>
          <w:bCs/>
          <w:sz w:val="24"/>
          <w:szCs w:val="24"/>
          <w:u w:val="single"/>
          <w:lang w:eastAsia="zh-CN"/>
        </w:rPr>
        <w:t xml:space="preserve">          </w:t>
      </w:r>
    </w:p>
    <w:p w14:paraId="00957EBF">
      <w:pPr>
        <w:pStyle w:val="4"/>
        <w:tabs>
          <w:tab w:val="left" w:pos="420"/>
        </w:tabs>
        <w:spacing w:before="0" w:after="0" w:line="400" w:lineRule="exact"/>
        <w:rPr>
          <w:rFonts w:ascii="仿宋" w:hAnsi="仿宋" w:eastAsia="仿宋" w:cs="仿宋"/>
          <w:bCs w:val="0"/>
          <w:sz w:val="24"/>
          <w:szCs w:val="24"/>
          <w:lang w:eastAsia="zh-CN"/>
        </w:rPr>
      </w:pPr>
      <w:bookmarkStart w:id="642" w:name="_Toc11275"/>
      <w:bookmarkStart w:id="643" w:name="_Toc10414"/>
      <w:bookmarkStart w:id="644" w:name="_Toc194073193"/>
      <w:bookmarkStart w:id="645" w:name="_Toc5929"/>
      <w:r>
        <w:rPr>
          <w:rFonts w:hint="eastAsia" w:ascii="仿宋" w:hAnsi="仿宋" w:eastAsia="仿宋" w:cs="仿宋"/>
          <w:bCs w:val="0"/>
          <w:sz w:val="24"/>
          <w:szCs w:val="24"/>
          <w:lang w:eastAsia="zh-CN"/>
        </w:rPr>
        <w:t>★82</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物价涨落的价格调整</w:t>
      </w:r>
      <w:bookmarkEnd w:id="642"/>
      <w:bookmarkEnd w:id="643"/>
      <w:bookmarkEnd w:id="644"/>
      <w:bookmarkEnd w:id="645"/>
    </w:p>
    <w:p w14:paraId="3BD723DD">
      <w:pPr>
        <w:pStyle w:val="22"/>
        <w:widowControl w:val="0"/>
        <w:adjustRightInd w:val="0"/>
        <w:snapToGrid w:val="0"/>
        <w:spacing w:line="400" w:lineRule="exact"/>
        <w:rPr>
          <w:rFonts w:ascii="仿宋" w:hAnsi="仿宋" w:eastAsia="仿宋" w:cs="仿宋"/>
          <w:b/>
          <w:bCs/>
          <w:sz w:val="24"/>
          <w:szCs w:val="24"/>
          <w:lang w:eastAsia="zh-CN"/>
        </w:rPr>
      </w:pPr>
      <w:r>
        <w:rPr>
          <w:b/>
        </w:rPr>
        <mc:AlternateContent>
          <mc:Choice Requires="wps">
            <w:drawing>
              <wp:anchor distT="0" distB="0" distL="114300" distR="114300" simplePos="0" relativeHeight="252061696" behindDoc="0" locked="0" layoutInCell="1" allowOverlap="1">
                <wp:simplePos x="0" y="0"/>
                <wp:positionH relativeFrom="column">
                  <wp:posOffset>-114300</wp:posOffset>
                </wp:positionH>
                <wp:positionV relativeFrom="paragraph">
                  <wp:posOffset>274320</wp:posOffset>
                </wp:positionV>
                <wp:extent cx="850900" cy="551815"/>
                <wp:effectExtent l="0" t="0" r="0" b="0"/>
                <wp:wrapNone/>
                <wp:docPr id="363" name="文本框 1018"/>
                <wp:cNvGraphicFramePr/>
                <a:graphic xmlns:a="http://schemas.openxmlformats.org/drawingml/2006/main">
                  <a:graphicData uri="http://schemas.microsoft.com/office/word/2010/wordprocessingShape">
                    <wps:wsp>
                      <wps:cNvSpPr txBox="1"/>
                      <wps:spPr>
                        <a:xfrm>
                          <a:off x="0" y="0"/>
                          <a:ext cx="850900" cy="551815"/>
                        </a:xfrm>
                        <a:prstGeom prst="rect">
                          <a:avLst/>
                        </a:prstGeom>
                        <a:noFill/>
                        <a:ln w="12700">
                          <a:noFill/>
                        </a:ln>
                      </wps:spPr>
                      <wps:txbx>
                        <w:txbxContent>
                          <w:p w14:paraId="4A0B1540">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物价涨落的价格调整</w:t>
                            </w:r>
                          </w:p>
                        </w:txbxContent>
                      </wps:txbx>
                      <wps:bodyPr rot="0" vert="horz" wrap="square" lIns="91440" tIns="45720" rIns="91440" bIns="45720" anchor="t" anchorCtr="0"/>
                    </wps:wsp>
                  </a:graphicData>
                </a:graphic>
              </wp:anchor>
            </w:drawing>
          </mc:Choice>
          <mc:Fallback>
            <w:pict>
              <v:shape id="文本框 1018" o:spid="_x0000_s1026" o:spt="202" type="#_x0000_t202" style="position:absolute;left:0pt;margin-left:-9pt;margin-top:21.6pt;height:43.45pt;width:67pt;z-index:252061696;mso-width-relative:page;mso-height-relative:page;" filled="f" stroked="f" coordsize="21600,21600" o:gfxdata="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C8ElY&#10;1wAAAAoBAAAPAAAAAAAAAAEAIAAAACIAAABkcnMvZG93bnJldi54bWxQSwECFAAUAAAACACHTuJA&#10;GdxHEOkBAAC/AwAADgAAAAAAAAABACAAAAAmAQAAZHJzL2Uyb0RvYy54bWxQSwUGAAAAAAYABgBZ&#10;AQAAgQUAAAAA&#10;">
                <v:fill on="f" focussize="0,0"/>
                <v:stroke on="f" weight="1pt"/>
                <v:imagedata o:title=""/>
                <o:lock v:ext="edit" aspectratio="f"/>
                <v:textbox>
                  <w:txbxContent>
                    <w:p w14:paraId="4A0B1540">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物价涨落的价格调整</w:t>
                      </w:r>
                    </w:p>
                  </w:txbxContent>
                </v:textbox>
              </v:shape>
            </w:pict>
          </mc:Fallback>
        </mc:AlternateContent>
      </w:r>
      <w:r>
        <w:rPr>
          <w:rFonts w:hint="eastAsia" w:ascii="仿宋" w:hAnsi="仿宋" w:eastAsia="仿宋" w:cs="仿宋"/>
          <w:b/>
          <w:bCs/>
          <w:sz w:val="24"/>
          <w:szCs w:val="24"/>
          <w:lang w:eastAsia="zh-CN"/>
        </w:rPr>
        <w:t>82</w:t>
      </w:r>
      <w:r>
        <w:rPr>
          <w:rFonts w:ascii="仿宋" w:hAnsi="仿宋" w:eastAsia="仿宋" w:cs="仿宋"/>
          <w:b/>
          <w:bCs/>
          <w:sz w:val="24"/>
          <w:szCs w:val="24"/>
          <w:lang w:eastAsia="zh-CN"/>
        </w:rPr>
        <w:t>.1</w:t>
      </w:r>
    </w:p>
    <w:p w14:paraId="0448CD46">
      <w:pPr>
        <w:pStyle w:val="22"/>
        <w:widowControl w:val="0"/>
        <w:adjustRightInd w:val="0"/>
        <w:snapToGrid w:val="0"/>
        <w:spacing w:line="400" w:lineRule="exact"/>
        <w:ind w:left="1850" w:leftChars="771"/>
        <w:rPr>
          <w:rFonts w:ascii="仿宋" w:hAnsi="仿宋" w:eastAsia="仿宋"/>
          <w:sz w:val="24"/>
          <w:szCs w:val="24"/>
          <w:lang w:eastAsia="zh-CN"/>
        </w:rPr>
      </w:pPr>
      <w:r>
        <w:rPr>
          <w:rFonts w:hint="eastAsia" w:ascii="仿宋" w:hAnsi="仿宋" w:eastAsia="仿宋" w:cs="仿宋"/>
          <w:sz w:val="24"/>
          <w:szCs w:val="24"/>
          <w:lang w:eastAsia="zh-CN"/>
        </w:rPr>
        <w:t>合同履行期间，除专用合同条款另有约定外，市场价格波动超过合同当事人约定的涨跌幅度，合同价格应当调整。因承包人责任造成的工期延误期间的价格上涨，其差价不予调整，价格下跌的价差相应扣减。合同当事人可以在专用条款中约定按第82</w:t>
      </w:r>
      <w:r>
        <w:rPr>
          <w:rFonts w:ascii="仿宋" w:hAnsi="仿宋" w:eastAsia="仿宋" w:cs="仿宋"/>
          <w:sz w:val="24"/>
          <w:szCs w:val="24"/>
          <w:lang w:eastAsia="zh-CN"/>
        </w:rPr>
        <w:t>.3</w:t>
      </w:r>
      <w:r>
        <w:rPr>
          <w:rFonts w:hint="eastAsia" w:ascii="仿宋" w:hAnsi="仿宋" w:eastAsia="仿宋" w:cs="仿宋"/>
          <w:sz w:val="24"/>
          <w:szCs w:val="24"/>
          <w:lang w:eastAsia="zh-CN"/>
        </w:rPr>
        <w:t>款选择一种方式对合同价格进行调整。</w:t>
      </w:r>
    </w:p>
    <w:p w14:paraId="630694C8">
      <w:pPr>
        <w:pStyle w:val="22"/>
        <w:widowControl w:val="0"/>
        <w:tabs>
          <w:tab w:val="left" w:pos="540"/>
        </w:tabs>
        <w:adjustRightInd w:val="0"/>
        <w:snapToGrid w:val="0"/>
        <w:spacing w:line="400" w:lineRule="exact"/>
        <w:rPr>
          <w:rFonts w:ascii="仿宋" w:hAnsi="仿宋" w:eastAsia="仿宋" w:cs="仿宋"/>
          <w:b/>
          <w:bCs/>
          <w:sz w:val="24"/>
          <w:szCs w:val="24"/>
          <w:u w:val="dotted"/>
          <w:lang w:eastAsia="zh-CN"/>
        </w:rPr>
      </w:pPr>
      <w:r>
        <mc:AlternateContent>
          <mc:Choice Requires="wps">
            <w:drawing>
              <wp:anchor distT="0" distB="0" distL="114300" distR="114300" simplePos="0" relativeHeight="252062720" behindDoc="0" locked="0" layoutInCell="1" allowOverlap="1">
                <wp:simplePos x="0" y="0"/>
                <wp:positionH relativeFrom="column">
                  <wp:posOffset>-66675</wp:posOffset>
                </wp:positionH>
                <wp:positionV relativeFrom="paragraph">
                  <wp:posOffset>295275</wp:posOffset>
                </wp:positionV>
                <wp:extent cx="813435" cy="647065"/>
                <wp:effectExtent l="0" t="0" r="0" b="0"/>
                <wp:wrapNone/>
                <wp:docPr id="364" name="文本框 1019"/>
                <wp:cNvGraphicFramePr/>
                <a:graphic xmlns:a="http://schemas.openxmlformats.org/drawingml/2006/main">
                  <a:graphicData uri="http://schemas.microsoft.com/office/word/2010/wordprocessingShape">
                    <wps:wsp>
                      <wps:cNvSpPr txBox="1"/>
                      <wps:spPr>
                        <a:xfrm>
                          <a:off x="0" y="0"/>
                          <a:ext cx="813435" cy="647065"/>
                        </a:xfrm>
                        <a:prstGeom prst="rect">
                          <a:avLst/>
                        </a:prstGeom>
                        <a:noFill/>
                        <a:ln w="12700">
                          <a:noFill/>
                        </a:ln>
                      </wps:spPr>
                      <wps:txbx>
                        <w:txbxContent>
                          <w:p w14:paraId="1C5855E8">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wps:txbx>
                      <wps:bodyPr rot="0" vert="horz" wrap="square" lIns="91440" tIns="45720" rIns="91440" bIns="45720" anchor="t" anchorCtr="0"/>
                    </wps:wsp>
                  </a:graphicData>
                </a:graphic>
              </wp:anchor>
            </w:drawing>
          </mc:Choice>
          <mc:Fallback>
            <w:pict>
              <v:shape id="文本框 1019" o:spid="_x0000_s1026" o:spt="202" type="#_x0000_t202" style="position:absolute;left:0pt;margin-left:-5.25pt;margin-top:23.25pt;height:50.95pt;width:64.05pt;z-index:252062720;mso-width-relative:page;mso-height-relative:page;" filled="f" stroked="f" coordsize="21600,21600" o:gfxdata="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K8C9HtgAAAAKAQAADwAAAAAAAAABACAAAAAiAAAAZHJzL2Rvd25yZXYueG1sUEsBAhQAFAAAAAgA&#10;h07iQCmOnQHsAQAAvwMAAA4AAAAAAAAAAQAgAAAAJwEAAGRycy9lMm9Eb2MueG1sUEsFBgAAAAAG&#10;AAYAWQEAAIUFAAAAAA==&#10;">
                <v:fill on="f" focussize="0,0"/>
                <v:stroke on="f" weight="1pt"/>
                <v:imagedata o:title=""/>
                <o:lock v:ext="edit" aspectratio="f"/>
                <v:textbox>
                  <w:txbxContent>
                    <w:p w14:paraId="1C5855E8">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v:textbox>
              </v:shape>
            </w:pict>
          </mc:Fallback>
        </mc:AlternateContent>
      </w:r>
      <w:r>
        <w:rPr>
          <w:rFonts w:hint="eastAsia" w:ascii="仿宋" w:hAnsi="仿宋" w:eastAsia="仿宋" w:cs="仿宋"/>
          <w:b/>
          <w:bCs/>
          <w:sz w:val="24"/>
          <w:szCs w:val="24"/>
          <w:lang w:eastAsia="zh-CN"/>
        </w:rPr>
        <w:t>82</w:t>
      </w:r>
      <w:r>
        <w:rPr>
          <w:rFonts w:ascii="仿宋" w:hAnsi="仿宋" w:eastAsia="仿宋" w:cs="仿宋"/>
          <w:b/>
          <w:bCs/>
          <w:sz w:val="24"/>
          <w:szCs w:val="24"/>
          <w:lang w:eastAsia="zh-CN"/>
        </w:rPr>
        <w:t xml:space="preserve">.2  </w:t>
      </w:r>
      <w:r>
        <w:rPr>
          <w:rFonts w:ascii="仿宋" w:hAnsi="仿宋" w:eastAsia="仿宋" w:cs="仿宋"/>
          <w:b/>
          <w:bCs/>
          <w:sz w:val="24"/>
          <w:szCs w:val="24"/>
          <w:u w:val="dotted"/>
          <w:lang w:eastAsia="zh-CN"/>
        </w:rPr>
        <w:t xml:space="preserve">                                                                               </w:t>
      </w:r>
    </w:p>
    <w:p w14:paraId="31E63C9B">
      <w:pPr>
        <w:pStyle w:val="22"/>
        <w:widowControl w:val="0"/>
        <w:adjustRightInd w:val="0"/>
        <w:snapToGrid w:val="0"/>
        <w:spacing w:line="400" w:lineRule="exact"/>
        <w:ind w:left="1850" w:leftChars="771"/>
        <w:jc w:val="both"/>
        <w:rPr>
          <w:lang w:eastAsia="zh-CN"/>
        </w:rPr>
      </w:pPr>
      <w:r>
        <w:rPr>
          <w:rFonts w:hint="eastAsia" w:ascii="仿宋" w:hAnsi="仿宋" w:eastAsia="仿宋" w:cs="仿宋"/>
          <w:sz w:val="24"/>
          <w:szCs w:val="24"/>
          <w:lang w:eastAsia="zh-CN"/>
        </w:rPr>
        <w:t>执行第82</w:t>
      </w:r>
      <w:r>
        <w:rPr>
          <w:rFonts w:ascii="仿宋" w:hAnsi="仿宋" w:eastAsia="仿宋" w:cs="仿宋"/>
          <w:sz w:val="24"/>
          <w:szCs w:val="24"/>
          <w:lang w:eastAsia="zh-CN"/>
        </w:rPr>
        <w:t>.3</w:t>
      </w:r>
      <w:r>
        <w:rPr>
          <w:rFonts w:hint="eastAsia" w:ascii="仿宋" w:hAnsi="仿宋" w:eastAsia="仿宋" w:cs="仿宋"/>
          <w:sz w:val="24"/>
          <w:szCs w:val="24"/>
          <w:lang w:eastAsia="zh-CN"/>
        </w:rPr>
        <w:t>款“第</w:t>
      </w:r>
      <w:r>
        <w:rPr>
          <w:rFonts w:ascii="仿宋" w:hAnsi="仿宋" w:eastAsia="仿宋" w:cs="仿宋"/>
          <w:sz w:val="24"/>
          <w:szCs w:val="24"/>
          <w:lang w:eastAsia="zh-CN"/>
        </w:rPr>
        <w:t>1</w:t>
      </w:r>
      <w:r>
        <w:rPr>
          <w:rFonts w:hint="eastAsia" w:ascii="仿宋" w:hAnsi="仿宋" w:eastAsia="仿宋" w:cs="仿宋"/>
          <w:sz w:val="24"/>
          <w:szCs w:val="24"/>
          <w:lang w:eastAsia="zh-CN"/>
        </w:rPr>
        <w:t>种方式：采用本地造价管理机构发布的价格指导文件进行价格调整”约定的</w:t>
      </w:r>
      <w:r>
        <w:rPr>
          <w:rFonts w:hint="eastAsia"/>
          <w:lang w:eastAsia="zh-CN"/>
        </w:rPr>
        <w:t>，</w:t>
      </w:r>
      <w:r>
        <w:rPr>
          <w:rFonts w:hint="eastAsia" w:ascii="仿宋" w:hAnsi="仿宋" w:eastAsia="仿宋" w:cs="仿宋"/>
          <w:sz w:val="24"/>
          <w:szCs w:val="24"/>
          <w:lang w:eastAsia="zh-CN"/>
        </w:rPr>
        <w:t>合同当事人应按文件规定调整合同价格，但承包人对人工费或人工单价的报价高于发布价格的除外；或由合同当事人在专用条款中约定人工费、人工单价调整条件。</w:t>
      </w:r>
    </w:p>
    <w:p w14:paraId="0F47A23D">
      <w:pPr>
        <w:pStyle w:val="22"/>
        <w:widowControl w:val="0"/>
        <w:tabs>
          <w:tab w:val="left" w:pos="540"/>
        </w:tabs>
        <w:adjustRightInd w:val="0"/>
        <w:snapToGrid w:val="0"/>
        <w:spacing w:line="400" w:lineRule="exact"/>
        <w:rPr>
          <w:rFonts w:ascii="仿宋" w:hAnsi="仿宋" w:eastAsia="仿宋" w:cs="仿宋"/>
          <w:b/>
          <w:bCs/>
          <w:sz w:val="24"/>
          <w:szCs w:val="24"/>
          <w:u w:val="dotted"/>
          <w:lang w:eastAsia="zh-CN"/>
        </w:rPr>
      </w:pPr>
      <w:r>
        <w:rPr>
          <w:rFonts w:hint="eastAsia" w:ascii="仿宋" w:hAnsi="仿宋" w:eastAsia="仿宋" w:cs="仿宋"/>
          <w:b/>
          <w:bCs/>
          <w:sz w:val="24"/>
          <w:szCs w:val="24"/>
          <w:lang w:eastAsia="zh-CN"/>
        </w:rPr>
        <w:t>82</w:t>
      </w:r>
      <w:r>
        <w:rPr>
          <w:rFonts w:ascii="仿宋" w:hAnsi="仿宋" w:eastAsia="仿宋" w:cs="仿宋"/>
          <w:b/>
          <w:bCs/>
          <w:sz w:val="24"/>
          <w:szCs w:val="24"/>
          <w:lang w:eastAsia="zh-CN"/>
        </w:rPr>
        <w:t xml:space="preserve">.3  </w:t>
      </w:r>
      <w:r>
        <w:rPr>
          <w:rFonts w:ascii="仿宋" w:hAnsi="仿宋" w:eastAsia="仿宋" w:cs="仿宋"/>
          <w:b/>
          <w:bCs/>
          <w:sz w:val="24"/>
          <w:szCs w:val="24"/>
          <w:u w:val="dotted"/>
          <w:lang w:eastAsia="zh-CN"/>
        </w:rPr>
        <w:t xml:space="preserve">                                                                               </w:t>
      </w:r>
    </w:p>
    <w:p w14:paraId="63827425">
      <w:pPr>
        <w:widowControl w:val="0"/>
        <w:spacing w:line="400" w:lineRule="exact"/>
        <w:ind w:left="1850" w:leftChars="771"/>
        <w:jc w:val="both"/>
        <w:rPr>
          <w:rFonts w:eastAsia="仿宋_GB2312"/>
          <w:sz w:val="30"/>
          <w:szCs w:val="30"/>
          <w:lang w:eastAsia="zh-CN"/>
        </w:rPr>
      </w:pPr>
      <w:r>
        <w:rPr>
          <w:rFonts w:hint="eastAsia" w:ascii="仿宋" w:hAnsi="仿宋" w:eastAsia="仿宋" w:cs="仿宋"/>
          <w:lang w:eastAsia="zh-CN"/>
        </w:rPr>
        <w:t>第</w:t>
      </w:r>
      <w:r>
        <w:rPr>
          <w:rFonts w:ascii="仿宋" w:hAnsi="仿宋" w:eastAsia="仿宋" w:cs="仿宋"/>
          <w:lang w:eastAsia="zh-CN"/>
        </w:rPr>
        <w:t>1</w:t>
      </w:r>
      <w:r>
        <w:rPr>
          <w:rFonts w:hint="eastAsia" w:ascii="仿宋" w:hAnsi="仿宋" w:eastAsia="仿宋" w:cs="仿宋"/>
          <w:lang w:eastAsia="zh-CN"/>
        </w:rPr>
        <w:t>种方式：采用本地造价管理机构发布的价格指导文件进行价格调整。</w:t>
      </w:r>
    </w:p>
    <w:p w14:paraId="38B435E9">
      <w:pPr>
        <w:widowControl w:val="0"/>
        <w:spacing w:line="400" w:lineRule="exact"/>
        <w:ind w:left="1850" w:leftChars="771"/>
        <w:jc w:val="both"/>
        <w:rPr>
          <w:lang w:eastAsia="zh-CN"/>
        </w:rPr>
      </w:pPr>
      <w:r>
        <w:rPr>
          <w:rFonts w:hint="eastAsia" w:ascii="仿宋" w:hAnsi="仿宋" w:eastAsia="仿宋" w:cs="仿宋"/>
          <w:lang w:eastAsia="zh-CN"/>
        </w:rPr>
        <w:t>合同履行期间，因人工、工程材料、工程设备和施工机具台班价格波动影响合同</w:t>
      </w:r>
      <w:r>
        <mc:AlternateContent>
          <mc:Choice Requires="wps">
            <w:drawing>
              <wp:anchor distT="0" distB="0" distL="114300" distR="114300" simplePos="0" relativeHeight="251901952" behindDoc="0" locked="0" layoutInCell="1" allowOverlap="1">
                <wp:simplePos x="0" y="0"/>
                <wp:positionH relativeFrom="column">
                  <wp:posOffset>-47625</wp:posOffset>
                </wp:positionH>
                <wp:positionV relativeFrom="paragraph">
                  <wp:posOffset>66675</wp:posOffset>
                </wp:positionV>
                <wp:extent cx="785495" cy="1030605"/>
                <wp:effectExtent l="0" t="0" r="0" b="0"/>
                <wp:wrapNone/>
                <wp:docPr id="365" name="文本框 1020"/>
                <wp:cNvGraphicFramePr/>
                <a:graphic xmlns:a="http://schemas.openxmlformats.org/drawingml/2006/main">
                  <a:graphicData uri="http://schemas.microsoft.com/office/word/2010/wordprocessingShape">
                    <wps:wsp>
                      <wps:cNvSpPr txBox="1"/>
                      <wps:spPr>
                        <a:xfrm>
                          <a:off x="0" y="0"/>
                          <a:ext cx="785495" cy="1030605"/>
                        </a:xfrm>
                        <a:prstGeom prst="rect">
                          <a:avLst/>
                        </a:prstGeom>
                        <a:noFill/>
                        <a:ln w="12700">
                          <a:noFill/>
                        </a:ln>
                      </wps:spPr>
                      <wps:txbx>
                        <w:txbxContent>
                          <w:p w14:paraId="3BBB91BB">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承包人采购工程材料和工程设备的材料设备费、施工机具使用费调整方法</w:t>
                            </w:r>
                          </w:p>
                        </w:txbxContent>
                      </wps:txbx>
                      <wps:bodyPr rot="0" vert="horz" wrap="square" lIns="91440" tIns="45720" rIns="91440" bIns="45720" anchor="t" anchorCtr="0"/>
                    </wps:wsp>
                  </a:graphicData>
                </a:graphic>
              </wp:anchor>
            </w:drawing>
          </mc:Choice>
          <mc:Fallback>
            <w:pict>
              <v:shape id="文本框 1020" o:spid="_x0000_s1026" o:spt="202" type="#_x0000_t202" style="position:absolute;left:0pt;margin-left:-3.75pt;margin-top:5.25pt;height:81.15pt;width:61.85pt;z-index:251901952;mso-width-relative:page;mso-height-relative:page;" filled="f" stroked="f" coordsize="21600,21600" o:gfxdata="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Po&#10;k1vWAAAACQEAAA8AAAAAAAAAAQAgAAAAIgAAAGRycy9kb3ducmV2LnhtbFBLAQIUABQAAAAIAIdO&#10;4kDXILmh7AEAAMADAAAOAAAAAAAAAAEAIAAAACUBAABkcnMvZTJvRG9jLnhtbFBLBQYAAAAABgAG&#10;AFkBAACDBQAAAAA=&#10;">
                <v:fill on="f" focussize="0,0"/>
                <v:stroke on="f" weight="1pt"/>
                <v:imagedata o:title=""/>
                <o:lock v:ext="edit" aspectratio="f"/>
                <v:textbox>
                  <w:txbxContent>
                    <w:p w14:paraId="3BBB91BB">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承包人采购工程材料和工程设备的材料设备费、施工机具使用费调整方法</w:t>
                      </w:r>
                    </w:p>
                  </w:txbxContent>
                </v:textbox>
              </v:shape>
            </w:pict>
          </mc:Fallback>
        </mc:AlternateContent>
      </w:r>
      <w:r>
        <w:rPr>
          <w:rFonts w:hint="eastAsia" w:ascii="仿宋" w:hAnsi="仿宋" w:eastAsia="仿宋" w:cs="仿宋"/>
          <w:lang w:eastAsia="zh-CN"/>
        </w:rPr>
        <w:t>价格时，人工、施工机具使用费按照文件规定进行调整；需要进行价格调整的工程材料、工程设备，其单价和采购数量应由发包人审批，审批</w:t>
      </w:r>
      <w:r>
        <w:rPr>
          <w:rFonts w:ascii="仿宋" w:hAnsi="仿宋" w:eastAsia="仿宋" w:cs="仿宋"/>
          <w:lang w:eastAsia="zh-CN"/>
        </w:rPr>
        <w:t>文件</w:t>
      </w:r>
      <w:r>
        <w:rPr>
          <w:rFonts w:hint="eastAsia" w:ascii="仿宋" w:hAnsi="仿宋" w:eastAsia="仿宋" w:cs="仿宋"/>
          <w:lang w:eastAsia="zh-CN"/>
        </w:rPr>
        <w:t>作为调整合同价格的依据。</w:t>
      </w:r>
    </w:p>
    <w:p w14:paraId="482DA246">
      <w:pPr>
        <w:widowControl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w:t>
      </w:r>
      <w:r>
        <w:rPr>
          <w:rFonts w:ascii="仿宋" w:hAnsi="仿宋" w:eastAsia="仿宋" w:cs="仿宋"/>
          <w:lang w:eastAsia="zh-CN"/>
        </w:rPr>
        <w:t>1</w:t>
      </w:r>
      <w:r>
        <w:rPr>
          <w:rFonts w:hint="eastAsia" w:ascii="仿宋" w:hAnsi="仿宋" w:eastAsia="仿宋" w:cs="仿宋"/>
          <w:lang w:eastAsia="zh-CN"/>
        </w:rPr>
        <w:t>）工程材料、工程设备价格调整按照发包人提供的基准价格，按以下约定</w:t>
      </w:r>
      <w:r>
        <w:rPr>
          <w:rFonts w:ascii="仿宋" w:hAnsi="仿宋" w:eastAsia="仿宋" w:cs="仿宋"/>
          <w:lang w:eastAsia="zh-CN"/>
        </w:rPr>
        <w:t>:</w:t>
      </w:r>
    </w:p>
    <w:p w14:paraId="188B19A6">
      <w:pPr>
        <w:widowControl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①承包人在合同价格清单中载明工程材料、工程设备单价低于基准价格的：除专用合同条款另有约定外，合同履行期间工程材料、工程设备单价涨幅以基准价格为基础超</w:t>
      </w:r>
      <w:r>
        <w:rPr>
          <w:rFonts w:ascii="仿宋" w:hAnsi="仿宋" w:eastAsia="仿宋" w:cs="仿宋"/>
          <w:lang w:eastAsia="zh-CN"/>
        </w:rPr>
        <w:t>5%</w:t>
      </w:r>
      <w:r>
        <w:rPr>
          <w:rFonts w:hint="eastAsia" w:ascii="仿宋" w:hAnsi="仿宋" w:eastAsia="仿宋" w:cs="仿宋"/>
          <w:lang w:eastAsia="zh-CN"/>
        </w:rPr>
        <w:t>时，或工程材料、工程设备单价跌幅以在合同价格清单中载明工程材料单价、工程设备为基础超过</w:t>
      </w:r>
      <w:r>
        <w:rPr>
          <w:rFonts w:ascii="仿宋" w:hAnsi="仿宋" w:eastAsia="仿宋" w:cs="仿宋"/>
          <w:lang w:eastAsia="zh-CN"/>
        </w:rPr>
        <w:t>5%</w:t>
      </w:r>
      <w:r>
        <w:rPr>
          <w:rFonts w:hint="eastAsia" w:ascii="仿宋" w:hAnsi="仿宋" w:eastAsia="仿宋" w:cs="仿宋"/>
          <w:lang w:eastAsia="zh-CN"/>
        </w:rPr>
        <w:t>时，其超过5%以上的部分据实调整（示例：涨跌幅为6%的，据实调整的部分为1%，下同）。</w:t>
      </w:r>
    </w:p>
    <w:p w14:paraId="0B7244B8">
      <w:pPr>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②承包人在合同价格清单中载明工程材料、工程设备单价高于基准价格的：除专用合同条款另有约定外，合同履行期间工程材料、工程设备单价跌幅以基准价格为基础超过</w:t>
      </w:r>
      <w:r>
        <w:rPr>
          <w:rFonts w:ascii="仿宋" w:hAnsi="仿宋" w:eastAsia="仿宋" w:cs="仿宋"/>
          <w:lang w:eastAsia="zh-CN"/>
        </w:rPr>
        <w:t>5%</w:t>
      </w:r>
      <w:r>
        <w:rPr>
          <w:rFonts w:hint="eastAsia" w:ascii="仿宋" w:hAnsi="仿宋" w:eastAsia="仿宋" w:cs="仿宋"/>
          <w:lang w:eastAsia="zh-CN"/>
        </w:rPr>
        <w:t>时，或工程材料、工程设备单价涨幅以在合同价格清单中载明工程材料单价、工程设备为基础超过</w:t>
      </w:r>
      <w:r>
        <w:rPr>
          <w:rFonts w:ascii="仿宋" w:hAnsi="仿宋" w:eastAsia="仿宋" w:cs="仿宋"/>
          <w:lang w:eastAsia="zh-CN"/>
        </w:rPr>
        <w:t>5%</w:t>
      </w:r>
      <w:r>
        <w:rPr>
          <w:rFonts w:hint="eastAsia" w:ascii="仿宋" w:hAnsi="仿宋" w:eastAsia="仿宋" w:cs="仿宋"/>
          <w:lang w:eastAsia="zh-CN"/>
        </w:rPr>
        <w:t>时，其超过5%以上的部分据实调整。</w:t>
      </w:r>
    </w:p>
    <w:p w14:paraId="77B0C16E">
      <w:pPr>
        <w:widowControl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③承包人在合同价格清单中载明工程材料、工程设备单价等于基准价格的：除专用合同条款另有约定外，合同履行期间工程材料、工程设备单价涨跌幅以基准价格为基础超过±</w:t>
      </w:r>
      <w:r>
        <w:rPr>
          <w:rFonts w:ascii="仿宋" w:hAnsi="仿宋" w:eastAsia="仿宋" w:cs="仿宋"/>
          <w:lang w:eastAsia="zh-CN"/>
        </w:rPr>
        <w:t>5%</w:t>
      </w:r>
      <w:r>
        <w:rPr>
          <w:rFonts w:hint="eastAsia" w:ascii="仿宋" w:hAnsi="仿宋" w:eastAsia="仿宋" w:cs="仿宋"/>
          <w:lang w:eastAsia="zh-CN"/>
        </w:rPr>
        <w:t>时，其超过±5%以上的部分据实调整。</w:t>
      </w:r>
    </w:p>
    <w:p w14:paraId="63404E65">
      <w:pPr>
        <w:spacing w:line="400" w:lineRule="exact"/>
        <w:ind w:left="1850" w:leftChars="771"/>
        <w:jc w:val="both"/>
        <w:rPr>
          <w:rFonts w:eastAsia="仿宋"/>
          <w:sz w:val="30"/>
          <w:szCs w:val="30"/>
          <w:lang w:eastAsia="zh"/>
        </w:rPr>
      </w:pPr>
      <w:r>
        <w:rPr>
          <w:rFonts w:hint="eastAsia" w:ascii="仿宋" w:hAnsi="仿宋" w:eastAsia="仿宋" w:cs="仿宋"/>
          <w:lang w:eastAsia="zh-CN"/>
        </w:rPr>
        <w:t>前述基准价格是指由发包人在招标文件或专用合同条款中给定的工程材料、工程设备的价格，该价格原则上应当按照本地造价管理机构发布的价格指导文件编制。如本地造价管理机构价格指导文件没有发布的工程材料、工程设备，由发包人在招标文件或专用合同条款中给定基准价，并明确该基准价格的计算依据、计算方式以及工程材料单价涨跌幅的确定方法。</w:t>
      </w:r>
    </w:p>
    <w:p w14:paraId="7FC77CA3">
      <w:pPr>
        <w:spacing w:line="400" w:lineRule="exact"/>
        <w:ind w:left="1850" w:leftChars="771"/>
        <w:jc w:val="both"/>
        <w:rPr>
          <w:rFonts w:ascii="仿宋" w:hAnsi="仿宋" w:eastAsia="仿宋"/>
          <w:lang w:eastAsia="zh-CN"/>
        </w:rPr>
      </w:pPr>
      <w:r>
        <w:rPr>
          <w:rFonts w:hint="eastAsia" w:ascii="仿宋" w:hAnsi="仿宋" w:eastAsia="仿宋" w:cs="仿宋"/>
          <w:lang w:eastAsia="zh-CN"/>
        </w:rPr>
        <w:t>（</w:t>
      </w:r>
      <w:r>
        <w:rPr>
          <w:rFonts w:ascii="仿宋" w:hAnsi="仿宋" w:eastAsia="仿宋" w:cs="仿宋"/>
          <w:lang w:eastAsia="zh-CN"/>
        </w:rPr>
        <w:t>2</w:t>
      </w:r>
      <w:r>
        <w:rPr>
          <w:rFonts w:hint="eastAsia" w:ascii="仿宋" w:hAnsi="仿宋" w:eastAsia="仿宋" w:cs="仿宋"/>
          <w:lang w:eastAsia="zh-CN"/>
        </w:rPr>
        <w:t>）施工机械台班单价发生变化超过本地造价管理机构发布的价格指导文件规定的幅度时，按规定调整合同价格。如本地造价管理机构价格指导文件没有发布施工机具台班单价变化幅度的，由发包人在招标文件或专用合同条款中明确可以调整合同价格的变化幅度，以及变化幅度、施工机具台班单价的计算依据、计算方式。</w:t>
      </w:r>
    </w:p>
    <w:p w14:paraId="428B158B">
      <w:pPr>
        <w:spacing w:line="400" w:lineRule="exact"/>
        <w:ind w:left="1850" w:leftChars="771"/>
        <w:jc w:val="both"/>
        <w:rPr>
          <w:lang w:eastAsia="zh-CN"/>
        </w:rPr>
      </w:pPr>
      <w:r>
        <w:rPr>
          <w:rFonts w:hint="eastAsia" w:ascii="仿宋" w:hAnsi="仿宋" w:eastAsia="仿宋" w:cs="仿宋"/>
          <w:lang w:eastAsia="zh-CN"/>
        </w:rPr>
        <w:t>第</w:t>
      </w:r>
      <w:r>
        <w:rPr>
          <w:rFonts w:ascii="仿宋" w:hAnsi="仿宋" w:eastAsia="仿宋" w:cs="仿宋"/>
          <w:lang w:eastAsia="zh-CN"/>
        </w:rPr>
        <w:t>2</w:t>
      </w:r>
      <w:r>
        <w:rPr>
          <w:rFonts w:hint="eastAsia" w:ascii="仿宋" w:hAnsi="仿宋" w:eastAsia="仿宋" w:cs="仿宋"/>
          <w:lang w:eastAsia="zh-CN"/>
        </w:rPr>
        <w:t>种方式：专用合同条款约定的其他方式。</w:t>
      </w:r>
    </w:p>
    <w:p w14:paraId="356AF063">
      <w:pPr>
        <w:pStyle w:val="22"/>
        <w:widowControl w:val="0"/>
        <w:tabs>
          <w:tab w:val="left" w:pos="540"/>
        </w:tabs>
        <w:adjustRightInd w:val="0"/>
        <w:snapToGrid w:val="0"/>
        <w:spacing w:line="400" w:lineRule="exact"/>
        <w:rPr>
          <w:rFonts w:ascii="仿宋" w:hAnsi="仿宋" w:eastAsia="仿宋" w:cs="仿宋"/>
          <w:sz w:val="24"/>
          <w:szCs w:val="24"/>
          <w:u w:val="dotted"/>
          <w:lang w:eastAsia="zh-CN"/>
        </w:rPr>
      </w:pPr>
      <w:r>
        <w:rPr>
          <w:rFonts w:hint="eastAsia" w:ascii="仿宋" w:hAnsi="仿宋" w:eastAsia="仿宋" w:cs="仿宋"/>
          <w:b/>
          <w:bCs/>
          <w:sz w:val="24"/>
          <w:szCs w:val="24"/>
          <w:lang w:eastAsia="zh-CN"/>
        </w:rPr>
        <w:t>82</w:t>
      </w:r>
      <w:r>
        <w:rPr>
          <w:rFonts w:ascii="仿宋" w:hAnsi="仿宋" w:eastAsia="仿宋" w:cs="仿宋"/>
          <w:b/>
          <w:bCs/>
          <w:sz w:val="24"/>
          <w:szCs w:val="24"/>
          <w:lang w:eastAsia="zh-CN"/>
        </w:rPr>
        <w:t>.4</w:t>
      </w:r>
      <w:r>
        <w:rPr>
          <w:rFonts w:ascii="仿宋" w:hAnsi="仿宋" w:eastAsia="仿宋" w:cs="仿宋"/>
          <w:sz w:val="24"/>
          <w:szCs w:val="24"/>
          <w:lang w:eastAsia="zh-CN"/>
        </w:rPr>
        <w:t xml:space="preserve">  </w:t>
      </w:r>
      <w:r>
        <w:rPr>
          <w:rFonts w:ascii="仿宋" w:hAnsi="仿宋" w:eastAsia="仿宋" w:cs="仿宋"/>
          <w:sz w:val="24"/>
          <w:szCs w:val="24"/>
          <w:u w:val="dotted"/>
          <w:lang w:eastAsia="zh-CN"/>
        </w:rPr>
        <w:t xml:space="preserve">                                                                               </w:t>
      </w:r>
    </w:p>
    <w:p w14:paraId="46D33DF8">
      <w:pPr>
        <w:pStyle w:val="22"/>
        <w:widowControl w:val="0"/>
        <w:adjustRightInd w:val="0"/>
        <w:snapToGrid w:val="0"/>
        <w:spacing w:line="400" w:lineRule="exact"/>
        <w:ind w:left="1850" w:leftChars="771"/>
        <w:rPr>
          <w:rFonts w:ascii="仿宋" w:hAnsi="仿宋" w:eastAsia="仿宋"/>
          <w:sz w:val="24"/>
          <w:szCs w:val="24"/>
          <w:lang w:eastAsia="zh-CN"/>
        </w:rPr>
      </w:pPr>
      <w:r>
        <w:rPr>
          <w:rFonts w:hint="eastAsia" w:ascii="仿宋" w:hAnsi="仿宋" w:eastAsia="仿宋" w:cs="仿宋"/>
          <w:sz w:val="24"/>
          <w:szCs w:val="24"/>
        </w:rPr>
        <mc:AlternateContent>
          <mc:Choice Requires="wps">
            <w:drawing>
              <wp:anchor distT="0" distB="0" distL="114300" distR="114300" simplePos="0" relativeHeight="252112896" behindDoc="0" locked="0" layoutInCell="1" allowOverlap="1">
                <wp:simplePos x="0" y="0"/>
                <wp:positionH relativeFrom="column">
                  <wp:posOffset>-102235</wp:posOffset>
                </wp:positionH>
                <wp:positionV relativeFrom="paragraph">
                  <wp:posOffset>79375</wp:posOffset>
                </wp:positionV>
                <wp:extent cx="776605" cy="972820"/>
                <wp:effectExtent l="0" t="0" r="0" b="0"/>
                <wp:wrapNone/>
                <wp:docPr id="366" name="文本框 1022"/>
                <wp:cNvGraphicFramePr/>
                <a:graphic xmlns:a="http://schemas.openxmlformats.org/drawingml/2006/main">
                  <a:graphicData uri="http://schemas.microsoft.com/office/word/2010/wordprocessingShape">
                    <wps:wsp>
                      <wps:cNvSpPr txBox="1"/>
                      <wps:spPr>
                        <a:xfrm>
                          <a:off x="0" y="0"/>
                          <a:ext cx="776605" cy="972820"/>
                        </a:xfrm>
                        <a:prstGeom prst="rect">
                          <a:avLst/>
                        </a:prstGeom>
                        <a:noFill/>
                        <a:ln w="12700">
                          <a:noFill/>
                        </a:ln>
                      </wps:spPr>
                      <wps:txbx>
                        <w:txbxContent>
                          <w:p w14:paraId="69E52472">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承包人采购工程材料和工程设备的调价限制</w:t>
                            </w:r>
                          </w:p>
                        </w:txbxContent>
                      </wps:txbx>
                      <wps:bodyPr rot="0" vert="horz" wrap="square" lIns="91440" tIns="45720" rIns="91440" bIns="45720" anchor="t" anchorCtr="0"/>
                    </wps:wsp>
                  </a:graphicData>
                </a:graphic>
              </wp:anchor>
            </w:drawing>
          </mc:Choice>
          <mc:Fallback>
            <w:pict>
              <v:shape id="文本框 1022" o:spid="_x0000_s1026" o:spt="202" type="#_x0000_t202" style="position:absolute;left:0pt;margin-left:-8.05pt;margin-top:6.25pt;height:76.6pt;width:61.15pt;z-index:252112896;mso-width-relative:page;mso-height-relative:page;" filled="f" stroked="f" coordsize="21600,21600" o:gfxdata="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1aWtetcAAAAKAQAADwAAAAAAAAABACAAAAAiAAAAZHJzL2Rvd25yZXYueG1sUEsBAhQAFAAAAAgA&#10;h07iQCrVJiTtAQAAvwMAAA4AAAAAAAAAAQAgAAAAJgEAAGRycy9lMm9Eb2MueG1sUEsFBgAAAAAG&#10;AAYAWQEAAIUFAAAAAA==&#10;">
                <v:fill on="f" focussize="0,0"/>
                <v:stroke on="f" weight="1pt"/>
                <v:imagedata o:title=""/>
                <o:lock v:ext="edit" aspectratio="f"/>
                <v:textbox>
                  <w:txbxContent>
                    <w:p w14:paraId="69E52472">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承包人采购工程材料和工程设备的调价限制</w:t>
                      </w:r>
                    </w:p>
                  </w:txbxContent>
                </v:textbox>
              </v:shape>
            </w:pict>
          </mc:Fallback>
        </mc:AlternateContent>
      </w:r>
      <w:r>
        <w:rPr>
          <w:rFonts w:hint="eastAsia" w:ascii="仿宋" w:hAnsi="仿宋" w:eastAsia="仿宋" w:cs="仿宋"/>
          <w:sz w:val="24"/>
          <w:szCs w:val="24"/>
          <w:lang w:eastAsia="zh-CN"/>
        </w:rPr>
        <w:t>执行第82</w:t>
      </w:r>
      <w:r>
        <w:rPr>
          <w:rFonts w:ascii="仿宋" w:hAnsi="仿宋" w:eastAsia="仿宋" w:cs="仿宋"/>
          <w:sz w:val="24"/>
          <w:szCs w:val="24"/>
          <w:lang w:eastAsia="zh-CN"/>
        </w:rPr>
        <w:t>.3</w:t>
      </w:r>
      <w:r>
        <w:rPr>
          <w:rFonts w:hint="eastAsia" w:ascii="仿宋" w:hAnsi="仿宋" w:eastAsia="仿宋" w:cs="仿宋"/>
          <w:sz w:val="24"/>
          <w:szCs w:val="24"/>
          <w:lang w:eastAsia="zh-CN"/>
        </w:rPr>
        <w:t>款“第</w:t>
      </w:r>
      <w:r>
        <w:rPr>
          <w:rFonts w:ascii="仿宋" w:hAnsi="仿宋" w:eastAsia="仿宋" w:cs="仿宋"/>
          <w:sz w:val="24"/>
          <w:szCs w:val="24"/>
          <w:lang w:eastAsia="zh-CN"/>
        </w:rPr>
        <w:t>1</w:t>
      </w:r>
      <w:r>
        <w:rPr>
          <w:rFonts w:hint="eastAsia" w:ascii="仿宋" w:hAnsi="仿宋" w:eastAsia="仿宋" w:cs="仿宋"/>
          <w:sz w:val="24"/>
          <w:szCs w:val="24"/>
          <w:lang w:eastAsia="zh-CN"/>
        </w:rPr>
        <w:t>种方式：采用</w:t>
      </w:r>
      <w:r>
        <w:rPr>
          <w:rFonts w:hint="eastAsia" w:ascii="仿宋" w:hAnsi="仿宋" w:eastAsia="仿宋" w:cs="仿宋"/>
          <w:sz w:val="24"/>
          <w:szCs w:val="24"/>
          <w:lang w:eastAsia="zh-CN" w:bidi="en-US"/>
        </w:rPr>
        <w:t>本地造价管理机构发布的价格指导文件</w:t>
      </w:r>
      <w:r>
        <w:rPr>
          <w:rFonts w:hint="eastAsia" w:ascii="仿宋" w:hAnsi="仿宋" w:eastAsia="仿宋" w:cs="仿宋"/>
          <w:sz w:val="24"/>
          <w:szCs w:val="24"/>
          <w:lang w:eastAsia="zh-CN"/>
        </w:rPr>
        <w:t>进行价格调整”约定的，承包人应在采购工程材料前将采购数量和新的工程材料单价报发包人核对，发包人确认用于工程时，发包人应确认采购工程材料的数量和单价。发包人在收到承包人报送的确认资料后7天内不予答复的视为认可，作为调整合同价格的依据。未经发包人事先核对，承包人自行采购工程材料的，发包人有权不予调整合同价格。</w:t>
      </w:r>
    </w:p>
    <w:p w14:paraId="32B875F9">
      <w:pPr>
        <w:pStyle w:val="22"/>
        <w:widowControl w:val="0"/>
        <w:tabs>
          <w:tab w:val="left" w:pos="540"/>
        </w:tabs>
        <w:adjustRightInd w:val="0"/>
        <w:snapToGrid w:val="0"/>
        <w:spacing w:line="400" w:lineRule="exact"/>
        <w:rPr>
          <w:rFonts w:ascii="仿宋" w:hAnsi="仿宋" w:eastAsia="仿宋" w:cs="仿宋"/>
          <w:b/>
          <w:bCs/>
          <w:sz w:val="24"/>
          <w:szCs w:val="24"/>
          <w:u w:val="dotted"/>
          <w:lang w:eastAsia="zh-CN"/>
        </w:rPr>
      </w:pPr>
      <w:r>
        <w:rPr>
          <w:rFonts w:hint="eastAsia" w:ascii="仿宋" w:hAnsi="仿宋" w:eastAsia="仿宋" w:cs="仿宋"/>
          <w:b/>
          <w:bCs/>
          <w:sz w:val="24"/>
          <w:szCs w:val="24"/>
          <w:lang w:eastAsia="zh-CN"/>
        </w:rPr>
        <w:t>82</w:t>
      </w:r>
      <w:r>
        <w:rPr>
          <w:rFonts w:ascii="仿宋" w:hAnsi="仿宋" w:eastAsia="仿宋" w:cs="仿宋"/>
          <w:b/>
          <w:bCs/>
          <w:sz w:val="24"/>
          <w:szCs w:val="24"/>
          <w:lang w:eastAsia="zh-CN"/>
        </w:rPr>
        <w:t xml:space="preserve">.5 </w:t>
      </w:r>
      <w:r>
        <w:rPr>
          <w:rFonts w:ascii="仿宋" w:hAnsi="仿宋" w:eastAsia="仿宋" w:cs="仿宋"/>
          <w:b/>
          <w:bCs/>
          <w:sz w:val="24"/>
          <w:szCs w:val="24"/>
          <w:u w:val="dotted"/>
          <w:lang w:eastAsia="zh-CN"/>
        </w:rPr>
        <w:t xml:space="preserve">                                                                                </w:t>
      </w:r>
    </w:p>
    <w:p w14:paraId="6E2751AD">
      <w:pPr>
        <w:pStyle w:val="22"/>
        <w:widowControl w:val="0"/>
        <w:adjustRightInd w:val="0"/>
        <w:snapToGrid w:val="0"/>
        <w:spacing w:line="400" w:lineRule="exact"/>
        <w:ind w:left="1850" w:leftChars="771"/>
        <w:rPr>
          <w:rFonts w:ascii="仿宋" w:hAnsi="仿宋" w:eastAsia="仿宋"/>
          <w:sz w:val="24"/>
          <w:szCs w:val="24"/>
          <w:lang w:eastAsia="zh-CN"/>
        </w:rPr>
      </w:pPr>
      <w:r>
        <mc:AlternateContent>
          <mc:Choice Requires="wps">
            <w:drawing>
              <wp:anchor distT="0" distB="0" distL="114300" distR="114300" simplePos="0" relativeHeight="251902976" behindDoc="0" locked="0" layoutInCell="1" allowOverlap="1">
                <wp:simplePos x="0" y="0"/>
                <wp:positionH relativeFrom="column">
                  <wp:posOffset>-114300</wp:posOffset>
                </wp:positionH>
                <wp:positionV relativeFrom="paragraph">
                  <wp:posOffset>15875</wp:posOffset>
                </wp:positionV>
                <wp:extent cx="804545" cy="532130"/>
                <wp:effectExtent l="0" t="0" r="0" b="0"/>
                <wp:wrapNone/>
                <wp:docPr id="367" name="文本框 1022"/>
                <wp:cNvGraphicFramePr/>
                <a:graphic xmlns:a="http://schemas.openxmlformats.org/drawingml/2006/main">
                  <a:graphicData uri="http://schemas.microsoft.com/office/word/2010/wordprocessingShape">
                    <wps:wsp>
                      <wps:cNvSpPr txBox="1"/>
                      <wps:spPr>
                        <a:xfrm>
                          <a:off x="0" y="0"/>
                          <a:ext cx="804545" cy="532130"/>
                        </a:xfrm>
                        <a:prstGeom prst="rect">
                          <a:avLst/>
                        </a:prstGeom>
                        <a:noFill/>
                        <a:ln w="12700">
                          <a:noFill/>
                        </a:ln>
                      </wps:spPr>
                      <wps:txbx>
                        <w:txbxContent>
                          <w:p w14:paraId="48B951C2">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发包人供应材料设备的价格调整</w:t>
                            </w:r>
                          </w:p>
                        </w:txbxContent>
                      </wps:txbx>
                      <wps:bodyPr rot="0" vert="horz" wrap="square" lIns="91440" tIns="45720" rIns="91440" bIns="45720" anchor="t" anchorCtr="0"/>
                    </wps:wsp>
                  </a:graphicData>
                </a:graphic>
              </wp:anchor>
            </w:drawing>
          </mc:Choice>
          <mc:Fallback>
            <w:pict>
              <v:shape id="文本框 1022" o:spid="_x0000_s1026" o:spt="202" type="#_x0000_t202" style="position:absolute;left:0pt;margin-left:-9pt;margin-top:1.25pt;height:41.9pt;width:63.35pt;z-index:251902976;mso-width-relative:page;mso-height-relative:page;" filled="f" stroked="f" coordsize="21600,21600" o:gfxdata="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07UdYtcAAAAIAQAADwAAAAAAAAABACAAAAAiAAAAZHJzL2Rvd25yZXYueG1sUEsBAhQAFAAAAAgA&#10;h07iQJaGd43tAQAAvwMAAA4AAAAAAAAAAQAgAAAAJgEAAGRycy9lMm9Eb2MueG1sUEsFBgAAAAAG&#10;AAYAWQEAAIUFAAAAAA==&#10;">
                <v:fill on="f" focussize="0,0"/>
                <v:stroke on="f" weight="1pt"/>
                <v:imagedata o:title=""/>
                <o:lock v:ext="edit" aspectratio="f"/>
                <v:textbox>
                  <w:txbxContent>
                    <w:p w14:paraId="48B951C2">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发包人供应材料设备的价格调整</w:t>
                      </w:r>
                    </w:p>
                  </w:txbxContent>
                </v:textbox>
              </v:shape>
            </w:pict>
          </mc:Fallback>
        </mc:AlternateContent>
      </w:r>
      <w:r>
        <w:rPr>
          <w:rFonts w:hint="eastAsia" w:ascii="仿宋" w:hAnsi="仿宋" w:eastAsia="仿宋" w:cs="仿宋"/>
          <w:sz w:val="24"/>
          <w:szCs w:val="24"/>
          <w:lang w:eastAsia="zh-CN"/>
        </w:rPr>
        <w:t>发包人供应工程材料和工程设备的，由发包人按照实际变化调整，列入合同工程的建筑安装工程费内。</w:t>
      </w:r>
    </w:p>
    <w:p w14:paraId="5000C8AB">
      <w:pPr>
        <w:pStyle w:val="22"/>
        <w:adjustRightInd w:val="0"/>
        <w:snapToGrid w:val="0"/>
        <w:spacing w:line="400" w:lineRule="exact"/>
        <w:rPr>
          <w:rFonts w:ascii="仿宋" w:hAnsi="仿宋" w:eastAsia="仿宋"/>
          <w:b/>
          <w:bCs/>
          <w:sz w:val="24"/>
          <w:szCs w:val="24"/>
          <w:u w:val="single"/>
          <w:lang w:eastAsia="zh-CN"/>
        </w:rPr>
      </w:pPr>
      <w:r>
        <w:rPr>
          <w:rFonts w:ascii="仿宋" w:hAnsi="仿宋" w:eastAsia="仿宋" w:cs="仿宋"/>
          <w:b/>
          <w:bCs/>
          <w:sz w:val="24"/>
          <w:szCs w:val="24"/>
          <w:u w:val="single"/>
          <w:lang w:eastAsia="zh-CN"/>
        </w:rPr>
        <w:t xml:space="preserve">                                                     </w:t>
      </w:r>
      <w:r>
        <w:rPr>
          <w:rFonts w:hint="eastAsia" w:ascii="仿宋" w:hAnsi="仿宋" w:eastAsia="仿宋" w:cs="仿宋"/>
          <w:b/>
          <w:bCs/>
          <w:sz w:val="24"/>
          <w:szCs w:val="24"/>
          <w:u w:val="single"/>
          <w:lang w:eastAsia="zh-CN"/>
        </w:rPr>
        <w:t xml:space="preserve">      </w:t>
      </w:r>
      <w:r>
        <w:rPr>
          <w:rFonts w:ascii="仿宋" w:hAnsi="仿宋" w:eastAsia="仿宋" w:cs="仿宋"/>
          <w:b/>
          <w:bCs/>
          <w:sz w:val="24"/>
          <w:szCs w:val="24"/>
          <w:u w:val="single"/>
          <w:lang w:eastAsia="zh-CN"/>
        </w:rPr>
        <w:t xml:space="preserve">                          </w:t>
      </w:r>
    </w:p>
    <w:p w14:paraId="50B11965">
      <w:pPr>
        <w:pStyle w:val="4"/>
        <w:tabs>
          <w:tab w:val="left" w:pos="420"/>
        </w:tabs>
        <w:spacing w:before="0" w:after="0" w:line="400" w:lineRule="exact"/>
        <w:rPr>
          <w:rFonts w:ascii="仿宋" w:hAnsi="仿宋" w:eastAsia="仿宋" w:cs="仿宋"/>
          <w:bCs w:val="0"/>
          <w:sz w:val="24"/>
          <w:szCs w:val="24"/>
          <w:lang w:eastAsia="zh-CN"/>
        </w:rPr>
      </w:pPr>
      <w:bookmarkStart w:id="646" w:name="_Toc21204"/>
      <w:bookmarkStart w:id="647" w:name="_Toc194073194"/>
      <w:bookmarkStart w:id="648" w:name="_Toc29084"/>
      <w:bookmarkStart w:id="649" w:name="_Toc29232"/>
      <w:r>
        <w:rPr>
          <w:rFonts w:hint="eastAsia" w:ascii="仿宋" w:hAnsi="仿宋" w:eastAsia="仿宋" w:cs="仿宋"/>
          <w:bCs w:val="0"/>
          <w:sz w:val="24"/>
          <w:szCs w:val="24"/>
          <w:lang w:eastAsia="zh-CN"/>
        </w:rPr>
        <w:t>★83</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支付事项</w:t>
      </w:r>
      <w:bookmarkEnd w:id="646"/>
      <w:bookmarkEnd w:id="647"/>
      <w:bookmarkEnd w:id="648"/>
      <w:bookmarkEnd w:id="649"/>
    </w:p>
    <w:p w14:paraId="567C3B97">
      <w:pPr>
        <w:pStyle w:val="22"/>
        <w:widowControl w:val="0"/>
        <w:adjustRightInd w:val="0"/>
        <w:snapToGrid w:val="0"/>
        <w:spacing w:line="400" w:lineRule="exact"/>
        <w:rPr>
          <w:rFonts w:ascii="仿宋" w:hAnsi="仿宋" w:eastAsia="仿宋" w:cs="仿宋"/>
          <w:b/>
          <w:bCs/>
          <w:sz w:val="24"/>
          <w:szCs w:val="24"/>
          <w:lang w:eastAsia="zh-CN"/>
        </w:rPr>
      </w:pPr>
      <w:r>
        <w:rPr>
          <w:rFonts w:hint="eastAsia" w:ascii="仿宋" w:hAnsi="仿宋" w:eastAsia="仿宋" w:cs="仿宋"/>
          <w:b/>
          <w:bCs/>
          <w:sz w:val="24"/>
          <w:szCs w:val="24"/>
          <w:lang w:eastAsia="zh-CN"/>
        </w:rPr>
        <w:t>83</w:t>
      </w:r>
      <w:r>
        <w:rPr>
          <w:rFonts w:ascii="仿宋" w:hAnsi="仿宋" w:eastAsia="仿宋" w:cs="仿宋"/>
          <w:b/>
          <w:bCs/>
          <w:sz w:val="24"/>
          <w:szCs w:val="24"/>
          <w:lang w:eastAsia="zh-CN"/>
        </w:rPr>
        <w:t>.1</w:t>
      </w:r>
    </w:p>
    <w:p w14:paraId="0BFE0D09">
      <w:pPr>
        <w:widowControl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904000" behindDoc="0" locked="0" layoutInCell="1" allowOverlap="1">
                <wp:simplePos x="0" y="0"/>
                <wp:positionH relativeFrom="column">
                  <wp:posOffset>-114300</wp:posOffset>
                </wp:positionH>
                <wp:positionV relativeFrom="paragraph">
                  <wp:posOffset>21590</wp:posOffset>
                </wp:positionV>
                <wp:extent cx="843280" cy="558800"/>
                <wp:effectExtent l="0" t="0" r="0" b="0"/>
                <wp:wrapNone/>
                <wp:docPr id="368" name="文本框 1028"/>
                <wp:cNvGraphicFramePr/>
                <a:graphic xmlns:a="http://schemas.openxmlformats.org/drawingml/2006/main">
                  <a:graphicData uri="http://schemas.microsoft.com/office/word/2010/wordprocessingShape">
                    <wps:wsp>
                      <wps:cNvSpPr txBox="1"/>
                      <wps:spPr>
                        <a:xfrm>
                          <a:off x="0" y="0"/>
                          <a:ext cx="843280" cy="558800"/>
                        </a:xfrm>
                        <a:prstGeom prst="rect">
                          <a:avLst/>
                        </a:prstGeom>
                        <a:noFill/>
                        <a:ln w="12700">
                          <a:noFill/>
                        </a:ln>
                      </wps:spPr>
                      <wps:txbx>
                        <w:txbxContent>
                          <w:p w14:paraId="3B34E2E1">
                            <w:pPr>
                              <w:pStyle w:val="36"/>
                              <w:spacing w:line="200" w:lineRule="exact"/>
                              <w:rPr>
                                <w:rFonts w:ascii="楷体_GB2312" w:hAnsi="宋体"/>
                                <w:sz w:val="18"/>
                                <w:szCs w:val="18"/>
                              </w:rPr>
                            </w:pPr>
                            <w:r>
                              <w:rPr>
                                <w:rFonts w:hint="eastAsia" w:ascii="楷体_GB2312" w:hAnsi="宋体" w:cs="楷体_GB2312"/>
                                <w:sz w:val="18"/>
                                <w:szCs w:val="18"/>
                              </w:rPr>
                              <w:t>支付合同价款</w:t>
                            </w:r>
                          </w:p>
                        </w:txbxContent>
                      </wps:txbx>
                      <wps:bodyPr rot="0" vert="horz" wrap="square" lIns="91440" tIns="45720" rIns="91440" bIns="45720" anchor="t" anchorCtr="0"/>
                    </wps:wsp>
                  </a:graphicData>
                </a:graphic>
              </wp:anchor>
            </w:drawing>
          </mc:Choice>
          <mc:Fallback>
            <w:pict>
              <v:shape id="文本框 1028" o:spid="_x0000_s1026" o:spt="202" type="#_x0000_t202" style="position:absolute;left:0pt;margin-left:-9pt;margin-top:1.7pt;height:44pt;width:66.4pt;z-index:251904000;mso-width-relative:page;mso-height-relative:page;" filled="f" stroked="f" coordsize="21600,21600" o:gfxdata="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rjRU7&#10;1gAAAAgBAAAPAAAAAAAAAAEAIAAAACIAAABkcnMvZG93bnJldi54bWxQSwECFAAUAAAACACHTuJA&#10;oPCjOeoBAAC/AwAADgAAAAAAAAABACAAAAAlAQAAZHJzL2Uyb0RvYy54bWxQSwUGAAAAAAYABgBZ&#10;AQAAgQUAAAAA&#10;">
                <v:fill on="f" focussize="0,0"/>
                <v:stroke on="f" weight="1pt"/>
                <v:imagedata o:title=""/>
                <o:lock v:ext="edit" aspectratio="f"/>
                <v:textbox>
                  <w:txbxContent>
                    <w:p w14:paraId="3B34E2E1">
                      <w:pPr>
                        <w:pStyle w:val="36"/>
                        <w:spacing w:line="200" w:lineRule="exact"/>
                        <w:rPr>
                          <w:rFonts w:ascii="楷体_GB2312" w:hAnsi="宋体"/>
                          <w:sz w:val="18"/>
                          <w:szCs w:val="18"/>
                        </w:rPr>
                      </w:pPr>
                      <w:r>
                        <w:rPr>
                          <w:rFonts w:hint="eastAsia" w:ascii="楷体_GB2312" w:hAnsi="宋体" w:cs="楷体_GB2312"/>
                          <w:sz w:val="18"/>
                          <w:szCs w:val="18"/>
                        </w:rPr>
                        <w:t>支付合同价款</w:t>
                      </w:r>
                    </w:p>
                  </w:txbxContent>
                </v:textbox>
              </v:shape>
            </w:pict>
          </mc:Fallback>
        </mc:AlternateContent>
      </w:r>
      <w:r>
        <w:rPr>
          <w:rFonts w:hint="eastAsia" w:ascii="仿宋" w:hAnsi="仿宋" w:eastAsia="仿宋" w:cs="仿宋"/>
          <w:lang w:eastAsia="zh-CN"/>
        </w:rPr>
        <w:t>发包人应按照下列约定向承包人支付工程勘察费、工程设计费、BIM技术应用费、设备及工器具购置费、建筑安装工程费及其他各种款项：</w:t>
      </w:r>
    </w:p>
    <w:p w14:paraId="4690C6DC">
      <w:pPr>
        <w:widowControl w:val="0"/>
        <w:numPr>
          <w:ilvl w:val="1"/>
          <w:numId w:val="28"/>
        </w:numPr>
        <w:tabs>
          <w:tab w:val="clear" w:pos="3285"/>
        </w:tabs>
        <w:spacing w:line="400" w:lineRule="exact"/>
        <w:ind w:left="1850" w:leftChars="771" w:firstLine="0"/>
        <w:jc w:val="both"/>
        <w:rPr>
          <w:rFonts w:ascii="仿宋" w:hAnsi="仿宋" w:eastAsia="仿宋" w:cs="仿宋"/>
          <w:lang w:eastAsia="zh-CN"/>
        </w:rPr>
      </w:pPr>
      <w:r>
        <w:rPr>
          <w:rFonts w:hint="eastAsia" w:ascii="仿宋" w:hAnsi="仿宋" w:eastAsia="仿宋" w:cs="仿宋"/>
          <w:lang w:eastAsia="zh-CN"/>
        </w:rPr>
        <w:t>预付款按照第84条的约定支付；</w:t>
      </w:r>
    </w:p>
    <w:p w14:paraId="727C5915">
      <w:pPr>
        <w:widowControl w:val="0"/>
        <w:numPr>
          <w:ilvl w:val="1"/>
          <w:numId w:val="28"/>
        </w:numPr>
        <w:tabs>
          <w:tab w:val="clear" w:pos="3285"/>
        </w:tabs>
        <w:spacing w:line="400" w:lineRule="exact"/>
        <w:ind w:left="1850" w:leftChars="771" w:firstLine="0"/>
        <w:jc w:val="both"/>
        <w:rPr>
          <w:rFonts w:ascii="仿宋" w:hAnsi="仿宋" w:eastAsia="仿宋" w:cs="仿宋"/>
          <w:lang w:eastAsia="zh-CN"/>
        </w:rPr>
      </w:pPr>
      <w:r>
        <w:rPr>
          <w:rFonts w:hint="eastAsia" w:ascii="仿宋" w:hAnsi="仿宋" w:eastAsia="仿宋" w:cs="仿宋"/>
          <w:lang w:eastAsia="zh-CN"/>
        </w:rPr>
        <w:t>绿色施工安全防护费按照第</w:t>
      </w:r>
      <w:r>
        <w:rPr>
          <w:rFonts w:ascii="仿宋" w:hAnsi="仿宋" w:eastAsia="仿宋" w:cs="仿宋"/>
          <w:lang w:eastAsia="zh-CN"/>
        </w:rPr>
        <w:t>8</w:t>
      </w:r>
      <w:r>
        <w:rPr>
          <w:rFonts w:hint="eastAsia" w:ascii="仿宋" w:hAnsi="仿宋" w:eastAsia="仿宋" w:cs="仿宋"/>
          <w:lang w:eastAsia="zh-CN"/>
        </w:rPr>
        <w:t>5条约定支付；</w:t>
      </w:r>
    </w:p>
    <w:p w14:paraId="49AFDE46">
      <w:pPr>
        <w:widowControl w:val="0"/>
        <w:numPr>
          <w:ilvl w:val="1"/>
          <w:numId w:val="28"/>
        </w:numPr>
        <w:tabs>
          <w:tab w:val="clear" w:pos="3285"/>
        </w:tabs>
        <w:spacing w:line="400" w:lineRule="exact"/>
        <w:ind w:left="1850" w:leftChars="771" w:firstLine="0"/>
        <w:jc w:val="both"/>
        <w:rPr>
          <w:rFonts w:ascii="仿宋" w:hAnsi="仿宋" w:eastAsia="仿宋" w:cs="仿宋"/>
          <w:lang w:eastAsia="zh-CN"/>
        </w:rPr>
      </w:pPr>
      <w:r>
        <w:rPr>
          <w:rFonts w:hint="eastAsia" w:ascii="仿宋" w:hAnsi="仿宋" w:eastAsia="仿宋" w:cs="仿宋"/>
          <w:lang w:eastAsia="zh-CN"/>
        </w:rPr>
        <w:t>进度款按照第</w:t>
      </w:r>
      <w:r>
        <w:rPr>
          <w:rFonts w:ascii="仿宋" w:hAnsi="仿宋" w:eastAsia="仿宋" w:cs="仿宋"/>
          <w:lang w:eastAsia="zh-CN"/>
        </w:rPr>
        <w:t>8</w:t>
      </w:r>
      <w:r>
        <w:rPr>
          <w:rFonts w:hint="eastAsia" w:ascii="仿宋" w:hAnsi="仿宋" w:eastAsia="仿宋" w:cs="仿宋"/>
          <w:lang w:eastAsia="zh-CN"/>
        </w:rPr>
        <w:t>6条的约定支付；</w:t>
      </w:r>
    </w:p>
    <w:p w14:paraId="01FC7E07">
      <w:pPr>
        <w:widowControl w:val="0"/>
        <w:numPr>
          <w:ilvl w:val="1"/>
          <w:numId w:val="28"/>
        </w:numPr>
        <w:tabs>
          <w:tab w:val="clear" w:pos="3285"/>
        </w:tabs>
        <w:spacing w:line="400" w:lineRule="exact"/>
        <w:ind w:left="1850" w:leftChars="771" w:firstLine="0"/>
        <w:jc w:val="both"/>
        <w:rPr>
          <w:rFonts w:ascii="仿宋" w:hAnsi="仿宋" w:eastAsia="仿宋" w:cs="仿宋"/>
          <w:lang w:eastAsia="zh-CN"/>
        </w:rPr>
      </w:pPr>
      <w:r>
        <w:rPr>
          <w:rFonts w:hint="eastAsia" w:ascii="仿宋" w:hAnsi="仿宋" w:eastAsia="仿宋" w:cs="仿宋"/>
          <w:lang w:eastAsia="zh-CN"/>
        </w:rPr>
        <w:t>结算款按照第</w:t>
      </w:r>
      <w:r>
        <w:rPr>
          <w:rFonts w:ascii="仿宋" w:hAnsi="仿宋" w:eastAsia="仿宋" w:cs="仿宋"/>
          <w:lang w:eastAsia="zh-CN"/>
        </w:rPr>
        <w:t>8</w:t>
      </w:r>
      <w:r>
        <w:rPr>
          <w:rFonts w:hint="eastAsia" w:ascii="仿宋" w:hAnsi="仿宋" w:eastAsia="仿宋" w:cs="仿宋"/>
          <w:lang w:eastAsia="zh-CN"/>
        </w:rPr>
        <w:t>8条的约定支付；</w:t>
      </w:r>
      <w:r>
        <w:rPr>
          <w:rFonts w:ascii="仿宋" w:hAnsi="仿宋" w:eastAsia="仿宋" w:cs="仿宋"/>
          <w:lang w:eastAsia="zh-CN"/>
        </w:rPr>
        <w:t xml:space="preserve"> </w:t>
      </w:r>
    </w:p>
    <w:p w14:paraId="64923580">
      <w:pPr>
        <w:widowControl w:val="0"/>
        <w:numPr>
          <w:ilvl w:val="1"/>
          <w:numId w:val="28"/>
        </w:numPr>
        <w:tabs>
          <w:tab w:val="clear" w:pos="3285"/>
        </w:tabs>
        <w:spacing w:line="400" w:lineRule="exact"/>
        <w:ind w:left="1850" w:leftChars="771" w:firstLine="0"/>
        <w:jc w:val="both"/>
        <w:rPr>
          <w:rFonts w:ascii="仿宋" w:hAnsi="仿宋" w:eastAsia="仿宋" w:cs="仿宋"/>
          <w:lang w:eastAsia="zh-CN"/>
        </w:rPr>
      </w:pPr>
      <w:r>
        <w:rPr>
          <w:rFonts w:hint="eastAsia" w:ascii="仿宋" w:hAnsi="仿宋" w:eastAsia="仿宋" w:cs="仿宋"/>
          <w:lang w:eastAsia="zh-CN"/>
        </w:rPr>
        <w:t>质量保证金按照第89条的约定支付；</w:t>
      </w:r>
    </w:p>
    <w:p w14:paraId="750AD65B">
      <w:pPr>
        <w:widowControl w:val="0"/>
        <w:numPr>
          <w:ilvl w:val="1"/>
          <w:numId w:val="28"/>
        </w:numPr>
        <w:tabs>
          <w:tab w:val="clear" w:pos="3285"/>
        </w:tabs>
        <w:spacing w:line="400" w:lineRule="exact"/>
        <w:ind w:left="1850" w:leftChars="771" w:firstLine="0"/>
        <w:jc w:val="both"/>
        <w:rPr>
          <w:rFonts w:ascii="仿宋" w:hAnsi="仿宋" w:eastAsia="仿宋" w:cs="仿宋"/>
          <w:lang w:eastAsia="zh-CN"/>
        </w:rPr>
      </w:pPr>
      <w:r>
        <w:rPr>
          <w:rFonts w:hint="eastAsia" w:ascii="仿宋" w:hAnsi="仿宋" w:eastAsia="仿宋" w:cs="仿宋"/>
          <w:lang w:eastAsia="zh-CN"/>
        </w:rPr>
        <w:t>最终清算款按照第90条的约定支付。</w:t>
      </w:r>
    </w:p>
    <w:p w14:paraId="0BBFFC59">
      <w:pPr>
        <w:spacing w:line="400" w:lineRule="exact"/>
        <w:rPr>
          <w:rFonts w:ascii="仿宋" w:hAnsi="仿宋" w:eastAsia="仿宋"/>
          <w:b/>
          <w:bCs/>
          <w:lang w:eastAsia="zh-CN"/>
        </w:rPr>
      </w:pPr>
      <w:bookmarkStart w:id="650" w:name="_Toc21140"/>
      <w:r>
        <w:rPr>
          <w:rFonts w:hint="eastAsia" w:ascii="仿宋" w:hAnsi="仿宋" w:eastAsia="仿宋" w:cs="仿宋"/>
          <w:b/>
          <w:bCs/>
          <w:lang w:eastAsia="zh-CN"/>
        </w:rPr>
        <w:t>83</w:t>
      </w:r>
      <w:r>
        <w:rPr>
          <w:rFonts w:ascii="仿宋" w:hAnsi="仿宋" w:eastAsia="仿宋" w:cs="仿宋"/>
          <w:b/>
          <w:bCs/>
          <w:lang w:eastAsia="zh-CN"/>
        </w:rPr>
        <w:t>.2</w:t>
      </w:r>
      <w:bookmarkEnd w:id="650"/>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4FDD6078">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905024" behindDoc="0" locked="0" layoutInCell="1" allowOverlap="1">
                <wp:simplePos x="0" y="0"/>
                <wp:positionH relativeFrom="column">
                  <wp:posOffset>-114300</wp:posOffset>
                </wp:positionH>
                <wp:positionV relativeFrom="paragraph">
                  <wp:posOffset>43815</wp:posOffset>
                </wp:positionV>
                <wp:extent cx="785495" cy="517525"/>
                <wp:effectExtent l="0" t="0" r="0" b="0"/>
                <wp:wrapNone/>
                <wp:docPr id="369" name="文本框 1029"/>
                <wp:cNvGraphicFramePr/>
                <a:graphic xmlns:a="http://schemas.openxmlformats.org/drawingml/2006/main">
                  <a:graphicData uri="http://schemas.microsoft.com/office/word/2010/wordprocessingShape">
                    <wps:wsp>
                      <wps:cNvSpPr txBox="1"/>
                      <wps:spPr>
                        <a:xfrm>
                          <a:off x="0" y="0"/>
                          <a:ext cx="785495" cy="517525"/>
                        </a:xfrm>
                        <a:prstGeom prst="rect">
                          <a:avLst/>
                        </a:prstGeom>
                        <a:noFill/>
                        <a:ln w="12700">
                          <a:noFill/>
                        </a:ln>
                      </wps:spPr>
                      <wps:txbx>
                        <w:txbxContent>
                          <w:p w14:paraId="6F682EB4">
                            <w:pPr>
                              <w:pStyle w:val="36"/>
                              <w:spacing w:line="200" w:lineRule="exact"/>
                              <w:rPr>
                                <w:rFonts w:ascii="楷体_GB2312" w:hAnsi="宋体"/>
                                <w:sz w:val="18"/>
                                <w:szCs w:val="18"/>
                              </w:rPr>
                            </w:pPr>
                            <w:r>
                              <w:rPr>
                                <w:rFonts w:hint="eastAsia" w:ascii="楷体_GB2312" w:hAnsi="宋体" w:cs="楷体_GB2312"/>
                                <w:sz w:val="18"/>
                                <w:szCs w:val="18"/>
                              </w:rPr>
                              <w:t>延迟支付的利息计算</w:t>
                            </w:r>
                          </w:p>
                        </w:txbxContent>
                      </wps:txbx>
                      <wps:bodyPr rot="0" vert="horz" wrap="square" lIns="91440" tIns="45720" rIns="91440" bIns="45720" anchor="t" anchorCtr="0"/>
                    </wps:wsp>
                  </a:graphicData>
                </a:graphic>
              </wp:anchor>
            </w:drawing>
          </mc:Choice>
          <mc:Fallback>
            <w:pict>
              <v:shape id="文本框 1029" o:spid="_x0000_s1026" o:spt="202" type="#_x0000_t202" style="position:absolute;left:0pt;margin-left:-9pt;margin-top:3.45pt;height:40.75pt;width:61.85pt;z-index:251905024;mso-width-relative:page;mso-height-relative:page;" filled="f" stroked="f" coordsize="21600,21600" o:gfxdata="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eCu1HdgAAAAIAQAADwAAAAAAAAABACAAAAAiAAAAZHJzL2Rvd25yZXYueG1sUEsBAhQAFAAAAAgA&#10;h07iQB1aUfDsAQAAvwMAAA4AAAAAAAAAAQAgAAAAJwEAAGRycy9lMm9Eb2MueG1sUEsFBgAAAAAG&#10;AAYAWQEAAIUFAAAAAA==&#10;">
                <v:fill on="f" focussize="0,0"/>
                <v:stroke on="f" weight="1pt"/>
                <v:imagedata o:title=""/>
                <o:lock v:ext="edit" aspectratio="f"/>
                <v:textbox>
                  <w:txbxContent>
                    <w:p w14:paraId="6F682EB4">
                      <w:pPr>
                        <w:pStyle w:val="36"/>
                        <w:spacing w:line="200" w:lineRule="exact"/>
                        <w:rPr>
                          <w:rFonts w:ascii="楷体_GB2312" w:hAnsi="宋体"/>
                          <w:sz w:val="18"/>
                          <w:szCs w:val="18"/>
                        </w:rPr>
                      </w:pPr>
                      <w:r>
                        <w:rPr>
                          <w:rFonts w:hint="eastAsia" w:ascii="楷体_GB2312" w:hAnsi="宋体" w:cs="楷体_GB2312"/>
                          <w:sz w:val="18"/>
                          <w:szCs w:val="18"/>
                        </w:rPr>
                        <w:t>延迟支付的利息计算</w:t>
                      </w:r>
                    </w:p>
                  </w:txbxContent>
                </v:textbox>
              </v:shape>
            </w:pict>
          </mc:Fallback>
        </mc:AlternateContent>
      </w:r>
      <w:r>
        <w:rPr>
          <w:rFonts w:hint="eastAsia" w:ascii="仿宋" w:hAnsi="仿宋" w:eastAsia="仿宋" w:cs="仿宋"/>
          <w:sz w:val="24"/>
          <w:szCs w:val="24"/>
          <w:lang w:eastAsia="zh-CN"/>
        </w:rPr>
        <w:t>如果发包人延迟支付款项，则承包人有权按照专用条款约定的利率计算和得到利息。计息时间从应支付之日起直到该笔延迟款额支付之日止。除专用条款另有约定外，利息的利率按照全国银行间同业拆借中心公布的贷款市场报价利率（LPR）计算。</w:t>
      </w:r>
    </w:p>
    <w:p w14:paraId="4AFE38C1">
      <w:pPr>
        <w:widowControl w:val="0"/>
        <w:spacing w:line="400" w:lineRule="exact"/>
        <w:rPr>
          <w:rFonts w:ascii="仿宋" w:hAnsi="仿宋" w:eastAsia="仿宋"/>
          <w:b/>
          <w:bCs/>
          <w:lang w:eastAsia="zh-CN"/>
        </w:rPr>
      </w:pPr>
      <w:bookmarkStart w:id="651" w:name="_Toc20610"/>
      <w:r>
        <w:rPr>
          <w:rFonts w:hint="eastAsia" w:ascii="仿宋" w:hAnsi="仿宋" w:eastAsia="仿宋" w:cs="仿宋"/>
          <w:b/>
          <w:bCs/>
          <w:lang w:eastAsia="zh-CN"/>
        </w:rPr>
        <w:t>83</w:t>
      </w:r>
      <w:r>
        <w:rPr>
          <w:rFonts w:ascii="仿宋" w:hAnsi="仿宋" w:eastAsia="仿宋" w:cs="仿宋"/>
          <w:b/>
          <w:bCs/>
          <w:lang w:eastAsia="zh-CN"/>
        </w:rPr>
        <w:t>.3</w:t>
      </w:r>
      <w:bookmarkEnd w:id="651"/>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1F38E729">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906048" behindDoc="0" locked="0" layoutInCell="1" allowOverlap="1">
                <wp:simplePos x="0" y="0"/>
                <wp:positionH relativeFrom="column">
                  <wp:posOffset>-114300</wp:posOffset>
                </wp:positionH>
                <wp:positionV relativeFrom="paragraph">
                  <wp:posOffset>4445</wp:posOffset>
                </wp:positionV>
                <wp:extent cx="785495" cy="532765"/>
                <wp:effectExtent l="0" t="0" r="0" b="0"/>
                <wp:wrapNone/>
                <wp:docPr id="370" name="文本框 1030"/>
                <wp:cNvGraphicFramePr/>
                <a:graphic xmlns:a="http://schemas.openxmlformats.org/drawingml/2006/main">
                  <a:graphicData uri="http://schemas.microsoft.com/office/word/2010/wordprocessingShape">
                    <wps:wsp>
                      <wps:cNvSpPr txBox="1"/>
                      <wps:spPr>
                        <a:xfrm>
                          <a:off x="0" y="0"/>
                          <a:ext cx="785495" cy="532765"/>
                        </a:xfrm>
                        <a:prstGeom prst="rect">
                          <a:avLst/>
                        </a:prstGeom>
                        <a:noFill/>
                        <a:ln w="12700">
                          <a:noFill/>
                        </a:ln>
                      </wps:spPr>
                      <wps:txbx>
                        <w:txbxContent>
                          <w:p w14:paraId="16BF70A3">
                            <w:pPr>
                              <w:pStyle w:val="36"/>
                              <w:spacing w:line="200" w:lineRule="exact"/>
                              <w:rPr>
                                <w:rFonts w:ascii="楷体_GB2312" w:hAnsi="宋体"/>
                                <w:sz w:val="18"/>
                                <w:szCs w:val="18"/>
                              </w:rPr>
                            </w:pPr>
                            <w:r>
                              <w:rPr>
                                <w:rFonts w:hint="eastAsia" w:ascii="楷体_GB2312" w:hAnsi="宋体" w:cs="楷体_GB2312"/>
                                <w:sz w:val="18"/>
                                <w:szCs w:val="18"/>
                              </w:rPr>
                              <w:t>承包人提供支付凭证</w:t>
                            </w:r>
                          </w:p>
                        </w:txbxContent>
                      </wps:txbx>
                      <wps:bodyPr rot="0" vert="horz" wrap="square" lIns="91440" tIns="45720" rIns="91440" bIns="45720" anchor="t" anchorCtr="0"/>
                    </wps:wsp>
                  </a:graphicData>
                </a:graphic>
              </wp:anchor>
            </w:drawing>
          </mc:Choice>
          <mc:Fallback>
            <w:pict>
              <v:shape id="文本框 1030" o:spid="_x0000_s1026" o:spt="202" type="#_x0000_t202" style="position:absolute;left:0pt;margin-left:-9pt;margin-top:0.35pt;height:41.95pt;width:61.85pt;z-index:251906048;mso-width-relative:page;mso-height-relative:page;" filled="f" stroked="f" coordsize="21600,21600" o:gfxdata="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X3OqG&#10;1gAAAAcBAAAPAAAAAAAAAAEAIAAAACIAAABkcnMvZG93bnJldi54bWxQSwECFAAUAAAACACHTuJA&#10;PChcSeoBAAC/AwAADgAAAAAAAAABACAAAAAlAQAAZHJzL2Uyb0RvYy54bWxQSwUGAAAAAAYABgBZ&#10;AQAAgQUAAAAA&#10;">
                <v:fill on="f" focussize="0,0"/>
                <v:stroke on="f" weight="1pt"/>
                <v:imagedata o:title=""/>
                <o:lock v:ext="edit" aspectratio="f"/>
                <v:textbox>
                  <w:txbxContent>
                    <w:p w14:paraId="16BF70A3">
                      <w:pPr>
                        <w:pStyle w:val="36"/>
                        <w:spacing w:line="200" w:lineRule="exact"/>
                        <w:rPr>
                          <w:rFonts w:ascii="楷体_GB2312" w:hAnsi="宋体"/>
                          <w:sz w:val="18"/>
                          <w:szCs w:val="18"/>
                        </w:rPr>
                      </w:pPr>
                      <w:r>
                        <w:rPr>
                          <w:rFonts w:hint="eastAsia" w:ascii="楷体_GB2312" w:hAnsi="宋体" w:cs="楷体_GB2312"/>
                          <w:sz w:val="18"/>
                          <w:szCs w:val="18"/>
                        </w:rPr>
                        <w:t>承包人提供支付凭证</w:t>
                      </w:r>
                    </w:p>
                  </w:txbxContent>
                </v:textbox>
              </v:shape>
            </w:pict>
          </mc:Fallback>
        </mc:AlternateContent>
      </w:r>
      <w:r>
        <w:rPr>
          <w:rFonts w:hint="eastAsia" w:ascii="仿宋" w:hAnsi="仿宋" w:eastAsia="仿宋" w:cs="仿宋"/>
          <w:sz w:val="24"/>
          <w:szCs w:val="24"/>
          <w:lang w:eastAsia="zh-CN"/>
        </w:rPr>
        <w:t>发包人或受其委托的造价咨询人有权要求，承包人向发包人或造价咨询人提供其对雇员劳务工资、分包人已完工程款以及工程材料和工程设备供应商货款的支付凭证。如果承包人未能提供上述凭证，视为承包人未向雇员、分包人、供应商支付相关款项。</w:t>
      </w:r>
    </w:p>
    <w:p w14:paraId="50C31682">
      <w:pPr>
        <w:pStyle w:val="22"/>
        <w:widowControl w:val="0"/>
        <w:adjustRightInd w:val="0"/>
        <w:snapToGrid w:val="0"/>
        <w:spacing w:line="400" w:lineRule="exact"/>
        <w:rPr>
          <w:rFonts w:ascii="仿宋" w:hAnsi="仿宋" w:eastAsia="仿宋"/>
          <w:b/>
          <w:bCs/>
          <w:sz w:val="24"/>
          <w:szCs w:val="24"/>
          <w:lang w:eastAsia="zh-CN"/>
        </w:rPr>
      </w:pPr>
      <w:r>
        <w:rPr>
          <w:rFonts w:hint="eastAsia" w:ascii="仿宋" w:hAnsi="仿宋" w:eastAsia="仿宋" w:cs="仿宋"/>
          <w:b/>
          <w:bCs/>
          <w:sz w:val="24"/>
          <w:szCs w:val="24"/>
          <w:lang w:eastAsia="zh-CN"/>
        </w:rPr>
        <w:t>83</w:t>
      </w:r>
      <w:r>
        <w:rPr>
          <w:rFonts w:ascii="仿宋" w:hAnsi="仿宋" w:eastAsia="仿宋" w:cs="仿宋"/>
          <w:b/>
          <w:bCs/>
          <w:sz w:val="24"/>
          <w:szCs w:val="24"/>
          <w:lang w:eastAsia="zh-CN"/>
        </w:rPr>
        <w:t xml:space="preserve">.4  </w:t>
      </w:r>
      <w:r>
        <w:rPr>
          <w:rFonts w:ascii="仿宋" w:hAnsi="仿宋" w:eastAsia="仿宋" w:cs="仿宋"/>
          <w:b/>
          <w:bCs/>
          <w:sz w:val="24"/>
          <w:szCs w:val="24"/>
          <w:u w:val="dotted"/>
          <w:lang w:eastAsia="zh-CN"/>
        </w:rPr>
        <w:t xml:space="preserve">                                                                               </w:t>
      </w:r>
    </w:p>
    <w:p w14:paraId="235F6EEF">
      <w:pPr>
        <w:pStyle w:val="22"/>
        <w:widowControl w:val="0"/>
        <w:adjustRightInd w:val="0"/>
        <w:snapToGrid w:val="0"/>
        <w:spacing w:line="400" w:lineRule="exact"/>
        <w:ind w:left="1850" w:leftChars="771"/>
        <w:jc w:val="both"/>
        <w:rPr>
          <w:rFonts w:ascii="仿宋" w:hAnsi="仿宋" w:eastAsia="仿宋"/>
          <w:sz w:val="24"/>
          <w:szCs w:val="24"/>
          <w:lang w:eastAsia="zh-CN"/>
        </w:rPr>
      </w:pPr>
      <w:r>
        <mc:AlternateContent>
          <mc:Choice Requires="wps">
            <w:drawing>
              <wp:anchor distT="0" distB="0" distL="114300" distR="114300" simplePos="0" relativeHeight="251907072" behindDoc="0" locked="0" layoutInCell="1" allowOverlap="1">
                <wp:simplePos x="0" y="0"/>
                <wp:positionH relativeFrom="column">
                  <wp:posOffset>-114300</wp:posOffset>
                </wp:positionH>
                <wp:positionV relativeFrom="paragraph">
                  <wp:posOffset>22225</wp:posOffset>
                </wp:positionV>
                <wp:extent cx="823595" cy="631825"/>
                <wp:effectExtent l="0" t="0" r="0" b="0"/>
                <wp:wrapNone/>
                <wp:docPr id="371" name="文本框 1031"/>
                <wp:cNvGraphicFramePr/>
                <a:graphic xmlns:a="http://schemas.openxmlformats.org/drawingml/2006/main">
                  <a:graphicData uri="http://schemas.microsoft.com/office/word/2010/wordprocessingShape">
                    <wps:wsp>
                      <wps:cNvSpPr txBox="1"/>
                      <wps:spPr>
                        <a:xfrm>
                          <a:off x="0" y="0"/>
                          <a:ext cx="823595" cy="631825"/>
                        </a:xfrm>
                        <a:prstGeom prst="rect">
                          <a:avLst/>
                        </a:prstGeom>
                        <a:noFill/>
                        <a:ln w="12700">
                          <a:noFill/>
                        </a:ln>
                      </wps:spPr>
                      <wps:txbx>
                        <w:txbxContent>
                          <w:p w14:paraId="2C931AF8">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承包人未按约定支付款项的限制</w:t>
                            </w:r>
                          </w:p>
                        </w:txbxContent>
                      </wps:txbx>
                      <wps:bodyPr rot="0" vert="horz" wrap="square" lIns="91440" tIns="45720" rIns="91440" bIns="45720" anchor="t" anchorCtr="0"/>
                    </wps:wsp>
                  </a:graphicData>
                </a:graphic>
              </wp:anchor>
            </w:drawing>
          </mc:Choice>
          <mc:Fallback>
            <w:pict>
              <v:shape id="文本框 1031" o:spid="_x0000_s1026" o:spt="202" type="#_x0000_t202" style="position:absolute;left:0pt;margin-left:-9pt;margin-top:1.75pt;height:49.75pt;width:64.85pt;z-index:251907072;mso-width-relative:page;mso-height-relative:page;" filled="f" stroked="f" coordsize="21600,21600" o:gfxdata="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Mp&#10;giPXAAAACQEAAA8AAAAAAAAAAQAgAAAAIgAAAGRycy9kb3ducmV2LnhtbFBLAQIUABQAAAAIAIdO&#10;4kCgiyvT6wEAAL8DAAAOAAAAAAAAAAEAIAAAACYBAABkcnMvZTJvRG9jLnhtbFBLBQYAAAAABgAG&#10;AFkBAACDBQAAAAA=&#10;">
                <v:fill on="f" focussize="0,0"/>
                <v:stroke on="f" weight="1pt"/>
                <v:imagedata o:title=""/>
                <o:lock v:ext="edit" aspectratio="f"/>
                <v:textbox>
                  <w:txbxContent>
                    <w:p w14:paraId="2C931AF8">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承包人未按约定支付款项的限制</w:t>
                      </w:r>
                    </w:p>
                  </w:txbxContent>
                </v:textbox>
              </v:shape>
            </w:pict>
          </mc:Fallback>
        </mc:AlternateContent>
      </w:r>
      <w:r>
        <w:rPr>
          <w:rFonts w:hint="eastAsia" w:ascii="仿宋" w:hAnsi="仿宋" w:eastAsia="仿宋" w:cs="仿宋"/>
          <w:sz w:val="24"/>
          <w:szCs w:val="24"/>
          <w:lang w:eastAsia="zh-CN"/>
        </w:rPr>
        <w:t>如果承包人未按照雇员劳务合同和政府有关规定支付雇员劳务工资，或未按照分包合同支付分包人工程款，或未按照购销合同支付工程材料和工程设备供应商货款，均视为承包人违约。若在造价咨询人书面通知改正后的</w:t>
      </w:r>
      <w:r>
        <w:rPr>
          <w:rFonts w:ascii="仿宋" w:hAnsi="仿宋" w:eastAsia="仿宋" w:cs="仿宋"/>
          <w:sz w:val="24"/>
          <w:szCs w:val="24"/>
          <w:lang w:eastAsia="zh-CN"/>
        </w:rPr>
        <w:t>7</w:t>
      </w:r>
      <w:r>
        <w:rPr>
          <w:rFonts w:hint="eastAsia" w:ascii="仿宋" w:hAnsi="仿宋" w:eastAsia="仿宋" w:cs="仿宋"/>
          <w:sz w:val="24"/>
          <w:szCs w:val="24"/>
          <w:lang w:eastAsia="zh-CN"/>
        </w:rPr>
        <w:t>天内，承包人仍未采取措施补救的，发包人可在不损害承包人其他权利的前提下，实施下列工作：</w:t>
      </w:r>
    </w:p>
    <w:p w14:paraId="6905460C">
      <w:pPr>
        <w:pStyle w:val="22"/>
        <w:widowControl w:val="0"/>
        <w:numPr>
          <w:ilvl w:val="0"/>
          <w:numId w:val="21"/>
        </w:numPr>
        <w:tabs>
          <w:tab w:val="left" w:pos="2160"/>
        </w:tabs>
        <w:adjustRightInd w:val="0"/>
        <w:snapToGrid w:val="0"/>
        <w:spacing w:line="400" w:lineRule="exact"/>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立即停止向承包人支付应付的款项；</w:t>
      </w:r>
    </w:p>
    <w:p w14:paraId="11296265">
      <w:pPr>
        <w:pStyle w:val="22"/>
        <w:widowControl w:val="0"/>
        <w:numPr>
          <w:ilvl w:val="0"/>
          <w:numId w:val="21"/>
        </w:numPr>
        <w:tabs>
          <w:tab w:val="left" w:pos="2160"/>
        </w:tabs>
        <w:adjustRightInd w:val="0"/>
        <w:snapToGrid w:val="0"/>
        <w:spacing w:line="400" w:lineRule="exact"/>
        <w:ind w:left="1849" w:leftChars="770" w:hanging="1"/>
        <w:jc w:val="both"/>
        <w:rPr>
          <w:rFonts w:ascii="仿宋" w:hAnsi="仿宋" w:eastAsia="仿宋"/>
          <w:sz w:val="24"/>
          <w:szCs w:val="24"/>
          <w:lang w:eastAsia="zh-CN"/>
        </w:rPr>
      </w:pPr>
      <w:r>
        <w:rPr>
          <w:rFonts w:hint="eastAsia" w:ascii="仿宋" w:hAnsi="仿宋" w:eastAsia="仿宋" w:cs="仿宋"/>
          <w:sz w:val="24"/>
          <w:szCs w:val="24"/>
          <w:lang w:eastAsia="zh-CN"/>
        </w:rPr>
        <w:t>在相应支付期应付的工程款范围内，直接向雇员、分包人和工程材料供应商、工程设备供应商支付承包人应付的款项。</w:t>
      </w:r>
    </w:p>
    <w:p w14:paraId="34FF2B50">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发包人在实施上述工作后的</w:t>
      </w:r>
      <w:r>
        <w:rPr>
          <w:rFonts w:ascii="仿宋" w:hAnsi="仿宋" w:eastAsia="仿宋" w:cs="仿宋"/>
          <w:sz w:val="24"/>
          <w:szCs w:val="24"/>
          <w:lang w:eastAsia="zh-CN"/>
        </w:rPr>
        <w:t>14</w:t>
      </w:r>
      <w:r>
        <w:rPr>
          <w:rFonts w:hint="eastAsia" w:ascii="仿宋" w:hAnsi="仿宋" w:eastAsia="仿宋" w:cs="仿宋"/>
          <w:sz w:val="24"/>
          <w:szCs w:val="24"/>
          <w:lang w:eastAsia="zh-CN"/>
        </w:rPr>
        <w:t>天内应以书面形式通知承包人，抄送造价咨询人。造价咨询人在签发下期支付证书时，应扣除已由发包人直接支付的款项。由于上述工作原因发生的费用由承包人承担；给发包人造成损失的，承包人应予赔偿。</w:t>
      </w:r>
    </w:p>
    <w:p w14:paraId="516D6266">
      <w:pPr>
        <w:pStyle w:val="22"/>
        <w:adjustRightInd w:val="0"/>
        <w:snapToGrid w:val="0"/>
        <w:spacing w:line="400" w:lineRule="exact"/>
        <w:rPr>
          <w:rFonts w:ascii="仿宋" w:hAnsi="仿宋" w:eastAsia="仿宋" w:cs="仿宋"/>
          <w:b/>
          <w:bCs/>
          <w:sz w:val="24"/>
          <w:szCs w:val="24"/>
          <w:u w:val="single"/>
          <w:lang w:eastAsia="zh-CN"/>
        </w:rPr>
      </w:pPr>
      <w:r>
        <w:rPr>
          <w:rFonts w:ascii="仿宋" w:hAnsi="仿宋" w:eastAsia="仿宋" w:cs="仿宋"/>
          <w:b/>
          <w:bCs/>
          <w:sz w:val="24"/>
          <w:szCs w:val="24"/>
          <w:u w:val="single"/>
          <w:lang w:eastAsia="zh-CN"/>
        </w:rPr>
        <w:t xml:space="preserve">                                                 </w:t>
      </w:r>
      <w:r>
        <w:rPr>
          <w:rFonts w:hint="eastAsia" w:ascii="仿宋" w:hAnsi="仿宋" w:eastAsia="仿宋" w:cs="仿宋"/>
          <w:b/>
          <w:bCs/>
          <w:sz w:val="24"/>
          <w:szCs w:val="24"/>
          <w:u w:val="single"/>
          <w:lang w:eastAsia="zh-CN"/>
        </w:rPr>
        <w:t xml:space="preserve">   </w:t>
      </w:r>
      <w:r>
        <w:rPr>
          <w:rFonts w:ascii="仿宋" w:hAnsi="仿宋" w:eastAsia="仿宋" w:cs="仿宋"/>
          <w:b/>
          <w:bCs/>
          <w:sz w:val="24"/>
          <w:szCs w:val="24"/>
          <w:u w:val="single"/>
          <w:lang w:eastAsia="zh-CN"/>
        </w:rPr>
        <w:t xml:space="preserve">                                 </w:t>
      </w:r>
    </w:p>
    <w:p w14:paraId="303C8092">
      <w:pPr>
        <w:pStyle w:val="4"/>
        <w:tabs>
          <w:tab w:val="left" w:pos="420"/>
        </w:tabs>
        <w:spacing w:before="0" w:after="0" w:line="400" w:lineRule="exact"/>
        <w:rPr>
          <w:rFonts w:ascii="仿宋" w:hAnsi="仿宋" w:eastAsia="仿宋" w:cs="仿宋"/>
          <w:bCs w:val="0"/>
          <w:sz w:val="24"/>
          <w:szCs w:val="24"/>
          <w:lang w:eastAsia="zh-CN"/>
        </w:rPr>
      </w:pPr>
      <w:bookmarkStart w:id="652" w:name="_Toc194073195"/>
      <w:bookmarkStart w:id="653" w:name="_Toc3521"/>
      <w:bookmarkStart w:id="654" w:name="_Toc14039"/>
      <w:bookmarkStart w:id="655" w:name="_Toc20728"/>
      <w:r>
        <w:rPr>
          <w:rFonts w:hint="eastAsia" w:ascii="仿宋" w:hAnsi="仿宋" w:eastAsia="仿宋" w:cs="仿宋"/>
          <w:bCs w:val="0"/>
          <w:sz w:val="24"/>
          <w:szCs w:val="24"/>
          <w:lang w:eastAsia="zh-CN"/>
        </w:rPr>
        <w:t>★84</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预付款</w:t>
      </w:r>
      <w:bookmarkEnd w:id="652"/>
      <w:bookmarkEnd w:id="653"/>
      <w:bookmarkEnd w:id="654"/>
      <w:bookmarkEnd w:id="655"/>
    </w:p>
    <w:p w14:paraId="231825E8">
      <w:pPr>
        <w:pStyle w:val="22"/>
        <w:widowControl w:val="0"/>
        <w:adjustRightInd w:val="0"/>
        <w:snapToGrid w:val="0"/>
        <w:spacing w:line="400" w:lineRule="exact"/>
        <w:rPr>
          <w:rFonts w:ascii="仿宋" w:hAnsi="仿宋" w:eastAsia="仿宋" w:cs="仿宋"/>
          <w:b/>
          <w:bCs/>
          <w:sz w:val="24"/>
          <w:szCs w:val="24"/>
          <w:lang w:eastAsia="zh-CN"/>
        </w:rPr>
      </w:pPr>
      <w:r>
        <mc:AlternateContent>
          <mc:Choice Requires="wps">
            <w:drawing>
              <wp:anchor distT="0" distB="0" distL="114300" distR="114300" simplePos="0" relativeHeight="252063744" behindDoc="0" locked="0" layoutInCell="1" allowOverlap="1">
                <wp:simplePos x="0" y="0"/>
                <wp:positionH relativeFrom="column">
                  <wp:posOffset>-114300</wp:posOffset>
                </wp:positionH>
                <wp:positionV relativeFrom="paragraph">
                  <wp:posOffset>226695</wp:posOffset>
                </wp:positionV>
                <wp:extent cx="863600" cy="353060"/>
                <wp:effectExtent l="0" t="0" r="0" b="0"/>
                <wp:wrapNone/>
                <wp:docPr id="372" name="文本框 1032"/>
                <wp:cNvGraphicFramePr/>
                <a:graphic xmlns:a="http://schemas.openxmlformats.org/drawingml/2006/main">
                  <a:graphicData uri="http://schemas.microsoft.com/office/word/2010/wordprocessingShape">
                    <wps:wsp>
                      <wps:cNvSpPr txBox="1"/>
                      <wps:spPr>
                        <a:xfrm>
                          <a:off x="0" y="0"/>
                          <a:ext cx="863600" cy="353060"/>
                        </a:xfrm>
                        <a:prstGeom prst="rect">
                          <a:avLst/>
                        </a:prstGeom>
                        <a:noFill/>
                        <a:ln w="12700">
                          <a:noFill/>
                        </a:ln>
                      </wps:spPr>
                      <wps:txbx>
                        <w:txbxContent>
                          <w:p w14:paraId="6F549F3C">
                            <w:pPr>
                              <w:pStyle w:val="36"/>
                              <w:spacing w:line="200" w:lineRule="exact"/>
                              <w:rPr>
                                <w:rFonts w:ascii="楷体_GB2312" w:hAnsi="宋体"/>
                                <w:sz w:val="18"/>
                                <w:szCs w:val="18"/>
                              </w:rPr>
                            </w:pPr>
                            <w:r>
                              <w:rPr>
                                <w:rFonts w:hint="eastAsia" w:ascii="楷体_GB2312" w:hAnsi="宋体" w:cs="楷体_GB2312"/>
                                <w:sz w:val="18"/>
                                <w:szCs w:val="18"/>
                              </w:rPr>
                              <w:t>预付款的约定</w:t>
                            </w:r>
                          </w:p>
                          <w:p w14:paraId="14C5041F">
                            <w:pPr>
                              <w:pStyle w:val="36"/>
                              <w:spacing w:line="200" w:lineRule="exact"/>
                              <w:rPr>
                                <w:rFonts w:ascii="楷体_GB2312" w:hAnsi="宋体"/>
                                <w:sz w:val="18"/>
                                <w:szCs w:val="18"/>
                              </w:rPr>
                            </w:pPr>
                            <w:r>
                              <w:rPr>
                                <w:rFonts w:hint="eastAsia" w:ascii="楷体_GB2312" w:hAnsi="宋体" w:cs="楷体_GB2312"/>
                                <w:sz w:val="18"/>
                                <w:szCs w:val="18"/>
                              </w:rPr>
                              <w:t>及管理</w:t>
                            </w:r>
                          </w:p>
                        </w:txbxContent>
                      </wps:txbx>
                      <wps:bodyPr rot="0" vert="horz" wrap="square" lIns="91440" tIns="45720" rIns="91440" bIns="45720" anchor="t" anchorCtr="0"/>
                    </wps:wsp>
                  </a:graphicData>
                </a:graphic>
              </wp:anchor>
            </w:drawing>
          </mc:Choice>
          <mc:Fallback>
            <w:pict>
              <v:shape id="文本框 1032" o:spid="_x0000_s1026" o:spt="202" type="#_x0000_t202" style="position:absolute;left:0pt;margin-left:-9pt;margin-top:17.85pt;height:27.8pt;width:68pt;z-index:252063744;mso-width-relative:page;mso-height-relative:page;" filled="f" stroked="f" coordsize="21600,21600" o:gfxdata="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ICY&#10;bdcAAAAJAQAADwAAAAAAAAABACAAAAAiAAAAZHJzL2Rvd25yZXYueG1sUEsBAhQAFAAAAAgAh07i&#10;QOc/v37qAQAAvwMAAA4AAAAAAAAAAQAgAAAAJgEAAGRycy9lMm9Eb2MueG1sUEsFBgAAAAAGAAYA&#10;WQEAAIIFAAAAAA==&#10;">
                <v:fill on="f" focussize="0,0"/>
                <v:stroke on="f" weight="1pt"/>
                <v:imagedata o:title=""/>
                <o:lock v:ext="edit" aspectratio="f"/>
                <v:textbox>
                  <w:txbxContent>
                    <w:p w14:paraId="6F549F3C">
                      <w:pPr>
                        <w:pStyle w:val="36"/>
                        <w:spacing w:line="200" w:lineRule="exact"/>
                        <w:rPr>
                          <w:rFonts w:ascii="楷体_GB2312" w:hAnsi="宋体"/>
                          <w:sz w:val="18"/>
                          <w:szCs w:val="18"/>
                        </w:rPr>
                      </w:pPr>
                      <w:r>
                        <w:rPr>
                          <w:rFonts w:hint="eastAsia" w:ascii="楷体_GB2312" w:hAnsi="宋体" w:cs="楷体_GB2312"/>
                          <w:sz w:val="18"/>
                          <w:szCs w:val="18"/>
                        </w:rPr>
                        <w:t>预付款的约定</w:t>
                      </w:r>
                    </w:p>
                    <w:p w14:paraId="14C5041F">
                      <w:pPr>
                        <w:pStyle w:val="36"/>
                        <w:spacing w:line="200" w:lineRule="exact"/>
                        <w:rPr>
                          <w:rFonts w:ascii="楷体_GB2312" w:hAnsi="宋体"/>
                          <w:sz w:val="18"/>
                          <w:szCs w:val="18"/>
                        </w:rPr>
                      </w:pPr>
                      <w:r>
                        <w:rPr>
                          <w:rFonts w:hint="eastAsia" w:ascii="楷体_GB2312" w:hAnsi="宋体" w:cs="楷体_GB2312"/>
                          <w:sz w:val="18"/>
                          <w:szCs w:val="18"/>
                        </w:rPr>
                        <w:t>及管理</w:t>
                      </w:r>
                    </w:p>
                  </w:txbxContent>
                </v:textbox>
              </v:shape>
            </w:pict>
          </mc:Fallback>
        </mc:AlternateContent>
      </w:r>
      <w:r>
        <w:rPr>
          <w:rFonts w:hint="eastAsia" w:ascii="仿宋" w:hAnsi="仿宋" w:eastAsia="仿宋" w:cs="仿宋"/>
          <w:b/>
          <w:bCs/>
          <w:sz w:val="24"/>
          <w:szCs w:val="24"/>
          <w:lang w:eastAsia="zh-CN"/>
        </w:rPr>
        <w:t>84</w:t>
      </w:r>
      <w:r>
        <w:rPr>
          <w:rFonts w:ascii="仿宋" w:hAnsi="仿宋" w:eastAsia="仿宋" w:cs="仿宋"/>
          <w:b/>
          <w:bCs/>
          <w:sz w:val="24"/>
          <w:szCs w:val="24"/>
          <w:lang w:eastAsia="zh-CN"/>
        </w:rPr>
        <w:t>.1</w:t>
      </w:r>
    </w:p>
    <w:p w14:paraId="72998909">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除专用条款另有约定外，合同双方当事人应约定预付款，并在专用条款中明确预付款金额、支付办法和抵扣方式。</w:t>
      </w:r>
    </w:p>
    <w:p w14:paraId="1991470A">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预付款专款专用，承包人应在财务账目中表明专用于合同工程勘察（如果有）、设计、BIM技术应用、设备及工器具购置（如果有），以及采购工程材料、工程设备、施工设备、修建临时设施以及组织施工队伍进场等所需的款项，不得挪作他用。除专用条款另有约定外，预付款的预付比例不低于（含本数）合同价格（扣除暂列金额、暂估价、绿色安全防护措施费等）的</w:t>
      </w:r>
      <w:r>
        <w:rPr>
          <w:rFonts w:ascii="仿宋" w:hAnsi="仿宋" w:eastAsia="仿宋" w:cs="仿宋"/>
          <w:sz w:val="24"/>
          <w:szCs w:val="24"/>
          <w:lang w:eastAsia="zh-CN"/>
        </w:rPr>
        <w:t>10%</w:t>
      </w:r>
      <w:r>
        <w:rPr>
          <w:rFonts w:hint="eastAsia" w:ascii="仿宋" w:hAnsi="仿宋" w:eastAsia="仿宋" w:cs="仿宋"/>
          <w:sz w:val="24"/>
          <w:szCs w:val="24"/>
          <w:lang w:eastAsia="zh-CN"/>
        </w:rPr>
        <w:t>，不高于（含本数）合同价格（扣除暂列金额、暂估价、绿色安全防护措施费等）的</w:t>
      </w:r>
      <w:r>
        <w:rPr>
          <w:rFonts w:ascii="仿宋" w:hAnsi="仿宋" w:eastAsia="仿宋" w:cs="仿宋"/>
          <w:sz w:val="24"/>
          <w:szCs w:val="24"/>
          <w:lang w:eastAsia="zh-CN"/>
        </w:rPr>
        <w:t>30%</w:t>
      </w:r>
      <w:r>
        <w:rPr>
          <w:rFonts w:hint="eastAsia" w:ascii="仿宋" w:hAnsi="仿宋" w:eastAsia="仿宋" w:cs="仿宋"/>
          <w:sz w:val="24"/>
          <w:szCs w:val="24"/>
          <w:lang w:eastAsia="zh-CN"/>
        </w:rPr>
        <w:t>。</w:t>
      </w:r>
    </w:p>
    <w:p w14:paraId="2AE3670A">
      <w:pPr>
        <w:spacing w:line="400" w:lineRule="exact"/>
        <w:rPr>
          <w:rFonts w:ascii="仿宋" w:hAnsi="仿宋" w:eastAsia="仿宋"/>
          <w:b/>
          <w:bCs/>
          <w:lang w:eastAsia="zh-CN"/>
        </w:rPr>
      </w:pPr>
      <w:r>
        <w:rPr>
          <w:rFonts w:hint="eastAsia" w:ascii="仿宋" w:hAnsi="仿宋" w:eastAsia="仿宋" w:cs="仿宋"/>
          <w:b/>
          <w:bCs/>
          <w:lang w:eastAsia="zh-CN"/>
        </w:rPr>
        <w:t>84</w:t>
      </w:r>
      <w:r>
        <w:rPr>
          <w:rFonts w:ascii="仿宋" w:hAnsi="仿宋" w:eastAsia="仿宋" w:cs="仿宋"/>
          <w:b/>
          <w:bCs/>
          <w:lang w:eastAsia="zh-CN"/>
        </w:rPr>
        <w:t xml:space="preserve">.2  </w:t>
      </w:r>
      <w:r>
        <w:rPr>
          <w:rFonts w:ascii="仿宋" w:hAnsi="仿宋" w:eastAsia="仿宋" w:cs="仿宋"/>
          <w:b/>
          <w:bCs/>
          <w:u w:val="dotted"/>
          <w:lang w:eastAsia="zh-CN"/>
        </w:rPr>
        <w:t xml:space="preserve">                                                                               </w:t>
      </w:r>
    </w:p>
    <w:p w14:paraId="149AEB5D">
      <w:pPr>
        <w:pStyle w:val="22"/>
        <w:widowControl w:val="0"/>
        <w:adjustRightInd w:val="0"/>
        <w:snapToGrid w:val="0"/>
        <w:spacing w:line="400" w:lineRule="exact"/>
        <w:ind w:left="1850" w:leftChars="771"/>
        <w:jc w:val="both"/>
        <w:rPr>
          <w:rFonts w:ascii="仿宋" w:hAnsi="仿宋" w:eastAsia="仿宋"/>
          <w:sz w:val="24"/>
          <w:szCs w:val="24"/>
          <w:lang w:eastAsia="zh-CN"/>
        </w:rPr>
      </w:pPr>
      <w:r>
        <mc:AlternateContent>
          <mc:Choice Requires="wps">
            <w:drawing>
              <wp:anchor distT="0" distB="0" distL="114300" distR="114300" simplePos="0" relativeHeight="251908096" behindDoc="0" locked="0" layoutInCell="1" allowOverlap="1">
                <wp:simplePos x="0" y="0"/>
                <wp:positionH relativeFrom="column">
                  <wp:posOffset>-114300</wp:posOffset>
                </wp:positionH>
                <wp:positionV relativeFrom="paragraph">
                  <wp:posOffset>19685</wp:posOffset>
                </wp:positionV>
                <wp:extent cx="765810" cy="629285"/>
                <wp:effectExtent l="0" t="0" r="0" b="0"/>
                <wp:wrapNone/>
                <wp:docPr id="373" name="文本框 1033"/>
                <wp:cNvGraphicFramePr/>
                <a:graphic xmlns:a="http://schemas.openxmlformats.org/drawingml/2006/main">
                  <a:graphicData uri="http://schemas.microsoft.com/office/word/2010/wordprocessingShape">
                    <wps:wsp>
                      <wps:cNvSpPr txBox="1"/>
                      <wps:spPr>
                        <a:xfrm>
                          <a:off x="0" y="0"/>
                          <a:ext cx="765810" cy="629285"/>
                        </a:xfrm>
                        <a:prstGeom prst="rect">
                          <a:avLst/>
                        </a:prstGeom>
                        <a:noFill/>
                        <a:ln w="12700">
                          <a:noFill/>
                        </a:ln>
                      </wps:spPr>
                      <wps:txbx>
                        <w:txbxContent>
                          <w:p w14:paraId="1F24176B">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预付款支付申请的提交、核实与支付</w:t>
                            </w:r>
                          </w:p>
                        </w:txbxContent>
                      </wps:txbx>
                      <wps:bodyPr rot="0" vert="horz" wrap="square" lIns="91440" tIns="45720" rIns="91440" bIns="45720" anchor="t" anchorCtr="0"/>
                    </wps:wsp>
                  </a:graphicData>
                </a:graphic>
              </wp:anchor>
            </w:drawing>
          </mc:Choice>
          <mc:Fallback>
            <w:pict>
              <v:shape id="文本框 1033" o:spid="_x0000_s1026" o:spt="202" type="#_x0000_t202" style="position:absolute;left:0pt;margin-left:-9pt;margin-top:1.55pt;height:49.55pt;width:60.3pt;z-index:251908096;mso-width-relative:page;mso-height-relative:page;" filled="f" stroked="f" coordsize="21600,21600" o:gfxdata="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CN9/E&#10;1wAAAAkBAAAPAAAAAAAAAAEAIAAAACIAAABkcnMvZG93bnJldi54bWxQSwECFAAUAAAACACHTuJA&#10;k4SCZukBAAC/AwAADgAAAAAAAAABACAAAAAmAQAAZHJzL2Uyb0RvYy54bWxQSwUGAAAAAAYABgBZ&#10;AQAAgQUAAAAA&#10;">
                <v:fill on="f" focussize="0,0"/>
                <v:stroke on="f" weight="1pt"/>
                <v:imagedata o:title=""/>
                <o:lock v:ext="edit" aspectratio="f"/>
                <v:textbox>
                  <w:txbxContent>
                    <w:p w14:paraId="1F24176B">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预付款支付申请的提交、核实与支付</w:t>
                      </w:r>
                    </w:p>
                  </w:txbxContent>
                </v:textbox>
              </v:shape>
            </w:pict>
          </mc:Fallback>
        </mc:AlternateContent>
      </w:r>
      <w:r>
        <w:rPr>
          <w:rFonts w:hint="eastAsia" w:ascii="仿宋" w:hAnsi="仿宋" w:eastAsia="仿宋" w:cs="仿宋"/>
          <w:sz w:val="24"/>
          <w:szCs w:val="24"/>
          <w:lang w:eastAsia="zh-CN"/>
        </w:rPr>
        <w:t>承包人在完成下列工作后，应在专用条款约定的期限内向造价咨询人提交预付款支付申请，并抄送发包人。</w:t>
      </w:r>
    </w:p>
    <w:p w14:paraId="070B22BC">
      <w:pPr>
        <w:pStyle w:val="22"/>
        <w:adjustRightInd w:val="0"/>
        <w:snapToGrid w:val="0"/>
        <w:spacing w:line="400" w:lineRule="exact"/>
        <w:ind w:left="1850" w:leftChars="771"/>
        <w:rPr>
          <w:rFonts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1</w:t>
      </w:r>
      <w:r>
        <w:rPr>
          <w:rFonts w:hint="eastAsia" w:ascii="仿宋" w:hAnsi="仿宋" w:eastAsia="仿宋" w:cs="仿宋"/>
          <w:sz w:val="24"/>
          <w:szCs w:val="24"/>
          <w:lang w:eastAsia="zh-CN"/>
        </w:rPr>
        <w:t>）签订本合同；</w:t>
      </w:r>
    </w:p>
    <w:p w14:paraId="46E7C3E2">
      <w:pPr>
        <w:pStyle w:val="22"/>
        <w:adjustRightInd w:val="0"/>
        <w:snapToGrid w:val="0"/>
        <w:spacing w:line="400" w:lineRule="exact"/>
        <w:ind w:left="1850" w:leftChars="771"/>
        <w:rPr>
          <w:rFonts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2</w:t>
      </w:r>
      <w:r>
        <w:rPr>
          <w:rFonts w:hint="eastAsia" w:ascii="仿宋" w:hAnsi="仿宋" w:eastAsia="仿宋" w:cs="仿宋"/>
          <w:sz w:val="24"/>
          <w:szCs w:val="24"/>
          <w:lang w:eastAsia="zh-CN"/>
        </w:rPr>
        <w:t>）按照第32</w:t>
      </w:r>
      <w:r>
        <w:rPr>
          <w:rFonts w:ascii="仿宋" w:hAnsi="仿宋" w:eastAsia="仿宋" w:cs="仿宋"/>
          <w:sz w:val="24"/>
          <w:szCs w:val="24"/>
          <w:lang w:eastAsia="zh-CN"/>
        </w:rPr>
        <w:t>.1</w:t>
      </w:r>
      <w:r>
        <w:rPr>
          <w:rFonts w:hint="eastAsia" w:ascii="仿宋" w:hAnsi="仿宋" w:eastAsia="仿宋" w:cs="仿宋"/>
          <w:sz w:val="24"/>
          <w:szCs w:val="24"/>
          <w:lang w:eastAsia="zh-CN"/>
        </w:rPr>
        <w:t>款约定提供履约担保；</w:t>
      </w:r>
    </w:p>
    <w:p w14:paraId="315A7D9A">
      <w:pPr>
        <w:pStyle w:val="22"/>
        <w:adjustRightInd w:val="0"/>
        <w:snapToGrid w:val="0"/>
        <w:spacing w:line="400" w:lineRule="exact"/>
        <w:ind w:left="1850" w:leftChars="771"/>
        <w:rPr>
          <w:rFonts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3</w:t>
      </w:r>
      <w:r>
        <w:rPr>
          <w:rFonts w:hint="eastAsia" w:ascii="仿宋" w:hAnsi="仿宋" w:eastAsia="仿宋" w:cs="仿宋"/>
          <w:sz w:val="24"/>
          <w:szCs w:val="24"/>
          <w:lang w:eastAsia="zh-CN"/>
        </w:rPr>
        <w:t>）向发包人提供与预付款等额的预付款保函的正本。</w:t>
      </w:r>
    </w:p>
    <w:p w14:paraId="68650E8D">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造价咨询人应对支付申请进行核实，并在收到支付申请后的</w:t>
      </w:r>
      <w:r>
        <w:rPr>
          <w:rFonts w:ascii="仿宋" w:hAnsi="仿宋" w:eastAsia="仿宋" w:cs="仿宋"/>
          <w:sz w:val="24"/>
          <w:szCs w:val="24"/>
          <w:lang w:eastAsia="zh-CN"/>
        </w:rPr>
        <w:t>7</w:t>
      </w:r>
      <w:r>
        <w:rPr>
          <w:rFonts w:hint="eastAsia" w:ascii="仿宋" w:hAnsi="仿宋" w:eastAsia="仿宋" w:cs="仿宋"/>
          <w:sz w:val="24"/>
          <w:szCs w:val="24"/>
          <w:lang w:eastAsia="zh-CN"/>
        </w:rPr>
        <w:t>天内报发包人确认后向发包人发出支付证书，同时抄送承包人。</w:t>
      </w:r>
    </w:p>
    <w:p w14:paraId="7B58F44F">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发包人在造价咨询人签发支付证书后的28天内向承包人支付预付款，并通知造价咨询人。</w:t>
      </w:r>
    </w:p>
    <w:p w14:paraId="6DF3FA1F">
      <w:pPr>
        <w:spacing w:line="400" w:lineRule="exact"/>
        <w:rPr>
          <w:rFonts w:ascii="仿宋" w:hAnsi="仿宋" w:eastAsia="仿宋"/>
          <w:b/>
          <w:bCs/>
          <w:lang w:eastAsia="zh-CN"/>
        </w:rPr>
      </w:pPr>
      <w:bookmarkStart w:id="656" w:name="_Toc4585"/>
      <w:r>
        <w:rPr>
          <w:rFonts w:hint="eastAsia" w:ascii="仿宋" w:hAnsi="仿宋" w:eastAsia="仿宋" w:cs="仿宋"/>
          <w:b/>
          <w:bCs/>
          <w:lang w:eastAsia="zh-CN"/>
        </w:rPr>
        <w:t>84</w:t>
      </w:r>
      <w:r>
        <w:rPr>
          <w:rFonts w:ascii="仿宋" w:hAnsi="仿宋" w:eastAsia="仿宋" w:cs="仿宋"/>
          <w:b/>
          <w:bCs/>
          <w:lang w:eastAsia="zh-CN"/>
        </w:rPr>
        <w:t>.3</w:t>
      </w:r>
      <w:bookmarkEnd w:id="656"/>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011168B1">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909120" behindDoc="0" locked="0" layoutInCell="1" allowOverlap="1">
                <wp:simplePos x="0" y="0"/>
                <wp:positionH relativeFrom="column">
                  <wp:posOffset>-114300</wp:posOffset>
                </wp:positionH>
                <wp:positionV relativeFrom="paragraph">
                  <wp:posOffset>10795</wp:posOffset>
                </wp:positionV>
                <wp:extent cx="794385" cy="662305"/>
                <wp:effectExtent l="0" t="0" r="0" b="0"/>
                <wp:wrapNone/>
                <wp:docPr id="374" name="文本框 1034"/>
                <wp:cNvGraphicFramePr/>
                <a:graphic xmlns:a="http://schemas.openxmlformats.org/drawingml/2006/main">
                  <a:graphicData uri="http://schemas.microsoft.com/office/word/2010/wordprocessingShape">
                    <wps:wsp>
                      <wps:cNvSpPr txBox="1"/>
                      <wps:spPr>
                        <a:xfrm>
                          <a:off x="0" y="0"/>
                          <a:ext cx="794385" cy="662305"/>
                        </a:xfrm>
                        <a:prstGeom prst="rect">
                          <a:avLst/>
                        </a:prstGeom>
                        <a:noFill/>
                        <a:ln w="12700">
                          <a:noFill/>
                        </a:ln>
                      </wps:spPr>
                      <wps:txbx>
                        <w:txbxContent>
                          <w:p w14:paraId="5108627D">
                            <w:pPr>
                              <w:pStyle w:val="36"/>
                              <w:spacing w:line="200" w:lineRule="exact"/>
                              <w:rPr>
                                <w:rFonts w:ascii="楷体_GB2312" w:hAnsi="宋体"/>
                                <w:sz w:val="18"/>
                                <w:szCs w:val="18"/>
                              </w:rPr>
                            </w:pPr>
                            <w:r>
                              <w:rPr>
                                <w:rFonts w:hint="eastAsia" w:ascii="楷体_GB2312" w:hAnsi="宋体" w:cs="楷体_GB2312"/>
                                <w:sz w:val="18"/>
                                <w:szCs w:val="18"/>
                              </w:rPr>
                              <w:t>预付款支付的限制</w:t>
                            </w:r>
                          </w:p>
                        </w:txbxContent>
                      </wps:txbx>
                      <wps:bodyPr rot="0" vert="horz" wrap="square" lIns="91440" tIns="45720" rIns="91440" bIns="45720" anchor="t" anchorCtr="0"/>
                    </wps:wsp>
                  </a:graphicData>
                </a:graphic>
              </wp:anchor>
            </w:drawing>
          </mc:Choice>
          <mc:Fallback>
            <w:pict>
              <v:shape id="文本框 1034" o:spid="_x0000_s1026" o:spt="202" type="#_x0000_t202" style="position:absolute;left:0pt;margin-left:-9pt;margin-top:0.85pt;height:52.15pt;width:62.55pt;z-index:251909120;mso-width-relative:page;mso-height-relative:page;" filled="f" stroked="f" coordsize="21600,21600" o:gfxdata="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kR&#10;RLrWAAAACQEAAA8AAAAAAAAAAQAgAAAAIgAAAGRycy9kb3ducmV2LnhtbFBLAQIUABQAAAAIAIdO&#10;4kBuRJGN7AEAAL8DAAAOAAAAAAAAAAEAIAAAACUBAABkcnMvZTJvRG9jLnhtbFBLBQYAAAAABgAG&#10;AFkBAACDBQAAAAA=&#10;">
                <v:fill on="f" focussize="0,0"/>
                <v:stroke on="f" weight="1pt"/>
                <v:imagedata o:title=""/>
                <o:lock v:ext="edit" aspectratio="f"/>
                <v:textbox>
                  <w:txbxContent>
                    <w:p w14:paraId="5108627D">
                      <w:pPr>
                        <w:pStyle w:val="36"/>
                        <w:spacing w:line="200" w:lineRule="exact"/>
                        <w:rPr>
                          <w:rFonts w:ascii="楷体_GB2312" w:hAnsi="宋体"/>
                          <w:sz w:val="18"/>
                          <w:szCs w:val="18"/>
                        </w:rPr>
                      </w:pPr>
                      <w:r>
                        <w:rPr>
                          <w:rFonts w:hint="eastAsia" w:ascii="楷体_GB2312" w:hAnsi="宋体" w:cs="楷体_GB2312"/>
                          <w:sz w:val="18"/>
                          <w:szCs w:val="18"/>
                        </w:rPr>
                        <w:t>预付款支付的限制</w:t>
                      </w:r>
                    </w:p>
                  </w:txbxContent>
                </v:textbox>
              </v:shape>
            </w:pict>
          </mc:Fallback>
        </mc:AlternateContent>
      </w:r>
      <w:r>
        <w:rPr>
          <w:rFonts w:hint="eastAsia" w:ascii="仿宋" w:hAnsi="仿宋" w:eastAsia="仿宋" w:cs="仿宋"/>
          <w:sz w:val="24"/>
          <w:szCs w:val="24"/>
          <w:lang w:eastAsia="zh-CN"/>
        </w:rPr>
        <w:t>发包人没有按时支付预付款的，承包人应在付款期满后的7天内向发包人发出要求支付的通知；发包人收到通知后仍不按要求支付，承包人可在发出通知</w:t>
      </w:r>
      <w:r>
        <w:rPr>
          <w:rFonts w:ascii="仿宋" w:hAnsi="仿宋" w:eastAsia="仿宋" w:cs="仿宋"/>
          <w:sz w:val="24"/>
          <w:szCs w:val="24"/>
          <w:lang w:eastAsia="zh-CN"/>
        </w:rPr>
        <w:t>14</w:t>
      </w:r>
      <w:r>
        <w:rPr>
          <w:rFonts w:hint="eastAsia" w:ascii="仿宋" w:hAnsi="仿宋" w:eastAsia="仿宋" w:cs="仿宋"/>
          <w:sz w:val="24"/>
          <w:szCs w:val="24"/>
          <w:lang w:eastAsia="zh-CN"/>
        </w:rPr>
        <w:t>天后暂停勘察（如果有）、设计、BIM技术应用、设备及工器具购置（如果有）或施工。发包人可与承包人协商签订延期支付协议，经承包人同意后可延期支付，承包人有权按照第83</w:t>
      </w:r>
      <w:r>
        <w:rPr>
          <w:rFonts w:ascii="仿宋" w:hAnsi="仿宋" w:eastAsia="仿宋" w:cs="仿宋"/>
          <w:sz w:val="24"/>
          <w:szCs w:val="24"/>
          <w:lang w:eastAsia="zh-CN"/>
        </w:rPr>
        <w:t>.2</w:t>
      </w:r>
      <w:r>
        <w:rPr>
          <w:rFonts w:hint="eastAsia" w:ascii="仿宋" w:hAnsi="仿宋" w:eastAsia="仿宋" w:cs="仿宋"/>
          <w:sz w:val="24"/>
          <w:szCs w:val="24"/>
          <w:lang w:eastAsia="zh-CN"/>
        </w:rPr>
        <w:t>款约定获得延期支付的利息。发包人承担由此增加的费用和（或）延误的工期，并向承包人支付合理利润。</w:t>
      </w:r>
    </w:p>
    <w:p w14:paraId="42828240">
      <w:pPr>
        <w:pStyle w:val="22"/>
        <w:tabs>
          <w:tab w:val="left" w:pos="1320"/>
        </w:tabs>
        <w:adjustRightInd w:val="0"/>
        <w:snapToGrid w:val="0"/>
        <w:spacing w:line="400" w:lineRule="exact"/>
        <w:rPr>
          <w:rFonts w:ascii="仿宋" w:hAnsi="仿宋" w:eastAsia="仿宋"/>
          <w:sz w:val="24"/>
          <w:szCs w:val="24"/>
          <w:lang w:eastAsia="zh-CN"/>
        </w:rPr>
      </w:pPr>
      <w:r>
        <w:rPr>
          <w:rFonts w:hint="eastAsia" w:ascii="仿宋" w:hAnsi="仿宋" w:eastAsia="仿宋" w:cs="仿宋"/>
          <w:b/>
          <w:bCs/>
          <w:sz w:val="24"/>
          <w:szCs w:val="24"/>
          <w:lang w:eastAsia="zh-CN"/>
        </w:rPr>
        <w:t>84</w:t>
      </w:r>
      <w:r>
        <w:rPr>
          <w:rFonts w:ascii="仿宋" w:hAnsi="仿宋" w:eastAsia="仿宋" w:cs="仿宋"/>
          <w:b/>
          <w:bCs/>
          <w:sz w:val="24"/>
          <w:szCs w:val="24"/>
          <w:lang w:eastAsia="zh-CN"/>
        </w:rPr>
        <w:t xml:space="preserve">.4 </w:t>
      </w:r>
      <w:r>
        <w:rPr>
          <w:rFonts w:ascii="仿宋" w:hAnsi="仿宋" w:eastAsia="仿宋" w:cs="仿宋"/>
          <w:sz w:val="24"/>
          <w:szCs w:val="24"/>
          <w:lang w:eastAsia="zh-CN"/>
        </w:rPr>
        <w:t xml:space="preserve"> </w:t>
      </w:r>
      <w:r>
        <w:rPr>
          <w:rFonts w:ascii="仿宋" w:hAnsi="仿宋" w:eastAsia="仿宋" w:cs="仿宋"/>
          <w:sz w:val="24"/>
          <w:szCs w:val="24"/>
          <w:u w:val="dotted"/>
          <w:lang w:eastAsia="zh-CN"/>
        </w:rPr>
        <w:t xml:space="preserve">                                                                               </w:t>
      </w:r>
    </w:p>
    <w:p w14:paraId="64DB825E">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910144" behindDoc="0" locked="0" layoutInCell="1" allowOverlap="1">
                <wp:simplePos x="0" y="0"/>
                <wp:positionH relativeFrom="column">
                  <wp:posOffset>-114300</wp:posOffset>
                </wp:positionH>
                <wp:positionV relativeFrom="paragraph">
                  <wp:posOffset>46355</wp:posOffset>
                </wp:positionV>
                <wp:extent cx="866140" cy="457200"/>
                <wp:effectExtent l="0" t="0" r="0" b="0"/>
                <wp:wrapNone/>
                <wp:docPr id="375" name="文本框 1035"/>
                <wp:cNvGraphicFramePr/>
                <a:graphic xmlns:a="http://schemas.openxmlformats.org/drawingml/2006/main">
                  <a:graphicData uri="http://schemas.microsoft.com/office/word/2010/wordprocessingShape">
                    <wps:wsp>
                      <wps:cNvSpPr txBox="1"/>
                      <wps:spPr>
                        <a:xfrm>
                          <a:off x="0" y="0"/>
                          <a:ext cx="866140" cy="457200"/>
                        </a:xfrm>
                        <a:prstGeom prst="rect">
                          <a:avLst/>
                        </a:prstGeom>
                        <a:noFill/>
                        <a:ln w="12700">
                          <a:noFill/>
                        </a:ln>
                      </wps:spPr>
                      <wps:txbx>
                        <w:txbxContent>
                          <w:p w14:paraId="6BCDDC50">
                            <w:pPr>
                              <w:pStyle w:val="36"/>
                              <w:spacing w:line="200" w:lineRule="exact"/>
                              <w:rPr>
                                <w:rFonts w:ascii="楷体_GB2312" w:hAnsi="宋体"/>
                                <w:sz w:val="18"/>
                                <w:szCs w:val="18"/>
                              </w:rPr>
                            </w:pPr>
                            <w:r>
                              <w:rPr>
                                <w:rFonts w:hint="eastAsia" w:ascii="楷体_GB2312" w:hAnsi="宋体" w:cs="楷体_GB2312"/>
                                <w:sz w:val="18"/>
                                <w:szCs w:val="18"/>
                              </w:rPr>
                              <w:t>预付款的扣回</w:t>
                            </w:r>
                          </w:p>
                        </w:txbxContent>
                      </wps:txbx>
                      <wps:bodyPr rot="0" vert="horz" wrap="square" lIns="91440" tIns="45720" rIns="91440" bIns="45720" anchor="t" anchorCtr="0"/>
                    </wps:wsp>
                  </a:graphicData>
                </a:graphic>
              </wp:anchor>
            </w:drawing>
          </mc:Choice>
          <mc:Fallback>
            <w:pict>
              <v:shape id="文本框 1035" o:spid="_x0000_s1026" o:spt="202" type="#_x0000_t202" style="position:absolute;left:0pt;margin-left:-9pt;margin-top:3.65pt;height:36pt;width:68.2pt;z-index:251910144;mso-width-relative:page;mso-height-relative:page;" filled="f" stroked="f" coordsize="21600,21600" o:gfxdata="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nCGel1gAA&#10;AAgBAAAPAAAAAAAAAAEAIAAAACIAAABkcnMvZG93bnJldi54bWxQSwECFAAUAAAACACHTuJARbim&#10;/OcBAAC/AwAADgAAAAAAAAABACAAAAAlAQAAZHJzL2Uyb0RvYy54bWxQSwUGAAAAAAYABgBZAQAA&#10;fgUAAAAA&#10;">
                <v:fill on="f" focussize="0,0"/>
                <v:stroke on="f" weight="1pt"/>
                <v:imagedata o:title=""/>
                <o:lock v:ext="edit" aspectratio="f"/>
                <v:textbox>
                  <w:txbxContent>
                    <w:p w14:paraId="6BCDDC50">
                      <w:pPr>
                        <w:pStyle w:val="36"/>
                        <w:spacing w:line="200" w:lineRule="exact"/>
                        <w:rPr>
                          <w:rFonts w:ascii="楷体_GB2312" w:hAnsi="宋体"/>
                          <w:sz w:val="18"/>
                          <w:szCs w:val="18"/>
                        </w:rPr>
                      </w:pPr>
                      <w:r>
                        <w:rPr>
                          <w:rFonts w:hint="eastAsia" w:ascii="楷体_GB2312" w:hAnsi="宋体" w:cs="楷体_GB2312"/>
                          <w:sz w:val="18"/>
                          <w:szCs w:val="18"/>
                        </w:rPr>
                        <w:t>预付款的扣回</w:t>
                      </w:r>
                    </w:p>
                  </w:txbxContent>
                </v:textbox>
              </v:shape>
            </w:pict>
          </mc:Fallback>
        </mc:AlternateContent>
      </w:r>
      <w:r>
        <w:rPr>
          <w:rFonts w:hint="eastAsia" w:ascii="仿宋" w:hAnsi="仿宋" w:eastAsia="仿宋" w:cs="仿宋"/>
          <w:sz w:val="24"/>
          <w:szCs w:val="24"/>
          <w:lang w:eastAsia="zh-CN"/>
        </w:rPr>
        <w:t>预付款应从每支付期应支付给承包人的进度款中扣回，直到扣回的金额达到专用条款约定的预付款金额为止。造价咨询人应依据专用条款约定的抵扣方式，在签发支付证书时从应支付给承包人的款项中扣回。</w:t>
      </w:r>
    </w:p>
    <w:p w14:paraId="31FE24EA">
      <w:pPr>
        <w:spacing w:line="400" w:lineRule="exact"/>
        <w:rPr>
          <w:rFonts w:ascii="仿宋" w:hAnsi="仿宋" w:eastAsia="仿宋"/>
          <w:b/>
          <w:bCs/>
          <w:lang w:eastAsia="zh-CN"/>
        </w:rPr>
      </w:pPr>
      <w:bookmarkStart w:id="657" w:name="_Toc9269"/>
      <w:r>
        <w:rPr>
          <w:rFonts w:hint="eastAsia" w:ascii="仿宋" w:hAnsi="仿宋" w:eastAsia="仿宋" w:cs="仿宋"/>
          <w:b/>
          <w:bCs/>
          <w:lang w:eastAsia="zh-CN"/>
        </w:rPr>
        <w:t>84</w:t>
      </w:r>
      <w:r>
        <w:rPr>
          <w:rFonts w:ascii="仿宋" w:hAnsi="仿宋" w:eastAsia="仿宋" w:cs="仿宋"/>
          <w:b/>
          <w:bCs/>
          <w:lang w:eastAsia="zh-CN"/>
        </w:rPr>
        <w:t>.5</w:t>
      </w:r>
      <w:bookmarkEnd w:id="657"/>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6D901351">
      <w:pPr>
        <w:pStyle w:val="22"/>
        <w:widowControl w:val="0"/>
        <w:adjustRightInd w:val="0"/>
        <w:snapToGrid w:val="0"/>
        <w:spacing w:line="400" w:lineRule="exact"/>
        <w:ind w:left="1850" w:leftChars="771"/>
        <w:jc w:val="both"/>
        <w:rPr>
          <w:rFonts w:ascii="仿宋" w:hAnsi="仿宋" w:eastAsia="仿宋"/>
          <w:sz w:val="24"/>
          <w:szCs w:val="24"/>
          <w:lang w:eastAsia="zh-CN"/>
        </w:rPr>
      </w:pPr>
      <w:r>
        <mc:AlternateContent>
          <mc:Choice Requires="wps">
            <w:drawing>
              <wp:anchor distT="0" distB="0" distL="114300" distR="114300" simplePos="0" relativeHeight="251911168" behindDoc="0" locked="0" layoutInCell="1" allowOverlap="1">
                <wp:simplePos x="0" y="0"/>
                <wp:positionH relativeFrom="column">
                  <wp:posOffset>-114300</wp:posOffset>
                </wp:positionH>
                <wp:positionV relativeFrom="paragraph">
                  <wp:posOffset>13335</wp:posOffset>
                </wp:positionV>
                <wp:extent cx="832485" cy="627380"/>
                <wp:effectExtent l="0" t="0" r="0" b="0"/>
                <wp:wrapNone/>
                <wp:docPr id="376" name="文本框 1036"/>
                <wp:cNvGraphicFramePr/>
                <a:graphic xmlns:a="http://schemas.openxmlformats.org/drawingml/2006/main">
                  <a:graphicData uri="http://schemas.microsoft.com/office/word/2010/wordprocessingShape">
                    <wps:wsp>
                      <wps:cNvSpPr txBox="1"/>
                      <wps:spPr>
                        <a:xfrm>
                          <a:off x="0" y="0"/>
                          <a:ext cx="832485" cy="627380"/>
                        </a:xfrm>
                        <a:prstGeom prst="rect">
                          <a:avLst/>
                        </a:prstGeom>
                        <a:noFill/>
                        <a:ln w="12700">
                          <a:noFill/>
                        </a:ln>
                      </wps:spPr>
                      <wps:txbx>
                        <w:txbxContent>
                          <w:p w14:paraId="0DAD622F">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预付款保函的有效与退还</w:t>
                            </w:r>
                          </w:p>
                        </w:txbxContent>
                      </wps:txbx>
                      <wps:bodyPr rot="0" vert="horz" wrap="square" lIns="91440" tIns="45720" rIns="91440" bIns="45720" anchor="t" anchorCtr="0"/>
                    </wps:wsp>
                  </a:graphicData>
                </a:graphic>
              </wp:anchor>
            </w:drawing>
          </mc:Choice>
          <mc:Fallback>
            <w:pict>
              <v:shape id="文本框 1036" o:spid="_x0000_s1026" o:spt="202" type="#_x0000_t202" style="position:absolute;left:0pt;margin-left:-9pt;margin-top:1.05pt;height:49.4pt;width:65.55pt;z-index:251911168;mso-width-relative:page;mso-height-relative:page;" filled="f" stroked="f" coordsize="21600,21600" o:gfxdata="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f+4ActYAAAAJAQAADwAAAAAAAAABACAAAAAiAAAAZHJzL2Rvd25yZXYueG1sUEsBAhQAFAAAAAgA&#10;h07iQB29zVzuAQAAvwMAAA4AAAAAAAAAAQAgAAAAJQEAAGRycy9lMm9Eb2MueG1sUEsFBgAAAAAG&#10;AAYAWQEAAIUFAAAAAA==&#10;">
                <v:fill on="f" focussize="0,0"/>
                <v:stroke on="f" weight="1pt"/>
                <v:imagedata o:title=""/>
                <o:lock v:ext="edit" aspectratio="f"/>
                <v:textbox>
                  <w:txbxContent>
                    <w:p w14:paraId="0DAD622F">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预付款保函的有效与退还</w:t>
                      </w:r>
                    </w:p>
                  </w:txbxContent>
                </v:textbox>
              </v:shape>
            </w:pict>
          </mc:Fallback>
        </mc:AlternateContent>
      </w:r>
      <w:r>
        <w:rPr>
          <w:rFonts w:hint="eastAsia" w:ascii="仿宋" w:hAnsi="仿宋" w:eastAsia="仿宋" w:cs="仿宋"/>
          <w:sz w:val="24"/>
          <w:szCs w:val="24"/>
          <w:lang w:eastAsia="zh-CN"/>
        </w:rPr>
        <w:t>承包人应保持预付款保函在预付款全部扣回之前一直有效。发包人应在预付款扣完后的</w:t>
      </w:r>
      <w:r>
        <w:rPr>
          <w:rFonts w:ascii="仿宋" w:hAnsi="仿宋" w:eastAsia="仿宋" w:cs="仿宋"/>
          <w:sz w:val="24"/>
          <w:szCs w:val="24"/>
          <w:lang w:eastAsia="zh-CN"/>
        </w:rPr>
        <w:t>14</w:t>
      </w:r>
      <w:r>
        <w:rPr>
          <w:rFonts w:hint="eastAsia" w:ascii="仿宋" w:hAnsi="仿宋" w:eastAsia="仿宋" w:cs="仿宋"/>
          <w:sz w:val="24"/>
          <w:szCs w:val="24"/>
          <w:lang w:eastAsia="zh-CN"/>
        </w:rPr>
        <w:t>天内将预付款保函退还承包人，并不得向承包人收取预付款的任何利息。</w:t>
      </w:r>
    </w:p>
    <w:p w14:paraId="2734F3D4">
      <w:pPr>
        <w:pStyle w:val="22"/>
        <w:adjustRightInd w:val="0"/>
        <w:snapToGrid w:val="0"/>
        <w:spacing w:line="400" w:lineRule="exact"/>
        <w:rPr>
          <w:rFonts w:ascii="仿宋" w:hAnsi="仿宋" w:eastAsia="仿宋" w:cs="仿宋"/>
          <w:b/>
          <w:bCs/>
          <w:sz w:val="24"/>
          <w:szCs w:val="24"/>
          <w:u w:val="single"/>
          <w:lang w:eastAsia="zh-CN"/>
        </w:rPr>
      </w:pPr>
      <w:r>
        <w:rPr>
          <w:rFonts w:ascii="仿宋" w:hAnsi="仿宋" w:eastAsia="仿宋" w:cs="仿宋"/>
          <w:b/>
          <w:bCs/>
          <w:sz w:val="24"/>
          <w:szCs w:val="24"/>
          <w:u w:val="single"/>
          <w:lang w:eastAsia="zh-CN"/>
        </w:rPr>
        <w:t xml:space="preserve">                                                                                     </w:t>
      </w:r>
    </w:p>
    <w:p w14:paraId="6A14AE6C">
      <w:pPr>
        <w:pStyle w:val="4"/>
        <w:tabs>
          <w:tab w:val="left" w:pos="420"/>
        </w:tabs>
        <w:spacing w:before="0" w:after="0" w:line="400" w:lineRule="exact"/>
        <w:rPr>
          <w:rFonts w:ascii="仿宋" w:hAnsi="仿宋" w:eastAsia="仿宋" w:cs="仿宋"/>
          <w:bCs w:val="0"/>
          <w:sz w:val="24"/>
          <w:szCs w:val="24"/>
          <w:lang w:eastAsia="zh-CN"/>
        </w:rPr>
      </w:pPr>
      <w:bookmarkStart w:id="658" w:name="_Toc9163"/>
      <w:bookmarkStart w:id="659" w:name="_Toc22545"/>
      <w:bookmarkStart w:id="660" w:name="_Toc194073196"/>
      <w:bookmarkStart w:id="661" w:name="_Toc4407"/>
      <w:r>
        <w:rPr>
          <w:rFonts w:hint="eastAsia" w:ascii="仿宋" w:hAnsi="仿宋" w:eastAsia="仿宋" w:cs="仿宋"/>
          <w:bCs w:val="0"/>
          <w:sz w:val="24"/>
          <w:szCs w:val="24"/>
          <w:lang w:eastAsia="zh-CN"/>
        </w:rPr>
        <w:t>★85</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绿色施工安全防护费</w:t>
      </w:r>
      <w:bookmarkEnd w:id="658"/>
      <w:bookmarkEnd w:id="659"/>
      <w:bookmarkEnd w:id="660"/>
      <w:bookmarkEnd w:id="661"/>
    </w:p>
    <w:p w14:paraId="7DE2552E">
      <w:pPr>
        <w:widowControl w:val="0"/>
        <w:spacing w:line="400" w:lineRule="exact"/>
        <w:rPr>
          <w:rFonts w:ascii="仿宋" w:hAnsi="仿宋" w:eastAsia="仿宋" w:cs="仿宋"/>
          <w:b/>
          <w:bCs/>
          <w:lang w:eastAsia="zh-CN"/>
        </w:rPr>
      </w:pPr>
      <w:bookmarkStart w:id="662" w:name="_Toc2466"/>
      <w:r>
        <w:rPr>
          <w:rFonts w:hint="eastAsia" w:ascii="仿宋" w:hAnsi="仿宋" w:eastAsia="仿宋" w:cs="仿宋"/>
          <w:b/>
          <w:bCs/>
          <w:lang w:eastAsia="zh-CN"/>
        </w:rPr>
        <w:t>85</w:t>
      </w:r>
      <w:r>
        <w:rPr>
          <w:rFonts w:ascii="仿宋" w:hAnsi="仿宋" w:eastAsia="仿宋" w:cs="仿宋"/>
          <w:b/>
          <w:bCs/>
          <w:lang w:eastAsia="zh-CN"/>
        </w:rPr>
        <w:t>.1</w:t>
      </w:r>
      <w:bookmarkEnd w:id="662"/>
    </w:p>
    <w:p w14:paraId="5FD5408A">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912192" behindDoc="0" locked="0" layoutInCell="1" allowOverlap="1">
                <wp:simplePos x="0" y="0"/>
                <wp:positionH relativeFrom="column">
                  <wp:posOffset>-114300</wp:posOffset>
                </wp:positionH>
                <wp:positionV relativeFrom="paragraph">
                  <wp:posOffset>17780</wp:posOffset>
                </wp:positionV>
                <wp:extent cx="809625" cy="495300"/>
                <wp:effectExtent l="0" t="0" r="0" b="0"/>
                <wp:wrapNone/>
                <wp:docPr id="377" name="文本框 1037"/>
                <wp:cNvGraphicFramePr/>
                <a:graphic xmlns:a="http://schemas.openxmlformats.org/drawingml/2006/main">
                  <a:graphicData uri="http://schemas.microsoft.com/office/word/2010/wordprocessingShape">
                    <wps:wsp>
                      <wps:cNvSpPr txBox="1"/>
                      <wps:spPr>
                        <a:xfrm>
                          <a:off x="0" y="0"/>
                          <a:ext cx="809625" cy="495300"/>
                        </a:xfrm>
                        <a:prstGeom prst="rect">
                          <a:avLst/>
                        </a:prstGeom>
                        <a:noFill/>
                        <a:ln w="12700">
                          <a:noFill/>
                        </a:ln>
                      </wps:spPr>
                      <wps:txbx>
                        <w:txbxContent>
                          <w:p w14:paraId="50BD747F">
                            <w:pPr>
                              <w:pStyle w:val="36"/>
                              <w:spacing w:line="200" w:lineRule="exact"/>
                              <w:rPr>
                                <w:rFonts w:ascii="楷体_GB2312" w:hAnsi="宋体"/>
                                <w:sz w:val="18"/>
                                <w:szCs w:val="18"/>
                              </w:rPr>
                            </w:pPr>
                            <w:r>
                              <w:rPr>
                                <w:rFonts w:hint="eastAsia" w:ascii="楷体_GB2312" w:hAnsi="宋体" w:cs="楷体_GB2312"/>
                                <w:sz w:val="18"/>
                                <w:szCs w:val="18"/>
                              </w:rPr>
                              <w:t>内容、范围和金额</w:t>
                            </w:r>
                          </w:p>
                        </w:txbxContent>
                      </wps:txbx>
                      <wps:bodyPr rot="0" vert="horz" wrap="square" lIns="91440" tIns="45720" rIns="91440" bIns="45720" anchor="t" anchorCtr="0"/>
                    </wps:wsp>
                  </a:graphicData>
                </a:graphic>
              </wp:anchor>
            </w:drawing>
          </mc:Choice>
          <mc:Fallback>
            <w:pict>
              <v:shape id="文本框 1037" o:spid="_x0000_s1026" o:spt="202" type="#_x0000_t202" style="position:absolute;left:0pt;margin-left:-9pt;margin-top:1.4pt;height:39pt;width:63.75pt;z-index:251912192;mso-width-relative:page;mso-height-relative:page;" filled="f" stroked="f" coordsize="21600,21600" o:gfxdata="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mUXk&#10;TdYAAAAIAQAADwAAAAAAAAABACAAAAAiAAAAZHJzL2Rvd25yZXYueG1sUEsBAhQAFAAAAAgAh07i&#10;QOtPFBLrAQAAvwMAAA4AAAAAAAAAAQAgAAAAJQEAAGRycy9lMm9Eb2MueG1sUEsFBgAAAAAGAAYA&#10;WQEAAIIFAAAAAA==&#10;">
                <v:fill on="f" focussize="0,0"/>
                <v:stroke on="f" weight="1pt"/>
                <v:imagedata o:title=""/>
                <o:lock v:ext="edit" aspectratio="f"/>
                <v:textbox>
                  <w:txbxContent>
                    <w:p w14:paraId="50BD747F">
                      <w:pPr>
                        <w:pStyle w:val="36"/>
                        <w:spacing w:line="200" w:lineRule="exact"/>
                        <w:rPr>
                          <w:rFonts w:ascii="楷体_GB2312" w:hAnsi="宋体"/>
                          <w:sz w:val="18"/>
                          <w:szCs w:val="18"/>
                        </w:rPr>
                      </w:pPr>
                      <w:r>
                        <w:rPr>
                          <w:rFonts w:hint="eastAsia" w:ascii="楷体_GB2312" w:hAnsi="宋体" w:cs="楷体_GB2312"/>
                          <w:sz w:val="18"/>
                          <w:szCs w:val="18"/>
                        </w:rPr>
                        <w:t>内容、范围和金额</w:t>
                      </w:r>
                    </w:p>
                  </w:txbxContent>
                </v:textbox>
              </v:shape>
            </w:pict>
          </mc:Fallback>
        </mc:AlternateContent>
      </w:r>
      <w:r>
        <w:rPr>
          <w:rFonts w:hint="eastAsia" w:ascii="仿宋" w:hAnsi="仿宋" w:eastAsia="仿宋" w:cs="仿宋"/>
          <w:sz w:val="24"/>
          <w:szCs w:val="24"/>
          <w:lang w:eastAsia="zh-CN"/>
        </w:rPr>
        <w:t>合同双方当事人应在专用条款中约定绿色施工安全防护费的内容、范围和金额，并按照第52条约定实施绿色施工安全防护。除专用条款另有约定外，绿色施工安全防护费的内容和范围，应以省、市</w:t>
      </w:r>
      <w:r>
        <w:rPr>
          <w:rFonts w:ascii="仿宋" w:hAnsi="仿宋" w:eastAsia="仿宋" w:cs="仿宋"/>
          <w:sz w:val="24"/>
          <w:szCs w:val="24"/>
          <w:lang w:eastAsia="zh-CN"/>
        </w:rPr>
        <w:t>建设</w:t>
      </w:r>
      <w:r>
        <w:rPr>
          <w:rFonts w:hint="eastAsia" w:ascii="仿宋" w:hAnsi="仿宋" w:eastAsia="仿宋" w:cs="仿宋"/>
          <w:sz w:val="24"/>
          <w:szCs w:val="24"/>
          <w:lang w:eastAsia="zh-CN"/>
        </w:rPr>
        <w:t>行政主管</w:t>
      </w:r>
      <w:r>
        <w:rPr>
          <w:rFonts w:ascii="仿宋" w:hAnsi="仿宋" w:eastAsia="仿宋" w:cs="仿宋"/>
          <w:sz w:val="24"/>
          <w:szCs w:val="24"/>
          <w:lang w:eastAsia="zh-CN"/>
        </w:rPr>
        <w:t>部门</w:t>
      </w:r>
      <w:r>
        <w:rPr>
          <w:rFonts w:hint="eastAsia" w:ascii="仿宋" w:hAnsi="仿宋" w:eastAsia="仿宋" w:cs="仿宋"/>
          <w:sz w:val="24"/>
          <w:szCs w:val="24"/>
          <w:lang w:eastAsia="zh-CN"/>
        </w:rPr>
        <w:t>的相关文件规定为准。</w:t>
      </w:r>
    </w:p>
    <w:p w14:paraId="6DC7B635">
      <w:pPr>
        <w:spacing w:line="400" w:lineRule="exact"/>
        <w:rPr>
          <w:rFonts w:ascii="仿宋" w:hAnsi="仿宋" w:eastAsia="仿宋" w:cs="仿宋"/>
          <w:u w:val="dotted"/>
          <w:lang w:eastAsia="zh-CN"/>
        </w:rPr>
      </w:pPr>
      <w:bookmarkStart w:id="663" w:name="_Toc1917"/>
      <w:r>
        <w:rPr>
          <w:rFonts w:hint="eastAsia" w:ascii="仿宋" w:hAnsi="仿宋" w:eastAsia="仿宋" w:cs="仿宋"/>
          <w:b/>
          <w:bCs/>
          <w:lang w:eastAsia="zh-CN"/>
        </w:rPr>
        <w:t>85</w:t>
      </w:r>
      <w:r>
        <w:rPr>
          <w:rFonts w:ascii="仿宋" w:hAnsi="仿宋" w:eastAsia="仿宋" w:cs="仿宋"/>
          <w:b/>
          <w:bCs/>
          <w:lang w:eastAsia="zh-CN"/>
        </w:rPr>
        <w:t>.2</w:t>
      </w:r>
      <w:bookmarkEnd w:id="663"/>
      <w:r>
        <w:rPr>
          <w:rFonts w:ascii="仿宋" w:hAnsi="仿宋" w:eastAsia="仿宋" w:cs="仿宋"/>
          <w:b/>
          <w:bCs/>
          <w:lang w:eastAsia="zh-CN"/>
        </w:rPr>
        <w:t xml:space="preserve">  </w:t>
      </w:r>
      <w:r>
        <w:rPr>
          <w:rFonts w:ascii="仿宋" w:hAnsi="仿宋" w:eastAsia="仿宋" w:cs="仿宋"/>
          <w:u w:val="dotted"/>
          <w:lang w:eastAsia="zh-CN"/>
        </w:rPr>
        <w:t xml:space="preserve">                                                                             </w:t>
      </w:r>
    </w:p>
    <w:p w14:paraId="0053FE6C">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913216" behindDoc="0" locked="0" layoutInCell="1" allowOverlap="1">
                <wp:simplePos x="0" y="0"/>
                <wp:positionH relativeFrom="column">
                  <wp:posOffset>-114300</wp:posOffset>
                </wp:positionH>
                <wp:positionV relativeFrom="paragraph">
                  <wp:posOffset>34290</wp:posOffset>
                </wp:positionV>
                <wp:extent cx="870585" cy="648970"/>
                <wp:effectExtent l="0" t="0" r="0" b="0"/>
                <wp:wrapNone/>
                <wp:docPr id="378" name="文本框 1038"/>
                <wp:cNvGraphicFramePr/>
                <a:graphic xmlns:a="http://schemas.openxmlformats.org/drawingml/2006/main">
                  <a:graphicData uri="http://schemas.microsoft.com/office/word/2010/wordprocessingShape">
                    <wps:wsp>
                      <wps:cNvSpPr txBox="1"/>
                      <wps:spPr>
                        <a:xfrm>
                          <a:off x="0" y="0"/>
                          <a:ext cx="870585" cy="648970"/>
                        </a:xfrm>
                        <a:prstGeom prst="rect">
                          <a:avLst/>
                        </a:prstGeom>
                        <a:noFill/>
                        <a:ln w="12700">
                          <a:noFill/>
                        </a:ln>
                      </wps:spPr>
                      <wps:txbx>
                        <w:txbxContent>
                          <w:p w14:paraId="3659105F">
                            <w:pPr>
                              <w:pStyle w:val="36"/>
                              <w:spacing w:line="200" w:lineRule="exact"/>
                              <w:rPr>
                                <w:rFonts w:ascii="楷体_GB2312" w:hAnsi="宋体"/>
                                <w:sz w:val="18"/>
                                <w:szCs w:val="18"/>
                              </w:rPr>
                            </w:pPr>
                            <w:r>
                              <w:rPr>
                                <w:rFonts w:hint="eastAsia" w:ascii="楷体_GB2312" w:hAnsi="宋体" w:cs="楷体_GB2312"/>
                                <w:sz w:val="18"/>
                                <w:szCs w:val="18"/>
                              </w:rPr>
                              <w:t>支付申请的提交与核实</w:t>
                            </w:r>
                          </w:p>
                        </w:txbxContent>
                      </wps:txbx>
                      <wps:bodyPr rot="0" vert="horz" wrap="square" lIns="91440" tIns="45720" rIns="91440" bIns="45720" anchor="t" anchorCtr="0"/>
                    </wps:wsp>
                  </a:graphicData>
                </a:graphic>
              </wp:anchor>
            </w:drawing>
          </mc:Choice>
          <mc:Fallback>
            <w:pict>
              <v:shape id="文本框 1038" o:spid="_x0000_s1026" o:spt="202" type="#_x0000_t202" style="position:absolute;left:0pt;margin-left:-9pt;margin-top:2.7pt;height:51.1pt;width:68.55pt;z-index:251913216;mso-width-relative:page;mso-height-relative:page;" filled="f" stroked="f" coordsize="21600,21600" o:gfxdata="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QV80DYAAAACQEAAA8AAAAAAAAAAQAgAAAAIgAAAGRycy9kb3ducmV2LnhtbFBLAQIUABQAAAAI&#10;AIdO4kBuD7nP7QEAAL8DAAAOAAAAAAAAAAEAIAAAACcBAABkcnMvZTJvRG9jLnhtbFBLBQYAAAAA&#10;BgAGAFkBAACGBQAAAAA=&#10;">
                <v:fill on="f" focussize="0,0"/>
                <v:stroke on="f" weight="1pt"/>
                <v:imagedata o:title=""/>
                <o:lock v:ext="edit" aspectratio="f"/>
                <v:textbox>
                  <w:txbxContent>
                    <w:p w14:paraId="3659105F">
                      <w:pPr>
                        <w:pStyle w:val="36"/>
                        <w:spacing w:line="200" w:lineRule="exact"/>
                        <w:rPr>
                          <w:rFonts w:ascii="楷体_GB2312" w:hAnsi="宋体"/>
                          <w:sz w:val="18"/>
                          <w:szCs w:val="18"/>
                        </w:rPr>
                      </w:pPr>
                      <w:r>
                        <w:rPr>
                          <w:rFonts w:hint="eastAsia" w:ascii="楷体_GB2312" w:hAnsi="宋体" w:cs="楷体_GB2312"/>
                          <w:sz w:val="18"/>
                          <w:szCs w:val="18"/>
                        </w:rPr>
                        <w:t>支付申请的提交与核实</w:t>
                      </w:r>
                    </w:p>
                  </w:txbxContent>
                </v:textbox>
              </v:shape>
            </w:pict>
          </mc:Fallback>
        </mc:AlternateContent>
      </w:r>
      <w:r>
        <w:rPr>
          <w:rFonts w:hint="eastAsia" w:ascii="仿宋" w:hAnsi="仿宋" w:eastAsia="仿宋" w:cs="仿宋"/>
          <w:sz w:val="24"/>
          <w:szCs w:val="24"/>
          <w:lang w:eastAsia="zh-CN"/>
        </w:rPr>
        <w:t>专用条款没有约定的，承包人应在接到监理人按照第41</w:t>
      </w:r>
      <w:r>
        <w:rPr>
          <w:rFonts w:ascii="仿宋" w:hAnsi="仿宋" w:eastAsia="仿宋" w:cs="仿宋"/>
          <w:sz w:val="24"/>
          <w:szCs w:val="24"/>
          <w:lang w:eastAsia="zh-CN"/>
        </w:rPr>
        <w:t>.2</w:t>
      </w:r>
      <w:r>
        <w:rPr>
          <w:rFonts w:hint="eastAsia" w:ascii="仿宋" w:hAnsi="仿宋" w:eastAsia="仿宋" w:cs="仿宋"/>
          <w:sz w:val="24"/>
          <w:szCs w:val="24"/>
          <w:lang w:eastAsia="zh-CN"/>
        </w:rPr>
        <w:t>款约定发出开工令后的</w:t>
      </w:r>
      <w:r>
        <w:rPr>
          <w:rFonts w:ascii="仿宋" w:hAnsi="仿宋" w:eastAsia="仿宋" w:cs="仿宋"/>
          <w:sz w:val="24"/>
          <w:szCs w:val="24"/>
          <w:lang w:eastAsia="zh-CN"/>
        </w:rPr>
        <w:t>7</w:t>
      </w:r>
      <w:r>
        <w:rPr>
          <w:rFonts w:hint="eastAsia" w:ascii="仿宋" w:hAnsi="仿宋" w:eastAsia="仿宋" w:cs="仿宋"/>
          <w:sz w:val="24"/>
          <w:szCs w:val="24"/>
          <w:lang w:eastAsia="zh-CN"/>
        </w:rPr>
        <w:t>天内向造价咨询人提交绿色施工安全防护费支付申请，并抄送发包人。造价咨询人应对支付申请进行核实，并在收到支付申请后的</w:t>
      </w:r>
      <w:r>
        <w:rPr>
          <w:rFonts w:ascii="仿宋" w:hAnsi="仿宋" w:eastAsia="仿宋" w:cs="仿宋"/>
          <w:sz w:val="24"/>
          <w:szCs w:val="24"/>
          <w:lang w:eastAsia="zh-CN"/>
        </w:rPr>
        <w:t>7</w:t>
      </w:r>
      <w:r>
        <w:rPr>
          <w:rFonts w:hint="eastAsia" w:ascii="仿宋" w:hAnsi="仿宋" w:eastAsia="仿宋" w:cs="仿宋"/>
          <w:sz w:val="24"/>
          <w:szCs w:val="24"/>
          <w:lang w:eastAsia="zh-CN"/>
        </w:rPr>
        <w:t>天内报发包人确认后向发包人发出支付证书，同时抄送承包人。</w:t>
      </w:r>
    </w:p>
    <w:p w14:paraId="6303D89F">
      <w:pPr>
        <w:spacing w:line="400" w:lineRule="exact"/>
        <w:rPr>
          <w:rFonts w:ascii="仿宋" w:hAnsi="仿宋" w:eastAsia="仿宋"/>
          <w:b/>
          <w:bCs/>
          <w:lang w:eastAsia="zh-CN"/>
        </w:rPr>
      </w:pPr>
      <w:bookmarkStart w:id="664" w:name="_Toc10328"/>
      <w:r>
        <w:rPr>
          <w:rFonts w:hint="eastAsia" w:ascii="仿宋" w:hAnsi="仿宋" w:eastAsia="仿宋" w:cs="仿宋"/>
          <w:b/>
          <w:bCs/>
          <w:lang w:eastAsia="zh-CN"/>
        </w:rPr>
        <w:t>85</w:t>
      </w:r>
      <w:r>
        <w:rPr>
          <w:rFonts w:ascii="仿宋" w:hAnsi="仿宋" w:eastAsia="仿宋" w:cs="仿宋"/>
          <w:b/>
          <w:bCs/>
          <w:lang w:eastAsia="zh-CN"/>
        </w:rPr>
        <w:t>.3</w:t>
      </w:r>
      <w:bookmarkEnd w:id="664"/>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49A5BB8C">
      <w:pPr>
        <w:pStyle w:val="22"/>
        <w:adjustRightInd w:val="0"/>
        <w:snapToGrid w:val="0"/>
        <w:spacing w:line="400" w:lineRule="exact"/>
        <w:ind w:left="1850" w:leftChars="771"/>
        <w:rPr>
          <w:rFonts w:ascii="仿宋" w:hAnsi="仿宋" w:eastAsia="仿宋" w:cs="仿宋"/>
          <w:sz w:val="24"/>
          <w:szCs w:val="24"/>
          <w:lang w:eastAsia="zh-CN"/>
        </w:rPr>
      </w:pPr>
      <w:r>
        <w:rPr>
          <w:rFonts w:hint="eastAsia" w:ascii="仿宋" w:hAnsi="仿宋" w:eastAsia="仿宋" w:cs="仿宋"/>
          <w:sz w:val="24"/>
          <w:szCs w:val="24"/>
          <w:lang w:eastAsia="zh-CN"/>
        </w:rPr>
        <w:t>合同双方当事人应按照建设行政主管部门的规定，在专用条款中约定绿色施工安全防护费的支付办法和抵扣方式。除专用条款另有约定外，</w:t>
      </w:r>
      <w:r>
        <w:rPr>
          <w:rFonts w:ascii="仿宋" w:hAnsi="仿宋" w:eastAsia="仿宋" w:cs="仿宋"/>
          <w:sz w:val="24"/>
          <w:szCs w:val="24"/>
          <w:lang w:eastAsia="zh-CN"/>
        </w:rPr>
        <mc:AlternateContent>
          <mc:Choice Requires="wps">
            <w:drawing>
              <wp:anchor distT="0" distB="0" distL="114300" distR="114300" simplePos="0" relativeHeight="251914240" behindDoc="0" locked="0" layoutInCell="1" allowOverlap="1">
                <wp:simplePos x="0" y="0"/>
                <wp:positionH relativeFrom="column">
                  <wp:posOffset>-114300</wp:posOffset>
                </wp:positionH>
                <wp:positionV relativeFrom="paragraph">
                  <wp:posOffset>71755</wp:posOffset>
                </wp:positionV>
                <wp:extent cx="790575" cy="421005"/>
                <wp:effectExtent l="0" t="0" r="0" b="0"/>
                <wp:wrapNone/>
                <wp:docPr id="379" name="文本框 1039"/>
                <wp:cNvGraphicFramePr/>
                <a:graphic xmlns:a="http://schemas.openxmlformats.org/drawingml/2006/main">
                  <a:graphicData uri="http://schemas.microsoft.com/office/word/2010/wordprocessingShape">
                    <wps:wsp>
                      <wps:cNvSpPr txBox="1"/>
                      <wps:spPr>
                        <a:xfrm>
                          <a:off x="0" y="0"/>
                          <a:ext cx="790575" cy="421005"/>
                        </a:xfrm>
                        <a:prstGeom prst="rect">
                          <a:avLst/>
                        </a:prstGeom>
                        <a:noFill/>
                        <a:ln w="12700">
                          <a:noFill/>
                        </a:ln>
                      </wps:spPr>
                      <wps:txbx>
                        <w:txbxContent>
                          <w:p w14:paraId="678CBF9F">
                            <w:pPr>
                              <w:rPr>
                                <w:rFonts w:ascii="楷体_GB2312" w:hAnsi="宋体" w:eastAsia="楷体_GB2312"/>
                                <w:b/>
                                <w:bCs/>
                                <w:sz w:val="18"/>
                                <w:szCs w:val="18"/>
                              </w:rPr>
                            </w:pPr>
                            <w:r>
                              <w:rPr>
                                <w:rFonts w:hint="eastAsia" w:ascii="楷体_GB2312" w:hAnsi="宋体" w:eastAsia="楷体_GB2312" w:cs="楷体_GB2312"/>
                                <w:b/>
                                <w:bCs/>
                                <w:sz w:val="18"/>
                                <w:szCs w:val="18"/>
                              </w:rPr>
                              <w:t>费用支付</w:t>
                            </w:r>
                          </w:p>
                        </w:txbxContent>
                      </wps:txbx>
                      <wps:bodyPr rot="0" vert="horz" wrap="square" lIns="91440" tIns="45720" rIns="91440" bIns="45720" anchor="t" anchorCtr="0"/>
                    </wps:wsp>
                  </a:graphicData>
                </a:graphic>
              </wp:anchor>
            </w:drawing>
          </mc:Choice>
          <mc:Fallback>
            <w:pict>
              <v:shape id="文本框 1039" o:spid="_x0000_s1026" o:spt="202" type="#_x0000_t202" style="position:absolute;left:0pt;margin-left:-9pt;margin-top:5.65pt;height:33.15pt;width:62.25pt;z-index:251914240;mso-width-relative:page;mso-height-relative:page;" filled="f" stroked="f" coordsize="21600,21600" o:gfxdata="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Qg&#10;RPbXAAAACQEAAA8AAAAAAAAAAQAgAAAAIgAAAGRycy9kb3ducmV2LnhtbFBLAQIUABQAAAAIAIdO&#10;4kCMMEyx6wEAAL8DAAAOAAAAAAAAAAEAIAAAACYBAABkcnMvZTJvRG9jLnhtbFBLBQYAAAAABgAG&#10;AFkBAACDBQAAAAA=&#10;">
                <v:fill on="f" focussize="0,0"/>
                <v:stroke on="f" weight="1pt"/>
                <v:imagedata o:title=""/>
                <o:lock v:ext="edit" aspectratio="f"/>
                <v:textbox>
                  <w:txbxContent>
                    <w:p w14:paraId="678CBF9F">
                      <w:pPr>
                        <w:rPr>
                          <w:rFonts w:ascii="楷体_GB2312" w:hAnsi="宋体" w:eastAsia="楷体_GB2312"/>
                          <w:b/>
                          <w:bCs/>
                          <w:sz w:val="18"/>
                          <w:szCs w:val="18"/>
                        </w:rPr>
                      </w:pPr>
                      <w:r>
                        <w:rPr>
                          <w:rFonts w:hint="eastAsia" w:ascii="楷体_GB2312" w:hAnsi="宋体" w:eastAsia="楷体_GB2312" w:cs="楷体_GB2312"/>
                          <w:b/>
                          <w:bCs/>
                          <w:sz w:val="18"/>
                          <w:szCs w:val="18"/>
                        </w:rPr>
                        <w:t>费用支付</w:t>
                      </w:r>
                    </w:p>
                  </w:txbxContent>
                </v:textbox>
              </v:shape>
            </w:pict>
          </mc:Fallback>
        </mc:AlternateContent>
      </w:r>
      <w:r>
        <w:rPr>
          <w:rFonts w:hint="eastAsia" w:ascii="仿宋" w:hAnsi="仿宋" w:eastAsia="仿宋" w:cs="仿宋"/>
          <w:sz w:val="24"/>
          <w:szCs w:val="24"/>
          <w:lang w:eastAsia="zh-CN"/>
        </w:rPr>
        <w:t>发包人应在造价咨询人签发支付证书后的</w:t>
      </w:r>
      <w:r>
        <w:rPr>
          <w:rFonts w:ascii="仿宋" w:hAnsi="仿宋" w:eastAsia="仿宋" w:cs="仿宋"/>
          <w:sz w:val="24"/>
          <w:szCs w:val="24"/>
          <w:lang w:eastAsia="zh-CN"/>
        </w:rPr>
        <w:t>7</w:t>
      </w:r>
      <w:r>
        <w:rPr>
          <w:rFonts w:hint="eastAsia" w:ascii="仿宋" w:hAnsi="仿宋" w:eastAsia="仿宋" w:cs="仿宋"/>
          <w:sz w:val="24"/>
          <w:szCs w:val="24"/>
          <w:lang w:eastAsia="zh-CN"/>
        </w:rPr>
        <w:t>天内向承包人支付绿色施工安全防护费，并保证在工程开工后的</w:t>
      </w:r>
      <w:r>
        <w:rPr>
          <w:rFonts w:ascii="仿宋" w:hAnsi="仿宋" w:eastAsia="仿宋" w:cs="仿宋"/>
          <w:sz w:val="24"/>
          <w:szCs w:val="24"/>
          <w:lang w:eastAsia="zh-CN"/>
        </w:rPr>
        <w:t>28</w:t>
      </w:r>
      <w:r>
        <w:rPr>
          <w:rFonts w:hint="eastAsia" w:ascii="仿宋" w:hAnsi="仿宋" w:eastAsia="仿宋" w:cs="仿宋"/>
          <w:sz w:val="24"/>
          <w:szCs w:val="24"/>
          <w:lang w:eastAsia="zh-CN"/>
        </w:rPr>
        <w:t>天内支付绿色施工安全防护费金额的</w:t>
      </w:r>
      <w:r>
        <w:rPr>
          <w:rFonts w:ascii="仿宋" w:hAnsi="仿宋" w:eastAsia="仿宋" w:cs="仿宋"/>
          <w:sz w:val="24"/>
          <w:szCs w:val="24"/>
          <w:lang w:eastAsia="zh-CN"/>
        </w:rPr>
        <w:t>50%</w:t>
      </w:r>
      <w:r>
        <w:rPr>
          <w:rFonts w:hint="eastAsia" w:ascii="仿宋" w:hAnsi="仿宋" w:eastAsia="仿宋" w:cs="仿宋"/>
          <w:sz w:val="24"/>
          <w:szCs w:val="24"/>
          <w:lang w:eastAsia="zh-CN"/>
        </w:rPr>
        <w:t>，同时通知造价咨询人。其余部分与进度款同期支付。</w:t>
      </w:r>
    </w:p>
    <w:p w14:paraId="25146D17">
      <w:pPr>
        <w:spacing w:line="400" w:lineRule="exact"/>
        <w:rPr>
          <w:rFonts w:ascii="仿宋" w:hAnsi="仿宋" w:eastAsia="仿宋"/>
          <w:b/>
          <w:bCs/>
          <w:lang w:eastAsia="zh-CN"/>
        </w:rPr>
      </w:pPr>
      <w:bookmarkStart w:id="665" w:name="_Toc27893"/>
      <w:r>
        <w:rPr>
          <w:rFonts w:hint="eastAsia" w:ascii="仿宋" w:hAnsi="仿宋" w:eastAsia="仿宋" w:cs="仿宋"/>
          <w:b/>
          <w:bCs/>
          <w:lang w:eastAsia="zh-CN"/>
        </w:rPr>
        <w:t>85</w:t>
      </w:r>
      <w:r>
        <w:rPr>
          <w:rFonts w:ascii="仿宋" w:hAnsi="仿宋" w:eastAsia="仿宋" w:cs="仿宋"/>
          <w:b/>
          <w:bCs/>
          <w:lang w:eastAsia="zh-CN"/>
        </w:rPr>
        <w:t>.4</w:t>
      </w:r>
      <w:bookmarkEnd w:id="665"/>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7958409F">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915264" behindDoc="0" locked="0" layoutInCell="1" allowOverlap="1">
                <wp:simplePos x="0" y="0"/>
                <wp:positionH relativeFrom="column">
                  <wp:posOffset>-114300</wp:posOffset>
                </wp:positionH>
                <wp:positionV relativeFrom="paragraph">
                  <wp:posOffset>10795</wp:posOffset>
                </wp:positionV>
                <wp:extent cx="727710" cy="480060"/>
                <wp:effectExtent l="0" t="0" r="0" b="0"/>
                <wp:wrapNone/>
                <wp:docPr id="380" name="文本框 1040"/>
                <wp:cNvGraphicFramePr/>
                <a:graphic xmlns:a="http://schemas.openxmlformats.org/drawingml/2006/main">
                  <a:graphicData uri="http://schemas.microsoft.com/office/word/2010/wordprocessingShape">
                    <wps:wsp>
                      <wps:cNvSpPr txBox="1"/>
                      <wps:spPr>
                        <a:xfrm>
                          <a:off x="0" y="0"/>
                          <a:ext cx="727710" cy="480060"/>
                        </a:xfrm>
                        <a:prstGeom prst="rect">
                          <a:avLst/>
                        </a:prstGeom>
                        <a:noFill/>
                        <a:ln w="12700">
                          <a:noFill/>
                        </a:ln>
                      </wps:spPr>
                      <wps:txbx>
                        <w:txbxContent>
                          <w:p w14:paraId="73D798FD">
                            <w:pPr>
                              <w:rPr>
                                <w:rFonts w:ascii="楷体_GB2312" w:hAnsi="宋体" w:eastAsia="楷体_GB2312"/>
                                <w:b/>
                                <w:bCs/>
                                <w:sz w:val="18"/>
                                <w:szCs w:val="18"/>
                              </w:rPr>
                            </w:pPr>
                            <w:r>
                              <w:rPr>
                                <w:rFonts w:hint="eastAsia" w:ascii="楷体_GB2312" w:hAnsi="宋体" w:eastAsia="楷体_GB2312" w:cs="楷体_GB2312"/>
                                <w:b/>
                                <w:bCs/>
                                <w:sz w:val="18"/>
                                <w:szCs w:val="18"/>
                              </w:rPr>
                              <w:t>支付限制</w:t>
                            </w:r>
                          </w:p>
                        </w:txbxContent>
                      </wps:txbx>
                      <wps:bodyPr rot="0" vert="horz" wrap="square" lIns="91440" tIns="45720" rIns="91440" bIns="45720" anchor="t" anchorCtr="0"/>
                    </wps:wsp>
                  </a:graphicData>
                </a:graphic>
              </wp:anchor>
            </w:drawing>
          </mc:Choice>
          <mc:Fallback>
            <w:pict>
              <v:shape id="文本框 1040" o:spid="_x0000_s1026" o:spt="202" type="#_x0000_t202" style="position:absolute;left:0pt;margin-left:-9pt;margin-top:0.85pt;height:37.8pt;width:57.3pt;z-index:251915264;mso-width-relative:page;mso-height-relative:page;" filled="f" stroked="f" coordsize="21600,21600" o:gfxdata="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FjPQvNYA&#10;AAAHAQAADwAAAAAAAAABACAAAAAiAAAAZHJzL2Rvd25yZXYueG1sUEsBAhQAFAAAAAgAh07iQKdX&#10;8BToAQAAvwMAAA4AAAAAAAAAAQAgAAAAJQEAAGRycy9lMm9Eb2MueG1sUEsFBgAAAAAGAAYAWQEA&#10;AH8FAAAAAA==&#10;">
                <v:fill on="f" focussize="0,0"/>
                <v:stroke on="f" weight="1pt"/>
                <v:imagedata o:title=""/>
                <o:lock v:ext="edit" aspectratio="f"/>
                <v:textbox>
                  <w:txbxContent>
                    <w:p w14:paraId="73D798FD">
                      <w:pPr>
                        <w:rPr>
                          <w:rFonts w:ascii="楷体_GB2312" w:hAnsi="宋体" w:eastAsia="楷体_GB2312"/>
                          <w:b/>
                          <w:bCs/>
                          <w:sz w:val="18"/>
                          <w:szCs w:val="18"/>
                        </w:rPr>
                      </w:pPr>
                      <w:r>
                        <w:rPr>
                          <w:rFonts w:hint="eastAsia" w:ascii="楷体_GB2312" w:hAnsi="宋体" w:eastAsia="楷体_GB2312" w:cs="楷体_GB2312"/>
                          <w:b/>
                          <w:bCs/>
                          <w:sz w:val="18"/>
                          <w:szCs w:val="18"/>
                        </w:rPr>
                        <w:t>支付限制</w:t>
                      </w:r>
                    </w:p>
                  </w:txbxContent>
                </v:textbox>
              </v:shape>
            </w:pict>
          </mc:Fallback>
        </mc:AlternateContent>
      </w:r>
      <w:r>
        <w:rPr>
          <w:rFonts w:hint="eastAsia" w:ascii="仿宋" w:hAnsi="仿宋" w:eastAsia="仿宋" w:cs="仿宋"/>
          <w:sz w:val="24"/>
          <w:szCs w:val="24"/>
          <w:lang w:eastAsia="zh-CN"/>
        </w:rPr>
        <w:t>发包人没有按时支付绿色施工安全防护费的，承包人应在付款期满后的7天内向发包人发出要求支付的通知；发包人收到通知后仍不按要求支付，承包人可在发出通知</w:t>
      </w:r>
      <w:r>
        <w:rPr>
          <w:rFonts w:ascii="仿宋" w:hAnsi="仿宋" w:eastAsia="仿宋" w:cs="仿宋"/>
          <w:sz w:val="24"/>
          <w:szCs w:val="24"/>
          <w:lang w:eastAsia="zh-CN"/>
        </w:rPr>
        <w:t>14</w:t>
      </w:r>
      <w:r>
        <w:rPr>
          <w:rFonts w:hint="eastAsia" w:ascii="仿宋" w:hAnsi="仿宋" w:eastAsia="仿宋" w:cs="仿宋"/>
          <w:sz w:val="24"/>
          <w:szCs w:val="24"/>
          <w:lang w:eastAsia="zh-CN"/>
        </w:rPr>
        <w:t>天后暂停施工。发包人应承担由此增加的费用和（或）延误的工期，并向承包人支付合理利润。</w:t>
      </w:r>
    </w:p>
    <w:p w14:paraId="24B66DB3">
      <w:pPr>
        <w:spacing w:line="400" w:lineRule="exact"/>
        <w:rPr>
          <w:rFonts w:ascii="仿宋" w:hAnsi="仿宋" w:eastAsia="仿宋"/>
          <w:b/>
          <w:bCs/>
          <w:lang w:eastAsia="zh-CN"/>
        </w:rPr>
      </w:pPr>
      <w:r>
        <w:rPr>
          <w:rFonts w:hint="eastAsia" w:ascii="仿宋" w:hAnsi="仿宋" w:eastAsia="仿宋" w:cs="仿宋"/>
          <w:b/>
          <w:bCs/>
          <w:lang w:eastAsia="zh-CN"/>
        </w:rPr>
        <w:t>85</w:t>
      </w:r>
      <w:r>
        <w:rPr>
          <w:rFonts w:ascii="仿宋" w:hAnsi="仿宋" w:eastAsia="仿宋" w:cs="仿宋"/>
          <w:b/>
          <w:bCs/>
          <w:lang w:eastAsia="zh-CN"/>
        </w:rPr>
        <w:t xml:space="preserve">.5  </w:t>
      </w:r>
      <w:r>
        <w:rPr>
          <w:rFonts w:ascii="仿宋" w:hAnsi="仿宋" w:eastAsia="仿宋" w:cs="仿宋"/>
          <w:b/>
          <w:bCs/>
          <w:u w:val="dotted"/>
          <w:lang w:eastAsia="zh-CN"/>
        </w:rPr>
        <w:t xml:space="preserve">                                                                               </w:t>
      </w:r>
    </w:p>
    <w:p w14:paraId="262EF959">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916288" behindDoc="0" locked="0" layoutInCell="1" allowOverlap="1">
                <wp:simplePos x="0" y="0"/>
                <wp:positionH relativeFrom="column">
                  <wp:posOffset>-114300</wp:posOffset>
                </wp:positionH>
                <wp:positionV relativeFrom="paragraph">
                  <wp:posOffset>1905</wp:posOffset>
                </wp:positionV>
                <wp:extent cx="718820" cy="400685"/>
                <wp:effectExtent l="0" t="0" r="0" b="0"/>
                <wp:wrapNone/>
                <wp:docPr id="381" name="文本框 1041"/>
                <wp:cNvGraphicFramePr/>
                <a:graphic xmlns:a="http://schemas.openxmlformats.org/drawingml/2006/main">
                  <a:graphicData uri="http://schemas.microsoft.com/office/word/2010/wordprocessingShape">
                    <wps:wsp>
                      <wps:cNvSpPr txBox="1"/>
                      <wps:spPr>
                        <a:xfrm>
                          <a:off x="0" y="0"/>
                          <a:ext cx="718820" cy="400685"/>
                        </a:xfrm>
                        <a:prstGeom prst="rect">
                          <a:avLst/>
                        </a:prstGeom>
                        <a:noFill/>
                        <a:ln w="12700">
                          <a:noFill/>
                        </a:ln>
                      </wps:spPr>
                      <wps:txbx>
                        <w:txbxContent>
                          <w:p w14:paraId="54639A80">
                            <w:pPr>
                              <w:spacing w:line="240" w:lineRule="exact"/>
                              <w:rPr>
                                <w:rFonts w:ascii="宋体"/>
                              </w:rPr>
                            </w:pPr>
                            <w:r>
                              <w:rPr>
                                <w:rFonts w:hint="eastAsia" w:ascii="楷体_GB2312" w:hAnsi="宋体" w:eastAsia="楷体_GB2312" w:cs="楷体_GB2312"/>
                                <w:b/>
                                <w:bCs/>
                                <w:sz w:val="18"/>
                                <w:szCs w:val="18"/>
                              </w:rPr>
                              <w:t>管理要求</w:t>
                            </w:r>
                          </w:p>
                        </w:txbxContent>
                      </wps:txbx>
                      <wps:bodyPr rot="0" vert="horz" wrap="square" lIns="91440" tIns="45720" rIns="91440" bIns="45720" anchor="t" anchorCtr="0"/>
                    </wps:wsp>
                  </a:graphicData>
                </a:graphic>
              </wp:anchor>
            </w:drawing>
          </mc:Choice>
          <mc:Fallback>
            <w:pict>
              <v:shape id="文本框 1041" o:spid="_x0000_s1026" o:spt="202" type="#_x0000_t202" style="position:absolute;left:0pt;margin-left:-9pt;margin-top:0.15pt;height:31.55pt;width:56.6pt;z-index:251916288;mso-width-relative:page;mso-height-relative:page;" filled="f" stroked="f" coordsize="21600,21600" o:gfxdata="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hc9ZI&#10;1gAAAAYBAAAPAAAAAAAAAAEAIAAAACIAAABkcnMvZG93bnJldi54bWxQSwECFAAUAAAACACHTuJA&#10;67bECeoBAAC/AwAADgAAAAAAAAABACAAAAAlAQAAZHJzL2Uyb0RvYy54bWxQSwUGAAAAAAYABgBZ&#10;AQAAgQUAAAAA&#10;">
                <v:fill on="f" focussize="0,0"/>
                <v:stroke on="f" weight="1pt"/>
                <v:imagedata o:title=""/>
                <o:lock v:ext="edit" aspectratio="f"/>
                <v:textbox>
                  <w:txbxContent>
                    <w:p w14:paraId="54639A80">
                      <w:pPr>
                        <w:spacing w:line="240" w:lineRule="exact"/>
                        <w:rPr>
                          <w:rFonts w:ascii="宋体"/>
                        </w:rPr>
                      </w:pPr>
                      <w:r>
                        <w:rPr>
                          <w:rFonts w:hint="eastAsia" w:ascii="楷体_GB2312" w:hAnsi="宋体" w:eastAsia="楷体_GB2312" w:cs="楷体_GB2312"/>
                          <w:b/>
                          <w:bCs/>
                          <w:sz w:val="18"/>
                          <w:szCs w:val="18"/>
                        </w:rPr>
                        <w:t>管理要求</w:t>
                      </w:r>
                    </w:p>
                  </w:txbxContent>
                </v:textbox>
              </v:shape>
            </w:pict>
          </mc:Fallback>
        </mc:AlternateContent>
      </w:r>
      <w:r>
        <w:rPr>
          <w:rFonts w:hint="eastAsia" w:ascii="仿宋" w:hAnsi="仿宋" w:eastAsia="仿宋" w:cs="仿宋"/>
          <w:sz w:val="24"/>
          <w:szCs w:val="24"/>
          <w:lang w:eastAsia="zh-CN"/>
        </w:rPr>
        <w:t>绿色施工安全防护费专款专用，承包人应在财务账目中单独列项备查，不得挪作他用，否则造价咨询人有权责令其限期改正；逾期未改正的，可以责令其暂停施工，由此造成的损失和延误的工期由承包人承担。</w:t>
      </w:r>
    </w:p>
    <w:p w14:paraId="38D994AC">
      <w:pPr>
        <w:spacing w:line="400" w:lineRule="exact"/>
        <w:rPr>
          <w:rFonts w:ascii="仿宋" w:hAnsi="仿宋" w:eastAsia="仿宋"/>
          <w:lang w:eastAsia="zh-CN"/>
        </w:rPr>
      </w:pPr>
      <w:r>
        <w:rPr>
          <w:rFonts w:hint="eastAsia" w:ascii="仿宋" w:hAnsi="仿宋" w:eastAsia="仿宋" w:cs="仿宋"/>
          <w:b/>
          <w:bCs/>
          <w:lang w:eastAsia="zh-CN"/>
        </w:rPr>
        <w:t>85</w:t>
      </w:r>
      <w:r>
        <w:rPr>
          <w:rFonts w:ascii="仿宋" w:hAnsi="仿宋" w:eastAsia="仿宋" w:cs="仿宋"/>
          <w:b/>
          <w:bCs/>
          <w:lang w:eastAsia="zh-CN"/>
        </w:rPr>
        <w:t xml:space="preserve">.6  </w:t>
      </w:r>
      <w:r>
        <w:rPr>
          <w:rFonts w:ascii="仿宋" w:hAnsi="仿宋" w:eastAsia="仿宋" w:cs="仿宋"/>
          <w:b/>
          <w:bCs/>
          <w:u w:val="dotted"/>
          <w:lang w:eastAsia="zh-CN"/>
        </w:rPr>
        <w:t xml:space="preserve">                                                                                 </w:t>
      </w:r>
    </w:p>
    <w:p w14:paraId="2447551A">
      <w:pPr>
        <w:pStyle w:val="22"/>
        <w:widowControl w:val="0"/>
        <w:adjustRightInd w:val="0"/>
        <w:snapToGrid w:val="0"/>
        <w:spacing w:line="400" w:lineRule="exact"/>
        <w:ind w:left="1850" w:leftChars="771"/>
        <w:jc w:val="both"/>
        <w:rPr>
          <w:rFonts w:ascii="仿宋" w:hAnsi="仿宋" w:eastAsia="仿宋" w:cs="仿宋"/>
          <w:sz w:val="24"/>
          <w:szCs w:val="24"/>
          <w:lang w:eastAsia="zh-CN"/>
        </w:rPr>
      </w:pPr>
      <w:r>
        <mc:AlternateContent>
          <mc:Choice Requires="wps">
            <w:drawing>
              <wp:anchor distT="0" distB="0" distL="114300" distR="114300" simplePos="0" relativeHeight="252064768" behindDoc="0" locked="0" layoutInCell="1" allowOverlap="1">
                <wp:simplePos x="0" y="0"/>
                <wp:positionH relativeFrom="column">
                  <wp:posOffset>-95250</wp:posOffset>
                </wp:positionH>
                <wp:positionV relativeFrom="paragraph">
                  <wp:posOffset>11430</wp:posOffset>
                </wp:positionV>
                <wp:extent cx="813435" cy="630555"/>
                <wp:effectExtent l="0" t="0" r="0" b="0"/>
                <wp:wrapNone/>
                <wp:docPr id="382" name="文本框 1042"/>
                <wp:cNvGraphicFramePr/>
                <a:graphic xmlns:a="http://schemas.openxmlformats.org/drawingml/2006/main">
                  <a:graphicData uri="http://schemas.microsoft.com/office/word/2010/wordprocessingShape">
                    <wps:wsp>
                      <wps:cNvSpPr txBox="1"/>
                      <wps:spPr>
                        <a:xfrm>
                          <a:off x="0" y="0"/>
                          <a:ext cx="813435" cy="630555"/>
                        </a:xfrm>
                        <a:prstGeom prst="rect">
                          <a:avLst/>
                        </a:prstGeom>
                        <a:noFill/>
                        <a:ln w="12700">
                          <a:noFill/>
                        </a:ln>
                      </wps:spPr>
                      <wps:txbx>
                        <w:txbxContent>
                          <w:p w14:paraId="69D8D5AC">
                            <w:pPr>
                              <w:pStyle w:val="16"/>
                              <w:spacing w:line="200" w:lineRule="exact"/>
                              <w:rPr>
                                <w:rFonts w:ascii="楷体" w:hAnsi="楷体" w:eastAsia="楷体"/>
                                <w:b/>
                                <w:bCs/>
                                <w:sz w:val="18"/>
                                <w:szCs w:val="18"/>
                                <w:lang w:eastAsia="zh-CN"/>
                              </w:rPr>
                            </w:pPr>
                            <w:r>
                              <w:rPr>
                                <w:rFonts w:hint="eastAsia" w:ascii="楷体" w:hAnsi="楷体" w:eastAsia="楷体" w:cs="楷体"/>
                                <w:b/>
                                <w:bCs/>
                                <w:sz w:val="18"/>
                                <w:szCs w:val="18"/>
                                <w:lang w:eastAsia="zh-CN"/>
                              </w:rPr>
                              <w:t>工程</w:t>
                            </w:r>
                            <w:r>
                              <w:rPr>
                                <w:rFonts w:hint="eastAsia" w:ascii="楷体" w:hAnsi="楷体" w:eastAsia="楷体" w:cs="楷体"/>
                                <w:b/>
                                <w:bCs/>
                                <w:caps/>
                                <w:sz w:val="18"/>
                                <w:szCs w:val="18"/>
                                <w:lang w:eastAsia="zh-CN"/>
                              </w:rPr>
                              <w:t>文明工地增加费</w:t>
                            </w:r>
                            <w:r>
                              <w:rPr>
                                <w:rFonts w:hint="eastAsia" w:ascii="楷体" w:hAnsi="楷体" w:eastAsia="楷体" w:cs="楷体"/>
                                <w:b/>
                                <w:bCs/>
                                <w:sz w:val="18"/>
                                <w:szCs w:val="18"/>
                                <w:lang w:eastAsia="zh-CN"/>
                              </w:rPr>
                              <w:t>计提与支付</w:t>
                            </w:r>
                          </w:p>
                        </w:txbxContent>
                      </wps:txbx>
                      <wps:bodyPr rot="0" vert="horz" wrap="square" lIns="91440" tIns="45720" rIns="91440" bIns="45720" anchor="t" anchorCtr="0"/>
                    </wps:wsp>
                  </a:graphicData>
                </a:graphic>
              </wp:anchor>
            </w:drawing>
          </mc:Choice>
          <mc:Fallback>
            <w:pict>
              <v:shape id="文本框 1042" o:spid="_x0000_s1026" o:spt="202" type="#_x0000_t202" style="position:absolute;left:0pt;margin-left:-7.5pt;margin-top:0.9pt;height:49.65pt;width:64.05pt;z-index:252064768;mso-width-relative:page;mso-height-relative:page;" filled="f" stroked="f" coordsize="21600,21600" o:gfxdata="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Kg&#10;w1PWAAAACQEAAA8AAAAAAAAAAQAgAAAAIgAAAGRycy9kb3ducmV2LnhtbFBLAQIUABQAAAAIAIdO&#10;4kD6sawW7AEAAL8DAAAOAAAAAAAAAAEAIAAAACUBAABkcnMvZTJvRG9jLnhtbFBLBQYAAAAABgAG&#10;AFkBAACDBQAAAAA=&#10;">
                <v:fill on="f" focussize="0,0"/>
                <v:stroke on="f" weight="1pt"/>
                <v:imagedata o:title=""/>
                <o:lock v:ext="edit" aspectratio="f"/>
                <v:textbox>
                  <w:txbxContent>
                    <w:p w14:paraId="69D8D5AC">
                      <w:pPr>
                        <w:pStyle w:val="16"/>
                        <w:spacing w:line="200" w:lineRule="exact"/>
                        <w:rPr>
                          <w:rFonts w:ascii="楷体" w:hAnsi="楷体" w:eastAsia="楷体"/>
                          <w:b/>
                          <w:bCs/>
                          <w:sz w:val="18"/>
                          <w:szCs w:val="18"/>
                          <w:lang w:eastAsia="zh-CN"/>
                        </w:rPr>
                      </w:pPr>
                      <w:r>
                        <w:rPr>
                          <w:rFonts w:hint="eastAsia" w:ascii="楷体" w:hAnsi="楷体" w:eastAsia="楷体" w:cs="楷体"/>
                          <w:b/>
                          <w:bCs/>
                          <w:sz w:val="18"/>
                          <w:szCs w:val="18"/>
                          <w:lang w:eastAsia="zh-CN"/>
                        </w:rPr>
                        <w:t>工程</w:t>
                      </w:r>
                      <w:r>
                        <w:rPr>
                          <w:rFonts w:hint="eastAsia" w:ascii="楷体" w:hAnsi="楷体" w:eastAsia="楷体" w:cs="楷体"/>
                          <w:b/>
                          <w:bCs/>
                          <w:caps/>
                          <w:sz w:val="18"/>
                          <w:szCs w:val="18"/>
                          <w:lang w:eastAsia="zh-CN"/>
                        </w:rPr>
                        <w:t>文明工地增加费</w:t>
                      </w:r>
                      <w:r>
                        <w:rPr>
                          <w:rFonts w:hint="eastAsia" w:ascii="楷体" w:hAnsi="楷体" w:eastAsia="楷体" w:cs="楷体"/>
                          <w:b/>
                          <w:bCs/>
                          <w:sz w:val="18"/>
                          <w:szCs w:val="18"/>
                          <w:lang w:eastAsia="zh-CN"/>
                        </w:rPr>
                        <w:t>计提与支付</w:t>
                      </w:r>
                    </w:p>
                  </w:txbxContent>
                </v:textbox>
              </v:shape>
            </w:pict>
          </mc:Fallback>
        </mc:AlternateContent>
      </w:r>
      <w:r>
        <w:rPr>
          <w:rFonts w:hint="eastAsia" w:ascii="仿宋" w:hAnsi="仿宋" w:eastAsia="仿宋" w:cs="仿宋"/>
          <w:sz w:val="24"/>
          <w:szCs w:val="24"/>
          <w:lang w:eastAsia="zh-CN"/>
        </w:rPr>
        <w:t>除专用条款另有约定外，获得省、市级或其它级别文明工地的文明工地增加费，招标发包工程按照中标通知书日期（直接发包工程按照合同签订日期）的同时期省、市</w:t>
      </w:r>
      <w:r>
        <w:rPr>
          <w:rFonts w:ascii="仿宋" w:hAnsi="仿宋" w:eastAsia="仿宋" w:cs="仿宋"/>
          <w:sz w:val="24"/>
          <w:szCs w:val="24"/>
          <w:lang w:eastAsia="zh-CN"/>
        </w:rPr>
        <w:t>建设</w:t>
      </w:r>
      <w:r>
        <w:rPr>
          <w:rFonts w:hint="eastAsia" w:ascii="仿宋" w:hAnsi="仿宋" w:eastAsia="仿宋" w:cs="仿宋"/>
          <w:sz w:val="24"/>
          <w:szCs w:val="24"/>
          <w:lang w:eastAsia="zh-CN"/>
        </w:rPr>
        <w:t>行政主管</w:t>
      </w:r>
      <w:r>
        <w:rPr>
          <w:rFonts w:ascii="仿宋" w:hAnsi="仿宋" w:eastAsia="仿宋" w:cs="仿宋"/>
          <w:sz w:val="24"/>
          <w:szCs w:val="24"/>
          <w:lang w:eastAsia="zh-CN"/>
        </w:rPr>
        <w:t>部门</w:t>
      </w:r>
      <w:r>
        <w:rPr>
          <w:rFonts w:hint="eastAsia" w:ascii="仿宋" w:hAnsi="仿宋" w:eastAsia="仿宋" w:cs="仿宋"/>
          <w:sz w:val="24"/>
          <w:szCs w:val="24"/>
          <w:lang w:eastAsia="zh-CN"/>
        </w:rPr>
        <w:t>的相关文件规定计算。当合同工程同时获得上述多个奖项的，文明工地增加费只按最高奖项的额度计算。文明工地增加费计入竣工结算中，与竣工结算款一并支付。在竣工结算后获得奖项的，发包人应在获得奖项后的</w:t>
      </w:r>
      <w:r>
        <w:rPr>
          <w:rFonts w:ascii="仿宋" w:hAnsi="仿宋" w:eastAsia="仿宋" w:cs="仿宋"/>
          <w:sz w:val="24"/>
          <w:szCs w:val="24"/>
          <w:lang w:eastAsia="zh-CN"/>
        </w:rPr>
        <w:t>28</w:t>
      </w:r>
      <w:r>
        <w:rPr>
          <w:rFonts w:hint="eastAsia" w:ascii="仿宋" w:hAnsi="仿宋" w:eastAsia="仿宋" w:cs="仿宋"/>
          <w:sz w:val="24"/>
          <w:szCs w:val="24"/>
          <w:lang w:eastAsia="zh-CN"/>
        </w:rPr>
        <w:t>天内支付。</w:t>
      </w:r>
    </w:p>
    <w:p w14:paraId="75B931AF">
      <w:pPr>
        <w:pStyle w:val="22"/>
        <w:tabs>
          <w:tab w:val="left" w:pos="1620"/>
        </w:tabs>
        <w:adjustRightInd w:val="0"/>
        <w:snapToGrid w:val="0"/>
        <w:spacing w:line="400" w:lineRule="exact"/>
        <w:rPr>
          <w:rFonts w:ascii="仿宋" w:hAnsi="仿宋" w:eastAsia="仿宋" w:cs="仿宋"/>
          <w:b/>
          <w:bCs/>
          <w:sz w:val="24"/>
          <w:szCs w:val="24"/>
          <w:u w:val="single"/>
          <w:lang w:eastAsia="zh-CN"/>
        </w:rPr>
      </w:pPr>
      <w:r>
        <w:rPr>
          <w:rFonts w:ascii="仿宋" w:hAnsi="仿宋" w:eastAsia="仿宋" w:cs="仿宋"/>
          <w:b/>
          <w:bCs/>
          <w:sz w:val="24"/>
          <w:szCs w:val="24"/>
          <w:u w:val="single"/>
          <w:lang w:eastAsia="zh-CN"/>
        </w:rPr>
        <w:t xml:space="preserve">                                                                                     </w:t>
      </w:r>
    </w:p>
    <w:p w14:paraId="75CBD0B5">
      <w:pPr>
        <w:pStyle w:val="4"/>
        <w:tabs>
          <w:tab w:val="left" w:pos="420"/>
        </w:tabs>
        <w:spacing w:before="0" w:after="0" w:line="400" w:lineRule="exact"/>
        <w:rPr>
          <w:rFonts w:ascii="仿宋" w:hAnsi="仿宋" w:eastAsia="仿宋" w:cs="仿宋"/>
          <w:bCs w:val="0"/>
          <w:sz w:val="24"/>
          <w:szCs w:val="24"/>
          <w:lang w:eastAsia="zh-CN"/>
        </w:rPr>
      </w:pPr>
      <w:bookmarkStart w:id="666" w:name="_Toc18838"/>
      <w:bookmarkStart w:id="667" w:name="_Toc194073197"/>
      <w:bookmarkStart w:id="668" w:name="_Toc29804"/>
      <w:bookmarkStart w:id="669" w:name="_Toc30244"/>
      <w:r>
        <w:rPr>
          <w:rFonts w:hint="eastAsia" w:ascii="仿宋" w:hAnsi="仿宋" w:eastAsia="仿宋" w:cs="仿宋"/>
          <w:bCs w:val="0"/>
          <w:sz w:val="24"/>
          <w:szCs w:val="24"/>
          <w:lang w:eastAsia="zh-CN"/>
        </w:rPr>
        <w:t>★86</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进度款</w:t>
      </w:r>
      <w:bookmarkEnd w:id="666"/>
      <w:bookmarkEnd w:id="667"/>
      <w:bookmarkEnd w:id="668"/>
      <w:bookmarkEnd w:id="669"/>
    </w:p>
    <w:p w14:paraId="71538B36">
      <w:pPr>
        <w:pStyle w:val="22"/>
        <w:widowControl w:val="0"/>
        <w:adjustRightInd w:val="0"/>
        <w:snapToGrid w:val="0"/>
        <w:spacing w:line="400" w:lineRule="exact"/>
        <w:rPr>
          <w:rFonts w:ascii="仿宋" w:hAnsi="仿宋" w:eastAsia="仿宋" w:cs="仿宋"/>
          <w:b/>
          <w:bCs/>
          <w:sz w:val="24"/>
          <w:szCs w:val="24"/>
          <w:lang w:eastAsia="zh-CN"/>
        </w:rPr>
      </w:pPr>
      <w:r>
        <w:rPr>
          <w:rFonts w:hint="eastAsia" w:ascii="仿宋" w:hAnsi="仿宋" w:eastAsia="仿宋" w:cs="仿宋"/>
          <w:b/>
          <w:bCs/>
          <w:sz w:val="24"/>
          <w:szCs w:val="24"/>
          <w:lang w:eastAsia="zh-CN"/>
        </w:rPr>
        <w:t>86</w:t>
      </w:r>
      <w:r>
        <w:rPr>
          <w:rFonts w:ascii="仿宋" w:hAnsi="仿宋" w:eastAsia="仿宋" w:cs="仿宋"/>
          <w:b/>
          <w:bCs/>
          <w:sz w:val="24"/>
          <w:szCs w:val="24"/>
          <w:lang w:eastAsia="zh-CN"/>
        </w:rPr>
        <w:t>.1</w:t>
      </w:r>
    </w:p>
    <w:p w14:paraId="5BF42BDE">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917312" behindDoc="0" locked="0" layoutInCell="1" allowOverlap="1">
                <wp:simplePos x="0" y="0"/>
                <wp:positionH relativeFrom="column">
                  <wp:posOffset>-114300</wp:posOffset>
                </wp:positionH>
                <wp:positionV relativeFrom="paragraph">
                  <wp:posOffset>8255</wp:posOffset>
                </wp:positionV>
                <wp:extent cx="775970" cy="680085"/>
                <wp:effectExtent l="0" t="0" r="0" b="0"/>
                <wp:wrapNone/>
                <wp:docPr id="383" name="文本框 1043"/>
                <wp:cNvGraphicFramePr/>
                <a:graphic xmlns:a="http://schemas.openxmlformats.org/drawingml/2006/main">
                  <a:graphicData uri="http://schemas.microsoft.com/office/word/2010/wordprocessingShape">
                    <wps:wsp>
                      <wps:cNvSpPr txBox="1"/>
                      <wps:spPr>
                        <a:xfrm>
                          <a:off x="0" y="0"/>
                          <a:ext cx="775970" cy="680085"/>
                        </a:xfrm>
                        <a:prstGeom prst="rect">
                          <a:avLst/>
                        </a:prstGeom>
                        <a:noFill/>
                        <a:ln w="12700">
                          <a:noFill/>
                        </a:ln>
                      </wps:spPr>
                      <wps:txbx>
                        <w:txbxContent>
                          <w:p w14:paraId="6605E412">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约定支付期限、比例和提交支付申请</w:t>
                            </w:r>
                          </w:p>
                        </w:txbxContent>
                      </wps:txbx>
                      <wps:bodyPr rot="0" vert="horz" wrap="square" lIns="91440" tIns="45720" rIns="91440" bIns="45720" anchor="t" anchorCtr="0"/>
                    </wps:wsp>
                  </a:graphicData>
                </a:graphic>
              </wp:anchor>
            </w:drawing>
          </mc:Choice>
          <mc:Fallback>
            <w:pict>
              <v:shape id="文本框 1043" o:spid="_x0000_s1026" o:spt="202" type="#_x0000_t202" style="position:absolute;left:0pt;margin-left:-9pt;margin-top:0.65pt;height:53.55pt;width:61.1pt;z-index:251917312;mso-width-relative:page;mso-height-relative:page;" filled="f" stroked="f" coordsize="21600,21600" o:gfxdata="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G1R&#10;g9YAAAAJAQAADwAAAAAAAAABACAAAAAiAAAAZHJzL2Rvd25yZXYueG1sUEsBAhQAFAAAAAgAh07i&#10;QKh6tf/rAQAAvwMAAA4AAAAAAAAAAQAgAAAAJQEAAGRycy9lMm9Eb2MueG1sUEsFBgAAAAAGAAYA&#10;WQEAAIIFAAAAAA==&#10;">
                <v:fill on="f" focussize="0,0"/>
                <v:stroke on="f" weight="1pt"/>
                <v:imagedata o:title=""/>
                <o:lock v:ext="edit" aspectratio="f"/>
                <v:textbox>
                  <w:txbxContent>
                    <w:p w14:paraId="6605E412">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约定支付期限、比例和提交支付申请</w:t>
                      </w:r>
                    </w:p>
                  </w:txbxContent>
                </v:textbox>
              </v:shape>
            </w:pict>
          </mc:Fallback>
        </mc:AlternateContent>
      </w:r>
      <w:r>
        <w:rPr>
          <w:rFonts w:hint="eastAsia" w:ascii="仿宋" w:hAnsi="仿宋" w:eastAsia="仿宋" w:cs="仿宋"/>
          <w:sz w:val="24"/>
          <w:szCs w:val="24"/>
          <w:lang w:eastAsia="zh-CN"/>
        </w:rPr>
        <w:t>合同双方当事人应在专用条款中明确进度款的支付期限及比例。专用条款没有约定期限的，支付期限以月为单位。涉及政府投资资金的工程，支付期限、支付方法等需调整的，应在专用条款中约定。</w:t>
      </w:r>
    </w:p>
    <w:p w14:paraId="612FA730">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承包人应在每个支付期结束后的</w:t>
      </w:r>
      <w:r>
        <w:rPr>
          <w:rFonts w:ascii="仿宋" w:hAnsi="仿宋" w:eastAsia="仿宋" w:cs="仿宋"/>
          <w:sz w:val="24"/>
          <w:szCs w:val="24"/>
          <w:lang w:eastAsia="zh-CN"/>
        </w:rPr>
        <w:t>7</w:t>
      </w:r>
      <w:r>
        <w:rPr>
          <w:rFonts w:hint="eastAsia" w:ascii="仿宋" w:hAnsi="仿宋" w:eastAsia="仿宋" w:cs="仿宋"/>
          <w:sz w:val="24"/>
          <w:szCs w:val="24"/>
          <w:lang w:eastAsia="zh-CN"/>
        </w:rPr>
        <w:t>天内向造价咨询人提交由承包人代表签署的支付申请和已完工作或工程款额报告一式四份，详细说明此支付期间自己认为有权得到的款项，包括分包人已完工程款，同时抄送发包人。该支付申请的内容包括：</w:t>
      </w:r>
    </w:p>
    <w:p w14:paraId="7B6D9340">
      <w:pPr>
        <w:pStyle w:val="22"/>
        <w:widowControl w:val="0"/>
        <w:numPr>
          <w:ilvl w:val="0"/>
          <w:numId w:val="29"/>
        </w:numPr>
        <w:adjustRightInd w:val="0"/>
        <w:snapToGrid w:val="0"/>
        <w:spacing w:line="400" w:lineRule="exact"/>
        <w:ind w:left="1850" w:leftChars="771" w:firstLine="0"/>
        <w:jc w:val="both"/>
        <w:rPr>
          <w:rFonts w:ascii="仿宋" w:hAnsi="仿宋" w:eastAsia="仿宋"/>
          <w:sz w:val="24"/>
          <w:szCs w:val="24"/>
        </w:rPr>
      </w:pPr>
      <w:r>
        <w:rPr>
          <w:rFonts w:hint="eastAsia" w:ascii="仿宋" w:hAnsi="仿宋" w:eastAsia="仿宋" w:cs="仿宋"/>
          <w:sz w:val="24"/>
          <w:szCs w:val="24"/>
        </w:rPr>
        <w:t>已完工作或工程款；</w:t>
      </w:r>
    </w:p>
    <w:p w14:paraId="1A0B52AC">
      <w:pPr>
        <w:pStyle w:val="22"/>
        <w:widowControl w:val="0"/>
        <w:numPr>
          <w:ilvl w:val="0"/>
          <w:numId w:val="29"/>
        </w:numPr>
        <w:adjustRightInd w:val="0"/>
        <w:snapToGrid w:val="0"/>
        <w:spacing w:line="400" w:lineRule="exact"/>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已实际支付的工作或工程款；</w:t>
      </w:r>
    </w:p>
    <w:p w14:paraId="533CF176">
      <w:pPr>
        <w:pStyle w:val="22"/>
        <w:widowControl w:val="0"/>
        <w:numPr>
          <w:ilvl w:val="0"/>
          <w:numId w:val="29"/>
        </w:numPr>
        <w:adjustRightInd w:val="0"/>
        <w:snapToGrid w:val="0"/>
        <w:spacing w:line="400" w:lineRule="exact"/>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本期间完成的工作或工程款；</w:t>
      </w:r>
    </w:p>
    <w:p w14:paraId="435ACCDD">
      <w:pPr>
        <w:pStyle w:val="22"/>
        <w:widowControl w:val="0"/>
        <w:numPr>
          <w:ilvl w:val="0"/>
          <w:numId w:val="29"/>
        </w:numPr>
        <w:adjustRightInd w:val="0"/>
        <w:snapToGrid w:val="0"/>
        <w:spacing w:line="400" w:lineRule="exact"/>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本期间完成的计日工费用；</w:t>
      </w:r>
    </w:p>
    <w:p w14:paraId="317CAAFB">
      <w:pPr>
        <w:pStyle w:val="22"/>
        <w:widowControl w:val="0"/>
        <w:numPr>
          <w:ilvl w:val="0"/>
          <w:numId w:val="29"/>
        </w:numPr>
        <w:adjustRightInd w:val="0"/>
        <w:snapToGrid w:val="0"/>
        <w:spacing w:line="400" w:lineRule="exact"/>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根据第78条至第82条约定本期间已确认的调整价款；</w:t>
      </w:r>
    </w:p>
    <w:p w14:paraId="18ABCBDF">
      <w:pPr>
        <w:pStyle w:val="22"/>
        <w:widowControl w:val="0"/>
        <w:numPr>
          <w:ilvl w:val="0"/>
          <w:numId w:val="29"/>
        </w:numPr>
        <w:adjustRightInd w:val="0"/>
        <w:snapToGrid w:val="0"/>
        <w:spacing w:line="400" w:lineRule="exact"/>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本期间暂列金额的使用情况；</w:t>
      </w:r>
    </w:p>
    <w:p w14:paraId="7E3A2AE8">
      <w:pPr>
        <w:pStyle w:val="22"/>
        <w:widowControl w:val="0"/>
        <w:numPr>
          <w:ilvl w:val="0"/>
          <w:numId w:val="29"/>
        </w:numPr>
        <w:adjustRightInd w:val="0"/>
        <w:snapToGrid w:val="0"/>
        <w:spacing w:line="400" w:lineRule="exact"/>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根据第76条约定本期间应扣除的误期赔偿费；</w:t>
      </w:r>
    </w:p>
    <w:p w14:paraId="0830DDC8">
      <w:pPr>
        <w:pStyle w:val="22"/>
        <w:widowControl w:val="0"/>
        <w:numPr>
          <w:ilvl w:val="0"/>
          <w:numId w:val="29"/>
        </w:numPr>
        <w:adjustRightInd w:val="0"/>
        <w:snapToGrid w:val="0"/>
        <w:spacing w:line="400" w:lineRule="exact"/>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根据第84条本期间应扣回的预付款；</w:t>
      </w:r>
    </w:p>
    <w:p w14:paraId="05732C8D">
      <w:pPr>
        <w:pStyle w:val="22"/>
        <w:widowControl w:val="0"/>
        <w:numPr>
          <w:ilvl w:val="0"/>
          <w:numId w:val="29"/>
        </w:numPr>
        <w:tabs>
          <w:tab w:val="left" w:pos="2160"/>
        </w:tabs>
        <w:adjustRightInd w:val="0"/>
        <w:snapToGrid w:val="0"/>
        <w:spacing w:line="400" w:lineRule="exact"/>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根据第</w:t>
      </w:r>
      <w:r>
        <w:rPr>
          <w:rFonts w:ascii="仿宋" w:hAnsi="仿宋" w:eastAsia="仿宋" w:cs="仿宋"/>
          <w:sz w:val="24"/>
          <w:szCs w:val="24"/>
          <w:lang w:eastAsia="zh-CN"/>
        </w:rPr>
        <w:t>8</w:t>
      </w:r>
      <w:r>
        <w:rPr>
          <w:rFonts w:hint="eastAsia" w:ascii="仿宋" w:hAnsi="仿宋" w:eastAsia="仿宋" w:cs="仿宋"/>
          <w:sz w:val="24"/>
          <w:szCs w:val="24"/>
          <w:lang w:eastAsia="zh-CN"/>
        </w:rPr>
        <w:t>5条约定本期间应支付或扣回的绿色施工安全防护费；</w:t>
      </w:r>
    </w:p>
    <w:p w14:paraId="18F7842A">
      <w:pPr>
        <w:pStyle w:val="22"/>
        <w:widowControl w:val="0"/>
        <w:numPr>
          <w:ilvl w:val="0"/>
          <w:numId w:val="29"/>
        </w:numPr>
        <w:tabs>
          <w:tab w:val="left" w:pos="2160"/>
        </w:tabs>
        <w:adjustRightInd w:val="0"/>
        <w:snapToGrid w:val="0"/>
        <w:spacing w:line="400" w:lineRule="exact"/>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根据第89条本期间应扣留的质量保证金；</w:t>
      </w:r>
    </w:p>
    <w:p w14:paraId="18300C53">
      <w:pPr>
        <w:pStyle w:val="22"/>
        <w:widowControl w:val="0"/>
        <w:numPr>
          <w:ilvl w:val="0"/>
          <w:numId w:val="29"/>
        </w:numPr>
        <w:tabs>
          <w:tab w:val="left" w:pos="2160"/>
        </w:tabs>
        <w:adjustRightInd w:val="0"/>
        <w:snapToGrid w:val="0"/>
        <w:spacing w:line="400" w:lineRule="exact"/>
        <w:ind w:left="1850" w:leftChars="771" w:firstLine="0"/>
        <w:jc w:val="both"/>
        <w:rPr>
          <w:rFonts w:ascii="仿宋" w:hAnsi="仿宋" w:eastAsia="仿宋" w:cs="仿宋"/>
          <w:sz w:val="24"/>
          <w:szCs w:val="24"/>
          <w:lang w:eastAsia="zh-CN"/>
        </w:rPr>
      </w:pPr>
      <w:r>
        <w:rPr>
          <w:rFonts w:hint="eastAsia" w:ascii="仿宋" w:hAnsi="仿宋" w:eastAsia="仿宋"/>
          <w:sz w:val="24"/>
          <w:szCs w:val="24"/>
          <w:lang w:eastAsia="zh-CN"/>
        </w:rPr>
        <w:t>根据</w:t>
      </w:r>
      <w:r>
        <w:rPr>
          <w:rFonts w:hint="eastAsia" w:ascii="仿宋" w:hAnsi="仿宋" w:eastAsia="仿宋" w:cs="仿宋"/>
          <w:sz w:val="24"/>
          <w:szCs w:val="24"/>
          <w:lang w:eastAsia="zh-CN"/>
        </w:rPr>
        <w:t>合同约定，本期间应支付或扣留（回）的其他款项；</w:t>
      </w:r>
    </w:p>
    <w:p w14:paraId="6EF288B2">
      <w:pPr>
        <w:pStyle w:val="22"/>
        <w:widowControl w:val="0"/>
        <w:numPr>
          <w:ilvl w:val="0"/>
          <w:numId w:val="29"/>
        </w:numPr>
        <w:tabs>
          <w:tab w:val="left" w:pos="2160"/>
        </w:tabs>
        <w:adjustRightInd w:val="0"/>
        <w:snapToGrid w:val="0"/>
        <w:spacing w:line="400" w:lineRule="exact"/>
        <w:ind w:left="1850" w:leftChars="771" w:firstLine="0"/>
        <w:jc w:val="both"/>
        <w:rPr>
          <w:rFonts w:ascii="仿宋" w:hAnsi="仿宋" w:eastAsia="仿宋"/>
          <w:sz w:val="24"/>
          <w:szCs w:val="24"/>
          <w:lang w:eastAsia="zh-CN"/>
        </w:rPr>
      </w:pPr>
      <w:r>
        <w:rPr>
          <w:rFonts w:hint="eastAsia" w:ascii="仿宋" w:hAnsi="仿宋" w:eastAsia="仿宋"/>
          <w:sz w:val="24"/>
          <w:szCs w:val="24"/>
          <w:lang w:eastAsia="zh-CN"/>
        </w:rPr>
        <w:t>本期</w:t>
      </w:r>
      <w:r>
        <w:rPr>
          <w:rFonts w:hint="eastAsia" w:ascii="仿宋" w:hAnsi="仿宋" w:eastAsia="仿宋" w:cs="仿宋"/>
          <w:sz w:val="24"/>
          <w:szCs w:val="24"/>
          <w:lang w:eastAsia="zh-CN"/>
        </w:rPr>
        <w:t>间应支付的进度款。</w:t>
      </w:r>
    </w:p>
    <w:p w14:paraId="616A8824">
      <w:pPr>
        <w:pStyle w:val="22"/>
        <w:tabs>
          <w:tab w:val="left" w:pos="1320"/>
        </w:tabs>
        <w:adjustRightInd w:val="0"/>
        <w:snapToGrid w:val="0"/>
        <w:spacing w:line="400" w:lineRule="exact"/>
        <w:rPr>
          <w:rFonts w:ascii="仿宋" w:hAnsi="仿宋" w:eastAsia="仿宋"/>
          <w:b/>
          <w:bCs/>
          <w:sz w:val="24"/>
          <w:szCs w:val="24"/>
          <w:lang w:eastAsia="zh-CN"/>
        </w:rPr>
      </w:pPr>
      <w:r>
        <w:rPr>
          <w:rFonts w:hint="eastAsia" w:ascii="仿宋" w:hAnsi="仿宋" w:eastAsia="仿宋" w:cs="仿宋"/>
          <w:b/>
          <w:bCs/>
          <w:sz w:val="24"/>
          <w:szCs w:val="24"/>
          <w:lang w:eastAsia="zh-CN"/>
        </w:rPr>
        <w:t>86</w:t>
      </w:r>
      <w:r>
        <w:rPr>
          <w:rFonts w:ascii="仿宋" w:hAnsi="仿宋" w:eastAsia="仿宋" w:cs="仿宋"/>
          <w:b/>
          <w:bCs/>
          <w:sz w:val="24"/>
          <w:szCs w:val="24"/>
          <w:lang w:eastAsia="zh-CN"/>
        </w:rPr>
        <w:t xml:space="preserve">.2 </w:t>
      </w:r>
      <w:r>
        <w:rPr>
          <w:rFonts w:ascii="仿宋" w:hAnsi="仿宋" w:eastAsia="仿宋" w:cs="仿宋"/>
          <w:b/>
          <w:bCs/>
          <w:sz w:val="24"/>
          <w:szCs w:val="24"/>
          <w:u w:val="dotted"/>
          <w:lang w:eastAsia="zh-CN"/>
        </w:rPr>
        <w:t xml:space="preserve">                                                                                </w:t>
      </w:r>
    </w:p>
    <w:p w14:paraId="159B2E51">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918336" behindDoc="0" locked="0" layoutInCell="1" allowOverlap="1">
                <wp:simplePos x="0" y="0"/>
                <wp:positionH relativeFrom="column">
                  <wp:posOffset>-114300</wp:posOffset>
                </wp:positionH>
                <wp:positionV relativeFrom="paragraph">
                  <wp:posOffset>0</wp:posOffset>
                </wp:positionV>
                <wp:extent cx="756920" cy="584200"/>
                <wp:effectExtent l="0" t="0" r="0" b="0"/>
                <wp:wrapNone/>
                <wp:docPr id="384" name="文本框 1045"/>
                <wp:cNvGraphicFramePr/>
                <a:graphic xmlns:a="http://schemas.openxmlformats.org/drawingml/2006/main">
                  <a:graphicData uri="http://schemas.microsoft.com/office/word/2010/wordprocessingShape">
                    <wps:wsp>
                      <wps:cNvSpPr txBox="1"/>
                      <wps:spPr>
                        <a:xfrm>
                          <a:off x="0" y="0"/>
                          <a:ext cx="756920" cy="584200"/>
                        </a:xfrm>
                        <a:prstGeom prst="rect">
                          <a:avLst/>
                        </a:prstGeom>
                        <a:noFill/>
                        <a:ln w="12700">
                          <a:noFill/>
                        </a:ln>
                      </wps:spPr>
                      <wps:txbx>
                        <w:txbxContent>
                          <w:p w14:paraId="5FBC9BEB">
                            <w:pPr>
                              <w:rPr>
                                <w:rFonts w:ascii="楷体_GB2312" w:hAnsi="宋体" w:eastAsia="楷体_GB2312"/>
                                <w:b/>
                                <w:bCs/>
                                <w:sz w:val="18"/>
                                <w:szCs w:val="18"/>
                              </w:rPr>
                            </w:pPr>
                            <w:r>
                              <w:rPr>
                                <w:rFonts w:hint="eastAsia" w:ascii="楷体_GB2312" w:hAnsi="宋体" w:eastAsia="楷体_GB2312" w:cs="楷体_GB2312"/>
                                <w:b/>
                                <w:bCs/>
                                <w:sz w:val="18"/>
                                <w:szCs w:val="18"/>
                              </w:rPr>
                              <w:t>签发期中支付证书</w:t>
                            </w:r>
                          </w:p>
                        </w:txbxContent>
                      </wps:txbx>
                      <wps:bodyPr rot="0" vert="horz" wrap="square" lIns="91440" tIns="45720" rIns="91440" bIns="45720" anchor="t" anchorCtr="0"/>
                    </wps:wsp>
                  </a:graphicData>
                </a:graphic>
              </wp:anchor>
            </w:drawing>
          </mc:Choice>
          <mc:Fallback>
            <w:pict>
              <v:shape id="文本框 1045" o:spid="_x0000_s1026" o:spt="202" type="#_x0000_t202" style="position:absolute;left:0pt;margin-left:-9pt;margin-top:0pt;height:46pt;width:59.6pt;z-index:251918336;mso-width-relative:page;mso-height-relative:page;" filled="f" stroked="f" coordsize="21600,21600" o:gfxdata="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m5lVdUA&#10;AAAHAQAADwAAAAAAAAABACAAAAAiAAAAZHJzL2Rvd25yZXYueG1sUEsBAhQAFAAAAAgAh07iQIly&#10;06/pAQAAvwMAAA4AAAAAAAAAAQAgAAAAJAEAAGRycy9lMm9Eb2MueG1sUEsFBgAAAAAGAAYAWQEA&#10;AH8FAAAAAA==&#10;">
                <v:fill on="f" focussize="0,0"/>
                <v:stroke on="f" weight="1pt"/>
                <v:imagedata o:title=""/>
                <o:lock v:ext="edit" aspectratio="f"/>
                <v:textbox>
                  <w:txbxContent>
                    <w:p w14:paraId="5FBC9BEB">
                      <w:pPr>
                        <w:rPr>
                          <w:rFonts w:ascii="楷体_GB2312" w:hAnsi="宋体" w:eastAsia="楷体_GB2312"/>
                          <w:b/>
                          <w:bCs/>
                          <w:sz w:val="18"/>
                          <w:szCs w:val="18"/>
                        </w:rPr>
                      </w:pPr>
                      <w:r>
                        <w:rPr>
                          <w:rFonts w:hint="eastAsia" w:ascii="楷体_GB2312" w:hAnsi="宋体" w:eastAsia="楷体_GB2312" w:cs="楷体_GB2312"/>
                          <w:b/>
                          <w:bCs/>
                          <w:sz w:val="18"/>
                          <w:szCs w:val="18"/>
                        </w:rPr>
                        <w:t>签发期中支付证书</w:t>
                      </w:r>
                    </w:p>
                  </w:txbxContent>
                </v:textbox>
              </v:shape>
            </w:pict>
          </mc:Fallback>
        </mc:AlternateContent>
      </w:r>
      <w:r>
        <w:rPr>
          <w:rFonts w:hint="eastAsia" w:ascii="仿宋" w:hAnsi="仿宋" w:eastAsia="仿宋" w:cs="仿宋"/>
          <w:sz w:val="24"/>
          <w:szCs w:val="24"/>
          <w:lang w:eastAsia="zh-CN"/>
        </w:rPr>
        <w:t>造价咨询人在收到第86.1款所述资料后，应按照第72条约定进行计量，并根据计量结果和合同约定对资料内容予以核实。在收到上述资料后的</w:t>
      </w:r>
      <w:r>
        <w:rPr>
          <w:rFonts w:ascii="仿宋" w:hAnsi="仿宋" w:eastAsia="仿宋" w:cs="仿宋"/>
          <w:sz w:val="24"/>
          <w:szCs w:val="24"/>
          <w:lang w:eastAsia="zh-CN"/>
        </w:rPr>
        <w:t>28</w:t>
      </w:r>
      <w:r>
        <w:rPr>
          <w:rFonts w:hint="eastAsia" w:ascii="仿宋" w:hAnsi="仿宋" w:eastAsia="仿宋" w:cs="仿宋"/>
          <w:sz w:val="24"/>
          <w:szCs w:val="24"/>
          <w:lang w:eastAsia="zh-CN"/>
        </w:rPr>
        <w:t>天内报发包人确认后向发包人签发期中支付证书，同时抄送承包人。</w:t>
      </w:r>
    </w:p>
    <w:p w14:paraId="5E6E0978">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如果该支付期间应支付金额少于专用条款约定的期中支付证书的最低限额时，造价咨询人不必按照本款开具任何支付证书，但应通知发包人和承包人。上述款额转期结算，直到应支付的款额累计达到专用条款约定的期中支付证书的最低限额为止。</w:t>
      </w:r>
    </w:p>
    <w:p w14:paraId="77F5FDA9">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造价咨询人签发期中支付证书，不应视为发包人已同意、批准或接受了承包人完成该部分工作。</w:t>
      </w:r>
    </w:p>
    <w:p w14:paraId="7FE6DB26">
      <w:pPr>
        <w:widowControl w:val="0"/>
        <w:spacing w:line="400" w:lineRule="exact"/>
        <w:rPr>
          <w:rFonts w:ascii="仿宋" w:hAnsi="仿宋" w:eastAsia="仿宋"/>
          <w:b/>
          <w:bCs/>
          <w:lang w:eastAsia="zh-CN"/>
        </w:rPr>
      </w:pPr>
      <w:bookmarkStart w:id="670" w:name="_Toc12014"/>
      <w:r>
        <w:rPr>
          <w:rFonts w:hint="eastAsia" w:ascii="仿宋" w:hAnsi="仿宋" w:eastAsia="仿宋" w:cs="仿宋"/>
          <w:b/>
          <w:bCs/>
          <w:lang w:eastAsia="zh-CN"/>
        </w:rPr>
        <w:t>86</w:t>
      </w:r>
      <w:r>
        <w:rPr>
          <w:rFonts w:ascii="仿宋" w:hAnsi="仿宋" w:eastAsia="仿宋" w:cs="仿宋"/>
          <w:b/>
          <w:bCs/>
          <w:lang w:eastAsia="zh-CN"/>
        </w:rPr>
        <w:t>.3</w:t>
      </w:r>
      <w:bookmarkEnd w:id="670"/>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5FB08649">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919360" behindDoc="0" locked="0" layoutInCell="1" allowOverlap="1">
                <wp:simplePos x="0" y="0"/>
                <wp:positionH relativeFrom="column">
                  <wp:posOffset>-114300</wp:posOffset>
                </wp:positionH>
                <wp:positionV relativeFrom="paragraph">
                  <wp:posOffset>6350</wp:posOffset>
                </wp:positionV>
                <wp:extent cx="819150" cy="406400"/>
                <wp:effectExtent l="0" t="0" r="0" b="0"/>
                <wp:wrapNone/>
                <wp:docPr id="385" name="文本框 1046"/>
                <wp:cNvGraphicFramePr/>
                <a:graphic xmlns:a="http://schemas.openxmlformats.org/drawingml/2006/main">
                  <a:graphicData uri="http://schemas.microsoft.com/office/word/2010/wordprocessingShape">
                    <wps:wsp>
                      <wps:cNvSpPr txBox="1"/>
                      <wps:spPr>
                        <a:xfrm>
                          <a:off x="0" y="0"/>
                          <a:ext cx="819150" cy="406400"/>
                        </a:xfrm>
                        <a:prstGeom prst="rect">
                          <a:avLst/>
                        </a:prstGeom>
                        <a:noFill/>
                        <a:ln w="12700">
                          <a:noFill/>
                        </a:ln>
                      </wps:spPr>
                      <wps:txbx>
                        <w:txbxContent>
                          <w:p w14:paraId="03FE0CBA">
                            <w:pPr>
                              <w:rPr>
                                <w:rFonts w:ascii="楷体_GB2312" w:hAnsi="宋体" w:eastAsia="楷体_GB2312"/>
                                <w:b/>
                                <w:bCs/>
                                <w:sz w:val="18"/>
                                <w:szCs w:val="18"/>
                              </w:rPr>
                            </w:pPr>
                            <w:r>
                              <w:rPr>
                                <w:rFonts w:hint="eastAsia" w:ascii="楷体_GB2312" w:hAnsi="宋体" w:eastAsia="楷体_GB2312" w:cs="楷体_GB2312"/>
                                <w:b/>
                                <w:bCs/>
                                <w:sz w:val="18"/>
                                <w:szCs w:val="18"/>
                              </w:rPr>
                              <w:t>进度款支付</w:t>
                            </w:r>
                          </w:p>
                        </w:txbxContent>
                      </wps:txbx>
                      <wps:bodyPr rot="0" vert="horz" wrap="square" lIns="91440" tIns="45720" rIns="91440" bIns="45720" anchor="t" anchorCtr="0"/>
                    </wps:wsp>
                  </a:graphicData>
                </a:graphic>
              </wp:anchor>
            </w:drawing>
          </mc:Choice>
          <mc:Fallback>
            <w:pict>
              <v:shape id="文本框 1046" o:spid="_x0000_s1026" o:spt="202" type="#_x0000_t202" style="position:absolute;left:0pt;margin-left:-9pt;margin-top:0.5pt;height:32pt;width:64.5pt;z-index:251919360;mso-width-relative:page;mso-height-relative:page;" filled="f" stroked="f" coordsize="21600,21600" o:gfxdata="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VLpPfV&#10;AAAACAEAAA8AAAAAAAAAAQAgAAAAIgAAAGRycy9kb3ducmV2LnhtbFBLAQIUABQAAAAIAIdO4kAV&#10;MPAN6gEAAL8DAAAOAAAAAAAAAAEAIAAAACQBAABkcnMvZTJvRG9jLnhtbFBLBQYAAAAABgAGAFkB&#10;AACABQAAAAA=&#10;">
                <v:fill on="f" focussize="0,0"/>
                <v:stroke on="f" weight="1pt"/>
                <v:imagedata o:title=""/>
                <o:lock v:ext="edit" aspectratio="f"/>
                <v:textbox>
                  <w:txbxContent>
                    <w:p w14:paraId="03FE0CBA">
                      <w:pPr>
                        <w:rPr>
                          <w:rFonts w:ascii="楷体_GB2312" w:hAnsi="宋体" w:eastAsia="楷体_GB2312"/>
                          <w:b/>
                          <w:bCs/>
                          <w:sz w:val="18"/>
                          <w:szCs w:val="18"/>
                        </w:rPr>
                      </w:pPr>
                      <w:r>
                        <w:rPr>
                          <w:rFonts w:hint="eastAsia" w:ascii="楷体_GB2312" w:hAnsi="宋体" w:eastAsia="楷体_GB2312" w:cs="楷体_GB2312"/>
                          <w:b/>
                          <w:bCs/>
                          <w:sz w:val="18"/>
                          <w:szCs w:val="18"/>
                        </w:rPr>
                        <w:t>进度款支付</w:t>
                      </w:r>
                    </w:p>
                  </w:txbxContent>
                </v:textbox>
              </v:shape>
            </w:pict>
          </mc:Fallback>
        </mc:AlternateContent>
      </w:r>
      <w:r>
        <w:rPr>
          <w:rFonts w:hint="eastAsia" w:ascii="仿宋" w:hAnsi="仿宋" w:eastAsia="仿宋" w:cs="仿宋"/>
          <w:sz w:val="24"/>
          <w:szCs w:val="24"/>
          <w:lang w:eastAsia="zh-CN"/>
        </w:rPr>
        <w:t>发包人应在造价咨询人签发期中支付证书后的</w:t>
      </w:r>
      <w:r>
        <w:rPr>
          <w:rFonts w:ascii="仿宋" w:hAnsi="仿宋" w:eastAsia="仿宋" w:cs="仿宋"/>
          <w:sz w:val="24"/>
          <w:szCs w:val="24"/>
          <w:lang w:eastAsia="zh-CN"/>
        </w:rPr>
        <w:t>14</w:t>
      </w:r>
      <w:r>
        <w:rPr>
          <w:rFonts w:hint="eastAsia" w:ascii="仿宋" w:hAnsi="仿宋" w:eastAsia="仿宋" w:cs="仿宋"/>
          <w:sz w:val="24"/>
          <w:szCs w:val="24"/>
          <w:lang w:eastAsia="zh-CN"/>
        </w:rPr>
        <w:t>天内，按照期中支付证书列明的金额向承包人支付进度款，并通知造价咨询人。</w:t>
      </w:r>
    </w:p>
    <w:p w14:paraId="402C5E05">
      <w:pPr>
        <w:widowControl w:val="0"/>
        <w:spacing w:line="400" w:lineRule="exact"/>
        <w:rPr>
          <w:rFonts w:ascii="仿宋" w:hAnsi="仿宋" w:eastAsia="仿宋"/>
          <w:lang w:eastAsia="zh-CN"/>
        </w:rPr>
      </w:pPr>
      <w:r>
        <w:rPr>
          <w:rFonts w:hint="eastAsia" w:ascii="仿宋" w:hAnsi="仿宋" w:eastAsia="仿宋" w:cs="仿宋"/>
          <w:b/>
          <w:bCs/>
          <w:lang w:eastAsia="zh-CN"/>
        </w:rPr>
        <w:t>86</w:t>
      </w:r>
      <w:r>
        <w:rPr>
          <w:rFonts w:ascii="仿宋" w:hAnsi="仿宋" w:eastAsia="仿宋" w:cs="仿宋"/>
          <w:b/>
          <w:bCs/>
          <w:lang w:eastAsia="zh-CN"/>
        </w:rPr>
        <w:t>.4</w:t>
      </w:r>
      <w:r>
        <w:rPr>
          <w:rFonts w:ascii="仿宋" w:hAnsi="仿宋" w:eastAsia="仿宋" w:cs="仿宋"/>
          <w:lang w:eastAsia="zh-CN"/>
        </w:rPr>
        <w:t xml:space="preserve">  </w:t>
      </w:r>
      <w:r>
        <w:rPr>
          <w:rFonts w:ascii="仿宋" w:hAnsi="仿宋" w:eastAsia="仿宋" w:cs="仿宋"/>
          <w:u w:val="dotted"/>
          <w:lang w:eastAsia="zh-CN"/>
        </w:rPr>
        <w:t xml:space="preserve">                                                                               </w:t>
      </w:r>
    </w:p>
    <w:p w14:paraId="3A65E817">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920384" behindDoc="0" locked="0" layoutInCell="1" allowOverlap="1">
                <wp:simplePos x="0" y="0"/>
                <wp:positionH relativeFrom="column">
                  <wp:posOffset>-114300</wp:posOffset>
                </wp:positionH>
                <wp:positionV relativeFrom="paragraph">
                  <wp:posOffset>8255</wp:posOffset>
                </wp:positionV>
                <wp:extent cx="842645" cy="693420"/>
                <wp:effectExtent l="0" t="0" r="0" b="0"/>
                <wp:wrapNone/>
                <wp:docPr id="386" name="文本框 1047"/>
                <wp:cNvGraphicFramePr/>
                <a:graphic xmlns:a="http://schemas.openxmlformats.org/drawingml/2006/main">
                  <a:graphicData uri="http://schemas.microsoft.com/office/word/2010/wordprocessingShape">
                    <wps:wsp>
                      <wps:cNvSpPr txBox="1"/>
                      <wps:spPr>
                        <a:xfrm>
                          <a:off x="0" y="0"/>
                          <a:ext cx="842645" cy="693420"/>
                        </a:xfrm>
                        <a:prstGeom prst="rect">
                          <a:avLst/>
                        </a:prstGeom>
                        <a:noFill/>
                        <a:ln w="12700">
                          <a:noFill/>
                        </a:ln>
                      </wps:spPr>
                      <wps:txbx>
                        <w:txbxContent>
                          <w:p w14:paraId="445E0A30">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签发期中支付证书的限制</w:t>
                            </w:r>
                          </w:p>
                        </w:txbxContent>
                      </wps:txbx>
                      <wps:bodyPr rot="0" vert="horz" wrap="square" lIns="91440" tIns="45720" rIns="91440" bIns="45720" anchor="t" anchorCtr="0"/>
                    </wps:wsp>
                  </a:graphicData>
                </a:graphic>
              </wp:anchor>
            </w:drawing>
          </mc:Choice>
          <mc:Fallback>
            <w:pict>
              <v:shape id="文本框 1047" o:spid="_x0000_s1026" o:spt="202" type="#_x0000_t202" style="position:absolute;left:0pt;margin-left:-9pt;margin-top:0.65pt;height:54.6pt;width:66.35pt;z-index:251920384;mso-width-relative:page;mso-height-relative:page;" filled="f" stroked="f" coordsize="21600,21600" o:gfxdata="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bVKwbdcAAAAJAQAADwAAAAAAAAABACAAAAAiAAAAZHJzL2Rvd25yZXYueG1sUEsBAhQAFAAAAAgA&#10;h07iQDdQ+YDtAQAAvwMAAA4AAAAAAAAAAQAgAAAAJgEAAGRycy9lMm9Eb2MueG1sUEsFBgAAAAAG&#10;AAYAWQEAAIUFAAAAAA==&#10;">
                <v:fill on="f" focussize="0,0"/>
                <v:stroke on="f" weight="1pt"/>
                <v:imagedata o:title=""/>
                <o:lock v:ext="edit" aspectratio="f"/>
                <v:textbox>
                  <w:txbxContent>
                    <w:p w14:paraId="445E0A30">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签发期中支付证书的限制</w:t>
                      </w:r>
                    </w:p>
                  </w:txbxContent>
                </v:textbox>
              </v:shape>
            </w:pict>
          </mc:Fallback>
        </mc:AlternateContent>
      </w:r>
      <w:r>
        <w:rPr>
          <w:rFonts w:hint="eastAsia" w:ascii="仿宋" w:hAnsi="仿宋" w:eastAsia="仿宋" w:cs="仿宋"/>
          <w:sz w:val="24"/>
          <w:szCs w:val="24"/>
          <w:lang w:eastAsia="zh-CN"/>
        </w:rPr>
        <w:t>如果造价咨询人未在第</w:t>
      </w:r>
      <w:r>
        <w:rPr>
          <w:rFonts w:ascii="仿宋" w:hAnsi="仿宋" w:eastAsia="仿宋" w:cs="仿宋"/>
          <w:sz w:val="24"/>
          <w:szCs w:val="24"/>
          <w:lang w:eastAsia="zh-CN"/>
        </w:rPr>
        <w:t>8</w:t>
      </w:r>
      <w:r>
        <w:rPr>
          <w:rFonts w:hint="eastAsia" w:ascii="仿宋" w:hAnsi="仿宋" w:eastAsia="仿宋" w:cs="仿宋"/>
          <w:sz w:val="24"/>
          <w:szCs w:val="24"/>
          <w:lang w:eastAsia="zh-CN"/>
        </w:rPr>
        <w:t>6</w:t>
      </w:r>
      <w:r>
        <w:rPr>
          <w:rFonts w:ascii="仿宋" w:hAnsi="仿宋" w:eastAsia="仿宋" w:cs="仿宋"/>
          <w:sz w:val="24"/>
          <w:szCs w:val="24"/>
          <w:lang w:eastAsia="zh-CN"/>
        </w:rPr>
        <w:t>.2</w:t>
      </w:r>
      <w:r>
        <w:rPr>
          <w:rFonts w:hint="eastAsia" w:ascii="仿宋" w:hAnsi="仿宋" w:eastAsia="仿宋" w:cs="仿宋"/>
          <w:sz w:val="24"/>
          <w:szCs w:val="24"/>
          <w:lang w:eastAsia="zh-CN"/>
        </w:rPr>
        <w:t>款约定的期限内签发期中支付证书的，则视为承包人提交的支付申请已被认可，承包人应及时向发包人发出要求支付的通知。发包人应在收到通知后的</w:t>
      </w:r>
      <w:r>
        <w:rPr>
          <w:rFonts w:ascii="仿宋" w:hAnsi="仿宋" w:eastAsia="仿宋" w:cs="仿宋"/>
          <w:sz w:val="24"/>
          <w:szCs w:val="24"/>
          <w:lang w:eastAsia="zh-CN"/>
        </w:rPr>
        <w:t>14</w:t>
      </w:r>
      <w:r>
        <w:rPr>
          <w:rFonts w:hint="eastAsia" w:ascii="仿宋" w:hAnsi="仿宋" w:eastAsia="仿宋" w:cs="仿宋"/>
          <w:sz w:val="24"/>
          <w:szCs w:val="24"/>
          <w:lang w:eastAsia="zh-CN"/>
        </w:rPr>
        <w:t>天内，按照承包人支付申请列明的金额向承包人支付进度款。</w:t>
      </w:r>
    </w:p>
    <w:p w14:paraId="399224F2">
      <w:pPr>
        <w:widowControl w:val="0"/>
        <w:spacing w:line="400" w:lineRule="exact"/>
        <w:rPr>
          <w:rFonts w:ascii="仿宋" w:hAnsi="仿宋" w:eastAsia="仿宋"/>
          <w:b/>
          <w:bCs/>
          <w:lang w:eastAsia="zh-CN"/>
        </w:rPr>
      </w:pPr>
      <w:bookmarkStart w:id="671" w:name="_Toc6512"/>
      <w:r>
        <w:rPr>
          <w:rFonts w:hint="eastAsia" w:ascii="仿宋" w:hAnsi="仿宋" w:eastAsia="仿宋" w:cs="仿宋"/>
          <w:b/>
          <w:bCs/>
          <w:lang w:eastAsia="zh-CN"/>
        </w:rPr>
        <w:t>86</w:t>
      </w:r>
      <w:r>
        <w:rPr>
          <w:rFonts w:ascii="仿宋" w:hAnsi="仿宋" w:eastAsia="仿宋" w:cs="仿宋"/>
          <w:b/>
          <w:bCs/>
          <w:lang w:eastAsia="zh-CN"/>
        </w:rPr>
        <w:t>.5</w:t>
      </w:r>
      <w:bookmarkEnd w:id="671"/>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45AAF85C">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921408" behindDoc="0" locked="0" layoutInCell="1" allowOverlap="1">
                <wp:simplePos x="0" y="0"/>
                <wp:positionH relativeFrom="column">
                  <wp:posOffset>-114300</wp:posOffset>
                </wp:positionH>
                <wp:positionV relativeFrom="paragraph">
                  <wp:posOffset>12065</wp:posOffset>
                </wp:positionV>
                <wp:extent cx="823595" cy="635000"/>
                <wp:effectExtent l="0" t="0" r="0" b="0"/>
                <wp:wrapNone/>
                <wp:docPr id="387" name="文本框 1048"/>
                <wp:cNvGraphicFramePr/>
                <a:graphic xmlns:a="http://schemas.openxmlformats.org/drawingml/2006/main">
                  <a:graphicData uri="http://schemas.microsoft.com/office/word/2010/wordprocessingShape">
                    <wps:wsp>
                      <wps:cNvSpPr txBox="1"/>
                      <wps:spPr>
                        <a:xfrm>
                          <a:off x="0" y="0"/>
                          <a:ext cx="823595" cy="635000"/>
                        </a:xfrm>
                        <a:prstGeom prst="rect">
                          <a:avLst/>
                        </a:prstGeom>
                        <a:noFill/>
                        <a:ln w="12700">
                          <a:noFill/>
                        </a:ln>
                      </wps:spPr>
                      <wps:txbx>
                        <w:txbxContent>
                          <w:p w14:paraId="292D9FD4">
                            <w:pPr>
                              <w:rPr>
                                <w:rFonts w:ascii="楷体_GB2312" w:hAnsi="宋体" w:eastAsia="楷体_GB2312"/>
                                <w:b/>
                                <w:bCs/>
                                <w:sz w:val="18"/>
                                <w:szCs w:val="18"/>
                              </w:rPr>
                            </w:pPr>
                            <w:r>
                              <w:rPr>
                                <w:rFonts w:hint="eastAsia" w:ascii="楷体_GB2312" w:hAnsi="宋体" w:eastAsia="楷体_GB2312" w:cs="楷体_GB2312"/>
                                <w:b/>
                                <w:bCs/>
                                <w:sz w:val="18"/>
                                <w:szCs w:val="18"/>
                              </w:rPr>
                              <w:t>进度款支付的限制</w:t>
                            </w:r>
                          </w:p>
                        </w:txbxContent>
                      </wps:txbx>
                      <wps:bodyPr rot="0" vert="horz" wrap="square" lIns="91440" tIns="45720" rIns="91440" bIns="45720" anchor="t" anchorCtr="0"/>
                    </wps:wsp>
                  </a:graphicData>
                </a:graphic>
              </wp:anchor>
            </w:drawing>
          </mc:Choice>
          <mc:Fallback>
            <w:pict>
              <v:shape id="文本框 1048" o:spid="_x0000_s1026" o:spt="202" type="#_x0000_t202" style="position:absolute;left:0pt;margin-left:-9pt;margin-top:0.95pt;height:50pt;width:64.85pt;z-index:251921408;mso-width-relative:page;mso-height-relative:page;" filled="f" stroked="f" coordsize="21600,21600" o:gfxdata="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JsSa&#10;RdYAAAAJAQAADwAAAAAAAAABACAAAAAiAAAAZHJzL2Rvd25yZXYueG1sUEsBAhQAFAAAAAgAh07i&#10;QPIn6VzrAQAAvwMAAA4AAAAAAAAAAQAgAAAAJQEAAGRycy9lMm9Eb2MueG1sUEsFBgAAAAAGAAYA&#10;WQEAAIIFAAAAAA==&#10;">
                <v:fill on="f" focussize="0,0"/>
                <v:stroke on="f" weight="1pt"/>
                <v:imagedata o:title=""/>
                <o:lock v:ext="edit" aspectratio="f"/>
                <v:textbox>
                  <w:txbxContent>
                    <w:p w14:paraId="292D9FD4">
                      <w:pPr>
                        <w:rPr>
                          <w:rFonts w:ascii="楷体_GB2312" w:hAnsi="宋体" w:eastAsia="楷体_GB2312"/>
                          <w:b/>
                          <w:bCs/>
                          <w:sz w:val="18"/>
                          <w:szCs w:val="18"/>
                        </w:rPr>
                      </w:pPr>
                      <w:r>
                        <w:rPr>
                          <w:rFonts w:hint="eastAsia" w:ascii="楷体_GB2312" w:hAnsi="宋体" w:eastAsia="楷体_GB2312" w:cs="楷体_GB2312"/>
                          <w:b/>
                          <w:bCs/>
                          <w:sz w:val="18"/>
                          <w:szCs w:val="18"/>
                        </w:rPr>
                        <w:t>进度款支付的限制</w:t>
                      </w:r>
                    </w:p>
                  </w:txbxContent>
                </v:textbox>
              </v:shape>
            </w:pict>
          </mc:Fallback>
        </mc:AlternateContent>
      </w:r>
      <w:r>
        <w:rPr>
          <w:rFonts w:hint="eastAsia" w:ascii="仿宋" w:hAnsi="仿宋" w:eastAsia="仿宋" w:cs="仿宋"/>
          <w:sz w:val="24"/>
          <w:szCs w:val="24"/>
          <w:lang w:eastAsia="zh-CN"/>
        </w:rPr>
        <w:t>发包人未按照第</w:t>
      </w:r>
      <w:r>
        <w:rPr>
          <w:rFonts w:ascii="仿宋" w:hAnsi="仿宋" w:eastAsia="仿宋" w:cs="仿宋"/>
          <w:sz w:val="24"/>
          <w:szCs w:val="24"/>
          <w:lang w:eastAsia="zh-CN"/>
        </w:rPr>
        <w:t>8</w:t>
      </w:r>
      <w:r>
        <w:rPr>
          <w:rFonts w:hint="eastAsia" w:ascii="仿宋" w:hAnsi="仿宋" w:eastAsia="仿宋" w:cs="仿宋"/>
          <w:sz w:val="24"/>
          <w:szCs w:val="24"/>
          <w:lang w:eastAsia="zh-CN"/>
        </w:rPr>
        <w:t>6</w:t>
      </w:r>
      <w:r>
        <w:rPr>
          <w:rFonts w:ascii="仿宋" w:hAnsi="仿宋" w:eastAsia="仿宋" w:cs="仿宋"/>
          <w:sz w:val="24"/>
          <w:szCs w:val="24"/>
          <w:lang w:eastAsia="zh-CN"/>
        </w:rPr>
        <w:t>.3</w:t>
      </w:r>
      <w:r>
        <w:rPr>
          <w:rFonts w:hint="eastAsia" w:ascii="仿宋" w:hAnsi="仿宋" w:eastAsia="仿宋" w:cs="仿宋"/>
          <w:sz w:val="24"/>
          <w:szCs w:val="24"/>
          <w:lang w:eastAsia="zh-CN"/>
        </w:rPr>
        <w:t>款和第</w:t>
      </w:r>
      <w:r>
        <w:rPr>
          <w:rFonts w:ascii="仿宋" w:hAnsi="仿宋" w:eastAsia="仿宋" w:cs="仿宋"/>
          <w:sz w:val="24"/>
          <w:szCs w:val="24"/>
          <w:lang w:eastAsia="zh-CN"/>
        </w:rPr>
        <w:t>8</w:t>
      </w:r>
      <w:r>
        <w:rPr>
          <w:rFonts w:hint="eastAsia" w:ascii="仿宋" w:hAnsi="仿宋" w:eastAsia="仿宋" w:cs="仿宋"/>
          <w:sz w:val="24"/>
          <w:szCs w:val="24"/>
          <w:lang w:eastAsia="zh-CN"/>
        </w:rPr>
        <w:t>6</w:t>
      </w:r>
      <w:r>
        <w:rPr>
          <w:rFonts w:ascii="仿宋" w:hAnsi="仿宋" w:eastAsia="仿宋" w:cs="仿宋"/>
          <w:sz w:val="24"/>
          <w:szCs w:val="24"/>
          <w:lang w:eastAsia="zh-CN"/>
        </w:rPr>
        <w:t>.4</w:t>
      </w:r>
      <w:r>
        <w:rPr>
          <w:rFonts w:hint="eastAsia" w:ascii="仿宋" w:hAnsi="仿宋" w:eastAsia="仿宋" w:cs="仿宋"/>
          <w:sz w:val="24"/>
          <w:szCs w:val="24"/>
          <w:lang w:eastAsia="zh-CN"/>
        </w:rPr>
        <w:t>款约定支付进度款的，承包人应及时向发包人发出要求支付的通知；发包人收到通知后仍不按要求支付的，可与承包人协商签订延期支付协议，经承包人同意后可延期支付，承包人有权按照第83</w:t>
      </w:r>
      <w:r>
        <w:rPr>
          <w:rFonts w:ascii="仿宋" w:hAnsi="仿宋" w:eastAsia="仿宋" w:cs="仿宋"/>
          <w:sz w:val="24"/>
          <w:szCs w:val="24"/>
          <w:lang w:eastAsia="zh-CN"/>
        </w:rPr>
        <w:t>.2</w:t>
      </w:r>
      <w:r>
        <w:rPr>
          <w:rFonts w:hint="eastAsia" w:ascii="仿宋" w:hAnsi="仿宋" w:eastAsia="仿宋" w:cs="仿宋"/>
          <w:sz w:val="24"/>
          <w:szCs w:val="24"/>
          <w:lang w:eastAsia="zh-CN"/>
        </w:rPr>
        <w:t>款约定获得延期支付的利息。</w:t>
      </w:r>
    </w:p>
    <w:p w14:paraId="4A24178D">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发包人未按照合同约定支付进度款，合同双方当事人又未达成延期支付协议，导致无法继续工作或施工的，承包人可停止工作或施工。发包人应承担由此增加的费用和（或）延误的工期，并向承包人支付合理利润。</w:t>
      </w:r>
    </w:p>
    <w:p w14:paraId="05B81800">
      <w:pPr>
        <w:widowControl w:val="0"/>
        <w:spacing w:line="400" w:lineRule="exact"/>
        <w:rPr>
          <w:rFonts w:ascii="仿宋" w:hAnsi="仿宋" w:eastAsia="仿宋"/>
          <w:lang w:eastAsia="zh-CN"/>
        </w:rPr>
      </w:pPr>
      <w:r>
        <w:rPr>
          <w:rFonts w:hint="eastAsia" w:ascii="仿宋" w:hAnsi="仿宋" w:eastAsia="仿宋" w:cs="仿宋"/>
          <w:b/>
          <w:bCs/>
          <w:lang w:eastAsia="zh-CN"/>
        </w:rPr>
        <w:t>86</w:t>
      </w:r>
      <w:r>
        <w:rPr>
          <w:rFonts w:ascii="仿宋" w:hAnsi="仿宋" w:eastAsia="仿宋" w:cs="仿宋"/>
          <w:b/>
          <w:bCs/>
          <w:lang w:eastAsia="zh-CN"/>
        </w:rPr>
        <w:t>.6</w:t>
      </w:r>
      <w:r>
        <w:rPr>
          <w:rFonts w:ascii="仿宋" w:hAnsi="仿宋" w:eastAsia="仿宋" w:cs="仿宋"/>
          <w:lang w:eastAsia="zh-CN"/>
        </w:rPr>
        <w:t xml:space="preserve">  </w:t>
      </w:r>
      <w:r>
        <w:rPr>
          <w:rFonts w:ascii="仿宋" w:hAnsi="仿宋" w:eastAsia="仿宋" w:cs="仿宋"/>
          <w:u w:val="dotted"/>
          <w:lang w:eastAsia="zh-CN"/>
        </w:rPr>
        <w:t xml:space="preserve">                                                                               </w:t>
      </w:r>
    </w:p>
    <w:p w14:paraId="26C5F7AD">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922432" behindDoc="0" locked="0" layoutInCell="1" allowOverlap="1">
                <wp:simplePos x="0" y="0"/>
                <wp:positionH relativeFrom="column">
                  <wp:posOffset>-114300</wp:posOffset>
                </wp:positionH>
                <wp:positionV relativeFrom="paragraph">
                  <wp:posOffset>15875</wp:posOffset>
                </wp:positionV>
                <wp:extent cx="789940" cy="424815"/>
                <wp:effectExtent l="0" t="0" r="0" b="0"/>
                <wp:wrapNone/>
                <wp:docPr id="388" name="文本框 1049"/>
                <wp:cNvGraphicFramePr/>
                <a:graphic xmlns:a="http://schemas.openxmlformats.org/drawingml/2006/main">
                  <a:graphicData uri="http://schemas.microsoft.com/office/word/2010/wordprocessingShape">
                    <wps:wsp>
                      <wps:cNvSpPr txBox="1"/>
                      <wps:spPr>
                        <a:xfrm>
                          <a:off x="0" y="0"/>
                          <a:ext cx="789940" cy="424815"/>
                        </a:xfrm>
                        <a:prstGeom prst="rect">
                          <a:avLst/>
                        </a:prstGeom>
                        <a:noFill/>
                        <a:ln w="12700">
                          <a:noFill/>
                        </a:ln>
                      </wps:spPr>
                      <wps:txbx>
                        <w:txbxContent>
                          <w:p w14:paraId="20D44A93">
                            <w:pPr>
                              <w:rPr>
                                <w:rFonts w:ascii="楷体_GB2312" w:hAnsi="宋体" w:eastAsia="楷体_GB2312"/>
                                <w:b/>
                                <w:bCs/>
                                <w:sz w:val="18"/>
                                <w:szCs w:val="18"/>
                              </w:rPr>
                            </w:pPr>
                            <w:r>
                              <w:rPr>
                                <w:rFonts w:hint="eastAsia" w:ascii="楷体_GB2312" w:hAnsi="宋体" w:eastAsia="楷体_GB2312" w:cs="楷体_GB2312"/>
                                <w:b/>
                                <w:bCs/>
                                <w:sz w:val="18"/>
                                <w:szCs w:val="18"/>
                              </w:rPr>
                              <w:t>修正支付证书</w:t>
                            </w:r>
                          </w:p>
                        </w:txbxContent>
                      </wps:txbx>
                      <wps:bodyPr rot="0" vert="horz" wrap="square" lIns="91440" tIns="45720" rIns="91440" bIns="45720" anchor="t" anchorCtr="0"/>
                    </wps:wsp>
                  </a:graphicData>
                </a:graphic>
              </wp:anchor>
            </w:drawing>
          </mc:Choice>
          <mc:Fallback>
            <w:pict>
              <v:shape id="文本框 1049" o:spid="_x0000_s1026" o:spt="202" type="#_x0000_t202" style="position:absolute;left:0pt;margin-left:-9pt;margin-top:1.25pt;height:33.45pt;width:62.2pt;z-index:251922432;mso-width-relative:page;mso-height-relative:page;" filled="f" stroked="f" coordsize="21600,21600" o:gfxdata="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yJ&#10;9DzXAAAACAEAAA8AAAAAAAAAAQAgAAAAIgAAAGRycy9kb3ducmV2LnhtbFBLAQIUABQAAAAIAIdO&#10;4kD794SO6wEAAL8DAAAOAAAAAAAAAAEAIAAAACYBAABkcnMvZTJvRG9jLnhtbFBLBQYAAAAABgAG&#10;AFkBAACDBQAAAAA=&#10;">
                <v:fill on="f" focussize="0,0"/>
                <v:stroke on="f" weight="1pt"/>
                <v:imagedata o:title=""/>
                <o:lock v:ext="edit" aspectratio="f"/>
                <v:textbox>
                  <w:txbxContent>
                    <w:p w14:paraId="20D44A93">
                      <w:pPr>
                        <w:rPr>
                          <w:rFonts w:ascii="楷体_GB2312" w:hAnsi="宋体" w:eastAsia="楷体_GB2312"/>
                          <w:b/>
                          <w:bCs/>
                          <w:sz w:val="18"/>
                          <w:szCs w:val="18"/>
                        </w:rPr>
                      </w:pPr>
                      <w:r>
                        <w:rPr>
                          <w:rFonts w:hint="eastAsia" w:ascii="楷体_GB2312" w:hAnsi="宋体" w:eastAsia="楷体_GB2312" w:cs="楷体_GB2312"/>
                          <w:b/>
                          <w:bCs/>
                          <w:sz w:val="18"/>
                          <w:szCs w:val="18"/>
                        </w:rPr>
                        <w:t>修正支付证书</w:t>
                      </w:r>
                    </w:p>
                  </w:txbxContent>
                </v:textbox>
              </v:shape>
            </w:pict>
          </mc:Fallback>
        </mc:AlternateContent>
      </w:r>
      <w:r>
        <w:rPr>
          <w:rFonts w:hint="eastAsia" w:ascii="仿宋" w:hAnsi="仿宋" w:eastAsia="仿宋" w:cs="仿宋"/>
          <w:sz w:val="24"/>
          <w:szCs w:val="24"/>
          <w:lang w:eastAsia="zh-CN"/>
        </w:rPr>
        <w:t>发现以前签发的任何支付证书有错、漏或重复的，造价咨询人有权在期中支付证书中修正以前签发的任何支付证书，承包人也有权提出修正申请。经合同双方当事人复核同意修正的，应在该支付期的进度款中支付或扣除。如果总承包范围内的工作、工程或其任何部分没有达到质量要求，造价咨询人有权按照合同约定处理，并在任何期中支付证书中扣除相应价款。</w:t>
      </w:r>
    </w:p>
    <w:p w14:paraId="1650E970">
      <w:pPr>
        <w:pStyle w:val="22"/>
        <w:adjustRightInd w:val="0"/>
        <w:snapToGrid w:val="0"/>
        <w:spacing w:line="400" w:lineRule="exact"/>
        <w:rPr>
          <w:rFonts w:ascii="仿宋" w:hAnsi="仿宋" w:eastAsia="仿宋" w:cs="仿宋"/>
          <w:b/>
          <w:bCs/>
          <w:sz w:val="24"/>
          <w:szCs w:val="24"/>
          <w:u w:val="single"/>
          <w:lang w:eastAsia="zh-CN"/>
        </w:rPr>
      </w:pPr>
      <w:r>
        <w:rPr>
          <w:rFonts w:ascii="仿宋" w:hAnsi="仿宋" w:eastAsia="仿宋" w:cs="仿宋"/>
          <w:b/>
          <w:bCs/>
          <w:sz w:val="24"/>
          <w:szCs w:val="24"/>
          <w:u w:val="single"/>
          <w:lang w:eastAsia="zh-CN"/>
        </w:rPr>
        <w:t xml:space="preserve">                                                       </w:t>
      </w:r>
      <w:r>
        <w:rPr>
          <w:rFonts w:hint="eastAsia" w:ascii="仿宋" w:hAnsi="仿宋" w:eastAsia="仿宋" w:cs="仿宋"/>
          <w:b/>
          <w:bCs/>
          <w:sz w:val="24"/>
          <w:szCs w:val="24"/>
          <w:u w:val="single"/>
          <w:lang w:eastAsia="zh-CN"/>
        </w:rPr>
        <w:t xml:space="preserve">   </w:t>
      </w:r>
      <w:r>
        <w:rPr>
          <w:rFonts w:ascii="仿宋" w:hAnsi="仿宋" w:eastAsia="仿宋" w:cs="仿宋"/>
          <w:b/>
          <w:bCs/>
          <w:sz w:val="24"/>
          <w:szCs w:val="24"/>
          <w:u w:val="single"/>
          <w:lang w:eastAsia="zh-CN"/>
        </w:rPr>
        <w:t xml:space="preserve">                          </w:t>
      </w:r>
    </w:p>
    <w:p w14:paraId="77114780">
      <w:pPr>
        <w:pStyle w:val="4"/>
        <w:tabs>
          <w:tab w:val="left" w:pos="420"/>
        </w:tabs>
        <w:spacing w:before="0" w:after="0" w:line="400" w:lineRule="exact"/>
        <w:rPr>
          <w:rFonts w:ascii="仿宋" w:hAnsi="仿宋" w:eastAsia="仿宋" w:cs="仿宋"/>
          <w:bCs w:val="0"/>
          <w:sz w:val="24"/>
          <w:szCs w:val="24"/>
          <w:lang w:eastAsia="zh-CN"/>
        </w:rPr>
      </w:pPr>
      <w:bookmarkStart w:id="672" w:name="_Toc21692"/>
      <w:bookmarkStart w:id="673" w:name="_Toc194073198"/>
      <w:bookmarkStart w:id="674" w:name="_Toc15769"/>
      <w:bookmarkStart w:id="675" w:name="_Toc25620"/>
      <w:r>
        <w:rPr>
          <w:rFonts w:hint="eastAsia" w:ascii="仿宋" w:hAnsi="仿宋" w:eastAsia="仿宋" w:cs="仿宋"/>
          <w:bCs w:val="0"/>
          <w:sz w:val="24"/>
          <w:szCs w:val="24"/>
          <w:lang w:eastAsia="zh-CN"/>
        </w:rPr>
        <w:t>★</w:t>
      </w:r>
      <w:r>
        <w:rPr>
          <w:rFonts w:ascii="仿宋" w:hAnsi="仿宋" w:eastAsia="仿宋" w:cs="仿宋"/>
          <w:bCs w:val="0"/>
          <w:sz w:val="24"/>
          <w:szCs w:val="24"/>
          <w:lang w:eastAsia="zh-CN"/>
        </w:rPr>
        <w:t>8</w:t>
      </w:r>
      <w:r>
        <w:rPr>
          <w:rFonts w:hint="eastAsia" w:ascii="仿宋" w:hAnsi="仿宋" w:eastAsia="仿宋" w:cs="仿宋"/>
          <w:bCs w:val="0"/>
          <w:sz w:val="24"/>
          <w:szCs w:val="24"/>
          <w:lang w:eastAsia="zh-CN"/>
        </w:rPr>
        <w:t>7</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竣工结算</w:t>
      </w:r>
      <w:bookmarkEnd w:id="672"/>
      <w:bookmarkEnd w:id="673"/>
      <w:bookmarkEnd w:id="674"/>
      <w:bookmarkEnd w:id="675"/>
    </w:p>
    <w:p w14:paraId="2FDBA73C">
      <w:pPr>
        <w:widowControl w:val="0"/>
        <w:spacing w:line="400" w:lineRule="exact"/>
        <w:rPr>
          <w:rFonts w:ascii="仿宋" w:hAnsi="仿宋" w:eastAsia="仿宋" w:cs="仿宋"/>
          <w:b/>
          <w:bCs/>
          <w:lang w:eastAsia="zh-CN"/>
        </w:rPr>
      </w:pPr>
      <w:bookmarkStart w:id="676" w:name="_Toc29029"/>
      <w:r>
        <w:rPr>
          <w:rFonts w:ascii="仿宋" w:hAnsi="仿宋" w:eastAsia="仿宋" w:cs="仿宋"/>
          <w:b/>
          <w:bCs/>
          <w:lang w:eastAsia="zh-CN"/>
        </w:rPr>
        <w:t>8</w:t>
      </w:r>
      <w:r>
        <w:rPr>
          <w:rFonts w:hint="eastAsia" w:ascii="仿宋" w:hAnsi="仿宋" w:eastAsia="仿宋" w:cs="仿宋"/>
          <w:b/>
          <w:bCs/>
          <w:lang w:eastAsia="zh-CN"/>
        </w:rPr>
        <w:t>7</w:t>
      </w:r>
      <w:r>
        <w:rPr>
          <w:rFonts w:ascii="仿宋" w:hAnsi="仿宋" w:eastAsia="仿宋" w:cs="仿宋"/>
          <w:b/>
          <w:bCs/>
          <w:lang w:eastAsia="zh-CN"/>
        </w:rPr>
        <w:t>.1</w:t>
      </w:r>
      <w:bookmarkEnd w:id="676"/>
    </w:p>
    <w:p w14:paraId="1BB4578C">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ascii="仿宋" w:hAnsi="仿宋" w:eastAsia="仿宋" w:cs="仿宋"/>
          <w:sz w:val="24"/>
          <w:szCs w:val="24"/>
          <w:lang w:eastAsia="zh-CN"/>
        </w:rPr>
        <mc:AlternateContent>
          <mc:Choice Requires="wps">
            <w:drawing>
              <wp:anchor distT="0" distB="0" distL="114300" distR="114300" simplePos="0" relativeHeight="251923456" behindDoc="0" locked="0" layoutInCell="1" allowOverlap="1">
                <wp:simplePos x="0" y="0"/>
                <wp:positionH relativeFrom="column">
                  <wp:posOffset>-114300</wp:posOffset>
                </wp:positionH>
                <wp:positionV relativeFrom="paragraph">
                  <wp:posOffset>38735</wp:posOffset>
                </wp:positionV>
                <wp:extent cx="756920" cy="467995"/>
                <wp:effectExtent l="0" t="0" r="0" b="0"/>
                <wp:wrapNone/>
                <wp:docPr id="389" name="文本框 1050"/>
                <wp:cNvGraphicFramePr/>
                <a:graphic xmlns:a="http://schemas.openxmlformats.org/drawingml/2006/main">
                  <a:graphicData uri="http://schemas.microsoft.com/office/word/2010/wordprocessingShape">
                    <wps:wsp>
                      <wps:cNvSpPr txBox="1"/>
                      <wps:spPr>
                        <a:xfrm>
                          <a:off x="0" y="0"/>
                          <a:ext cx="756920" cy="467995"/>
                        </a:xfrm>
                        <a:prstGeom prst="rect">
                          <a:avLst/>
                        </a:prstGeom>
                        <a:noFill/>
                        <a:ln w="12700">
                          <a:noFill/>
                        </a:ln>
                      </wps:spPr>
                      <wps:txbx>
                        <w:txbxContent>
                          <w:p w14:paraId="7D5BCBB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约定结算程序和期限</w:t>
                            </w:r>
                          </w:p>
                        </w:txbxContent>
                      </wps:txbx>
                      <wps:bodyPr rot="0" vert="horz" wrap="square" lIns="91440" tIns="45720" rIns="91440" bIns="45720" anchor="t" anchorCtr="0"/>
                    </wps:wsp>
                  </a:graphicData>
                </a:graphic>
              </wp:anchor>
            </w:drawing>
          </mc:Choice>
          <mc:Fallback>
            <w:pict>
              <v:shape id="文本框 1050" o:spid="_x0000_s1026" o:spt="202" type="#_x0000_t202" style="position:absolute;left:0pt;margin-left:-9pt;margin-top:3.05pt;height:36.85pt;width:59.6pt;z-index:251923456;mso-width-relative:page;mso-height-relative:page;" filled="f" stroked="f" coordsize="21600,21600" o:gfxdata="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purSt&#10;1gAAAAgBAAAPAAAAAAAAAAEAIAAAACIAAABkcnMvZG93bnJldi54bWxQSwECFAAUAAAACACHTuJA&#10;rKN5+eoBAAC/AwAADgAAAAAAAAABACAAAAAlAQAAZHJzL2Uyb0RvYy54bWxQSwUGAAAAAAYABgBZ&#10;AQAAgQUAAAAA&#10;">
                <v:fill on="f" focussize="0,0"/>
                <v:stroke on="f" weight="1pt"/>
                <v:imagedata o:title=""/>
                <o:lock v:ext="edit" aspectratio="f"/>
                <v:textbox>
                  <w:txbxContent>
                    <w:p w14:paraId="7D5BCBB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约定结算程序和期限</w:t>
                      </w:r>
                    </w:p>
                  </w:txbxContent>
                </v:textbox>
              </v:shape>
            </w:pict>
          </mc:Fallback>
        </mc:AlternateContent>
      </w:r>
      <w:r>
        <w:rPr>
          <w:rFonts w:hint="eastAsia" w:ascii="仿宋" w:hAnsi="仿宋" w:eastAsia="仿宋" w:cs="仿宋"/>
          <w:sz w:val="24"/>
          <w:szCs w:val="24"/>
          <w:lang w:eastAsia="zh-CN"/>
        </w:rPr>
        <w:t>合同双方当事人应遵守法律或规范在专用条款中明确办理竣工结算的程序和时限。专用条款没有约定的，竣工结算按照第</w:t>
      </w:r>
      <w:r>
        <w:rPr>
          <w:rFonts w:ascii="仿宋" w:hAnsi="仿宋" w:eastAsia="仿宋" w:cs="仿宋"/>
          <w:sz w:val="24"/>
          <w:szCs w:val="24"/>
          <w:lang w:eastAsia="zh-CN"/>
        </w:rPr>
        <w:t>8</w:t>
      </w:r>
      <w:r>
        <w:rPr>
          <w:rFonts w:hint="eastAsia" w:ascii="仿宋" w:hAnsi="仿宋" w:eastAsia="仿宋" w:cs="仿宋"/>
          <w:sz w:val="24"/>
          <w:szCs w:val="24"/>
          <w:lang w:eastAsia="zh-CN"/>
        </w:rPr>
        <w:t>7</w:t>
      </w:r>
      <w:r>
        <w:rPr>
          <w:rFonts w:ascii="仿宋" w:hAnsi="仿宋" w:eastAsia="仿宋" w:cs="仿宋"/>
          <w:sz w:val="24"/>
          <w:szCs w:val="24"/>
          <w:lang w:eastAsia="zh-CN"/>
        </w:rPr>
        <w:t>.2</w:t>
      </w:r>
      <w:r>
        <w:rPr>
          <w:rFonts w:hint="eastAsia" w:ascii="仿宋" w:hAnsi="仿宋" w:eastAsia="仿宋" w:cs="仿宋"/>
          <w:sz w:val="24"/>
          <w:szCs w:val="24"/>
          <w:lang w:eastAsia="zh-CN"/>
        </w:rPr>
        <w:t>款至第</w:t>
      </w:r>
      <w:r>
        <w:rPr>
          <w:rFonts w:ascii="仿宋" w:hAnsi="仿宋" w:eastAsia="仿宋" w:cs="仿宋"/>
          <w:sz w:val="24"/>
          <w:szCs w:val="24"/>
          <w:lang w:eastAsia="zh-CN"/>
        </w:rPr>
        <w:t>8</w:t>
      </w:r>
      <w:r>
        <w:rPr>
          <w:rFonts w:hint="eastAsia" w:ascii="仿宋" w:hAnsi="仿宋" w:eastAsia="仿宋" w:cs="仿宋"/>
          <w:sz w:val="24"/>
          <w:szCs w:val="24"/>
          <w:lang w:eastAsia="zh-CN"/>
        </w:rPr>
        <w:t>7</w:t>
      </w:r>
      <w:r>
        <w:rPr>
          <w:rFonts w:ascii="仿宋" w:hAnsi="仿宋" w:eastAsia="仿宋" w:cs="仿宋"/>
          <w:sz w:val="24"/>
          <w:szCs w:val="24"/>
          <w:lang w:eastAsia="zh-CN"/>
        </w:rPr>
        <w:t>.5</w:t>
      </w:r>
      <w:r>
        <w:rPr>
          <w:rFonts w:hint="eastAsia" w:ascii="仿宋" w:hAnsi="仿宋" w:eastAsia="仿宋" w:cs="仿宋"/>
          <w:sz w:val="24"/>
          <w:szCs w:val="24"/>
          <w:lang w:eastAsia="zh-CN"/>
        </w:rPr>
        <w:t>款约定办理。</w:t>
      </w:r>
    </w:p>
    <w:p w14:paraId="41987F72">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过程结算是指在建设工程总承包合同范围内，合同双方当事人结合项目实际，依据合同约定的支付周期或工程进度节点，对已完成的勘察（如果有）、设计、BIM技术应用、设备及工器具购置（如果有）和施工阶段的主要工作、分部工程或标志性节点形象工程的价款进行的计算、调整、确认和支付等活动。实施过程结算的，合同双方当事人应在合同专用</w:t>
      </w:r>
      <w:r>
        <w:rPr>
          <w:rFonts w:ascii="仿宋" w:hAnsi="仿宋" w:eastAsia="仿宋" w:cs="仿宋"/>
          <w:sz w:val="24"/>
          <w:szCs w:val="24"/>
          <w:lang w:eastAsia="zh-CN"/>
        </w:rPr>
        <w:t>条款</w:t>
      </w:r>
      <w:r>
        <w:rPr>
          <w:rFonts w:hint="eastAsia" w:ascii="仿宋" w:hAnsi="仿宋" w:eastAsia="仿宋" w:cs="仿宋"/>
          <w:sz w:val="24"/>
          <w:szCs w:val="24"/>
          <w:lang w:eastAsia="zh-CN"/>
        </w:rPr>
        <w:t>中约定过程结算的支付周期或完成进度节点，进行工作或工程价款结算和支付的依据、程序和方法，明确合同履行过程工作或工程价款的计量、计价、支付等事项。过程结算节点可根据总承包范围、工作内容、工程特点、工作界面、工程界面、工期及分部（工程）验收需要等由发承包双方在合同专用</w:t>
      </w:r>
      <w:r>
        <w:rPr>
          <w:rFonts w:ascii="仿宋" w:hAnsi="仿宋" w:eastAsia="仿宋" w:cs="仿宋"/>
          <w:sz w:val="24"/>
          <w:szCs w:val="24"/>
          <w:lang w:eastAsia="zh-CN"/>
        </w:rPr>
        <w:t>条款</w:t>
      </w:r>
      <w:r>
        <w:rPr>
          <w:rFonts w:hint="eastAsia" w:ascii="仿宋" w:hAnsi="仿宋" w:eastAsia="仿宋" w:cs="仿宋"/>
          <w:sz w:val="24"/>
          <w:szCs w:val="24"/>
          <w:lang w:eastAsia="zh-CN"/>
        </w:rPr>
        <w:t>中约定。过程结算文件是工程竣工结算文件的重要内容与组成部分。</w:t>
      </w:r>
    </w:p>
    <w:p w14:paraId="1181D431">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在办理竣工结算期间，发包人按照第83条约定应向承包人支付的工程款及其他款项不停止。</w:t>
      </w:r>
    </w:p>
    <w:p w14:paraId="30A97768">
      <w:pPr>
        <w:pStyle w:val="22"/>
        <w:adjustRightInd w:val="0"/>
        <w:snapToGrid w:val="0"/>
        <w:spacing w:line="400" w:lineRule="exact"/>
        <w:rPr>
          <w:rFonts w:ascii="仿宋" w:hAnsi="仿宋" w:eastAsia="仿宋"/>
          <w:b/>
          <w:bCs/>
          <w:sz w:val="24"/>
          <w:szCs w:val="24"/>
          <w:lang w:eastAsia="zh-CN"/>
        </w:rPr>
      </w:pPr>
      <w:r>
        <w:rPr>
          <w:rFonts w:ascii="仿宋" w:hAnsi="仿宋" w:eastAsia="仿宋" w:cs="仿宋"/>
          <w:b/>
          <w:bCs/>
          <w:sz w:val="24"/>
          <w:szCs w:val="24"/>
          <w:lang w:eastAsia="zh-CN"/>
        </w:rPr>
        <w:t>8</w:t>
      </w:r>
      <w:r>
        <w:rPr>
          <w:rFonts w:hint="eastAsia" w:ascii="仿宋" w:hAnsi="仿宋" w:eastAsia="仿宋" w:cs="仿宋"/>
          <w:b/>
          <w:bCs/>
          <w:sz w:val="24"/>
          <w:szCs w:val="24"/>
          <w:lang w:eastAsia="zh-CN"/>
        </w:rPr>
        <w:t>7</w:t>
      </w:r>
      <w:r>
        <w:rPr>
          <w:rFonts w:ascii="仿宋" w:hAnsi="仿宋" w:eastAsia="仿宋" w:cs="仿宋"/>
          <w:b/>
          <w:bCs/>
          <w:sz w:val="24"/>
          <w:szCs w:val="24"/>
          <w:lang w:eastAsia="zh-CN"/>
        </w:rPr>
        <w:t xml:space="preserve">.2  </w:t>
      </w:r>
      <w:r>
        <w:rPr>
          <w:rFonts w:ascii="仿宋" w:hAnsi="仿宋" w:eastAsia="仿宋" w:cs="仿宋"/>
          <w:b/>
          <w:bCs/>
          <w:sz w:val="24"/>
          <w:szCs w:val="24"/>
          <w:u w:val="dotted"/>
          <w:lang w:eastAsia="zh-CN"/>
        </w:rPr>
        <w:t xml:space="preserve">                                                                               </w:t>
      </w:r>
    </w:p>
    <w:p w14:paraId="7DE87888">
      <w:pPr>
        <w:pStyle w:val="22"/>
        <w:widowControl w:val="0"/>
        <w:adjustRightInd w:val="0"/>
        <w:snapToGrid w:val="0"/>
        <w:spacing w:line="400" w:lineRule="exact"/>
        <w:ind w:left="1850" w:leftChars="771"/>
        <w:jc w:val="both"/>
        <w:rPr>
          <w:rFonts w:ascii="仿宋" w:hAnsi="仿宋" w:eastAsia="仿宋"/>
          <w:sz w:val="24"/>
          <w:szCs w:val="24"/>
          <w:lang w:eastAsia="zh-CN"/>
        </w:rPr>
      </w:pPr>
      <w:r>
        <mc:AlternateContent>
          <mc:Choice Requires="wps">
            <w:drawing>
              <wp:anchor distT="0" distB="0" distL="114300" distR="114300" simplePos="0" relativeHeight="251924480" behindDoc="0" locked="0" layoutInCell="1" allowOverlap="1">
                <wp:simplePos x="0" y="0"/>
                <wp:positionH relativeFrom="column">
                  <wp:posOffset>-114300</wp:posOffset>
                </wp:positionH>
                <wp:positionV relativeFrom="paragraph">
                  <wp:posOffset>23495</wp:posOffset>
                </wp:positionV>
                <wp:extent cx="776605" cy="584200"/>
                <wp:effectExtent l="0" t="0" r="0" b="0"/>
                <wp:wrapNone/>
                <wp:docPr id="390" name="文本框 1051"/>
                <wp:cNvGraphicFramePr/>
                <a:graphic xmlns:a="http://schemas.openxmlformats.org/drawingml/2006/main">
                  <a:graphicData uri="http://schemas.microsoft.com/office/word/2010/wordprocessingShape">
                    <wps:wsp>
                      <wps:cNvSpPr txBox="1"/>
                      <wps:spPr>
                        <a:xfrm>
                          <a:off x="0" y="0"/>
                          <a:ext cx="776605" cy="584200"/>
                        </a:xfrm>
                        <a:prstGeom prst="rect">
                          <a:avLst/>
                        </a:prstGeom>
                        <a:noFill/>
                        <a:ln w="12700">
                          <a:noFill/>
                        </a:ln>
                      </wps:spPr>
                      <wps:txbx>
                        <w:txbxContent>
                          <w:p w14:paraId="5722303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txbxContent>
                      </wps:txbx>
                      <wps:bodyPr rot="0" vert="horz" wrap="square" lIns="91440" tIns="45720" rIns="91440" bIns="45720" anchor="t" anchorCtr="0"/>
                    </wps:wsp>
                  </a:graphicData>
                </a:graphic>
              </wp:anchor>
            </w:drawing>
          </mc:Choice>
          <mc:Fallback>
            <w:pict>
              <v:shape id="文本框 1051" o:spid="_x0000_s1026" o:spt="202" type="#_x0000_t202" style="position:absolute;left:0pt;margin-left:-9pt;margin-top:1.85pt;height:46pt;width:61.15pt;z-index:251924480;mso-width-relative:page;mso-height-relative:page;" filled="f" stroked="f" coordsize="21600,21600" o:gfxdata="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yLlf&#10;oNgAAAAIAQAADwAAAAAAAAABACAAAAAiAAAAZHJzL2Rvd25yZXYueG1sUEsBAhQAFAAAAAgAh07i&#10;QIS2ipLpAQAAvwMAAA4AAAAAAAAAAQAgAAAAJwEAAGRycy9lMm9Eb2MueG1sUEsFBgAAAAAGAAYA&#10;WQEAAIIFAAAAAA==&#10;">
                <v:fill on="f" focussize="0,0"/>
                <v:stroke on="f" weight="1pt"/>
                <v:imagedata o:title=""/>
                <o:lock v:ext="edit" aspectratio="f"/>
                <v:textbox>
                  <w:txbxContent>
                    <w:p w14:paraId="5722303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txbxContent>
                </v:textbox>
              </v:shape>
            </w:pict>
          </mc:Fallback>
        </mc:AlternateContent>
      </w:r>
      <w:r>
        <w:rPr>
          <w:rFonts w:hint="eastAsia" w:ascii="仿宋" w:hAnsi="仿宋" w:eastAsia="仿宋" w:cs="仿宋"/>
          <w:sz w:val="24"/>
          <w:szCs w:val="24"/>
          <w:lang w:eastAsia="zh-CN"/>
        </w:rPr>
        <w:t>承包人应在提交竣工验收申请报告前编制完成竣工结算文件，并在提交竣工验收申请报告的同时向造价咨询人递交竣工结算文件。竣工结算文件清单由双方在专用条款中约定。</w:t>
      </w:r>
    </w:p>
    <w:p w14:paraId="06878511">
      <w:pPr>
        <w:pStyle w:val="22"/>
        <w:adjustRightInd w:val="0"/>
        <w:snapToGrid w:val="0"/>
        <w:spacing w:line="400" w:lineRule="exact"/>
        <w:ind w:left="1850" w:leftChars="771"/>
        <w:rPr>
          <w:rFonts w:ascii="仿宋" w:hAnsi="仿宋" w:eastAsia="仿宋"/>
          <w:sz w:val="24"/>
          <w:szCs w:val="24"/>
          <w:lang w:eastAsia="zh-CN"/>
        </w:rPr>
      </w:pPr>
      <w:r>
        <w:rPr>
          <w:rFonts w:hint="eastAsia" w:ascii="仿宋" w:hAnsi="仿宋" w:eastAsia="仿宋" w:cs="仿宋"/>
          <w:sz w:val="24"/>
          <w:szCs w:val="24"/>
          <w:lang w:eastAsia="zh-CN"/>
        </w:rPr>
        <w:t>承包人未在本款约定的时间内递交竣工结算文件，经发包人催促后仍未递交或没有明确答复的，造价咨询人可根据自己掌握的资料编制竣工结算文件，在报经发包人批准后，作为办理竣工结算和支付结算款的依据，承包人应予以认可。</w:t>
      </w:r>
    </w:p>
    <w:p w14:paraId="50CD144C">
      <w:pPr>
        <w:pStyle w:val="22"/>
        <w:adjustRightInd w:val="0"/>
        <w:snapToGrid w:val="0"/>
        <w:spacing w:line="400" w:lineRule="exact"/>
        <w:rPr>
          <w:rFonts w:ascii="仿宋" w:hAnsi="仿宋" w:eastAsia="仿宋"/>
          <w:b/>
          <w:bCs/>
          <w:sz w:val="24"/>
          <w:szCs w:val="24"/>
          <w:u w:val="single"/>
          <w:lang w:eastAsia="zh-CN"/>
        </w:rPr>
      </w:pPr>
      <w:r>
        <w:rPr>
          <w:rFonts w:ascii="仿宋" w:hAnsi="仿宋" w:eastAsia="仿宋" w:cs="仿宋"/>
          <w:b/>
          <w:bCs/>
          <w:sz w:val="24"/>
          <w:szCs w:val="24"/>
          <w:lang w:eastAsia="zh-CN"/>
        </w:rPr>
        <w:t>8</w:t>
      </w:r>
      <w:r>
        <w:rPr>
          <w:rFonts w:hint="eastAsia" w:ascii="仿宋" w:hAnsi="仿宋" w:eastAsia="仿宋" w:cs="仿宋"/>
          <w:b/>
          <w:bCs/>
          <w:sz w:val="24"/>
          <w:szCs w:val="24"/>
          <w:lang w:eastAsia="zh-CN"/>
        </w:rPr>
        <w:t>7</w:t>
      </w:r>
      <w:r>
        <w:rPr>
          <w:rFonts w:ascii="仿宋" w:hAnsi="仿宋" w:eastAsia="仿宋" w:cs="仿宋"/>
          <w:b/>
          <w:bCs/>
          <w:sz w:val="24"/>
          <w:szCs w:val="24"/>
          <w:lang w:eastAsia="zh-CN"/>
        </w:rPr>
        <w:t xml:space="preserve">.3  </w:t>
      </w:r>
      <w:r>
        <w:rPr>
          <w:rFonts w:ascii="仿宋" w:hAnsi="仿宋" w:eastAsia="仿宋" w:cs="仿宋"/>
          <w:b/>
          <w:bCs/>
          <w:sz w:val="24"/>
          <w:szCs w:val="24"/>
          <w:u w:val="dotted"/>
          <w:lang w:eastAsia="zh-CN"/>
        </w:rPr>
        <w:t xml:space="preserve">                                                                               </w:t>
      </w:r>
    </w:p>
    <w:p w14:paraId="15EB1905">
      <w:pPr>
        <w:pStyle w:val="22"/>
        <w:widowControl w:val="0"/>
        <w:adjustRightInd w:val="0"/>
        <w:snapToGrid w:val="0"/>
        <w:spacing w:line="400" w:lineRule="exact"/>
        <w:ind w:left="1850" w:leftChars="771"/>
        <w:jc w:val="both"/>
        <w:rPr>
          <w:rFonts w:ascii="仿宋" w:hAnsi="仿宋" w:eastAsia="仿宋"/>
          <w:sz w:val="24"/>
          <w:szCs w:val="24"/>
          <w:lang w:eastAsia="zh-CN"/>
        </w:rPr>
      </w:pPr>
      <w:r>
        <mc:AlternateContent>
          <mc:Choice Requires="wps">
            <w:drawing>
              <wp:anchor distT="0" distB="0" distL="114300" distR="114300" simplePos="0" relativeHeight="251925504" behindDoc="0" locked="0" layoutInCell="1" allowOverlap="1">
                <wp:simplePos x="0" y="0"/>
                <wp:positionH relativeFrom="column">
                  <wp:posOffset>-114300</wp:posOffset>
                </wp:positionH>
                <wp:positionV relativeFrom="paragraph">
                  <wp:posOffset>38735</wp:posOffset>
                </wp:positionV>
                <wp:extent cx="794385" cy="491490"/>
                <wp:effectExtent l="0" t="0" r="0" b="0"/>
                <wp:wrapNone/>
                <wp:docPr id="391" name="文本框 1052"/>
                <wp:cNvGraphicFramePr/>
                <a:graphic xmlns:a="http://schemas.openxmlformats.org/drawingml/2006/main">
                  <a:graphicData uri="http://schemas.microsoft.com/office/word/2010/wordprocessingShape">
                    <wps:wsp>
                      <wps:cNvSpPr txBox="1"/>
                      <wps:spPr>
                        <a:xfrm>
                          <a:off x="0" y="0"/>
                          <a:ext cx="794385" cy="491490"/>
                        </a:xfrm>
                        <a:prstGeom prst="rect">
                          <a:avLst/>
                        </a:prstGeom>
                        <a:noFill/>
                        <a:ln w="12700">
                          <a:noFill/>
                        </a:ln>
                      </wps:spPr>
                      <wps:txbx>
                        <w:txbxContent>
                          <w:p w14:paraId="33C197B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txbxContent>
                      </wps:txbx>
                      <wps:bodyPr rot="0" vert="horz" wrap="square" lIns="91440" tIns="45720" rIns="91440" bIns="45720" anchor="t" anchorCtr="0"/>
                    </wps:wsp>
                  </a:graphicData>
                </a:graphic>
              </wp:anchor>
            </w:drawing>
          </mc:Choice>
          <mc:Fallback>
            <w:pict>
              <v:shape id="文本框 1052" o:spid="_x0000_s1026" o:spt="202" type="#_x0000_t202" style="position:absolute;left:0pt;margin-left:-9pt;margin-top:3.05pt;height:38.7pt;width:62.55pt;z-index:251925504;mso-width-relative:page;mso-height-relative:page;" filled="f" stroked="f" coordsize="21600,21600" o:gfxdata="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iya3N9cAAAAIAQAADwAAAAAAAAABACAAAAAiAAAAZHJzL2Rvd25yZXYueG1sUEsBAhQAFAAAAAgA&#10;h07iQJDLW6btAQAAvwMAAA4AAAAAAAAAAQAgAAAAJgEAAGRycy9lMm9Eb2MueG1sUEsFBgAAAAAG&#10;AAYAWQEAAIUFAAAAAA==&#10;">
                <v:fill on="f" focussize="0,0"/>
                <v:stroke on="f" weight="1pt"/>
                <v:imagedata o:title=""/>
                <o:lock v:ext="edit" aspectratio="f"/>
                <v:textbox>
                  <w:txbxContent>
                    <w:p w14:paraId="33C197B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txbxContent>
                </v:textbox>
              </v:shape>
            </w:pict>
          </mc:Fallback>
        </mc:AlternateContent>
      </w:r>
      <w:r>
        <w:rPr>
          <w:rFonts w:hint="eastAsia" w:ascii="仿宋" w:hAnsi="仿宋" w:eastAsia="仿宋" w:cs="仿宋"/>
          <w:sz w:val="24"/>
          <w:szCs w:val="24"/>
          <w:lang w:eastAsia="zh-CN"/>
        </w:rPr>
        <w:t>造价咨询人应在收到承包人按照第</w:t>
      </w:r>
      <w:r>
        <w:rPr>
          <w:rFonts w:ascii="仿宋" w:hAnsi="仿宋" w:eastAsia="仿宋" w:cs="仿宋"/>
          <w:sz w:val="24"/>
          <w:szCs w:val="24"/>
          <w:lang w:eastAsia="zh-CN"/>
        </w:rPr>
        <w:t>8</w:t>
      </w:r>
      <w:r>
        <w:rPr>
          <w:rFonts w:hint="eastAsia" w:ascii="仿宋" w:hAnsi="仿宋" w:eastAsia="仿宋" w:cs="仿宋"/>
          <w:sz w:val="24"/>
          <w:szCs w:val="24"/>
          <w:lang w:eastAsia="zh-CN"/>
        </w:rPr>
        <w:t>7</w:t>
      </w:r>
      <w:r>
        <w:rPr>
          <w:rFonts w:ascii="仿宋" w:hAnsi="仿宋" w:eastAsia="仿宋" w:cs="仿宋"/>
          <w:sz w:val="24"/>
          <w:szCs w:val="24"/>
          <w:lang w:eastAsia="zh-CN"/>
        </w:rPr>
        <w:t>.2</w:t>
      </w:r>
      <w:r>
        <w:rPr>
          <w:rFonts w:hint="eastAsia" w:ascii="仿宋" w:hAnsi="仿宋" w:eastAsia="仿宋" w:cs="仿宋"/>
          <w:sz w:val="24"/>
          <w:szCs w:val="24"/>
          <w:lang w:eastAsia="zh-CN"/>
        </w:rPr>
        <w:t>款约定递交的竣工结算文件后的</w:t>
      </w:r>
      <w:r>
        <w:rPr>
          <w:rFonts w:ascii="仿宋" w:hAnsi="仿宋" w:eastAsia="仿宋" w:cs="仿宋"/>
          <w:sz w:val="24"/>
          <w:szCs w:val="24"/>
          <w:lang w:eastAsia="zh-CN"/>
        </w:rPr>
        <w:t>28</w:t>
      </w:r>
      <w:r>
        <w:rPr>
          <w:rFonts w:hint="eastAsia" w:ascii="仿宋" w:hAnsi="仿宋" w:eastAsia="仿宋" w:cs="仿宋"/>
          <w:sz w:val="24"/>
          <w:szCs w:val="24"/>
          <w:lang w:eastAsia="zh-CN"/>
        </w:rPr>
        <w:t>天内予以核实，并向承包人提出完整的核实意见（包括进一步补充资料和修改结算文件），同时抄报发包人。承包人在收到核实意见后的</w:t>
      </w:r>
      <w:r>
        <w:rPr>
          <w:rFonts w:ascii="仿宋" w:hAnsi="仿宋" w:eastAsia="仿宋" w:cs="仿宋"/>
          <w:sz w:val="24"/>
          <w:szCs w:val="24"/>
          <w:lang w:eastAsia="zh-CN"/>
        </w:rPr>
        <w:t>28</w:t>
      </w:r>
      <w:r>
        <w:rPr>
          <w:rFonts w:hint="eastAsia" w:ascii="仿宋" w:hAnsi="仿宋" w:eastAsia="仿宋" w:cs="仿宋"/>
          <w:sz w:val="24"/>
          <w:szCs w:val="24"/>
          <w:lang w:eastAsia="zh-CN"/>
        </w:rPr>
        <w:t>天内按照造价咨询人提出的合理要求补充资料，修改竣工结算文件，并再次递交给造价咨询人。</w:t>
      </w:r>
    </w:p>
    <w:p w14:paraId="569EA650">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造价咨询人在收到竣工结算文件后的</w:t>
      </w:r>
      <w:r>
        <w:rPr>
          <w:rFonts w:ascii="仿宋" w:hAnsi="仿宋" w:eastAsia="仿宋" w:cs="仿宋"/>
          <w:sz w:val="24"/>
          <w:szCs w:val="24"/>
          <w:lang w:eastAsia="zh-CN"/>
        </w:rPr>
        <w:t>28</w:t>
      </w:r>
      <w:r>
        <w:rPr>
          <w:rFonts w:hint="eastAsia" w:ascii="仿宋" w:hAnsi="仿宋" w:eastAsia="仿宋" w:cs="仿宋"/>
          <w:sz w:val="24"/>
          <w:szCs w:val="24"/>
          <w:lang w:eastAsia="zh-CN"/>
        </w:rPr>
        <w:t>天内，不核实竣工结算或未提出核实意见的，视为承包人递交的竣工结算已被认可。</w:t>
      </w:r>
    </w:p>
    <w:p w14:paraId="59D30D3D">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承包人在收到造价咨询人提出的核实意见后的</w:t>
      </w:r>
      <w:r>
        <w:rPr>
          <w:rFonts w:ascii="仿宋" w:hAnsi="仿宋" w:eastAsia="仿宋" w:cs="仿宋"/>
          <w:sz w:val="24"/>
          <w:szCs w:val="24"/>
          <w:lang w:eastAsia="zh-CN"/>
        </w:rPr>
        <w:t>28</w:t>
      </w:r>
      <w:r>
        <w:rPr>
          <w:rFonts w:hint="eastAsia" w:ascii="仿宋" w:hAnsi="仿宋" w:eastAsia="仿宋" w:cs="仿宋"/>
          <w:sz w:val="24"/>
          <w:szCs w:val="24"/>
          <w:lang w:eastAsia="zh-CN"/>
        </w:rPr>
        <w:t>天内，不确认也未提出异议的，视为造价咨询人提出的核实意见已被认可，竣工结算办理完毕。</w:t>
      </w:r>
    </w:p>
    <w:p w14:paraId="0DA6D8DB">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合同双方当事人对组成合同价格任一部分的过程结算计量计价有争议的，争议部分按第91.4款约定进行调解或认定，若合同双方或一方当事人在收到争议调解或认定机构的书面结果后明确表示不同意，或在28天内没有书面确认，任何一方均可向广州建设工程仲裁院提出仲裁申请。仲裁机构对争议部分裁决的价款与无争议部分的过程结算价款之和，即作为该合同价格组成部分的阶段结算价款。</w:t>
      </w:r>
    </w:p>
    <w:p w14:paraId="5BE8AE9F">
      <w:pPr>
        <w:pStyle w:val="22"/>
        <w:adjustRightInd w:val="0"/>
        <w:snapToGrid w:val="0"/>
        <w:spacing w:line="400" w:lineRule="exact"/>
        <w:rPr>
          <w:rFonts w:ascii="仿宋" w:hAnsi="仿宋" w:eastAsia="仿宋"/>
          <w:b/>
          <w:bCs/>
          <w:sz w:val="24"/>
          <w:szCs w:val="24"/>
          <w:u w:val="single"/>
          <w:lang w:eastAsia="zh-CN"/>
        </w:rPr>
      </w:pPr>
      <w:r>
        <w:rPr>
          <w:rFonts w:ascii="仿宋" w:hAnsi="仿宋" w:eastAsia="仿宋" w:cs="仿宋"/>
          <w:b/>
          <w:bCs/>
          <w:sz w:val="24"/>
          <w:szCs w:val="24"/>
          <w:lang w:eastAsia="zh-CN"/>
        </w:rPr>
        <w:t>8</w:t>
      </w:r>
      <w:r>
        <w:rPr>
          <w:rFonts w:hint="eastAsia" w:ascii="仿宋" w:hAnsi="仿宋" w:eastAsia="仿宋" w:cs="仿宋"/>
          <w:b/>
          <w:bCs/>
          <w:sz w:val="24"/>
          <w:szCs w:val="24"/>
          <w:lang w:eastAsia="zh-CN"/>
        </w:rPr>
        <w:t>7</w:t>
      </w:r>
      <w:r>
        <w:rPr>
          <w:rFonts w:ascii="仿宋" w:hAnsi="仿宋" w:eastAsia="仿宋" w:cs="仿宋"/>
          <w:b/>
          <w:bCs/>
          <w:sz w:val="24"/>
          <w:szCs w:val="24"/>
          <w:lang w:eastAsia="zh-CN"/>
        </w:rPr>
        <w:t xml:space="preserve">.4  </w:t>
      </w:r>
      <w:r>
        <w:rPr>
          <w:rFonts w:ascii="仿宋" w:hAnsi="仿宋" w:eastAsia="仿宋" w:cs="仿宋"/>
          <w:b/>
          <w:bCs/>
          <w:sz w:val="24"/>
          <w:szCs w:val="24"/>
          <w:u w:val="dotted"/>
          <w:lang w:eastAsia="zh-CN"/>
        </w:rPr>
        <w:t xml:space="preserve">                                                                               </w:t>
      </w:r>
    </w:p>
    <w:p w14:paraId="509384EE">
      <w:pPr>
        <w:pStyle w:val="22"/>
        <w:widowControl w:val="0"/>
        <w:adjustRightInd w:val="0"/>
        <w:snapToGrid w:val="0"/>
        <w:spacing w:line="400" w:lineRule="exact"/>
        <w:ind w:left="1850" w:leftChars="771"/>
        <w:jc w:val="both"/>
        <w:rPr>
          <w:rFonts w:ascii="仿宋" w:hAnsi="仿宋" w:eastAsia="仿宋"/>
          <w:sz w:val="24"/>
          <w:szCs w:val="24"/>
          <w:u w:val="single"/>
          <w:lang w:eastAsia="zh-CN"/>
        </w:rPr>
      </w:pPr>
      <w:r>
        <mc:AlternateContent>
          <mc:Choice Requires="wps">
            <w:drawing>
              <wp:anchor distT="0" distB="0" distL="114300" distR="114300" simplePos="0" relativeHeight="251926528" behindDoc="0" locked="0" layoutInCell="1" allowOverlap="1">
                <wp:simplePos x="0" y="0"/>
                <wp:positionH relativeFrom="column">
                  <wp:posOffset>-114300</wp:posOffset>
                </wp:positionH>
                <wp:positionV relativeFrom="paragraph">
                  <wp:posOffset>15875</wp:posOffset>
                </wp:positionV>
                <wp:extent cx="832485" cy="822325"/>
                <wp:effectExtent l="0" t="0" r="0" b="0"/>
                <wp:wrapNone/>
                <wp:docPr id="392" name="文本框 1053"/>
                <wp:cNvGraphicFramePr/>
                <a:graphic xmlns:a="http://schemas.openxmlformats.org/drawingml/2006/main">
                  <a:graphicData uri="http://schemas.microsoft.com/office/word/2010/wordprocessingShape">
                    <wps:wsp>
                      <wps:cNvSpPr txBox="1"/>
                      <wps:spPr>
                        <a:xfrm>
                          <a:off x="0" y="0"/>
                          <a:ext cx="832485" cy="822325"/>
                        </a:xfrm>
                        <a:prstGeom prst="rect">
                          <a:avLst/>
                        </a:prstGeom>
                        <a:noFill/>
                        <a:ln w="12700">
                          <a:noFill/>
                        </a:ln>
                      </wps:spPr>
                      <wps:txbx>
                        <w:txbxContent>
                          <w:p w14:paraId="621F7D1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txbxContent>
                      </wps:txbx>
                      <wps:bodyPr rot="0" vert="horz" wrap="square" lIns="91440" tIns="45720" rIns="91440" bIns="45720" anchor="t" anchorCtr="0"/>
                    </wps:wsp>
                  </a:graphicData>
                </a:graphic>
              </wp:anchor>
            </w:drawing>
          </mc:Choice>
          <mc:Fallback>
            <w:pict>
              <v:shape id="文本框 1053" o:spid="_x0000_s1026" o:spt="202" type="#_x0000_t202" style="position:absolute;left:0pt;margin-left:-9pt;margin-top:1.25pt;height:64.75pt;width:65.55pt;z-index:251926528;mso-width-relative:page;mso-height-relative:page;" filled="f" stroked="f" coordsize="21600,21600" o:gfxdata="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y&#10;0cBz1wAAAAkBAAAPAAAAAAAAAAEAIAAAACIAAABkcnMvZG93bnJldi54bWxQSwECFAAUAAAACACH&#10;TuJACdeohewBAAC/AwAADgAAAAAAAAABACAAAAAmAQAAZHJzL2Uyb0RvYy54bWxQSwUGAAAAAAYA&#10;BgBZAQAAhAUAAAAA&#10;">
                <v:fill on="f" focussize="0,0"/>
                <v:stroke on="f" weight="1pt"/>
                <v:imagedata o:title=""/>
                <o:lock v:ext="edit" aspectratio="f"/>
                <v:textbox>
                  <w:txbxContent>
                    <w:p w14:paraId="621F7D1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txbxContent>
                </v:textbox>
              </v:shape>
            </w:pict>
          </mc:Fallback>
        </mc:AlternateContent>
      </w:r>
      <w:r>
        <w:rPr>
          <w:rFonts w:hint="eastAsia" w:ascii="仿宋" w:hAnsi="仿宋" w:eastAsia="仿宋" w:cs="仿宋"/>
          <w:sz w:val="24"/>
          <w:szCs w:val="24"/>
          <w:lang w:eastAsia="zh-CN"/>
        </w:rPr>
        <w:t>造价咨询人应在收到承包人按照第</w:t>
      </w:r>
      <w:r>
        <w:rPr>
          <w:rFonts w:ascii="仿宋" w:hAnsi="仿宋" w:eastAsia="仿宋" w:cs="仿宋"/>
          <w:sz w:val="24"/>
          <w:szCs w:val="24"/>
          <w:lang w:eastAsia="zh-CN"/>
        </w:rPr>
        <w:t>8</w:t>
      </w:r>
      <w:r>
        <w:rPr>
          <w:rFonts w:hint="eastAsia" w:ascii="仿宋" w:hAnsi="仿宋" w:eastAsia="仿宋" w:cs="仿宋"/>
          <w:sz w:val="24"/>
          <w:szCs w:val="24"/>
          <w:lang w:eastAsia="zh-CN"/>
        </w:rPr>
        <w:t>7</w:t>
      </w:r>
      <w:r>
        <w:rPr>
          <w:rFonts w:ascii="仿宋" w:hAnsi="仿宋" w:eastAsia="仿宋" w:cs="仿宋"/>
          <w:sz w:val="24"/>
          <w:szCs w:val="24"/>
          <w:lang w:eastAsia="zh-CN"/>
        </w:rPr>
        <w:t>.3</w:t>
      </w:r>
      <w:r>
        <w:rPr>
          <w:rFonts w:hint="eastAsia" w:ascii="仿宋" w:hAnsi="仿宋" w:eastAsia="仿宋" w:cs="仿宋"/>
          <w:sz w:val="24"/>
          <w:szCs w:val="24"/>
          <w:lang w:eastAsia="zh-CN"/>
        </w:rPr>
        <w:t>款约定再次递交的竣工结算文件后的</w:t>
      </w:r>
      <w:r>
        <w:rPr>
          <w:rFonts w:ascii="仿宋" w:hAnsi="仿宋" w:eastAsia="仿宋" w:cs="仿宋"/>
          <w:sz w:val="24"/>
          <w:szCs w:val="24"/>
          <w:lang w:eastAsia="zh-CN"/>
        </w:rPr>
        <w:t>28</w:t>
      </w:r>
      <w:r>
        <w:rPr>
          <w:rFonts w:hint="eastAsia" w:ascii="仿宋" w:hAnsi="仿宋" w:eastAsia="仿宋" w:cs="仿宋"/>
          <w:sz w:val="24"/>
          <w:szCs w:val="24"/>
          <w:lang w:eastAsia="zh-CN"/>
        </w:rPr>
        <w:t>天内予以复核，并将复核结果通知承包人、抄报发包人。</w:t>
      </w:r>
    </w:p>
    <w:p w14:paraId="35859705">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1</w:t>
      </w:r>
      <w:r>
        <w:rPr>
          <w:rFonts w:hint="eastAsia" w:ascii="仿宋" w:hAnsi="仿宋" w:eastAsia="仿宋" w:cs="仿宋"/>
          <w:sz w:val="24"/>
          <w:szCs w:val="24"/>
          <w:lang w:eastAsia="zh-CN"/>
        </w:rPr>
        <w:t>）经复核无误的，除属于第91条约定的争议外，发包人应在</w:t>
      </w:r>
      <w:r>
        <w:rPr>
          <w:rFonts w:ascii="仿宋" w:hAnsi="仿宋" w:eastAsia="仿宋" w:cs="仿宋"/>
          <w:sz w:val="24"/>
          <w:szCs w:val="24"/>
          <w:lang w:eastAsia="zh-CN"/>
        </w:rPr>
        <w:t>7</w:t>
      </w:r>
      <w:r>
        <w:rPr>
          <w:rFonts w:hint="eastAsia" w:ascii="仿宋" w:hAnsi="仿宋" w:eastAsia="仿宋" w:cs="仿宋"/>
          <w:sz w:val="24"/>
          <w:szCs w:val="24"/>
          <w:lang w:eastAsia="zh-CN"/>
        </w:rPr>
        <w:t>天内在竣工结算文件上签字确认，竣工结算办理完毕。</w:t>
      </w:r>
    </w:p>
    <w:p w14:paraId="7F3B7EEC">
      <w:pPr>
        <w:pStyle w:val="22"/>
        <w:widowControl w:val="0"/>
        <w:adjustRightInd w:val="0"/>
        <w:snapToGrid w:val="0"/>
        <w:spacing w:line="400" w:lineRule="exact"/>
        <w:ind w:left="1850" w:leftChars="771"/>
        <w:jc w:val="both"/>
        <w:rPr>
          <w:rFonts w:ascii="仿宋" w:hAnsi="仿宋" w:eastAsia="仿宋"/>
          <w:sz w:val="24"/>
          <w:szCs w:val="24"/>
          <w:u w:val="single"/>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2</w:t>
      </w:r>
      <w:r>
        <w:rPr>
          <w:rFonts w:hint="eastAsia" w:ascii="仿宋" w:hAnsi="仿宋" w:eastAsia="仿宋" w:cs="仿宋"/>
          <w:sz w:val="24"/>
          <w:szCs w:val="24"/>
          <w:lang w:eastAsia="zh-CN"/>
        </w:rPr>
        <w:t>）经复核认为有误的：无误部分按照本款第</w:t>
      </w:r>
      <w:r>
        <w:rPr>
          <w:rFonts w:ascii="仿宋" w:hAnsi="仿宋" w:eastAsia="仿宋" w:cs="仿宋"/>
          <w:sz w:val="24"/>
          <w:szCs w:val="24"/>
          <w:lang w:eastAsia="zh-CN"/>
        </w:rPr>
        <w:t>(1)</w:t>
      </w:r>
      <w:r>
        <w:rPr>
          <w:rFonts w:hint="eastAsia" w:ascii="仿宋" w:hAnsi="仿宋" w:eastAsia="仿宋" w:cs="仿宋"/>
          <w:sz w:val="24"/>
          <w:szCs w:val="24"/>
          <w:lang w:eastAsia="zh-CN"/>
        </w:rPr>
        <w:t>点约定办理不完全竣工结算；有误部分由造价咨询人与合同双方当事人协商解决，或按照第91条约定处理。</w:t>
      </w:r>
    </w:p>
    <w:p w14:paraId="74C0E421">
      <w:pPr>
        <w:pStyle w:val="22"/>
        <w:adjustRightInd w:val="0"/>
        <w:snapToGrid w:val="0"/>
        <w:spacing w:line="400" w:lineRule="exact"/>
        <w:rPr>
          <w:rFonts w:ascii="仿宋" w:hAnsi="仿宋" w:eastAsia="仿宋"/>
          <w:sz w:val="24"/>
          <w:szCs w:val="24"/>
          <w:lang w:eastAsia="zh-CN"/>
        </w:rPr>
      </w:pPr>
      <w:r>
        <w:rPr>
          <w:rFonts w:ascii="仿宋" w:hAnsi="仿宋" w:eastAsia="仿宋" w:cs="仿宋"/>
          <w:b/>
          <w:bCs/>
          <w:sz w:val="24"/>
          <w:szCs w:val="24"/>
          <w:lang w:eastAsia="zh-CN"/>
        </w:rPr>
        <w:t>8</w:t>
      </w:r>
      <w:r>
        <w:rPr>
          <w:rFonts w:hint="eastAsia" w:ascii="仿宋" w:hAnsi="仿宋" w:eastAsia="仿宋" w:cs="仿宋"/>
          <w:b/>
          <w:bCs/>
          <w:sz w:val="24"/>
          <w:szCs w:val="24"/>
          <w:lang w:eastAsia="zh-CN"/>
        </w:rPr>
        <w:t>7</w:t>
      </w:r>
      <w:r>
        <w:rPr>
          <w:rFonts w:ascii="仿宋" w:hAnsi="仿宋" w:eastAsia="仿宋" w:cs="仿宋"/>
          <w:b/>
          <w:bCs/>
          <w:sz w:val="24"/>
          <w:szCs w:val="24"/>
          <w:lang w:eastAsia="zh-CN"/>
        </w:rPr>
        <w:t>.5</w:t>
      </w:r>
      <w:r>
        <w:rPr>
          <w:rFonts w:ascii="仿宋" w:hAnsi="仿宋" w:eastAsia="仿宋" w:cs="仿宋"/>
          <w:sz w:val="24"/>
          <w:szCs w:val="24"/>
          <w:lang w:eastAsia="zh-CN"/>
        </w:rPr>
        <w:t xml:space="preserve">  </w:t>
      </w:r>
      <w:r>
        <w:rPr>
          <w:rFonts w:ascii="仿宋" w:hAnsi="仿宋" w:eastAsia="仿宋" w:cs="仿宋"/>
          <w:sz w:val="24"/>
          <w:szCs w:val="24"/>
          <w:u w:val="dotted"/>
          <w:lang w:eastAsia="zh-CN"/>
        </w:rPr>
        <w:t xml:space="preserve">                                                                               </w:t>
      </w:r>
    </w:p>
    <w:p w14:paraId="7AEACBB0">
      <w:pPr>
        <w:pStyle w:val="22"/>
        <w:widowControl w:val="0"/>
        <w:adjustRightInd w:val="0"/>
        <w:snapToGrid w:val="0"/>
        <w:spacing w:line="400" w:lineRule="exact"/>
        <w:ind w:left="1850" w:leftChars="771"/>
        <w:jc w:val="both"/>
        <w:rPr>
          <w:rFonts w:ascii="仿宋" w:hAnsi="仿宋" w:eastAsia="仿宋"/>
          <w:sz w:val="24"/>
          <w:szCs w:val="24"/>
          <w:lang w:eastAsia="zh-CN"/>
        </w:rPr>
      </w:pPr>
      <w:r>
        <mc:AlternateContent>
          <mc:Choice Requires="wps">
            <w:drawing>
              <wp:anchor distT="0" distB="0" distL="114300" distR="114300" simplePos="0" relativeHeight="251927552" behindDoc="0" locked="0" layoutInCell="1" allowOverlap="1">
                <wp:simplePos x="0" y="0"/>
                <wp:positionH relativeFrom="column">
                  <wp:posOffset>-114300</wp:posOffset>
                </wp:positionH>
                <wp:positionV relativeFrom="paragraph">
                  <wp:posOffset>5715</wp:posOffset>
                </wp:positionV>
                <wp:extent cx="737235" cy="354330"/>
                <wp:effectExtent l="0" t="0" r="0" b="0"/>
                <wp:wrapNone/>
                <wp:docPr id="393" name="文本框 1054"/>
                <wp:cNvGraphicFramePr/>
                <a:graphic xmlns:a="http://schemas.openxmlformats.org/drawingml/2006/main">
                  <a:graphicData uri="http://schemas.microsoft.com/office/word/2010/wordprocessingShape">
                    <wps:wsp>
                      <wps:cNvSpPr txBox="1"/>
                      <wps:spPr>
                        <a:xfrm>
                          <a:off x="0" y="0"/>
                          <a:ext cx="737235" cy="354330"/>
                        </a:xfrm>
                        <a:prstGeom prst="rect">
                          <a:avLst/>
                        </a:prstGeom>
                        <a:noFill/>
                        <a:ln w="12700">
                          <a:noFill/>
                        </a:ln>
                      </wps:spPr>
                      <wps:txbx>
                        <w:txbxContent>
                          <w:p w14:paraId="57321F6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交付工程</w:t>
                            </w:r>
                          </w:p>
                        </w:txbxContent>
                      </wps:txbx>
                      <wps:bodyPr rot="0" vert="horz" wrap="square" lIns="91440" tIns="45720" rIns="91440" bIns="45720" anchor="t" anchorCtr="0"/>
                    </wps:wsp>
                  </a:graphicData>
                </a:graphic>
              </wp:anchor>
            </w:drawing>
          </mc:Choice>
          <mc:Fallback>
            <w:pict>
              <v:shape id="文本框 1054" o:spid="_x0000_s1026" o:spt="202" type="#_x0000_t202" style="position:absolute;left:0pt;margin-left:-9pt;margin-top:0.45pt;height:27.9pt;width:58.05pt;z-index:251927552;mso-width-relative:page;mso-height-relative:page;" filled="f" stroked="f" coordsize="21600,21600" o:gfxdata="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i&#10;40WM1gAAAAYBAAAPAAAAAAAAAAEAIAAAACIAAABkcnMvZG93bnJldi54bWxQSwECFAAUAAAACACH&#10;TuJAYcBa8u0BAAC/AwAADgAAAAAAAAABACAAAAAlAQAAZHJzL2Uyb0RvYy54bWxQSwUGAAAAAAYA&#10;BgBZAQAAhAUAAAAA&#10;">
                <v:fill on="f" focussize="0,0"/>
                <v:stroke on="f" weight="1pt"/>
                <v:imagedata o:title=""/>
                <o:lock v:ext="edit" aspectratio="f"/>
                <v:textbox>
                  <w:txbxContent>
                    <w:p w14:paraId="57321F6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交付工程</w:t>
                      </w:r>
                    </w:p>
                  </w:txbxContent>
                </v:textbox>
              </v:shape>
            </w:pict>
          </mc:Fallback>
        </mc:AlternateContent>
      </w:r>
      <w:r>
        <w:rPr>
          <w:rFonts w:hint="eastAsia" w:ascii="仿宋" w:hAnsi="仿宋" w:eastAsia="仿宋" w:cs="仿宋"/>
          <w:sz w:val="24"/>
          <w:szCs w:val="24"/>
          <w:lang w:eastAsia="zh-CN"/>
        </w:rPr>
        <w:t>发包人应在已核实无误的竣工结算文件上签名确认，拒不签认的，承包人可不交付竣工工程。</w:t>
      </w:r>
    </w:p>
    <w:p w14:paraId="1FC6F41C">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承包人未及时递交竣工结算文件的，发包人要求交付竣工工程，承包人应当交付；发包人不要求交付竣工工程，承包人承担照管永久工程责任。</w:t>
      </w:r>
    </w:p>
    <w:p w14:paraId="300799E7">
      <w:pPr>
        <w:pStyle w:val="22"/>
        <w:adjustRightInd w:val="0"/>
        <w:snapToGrid w:val="0"/>
        <w:spacing w:line="400" w:lineRule="exact"/>
        <w:rPr>
          <w:rFonts w:ascii="仿宋" w:hAnsi="仿宋" w:eastAsia="仿宋"/>
          <w:b/>
          <w:bCs/>
          <w:sz w:val="24"/>
          <w:szCs w:val="24"/>
          <w:u w:val="single"/>
          <w:lang w:eastAsia="zh-CN"/>
        </w:rPr>
      </w:pPr>
      <w:r>
        <w:rPr>
          <w:rFonts w:ascii="仿宋" w:hAnsi="仿宋" w:eastAsia="仿宋" w:cs="仿宋"/>
          <w:b/>
          <w:bCs/>
          <w:sz w:val="24"/>
          <w:szCs w:val="24"/>
          <w:u w:val="single"/>
          <w:lang w:eastAsia="zh-CN"/>
        </w:rPr>
        <w:t xml:space="preserve">                                                                                     </w:t>
      </w:r>
    </w:p>
    <w:p w14:paraId="18AE29D5">
      <w:pPr>
        <w:pStyle w:val="4"/>
        <w:tabs>
          <w:tab w:val="left" w:pos="420"/>
        </w:tabs>
        <w:spacing w:before="0" w:after="0" w:line="400" w:lineRule="exact"/>
        <w:rPr>
          <w:rFonts w:ascii="仿宋" w:hAnsi="仿宋" w:eastAsia="仿宋" w:cs="仿宋"/>
          <w:bCs w:val="0"/>
          <w:sz w:val="24"/>
          <w:szCs w:val="24"/>
          <w:lang w:eastAsia="zh-CN"/>
        </w:rPr>
      </w:pPr>
      <w:bookmarkStart w:id="677" w:name="_Toc24042"/>
      <w:bookmarkStart w:id="678" w:name="_Toc194073199"/>
      <w:bookmarkStart w:id="679" w:name="_Toc28487"/>
      <w:bookmarkStart w:id="680" w:name="_Toc23304"/>
      <w:r>
        <w:rPr>
          <w:rFonts w:hint="eastAsia" w:ascii="仿宋" w:hAnsi="仿宋" w:eastAsia="仿宋" w:cs="仿宋"/>
          <w:bCs w:val="0"/>
          <w:sz w:val="24"/>
          <w:szCs w:val="24"/>
          <w:lang w:eastAsia="zh-CN"/>
        </w:rPr>
        <w:t>★</w:t>
      </w:r>
      <w:r>
        <w:rPr>
          <w:rFonts w:ascii="仿宋" w:hAnsi="仿宋" w:eastAsia="仿宋" w:cs="仿宋"/>
          <w:bCs w:val="0"/>
          <w:sz w:val="24"/>
          <w:szCs w:val="24"/>
          <w:lang w:eastAsia="zh-CN"/>
        </w:rPr>
        <w:t>8</w:t>
      </w:r>
      <w:r>
        <w:rPr>
          <w:rFonts w:hint="eastAsia" w:ascii="仿宋" w:hAnsi="仿宋" w:eastAsia="仿宋" w:cs="仿宋"/>
          <w:bCs w:val="0"/>
          <w:sz w:val="24"/>
          <w:szCs w:val="24"/>
          <w:lang w:eastAsia="zh-CN"/>
        </w:rPr>
        <w:t>8</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结算款</w:t>
      </w:r>
      <w:bookmarkEnd w:id="677"/>
      <w:bookmarkEnd w:id="678"/>
      <w:bookmarkEnd w:id="679"/>
      <w:bookmarkEnd w:id="680"/>
    </w:p>
    <w:p w14:paraId="7E2DFAC8">
      <w:pPr>
        <w:spacing w:line="400" w:lineRule="exact"/>
        <w:rPr>
          <w:rFonts w:ascii="仿宋" w:hAnsi="仿宋" w:eastAsia="仿宋" w:cs="仿宋"/>
          <w:lang w:eastAsia="zh-CN"/>
        </w:rPr>
      </w:pPr>
      <w:bookmarkStart w:id="681" w:name="_Toc26261"/>
      <w:r>
        <w:rPr>
          <w:rFonts w:ascii="仿宋" w:hAnsi="仿宋" w:eastAsia="仿宋" w:cs="仿宋"/>
          <w:b/>
          <w:bCs/>
          <w:lang w:eastAsia="zh-CN"/>
        </w:rPr>
        <w:t>8</w:t>
      </w:r>
      <w:r>
        <w:rPr>
          <w:rFonts w:hint="eastAsia" w:ascii="仿宋" w:hAnsi="仿宋" w:eastAsia="仿宋" w:cs="仿宋"/>
          <w:b/>
          <w:bCs/>
          <w:lang w:eastAsia="zh-CN"/>
        </w:rPr>
        <w:t>8</w:t>
      </w:r>
      <w:r>
        <w:rPr>
          <w:rFonts w:ascii="仿宋" w:hAnsi="仿宋" w:eastAsia="仿宋" w:cs="仿宋"/>
          <w:b/>
          <w:bCs/>
          <w:lang w:eastAsia="zh-CN"/>
        </w:rPr>
        <w:t>.1</w:t>
      </w:r>
      <w:bookmarkEnd w:id="681"/>
    </w:p>
    <w:p w14:paraId="4F4BF3E6">
      <w:pPr>
        <w:pStyle w:val="22"/>
        <w:widowControl w:val="0"/>
        <w:adjustRightInd w:val="0"/>
        <w:snapToGrid w:val="0"/>
        <w:spacing w:line="400" w:lineRule="exact"/>
        <w:ind w:left="1850" w:leftChars="771"/>
        <w:jc w:val="both"/>
        <w:rPr>
          <w:rFonts w:ascii="仿宋" w:hAnsi="仿宋" w:eastAsia="仿宋"/>
          <w:sz w:val="24"/>
          <w:szCs w:val="24"/>
          <w:lang w:eastAsia="zh-CN"/>
        </w:rPr>
      </w:pPr>
      <w:r>
        <mc:AlternateContent>
          <mc:Choice Requires="wps">
            <w:drawing>
              <wp:anchor distT="0" distB="0" distL="114300" distR="114300" simplePos="0" relativeHeight="251928576" behindDoc="0" locked="0" layoutInCell="1" allowOverlap="1">
                <wp:simplePos x="0" y="0"/>
                <wp:positionH relativeFrom="column">
                  <wp:posOffset>-114300</wp:posOffset>
                </wp:positionH>
                <wp:positionV relativeFrom="paragraph">
                  <wp:posOffset>36195</wp:posOffset>
                </wp:positionV>
                <wp:extent cx="861060" cy="612140"/>
                <wp:effectExtent l="0" t="0" r="0" b="0"/>
                <wp:wrapNone/>
                <wp:docPr id="394" name="文本框 1055"/>
                <wp:cNvGraphicFramePr/>
                <a:graphic xmlns:a="http://schemas.openxmlformats.org/drawingml/2006/main">
                  <a:graphicData uri="http://schemas.microsoft.com/office/word/2010/wordprocessingShape">
                    <wps:wsp>
                      <wps:cNvSpPr txBox="1"/>
                      <wps:spPr>
                        <a:xfrm>
                          <a:off x="0" y="0"/>
                          <a:ext cx="861060" cy="612140"/>
                        </a:xfrm>
                        <a:prstGeom prst="rect">
                          <a:avLst/>
                        </a:prstGeom>
                        <a:noFill/>
                        <a:ln w="12700">
                          <a:noFill/>
                        </a:ln>
                      </wps:spPr>
                      <wps:txbx>
                        <w:txbxContent>
                          <w:p w14:paraId="094E060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提交竣工支付申请</w:t>
                            </w:r>
                          </w:p>
                        </w:txbxContent>
                      </wps:txbx>
                      <wps:bodyPr rot="0" vert="horz" wrap="square" lIns="91440" tIns="45720" rIns="91440" bIns="45720" anchor="t" anchorCtr="0"/>
                    </wps:wsp>
                  </a:graphicData>
                </a:graphic>
              </wp:anchor>
            </w:drawing>
          </mc:Choice>
          <mc:Fallback>
            <w:pict>
              <v:shape id="文本框 1055" o:spid="_x0000_s1026" o:spt="202" type="#_x0000_t202" style="position:absolute;left:0pt;margin-left:-9pt;margin-top:2.85pt;height:48.2pt;width:67.8pt;z-index:251928576;mso-width-relative:page;mso-height-relative:page;" filled="f" stroked="f" coordsize="21600,21600" o:gfxdata="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iXkkDYAAAACQEAAA8AAAAAAAAAAQAgAAAAIgAAAGRycy9kb3ducmV2LnhtbFBLAQIUABQAAAAI&#10;AIdO4kCxbN5X7QEAAL8DAAAOAAAAAAAAAAEAIAAAACcBAABkcnMvZTJvRG9jLnhtbFBLBQYAAAAA&#10;BgAGAFkBAACGBQAAAAA=&#10;">
                <v:fill on="f" focussize="0,0"/>
                <v:stroke on="f" weight="1pt"/>
                <v:imagedata o:title=""/>
                <o:lock v:ext="edit" aspectratio="f"/>
                <v:textbox>
                  <w:txbxContent>
                    <w:p w14:paraId="094E060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提交竣工支付申请</w:t>
                      </w:r>
                    </w:p>
                  </w:txbxContent>
                </v:textbox>
              </v:shape>
            </w:pict>
          </mc:Fallback>
        </mc:AlternateContent>
      </w:r>
      <w:r>
        <w:rPr>
          <w:rFonts w:hint="eastAsia" w:ascii="仿宋" w:hAnsi="仿宋" w:eastAsia="仿宋" w:cs="仿宋"/>
          <w:sz w:val="24"/>
          <w:szCs w:val="24"/>
          <w:lang w:eastAsia="zh-CN"/>
        </w:rPr>
        <w:t>合同双方当事人应在专用条款中明确结算款的支付时限。专用条款没有约定的，结算款支付按照第</w:t>
      </w:r>
      <w:r>
        <w:rPr>
          <w:rFonts w:ascii="仿宋" w:hAnsi="仿宋" w:eastAsia="仿宋" w:cs="仿宋"/>
          <w:sz w:val="24"/>
          <w:szCs w:val="24"/>
          <w:lang w:eastAsia="zh-CN"/>
        </w:rPr>
        <w:t>8</w:t>
      </w:r>
      <w:r>
        <w:rPr>
          <w:rFonts w:hint="eastAsia" w:ascii="仿宋" w:hAnsi="仿宋" w:eastAsia="仿宋" w:cs="仿宋"/>
          <w:sz w:val="24"/>
          <w:szCs w:val="24"/>
          <w:lang w:eastAsia="zh-CN"/>
        </w:rPr>
        <w:t>8</w:t>
      </w:r>
      <w:r>
        <w:rPr>
          <w:rFonts w:ascii="仿宋" w:hAnsi="仿宋" w:eastAsia="仿宋" w:cs="仿宋"/>
          <w:sz w:val="24"/>
          <w:szCs w:val="24"/>
          <w:lang w:eastAsia="zh-CN"/>
        </w:rPr>
        <w:t>.2</w:t>
      </w:r>
      <w:r>
        <w:rPr>
          <w:rFonts w:hint="eastAsia" w:ascii="仿宋" w:hAnsi="仿宋" w:eastAsia="仿宋" w:cs="仿宋"/>
          <w:sz w:val="24"/>
          <w:szCs w:val="24"/>
          <w:lang w:eastAsia="zh-CN"/>
        </w:rPr>
        <w:t>款至第</w:t>
      </w:r>
      <w:r>
        <w:rPr>
          <w:rFonts w:ascii="仿宋" w:hAnsi="仿宋" w:eastAsia="仿宋" w:cs="仿宋"/>
          <w:sz w:val="24"/>
          <w:szCs w:val="24"/>
          <w:lang w:eastAsia="zh-CN"/>
        </w:rPr>
        <w:t>8</w:t>
      </w:r>
      <w:r>
        <w:rPr>
          <w:rFonts w:hint="eastAsia" w:ascii="仿宋" w:hAnsi="仿宋" w:eastAsia="仿宋" w:cs="仿宋"/>
          <w:sz w:val="24"/>
          <w:szCs w:val="24"/>
          <w:lang w:eastAsia="zh-CN"/>
        </w:rPr>
        <w:t>8</w:t>
      </w:r>
      <w:r>
        <w:rPr>
          <w:rFonts w:ascii="仿宋" w:hAnsi="仿宋" w:eastAsia="仿宋" w:cs="仿宋"/>
          <w:sz w:val="24"/>
          <w:szCs w:val="24"/>
          <w:lang w:eastAsia="zh-CN"/>
        </w:rPr>
        <w:t>.5</w:t>
      </w:r>
      <w:r>
        <w:rPr>
          <w:rFonts w:hint="eastAsia" w:ascii="仿宋" w:hAnsi="仿宋" w:eastAsia="仿宋" w:cs="仿宋"/>
          <w:sz w:val="24"/>
          <w:szCs w:val="24"/>
          <w:lang w:eastAsia="zh-CN"/>
        </w:rPr>
        <w:t>款约定办理。涉及政府投资资金的工程</w:t>
      </w:r>
      <w:r>
        <w:rPr>
          <w:rFonts w:ascii="仿宋" w:hAnsi="仿宋" w:eastAsia="仿宋" w:cs="仿宋"/>
          <w:sz w:val="24"/>
          <w:szCs w:val="24"/>
          <w:lang w:eastAsia="zh-CN"/>
        </w:rPr>
        <w:t>,</w:t>
      </w:r>
      <w:r>
        <w:rPr>
          <w:rFonts w:hint="eastAsia" w:ascii="仿宋" w:hAnsi="仿宋" w:eastAsia="仿宋" w:cs="仿宋"/>
          <w:sz w:val="24"/>
          <w:szCs w:val="24"/>
          <w:lang w:eastAsia="zh-CN"/>
        </w:rPr>
        <w:t>支付期、支付方法等需调整的，应在专用条款中约定。</w:t>
      </w:r>
    </w:p>
    <w:p w14:paraId="13ABFFF7">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承包人在向造价咨询人递交竣工结算文件时，根据国家、省规定的格式向造价咨询人递交由承包人代表签认的竣工结算支付申请和竣工结算款额报告一式四份，并附上完整的结算资料，详细列出下列内容，同时抄送发包人、监理人各一份。</w:t>
      </w:r>
    </w:p>
    <w:p w14:paraId="212CFB4B">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1</w:t>
      </w:r>
      <w:r>
        <w:rPr>
          <w:rFonts w:hint="eastAsia" w:ascii="仿宋" w:hAnsi="仿宋" w:eastAsia="仿宋" w:cs="仿宋"/>
          <w:sz w:val="24"/>
          <w:szCs w:val="24"/>
          <w:lang w:eastAsia="zh-CN"/>
        </w:rPr>
        <w:t>）根据合同完成总承包范围内所有工作和全部工程的竣工结算总价；</w:t>
      </w:r>
    </w:p>
    <w:p w14:paraId="0DB354D2">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w:t>
      </w:r>
      <w:r>
        <w:rPr>
          <w:rFonts w:ascii="仿宋" w:hAnsi="仿宋" w:eastAsia="仿宋" w:cs="仿宋"/>
          <w:sz w:val="24"/>
          <w:szCs w:val="24"/>
          <w:lang w:eastAsia="zh-CN"/>
        </w:rPr>
        <w:t>2</w:t>
      </w:r>
      <w:r>
        <w:rPr>
          <w:rFonts w:hint="eastAsia" w:ascii="仿宋" w:hAnsi="仿宋" w:eastAsia="仿宋" w:cs="仿宋"/>
          <w:sz w:val="24"/>
          <w:szCs w:val="24"/>
          <w:lang w:eastAsia="zh-CN"/>
        </w:rPr>
        <w:t>）根据合同约定发包人应付的剩余所有款项，包括工程勘察费、工程设计费、BIM技术应用费、设备及工器具购置费（如果有）和建筑安装工程费等应付未付金额。</w:t>
      </w:r>
    </w:p>
    <w:p w14:paraId="3306779F">
      <w:pPr>
        <w:spacing w:line="400" w:lineRule="exact"/>
        <w:rPr>
          <w:rFonts w:ascii="仿宋" w:hAnsi="仿宋" w:eastAsia="仿宋"/>
          <w:b/>
          <w:bCs/>
          <w:u w:val="single"/>
          <w:lang w:eastAsia="zh-CN"/>
        </w:rPr>
      </w:pPr>
      <w:bookmarkStart w:id="682" w:name="_Toc25185"/>
      <w:r>
        <w:rPr>
          <w:rFonts w:ascii="仿宋" w:hAnsi="仿宋" w:eastAsia="仿宋" w:cs="仿宋"/>
          <w:b/>
          <w:bCs/>
          <w:lang w:eastAsia="zh-CN"/>
        </w:rPr>
        <w:t>8</w:t>
      </w:r>
      <w:r>
        <w:rPr>
          <w:rFonts w:hint="eastAsia" w:ascii="仿宋" w:hAnsi="仿宋" w:eastAsia="仿宋" w:cs="仿宋"/>
          <w:b/>
          <w:bCs/>
          <w:lang w:eastAsia="zh-CN"/>
        </w:rPr>
        <w:t>8</w:t>
      </w:r>
      <w:r>
        <w:rPr>
          <w:rFonts w:ascii="仿宋" w:hAnsi="仿宋" w:eastAsia="仿宋" w:cs="仿宋"/>
          <w:b/>
          <w:bCs/>
          <w:lang w:eastAsia="zh-CN"/>
        </w:rPr>
        <w:t>.2</w:t>
      </w:r>
      <w:bookmarkEnd w:id="682"/>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0F7E0EC6">
      <w:pPr>
        <w:pStyle w:val="22"/>
        <w:widowControl w:val="0"/>
        <w:adjustRightInd w:val="0"/>
        <w:snapToGrid w:val="0"/>
        <w:spacing w:line="400" w:lineRule="exact"/>
        <w:ind w:left="1850" w:leftChars="771"/>
        <w:jc w:val="both"/>
        <w:rPr>
          <w:rFonts w:ascii="仿宋" w:hAnsi="仿宋" w:eastAsia="仿宋"/>
          <w:sz w:val="24"/>
          <w:szCs w:val="24"/>
          <w:u w:val="single"/>
          <w:lang w:eastAsia="zh-CN"/>
        </w:rPr>
      </w:pPr>
      <w:r>
        <mc:AlternateContent>
          <mc:Choice Requires="wps">
            <w:drawing>
              <wp:anchor distT="0" distB="0" distL="114300" distR="114300" simplePos="0" relativeHeight="251929600" behindDoc="0" locked="0" layoutInCell="1" allowOverlap="1">
                <wp:simplePos x="0" y="0"/>
                <wp:positionH relativeFrom="column">
                  <wp:posOffset>-114300</wp:posOffset>
                </wp:positionH>
                <wp:positionV relativeFrom="paragraph">
                  <wp:posOffset>15875</wp:posOffset>
                </wp:positionV>
                <wp:extent cx="842645" cy="622935"/>
                <wp:effectExtent l="0" t="0" r="0" b="0"/>
                <wp:wrapNone/>
                <wp:docPr id="395" name="文本框 1056"/>
                <wp:cNvGraphicFramePr/>
                <a:graphic xmlns:a="http://schemas.openxmlformats.org/drawingml/2006/main">
                  <a:graphicData uri="http://schemas.microsoft.com/office/word/2010/wordprocessingShape">
                    <wps:wsp>
                      <wps:cNvSpPr txBox="1"/>
                      <wps:spPr>
                        <a:xfrm>
                          <a:off x="0" y="0"/>
                          <a:ext cx="842645" cy="622935"/>
                        </a:xfrm>
                        <a:prstGeom prst="rect">
                          <a:avLst/>
                        </a:prstGeom>
                        <a:noFill/>
                        <a:ln w="12700">
                          <a:noFill/>
                        </a:ln>
                      </wps:spPr>
                      <wps:txbx>
                        <w:txbxContent>
                          <w:p w14:paraId="7C62494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txbxContent>
                      </wps:txbx>
                      <wps:bodyPr rot="0" vert="horz" wrap="square" lIns="91440" tIns="45720" rIns="91440" bIns="45720" anchor="t" anchorCtr="0"/>
                    </wps:wsp>
                  </a:graphicData>
                </a:graphic>
              </wp:anchor>
            </w:drawing>
          </mc:Choice>
          <mc:Fallback>
            <w:pict>
              <v:shape id="文本框 1056" o:spid="_x0000_s1026" o:spt="202" type="#_x0000_t202" style="position:absolute;left:0pt;margin-left:-9pt;margin-top:1.25pt;height:49.05pt;width:66.35pt;z-index:251929600;mso-width-relative:page;mso-height-relative:page;" filled="f" stroked="f" coordsize="21600,21600" o:gfxdata="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0p&#10;FqjXAAAACQEAAA8AAAAAAAAAAQAgAAAAIgAAAGRycy9kb3ducmV2LnhtbFBLAQIUABQAAAAIAIdO&#10;4kAB25TK6wEAAL8DAAAOAAAAAAAAAAEAIAAAACYBAABkcnMvZTJvRG9jLnhtbFBLBQYAAAAABgAG&#10;AFkBAACDBQAAAAA=&#10;">
                <v:fill on="f" focussize="0,0"/>
                <v:stroke on="f" weight="1pt"/>
                <v:imagedata o:title=""/>
                <o:lock v:ext="edit" aspectratio="f"/>
                <v:textbox>
                  <w:txbxContent>
                    <w:p w14:paraId="7C62494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txbxContent>
                </v:textbox>
              </v:shape>
            </w:pict>
          </mc:Fallback>
        </mc:AlternateContent>
      </w:r>
      <w:r>
        <w:rPr>
          <w:rFonts w:hint="eastAsia" w:ascii="仿宋" w:hAnsi="仿宋" w:eastAsia="仿宋" w:cs="仿宋"/>
          <w:sz w:val="24"/>
          <w:szCs w:val="24"/>
          <w:lang w:eastAsia="zh-CN"/>
        </w:rPr>
        <w:t>造价咨询人在收到第89.1款所述资料后，应按照第</w:t>
      </w:r>
      <w:r>
        <w:rPr>
          <w:rFonts w:ascii="仿宋" w:hAnsi="仿宋" w:eastAsia="仿宋" w:cs="仿宋"/>
          <w:sz w:val="24"/>
          <w:szCs w:val="24"/>
          <w:lang w:eastAsia="zh-CN"/>
        </w:rPr>
        <w:t>8</w:t>
      </w:r>
      <w:r>
        <w:rPr>
          <w:rFonts w:hint="eastAsia" w:ascii="仿宋" w:hAnsi="仿宋" w:eastAsia="仿宋" w:cs="仿宋"/>
          <w:sz w:val="24"/>
          <w:szCs w:val="24"/>
          <w:lang w:eastAsia="zh-CN"/>
        </w:rPr>
        <w:t>7</w:t>
      </w:r>
      <w:r>
        <w:rPr>
          <w:rFonts w:ascii="仿宋" w:hAnsi="仿宋" w:eastAsia="仿宋" w:cs="仿宋"/>
          <w:sz w:val="24"/>
          <w:szCs w:val="24"/>
          <w:lang w:eastAsia="zh-CN"/>
        </w:rPr>
        <w:t>.3</w:t>
      </w:r>
      <w:r>
        <w:rPr>
          <w:rFonts w:hint="eastAsia" w:ascii="仿宋" w:hAnsi="仿宋" w:eastAsia="仿宋" w:cs="仿宋"/>
          <w:sz w:val="24"/>
          <w:szCs w:val="24"/>
          <w:lang w:eastAsia="zh-CN"/>
        </w:rPr>
        <w:t>款、第</w:t>
      </w:r>
      <w:r>
        <w:rPr>
          <w:rFonts w:ascii="仿宋" w:hAnsi="仿宋" w:eastAsia="仿宋" w:cs="仿宋"/>
          <w:sz w:val="24"/>
          <w:szCs w:val="24"/>
          <w:lang w:eastAsia="zh-CN"/>
        </w:rPr>
        <w:t>8</w:t>
      </w:r>
      <w:r>
        <w:rPr>
          <w:rFonts w:hint="eastAsia" w:ascii="仿宋" w:hAnsi="仿宋" w:eastAsia="仿宋" w:cs="仿宋"/>
          <w:sz w:val="24"/>
          <w:szCs w:val="24"/>
          <w:lang w:eastAsia="zh-CN"/>
        </w:rPr>
        <w:t>7</w:t>
      </w:r>
      <w:r>
        <w:rPr>
          <w:rFonts w:ascii="仿宋" w:hAnsi="仿宋" w:eastAsia="仿宋" w:cs="仿宋"/>
          <w:sz w:val="24"/>
          <w:szCs w:val="24"/>
          <w:lang w:eastAsia="zh-CN"/>
        </w:rPr>
        <w:t>.4</w:t>
      </w:r>
      <w:r>
        <w:rPr>
          <w:rFonts w:hint="eastAsia" w:ascii="仿宋" w:hAnsi="仿宋" w:eastAsia="仿宋" w:cs="仿宋"/>
          <w:sz w:val="24"/>
          <w:szCs w:val="24"/>
          <w:lang w:eastAsia="zh-CN"/>
        </w:rPr>
        <w:t>款约定核实竣工结算文件，并在发包人签字确认竣工结算文件后的</w:t>
      </w:r>
      <w:r>
        <w:rPr>
          <w:rFonts w:ascii="仿宋" w:hAnsi="仿宋" w:eastAsia="仿宋" w:cs="仿宋"/>
          <w:sz w:val="24"/>
          <w:szCs w:val="24"/>
          <w:lang w:eastAsia="zh-CN"/>
        </w:rPr>
        <w:t>7</w:t>
      </w:r>
      <w:r>
        <w:rPr>
          <w:rFonts w:hint="eastAsia" w:ascii="仿宋" w:hAnsi="仿宋" w:eastAsia="仿宋" w:cs="仿宋"/>
          <w:sz w:val="24"/>
          <w:szCs w:val="24"/>
          <w:lang w:eastAsia="zh-CN"/>
        </w:rPr>
        <w:t>天内，向发包人签发竣工结算支付证书，同时抄送承包人。</w:t>
      </w:r>
    </w:p>
    <w:p w14:paraId="7AF1DC00">
      <w:pPr>
        <w:spacing w:line="400" w:lineRule="exact"/>
        <w:rPr>
          <w:rFonts w:ascii="仿宋" w:hAnsi="仿宋" w:eastAsia="仿宋"/>
          <w:lang w:eastAsia="zh-CN"/>
        </w:rPr>
      </w:pPr>
      <w:bookmarkStart w:id="683" w:name="_Toc27666"/>
      <w:r>
        <w:rPr>
          <w:rFonts w:ascii="仿宋" w:hAnsi="仿宋" w:eastAsia="仿宋" w:cs="仿宋"/>
          <w:b/>
          <w:bCs/>
          <w:lang w:eastAsia="zh-CN"/>
        </w:rPr>
        <w:t>8</w:t>
      </w:r>
      <w:r>
        <w:rPr>
          <w:rFonts w:hint="eastAsia" w:ascii="仿宋" w:hAnsi="仿宋" w:eastAsia="仿宋" w:cs="仿宋"/>
          <w:b/>
          <w:bCs/>
          <w:lang w:eastAsia="zh-CN"/>
        </w:rPr>
        <w:t>8</w:t>
      </w:r>
      <w:r>
        <w:rPr>
          <w:rFonts w:ascii="仿宋" w:hAnsi="仿宋" w:eastAsia="仿宋" w:cs="仿宋"/>
          <w:b/>
          <w:bCs/>
          <w:lang w:eastAsia="zh-CN"/>
        </w:rPr>
        <w:t>.3</w:t>
      </w:r>
      <w:bookmarkEnd w:id="683"/>
      <w:r>
        <w:rPr>
          <w:rFonts w:ascii="仿宋" w:hAnsi="仿宋" w:eastAsia="仿宋" w:cs="仿宋"/>
          <w:lang w:eastAsia="zh-CN"/>
        </w:rPr>
        <w:t xml:space="preserve">  </w:t>
      </w:r>
      <w:r>
        <w:rPr>
          <w:rFonts w:ascii="仿宋" w:hAnsi="仿宋" w:eastAsia="仿宋" w:cs="仿宋"/>
          <w:u w:val="dotted"/>
          <w:lang w:eastAsia="zh-CN"/>
        </w:rPr>
        <w:t xml:space="preserve">                                                                               </w:t>
      </w:r>
    </w:p>
    <w:p w14:paraId="20D36B39">
      <w:pPr>
        <w:pStyle w:val="22"/>
        <w:widowControl w:val="0"/>
        <w:adjustRightInd w:val="0"/>
        <w:snapToGrid w:val="0"/>
        <w:spacing w:line="400" w:lineRule="exact"/>
        <w:ind w:left="1850" w:leftChars="771"/>
        <w:jc w:val="both"/>
        <w:rPr>
          <w:rFonts w:ascii="仿宋" w:hAnsi="仿宋" w:eastAsia="仿宋"/>
          <w:sz w:val="24"/>
          <w:szCs w:val="24"/>
          <w:lang w:eastAsia="zh-CN"/>
        </w:rPr>
      </w:pPr>
      <w:r>
        <mc:AlternateContent>
          <mc:Choice Requires="wps">
            <w:drawing>
              <wp:anchor distT="0" distB="0" distL="114300" distR="114300" simplePos="0" relativeHeight="251930624" behindDoc="0" locked="0" layoutInCell="1" allowOverlap="1">
                <wp:simplePos x="0" y="0"/>
                <wp:positionH relativeFrom="column">
                  <wp:posOffset>-114300</wp:posOffset>
                </wp:positionH>
                <wp:positionV relativeFrom="paragraph">
                  <wp:posOffset>5715</wp:posOffset>
                </wp:positionV>
                <wp:extent cx="832485" cy="459105"/>
                <wp:effectExtent l="0" t="0" r="0" b="0"/>
                <wp:wrapNone/>
                <wp:docPr id="396" name="文本框 1057"/>
                <wp:cNvGraphicFramePr/>
                <a:graphic xmlns:a="http://schemas.openxmlformats.org/drawingml/2006/main">
                  <a:graphicData uri="http://schemas.microsoft.com/office/word/2010/wordprocessingShape">
                    <wps:wsp>
                      <wps:cNvSpPr txBox="1"/>
                      <wps:spPr>
                        <a:xfrm>
                          <a:off x="0" y="0"/>
                          <a:ext cx="832485" cy="459105"/>
                        </a:xfrm>
                        <a:prstGeom prst="rect">
                          <a:avLst/>
                        </a:prstGeom>
                        <a:noFill/>
                        <a:ln w="12700">
                          <a:noFill/>
                        </a:ln>
                      </wps:spPr>
                      <wps:txbx>
                        <w:txbxContent>
                          <w:p w14:paraId="56B985A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w:t>
                            </w:r>
                          </w:p>
                        </w:txbxContent>
                      </wps:txbx>
                      <wps:bodyPr rot="0" vert="horz" wrap="square" lIns="91440" tIns="45720" rIns="91440" bIns="45720" anchor="t" anchorCtr="0"/>
                    </wps:wsp>
                  </a:graphicData>
                </a:graphic>
              </wp:anchor>
            </w:drawing>
          </mc:Choice>
          <mc:Fallback>
            <w:pict>
              <v:shape id="文本框 1057" o:spid="_x0000_s1026" o:spt="202" type="#_x0000_t202" style="position:absolute;left:0pt;margin-left:-9pt;margin-top:0.45pt;height:36.15pt;width:65.55pt;z-index:251930624;mso-width-relative:page;mso-height-relative:page;" filled="f" stroked="f" coordsize="21600,21600" o:gfxdata="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9zRR&#10;odYAAAAHAQAADwAAAAAAAAABACAAAAAiAAAAZHJzL2Rvd25yZXYueG1sUEsBAhQAFAAAAAgAh07i&#10;QBnId3zrAQAAvwMAAA4AAAAAAAAAAQAgAAAAJQEAAGRycy9lMm9Eb2MueG1sUEsFBgAAAAAGAAYA&#10;WQEAAIIFAAAAAA==&#10;">
                <v:fill on="f" focussize="0,0"/>
                <v:stroke on="f" weight="1pt"/>
                <v:imagedata o:title=""/>
                <o:lock v:ext="edit" aspectratio="f"/>
                <v:textbox>
                  <w:txbxContent>
                    <w:p w14:paraId="56B985A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w:t>
                      </w:r>
                    </w:p>
                  </w:txbxContent>
                </v:textbox>
              </v:shape>
            </w:pict>
          </mc:Fallback>
        </mc:AlternateContent>
      </w:r>
      <w:r>
        <w:rPr>
          <w:rFonts w:hint="eastAsia" w:ascii="仿宋" w:hAnsi="仿宋" w:eastAsia="仿宋" w:cs="仿宋"/>
          <w:sz w:val="24"/>
          <w:szCs w:val="24"/>
          <w:lang w:eastAsia="zh-CN"/>
        </w:rPr>
        <w:t>发包人应在造价咨询人签发竣工结算支付证书后的</w:t>
      </w:r>
      <w:r>
        <w:rPr>
          <w:rFonts w:ascii="仿宋" w:hAnsi="仿宋" w:eastAsia="仿宋" w:cs="仿宋"/>
          <w:sz w:val="24"/>
          <w:szCs w:val="24"/>
          <w:lang w:eastAsia="zh-CN"/>
        </w:rPr>
        <w:t>28</w:t>
      </w:r>
      <w:r>
        <w:rPr>
          <w:rFonts w:hint="eastAsia" w:ascii="仿宋" w:hAnsi="仿宋" w:eastAsia="仿宋" w:cs="仿宋"/>
          <w:sz w:val="24"/>
          <w:szCs w:val="24"/>
          <w:lang w:eastAsia="zh-CN"/>
        </w:rPr>
        <w:t>天内，按照竣工结算支付证书列明的金额向承包人支付结算款，并通知造价咨询人。</w:t>
      </w:r>
    </w:p>
    <w:p w14:paraId="27C452D5">
      <w:pPr>
        <w:spacing w:line="400" w:lineRule="exact"/>
        <w:rPr>
          <w:rFonts w:ascii="仿宋" w:hAnsi="仿宋" w:eastAsia="仿宋"/>
          <w:b/>
          <w:bCs/>
          <w:lang w:eastAsia="zh-CN"/>
        </w:rPr>
      </w:pPr>
      <w:r>
        <w:rPr>
          <w:rFonts w:ascii="仿宋" w:hAnsi="仿宋" w:eastAsia="仿宋" w:cs="仿宋"/>
          <w:b/>
          <w:bCs/>
          <w:lang w:eastAsia="zh-CN"/>
        </w:rPr>
        <w:t>8</w:t>
      </w:r>
      <w:r>
        <w:rPr>
          <w:rFonts w:hint="eastAsia" w:ascii="仿宋" w:hAnsi="仿宋" w:eastAsia="仿宋" w:cs="仿宋"/>
          <w:b/>
          <w:bCs/>
          <w:lang w:eastAsia="zh-CN"/>
        </w:rPr>
        <w:t>8</w:t>
      </w:r>
      <w:r>
        <w:rPr>
          <w:rFonts w:ascii="仿宋" w:hAnsi="仿宋" w:eastAsia="仿宋" w:cs="仿宋"/>
          <w:b/>
          <w:bCs/>
          <w:lang w:eastAsia="zh-CN"/>
        </w:rPr>
        <w:t xml:space="preserve">.4  </w:t>
      </w:r>
      <w:r>
        <w:rPr>
          <w:rFonts w:ascii="仿宋" w:hAnsi="仿宋" w:eastAsia="仿宋" w:cs="仿宋"/>
          <w:b/>
          <w:bCs/>
          <w:u w:val="dotted"/>
          <w:lang w:eastAsia="zh-CN"/>
        </w:rPr>
        <w:t xml:space="preserve">                                                                               </w:t>
      </w:r>
    </w:p>
    <w:p w14:paraId="6192F15A">
      <w:pPr>
        <w:pStyle w:val="22"/>
        <w:widowControl w:val="0"/>
        <w:adjustRightInd w:val="0"/>
        <w:snapToGrid w:val="0"/>
        <w:spacing w:line="400" w:lineRule="exact"/>
        <w:ind w:left="1850" w:leftChars="771"/>
        <w:jc w:val="both"/>
        <w:rPr>
          <w:rFonts w:ascii="仿宋" w:hAnsi="仿宋" w:eastAsia="仿宋"/>
          <w:sz w:val="24"/>
          <w:szCs w:val="24"/>
          <w:lang w:eastAsia="zh-CN"/>
        </w:rPr>
      </w:pPr>
      <w:r>
        <mc:AlternateContent>
          <mc:Choice Requires="wps">
            <w:drawing>
              <wp:anchor distT="0" distB="0" distL="114300" distR="114300" simplePos="0" relativeHeight="251931648" behindDoc="0" locked="0" layoutInCell="1" allowOverlap="1">
                <wp:simplePos x="0" y="0"/>
                <wp:positionH relativeFrom="column">
                  <wp:posOffset>-66675</wp:posOffset>
                </wp:positionH>
                <wp:positionV relativeFrom="paragraph">
                  <wp:posOffset>12065</wp:posOffset>
                </wp:positionV>
                <wp:extent cx="764540" cy="579120"/>
                <wp:effectExtent l="0" t="0" r="0" b="0"/>
                <wp:wrapNone/>
                <wp:docPr id="397" name="文本框 1058"/>
                <wp:cNvGraphicFramePr/>
                <a:graphic xmlns:a="http://schemas.openxmlformats.org/drawingml/2006/main">
                  <a:graphicData uri="http://schemas.microsoft.com/office/word/2010/wordprocessingShape">
                    <wps:wsp>
                      <wps:cNvSpPr txBox="1"/>
                      <wps:spPr>
                        <a:xfrm>
                          <a:off x="0" y="0"/>
                          <a:ext cx="764540" cy="579120"/>
                        </a:xfrm>
                        <a:prstGeom prst="rect">
                          <a:avLst/>
                        </a:prstGeom>
                        <a:noFill/>
                        <a:ln w="12700">
                          <a:noFill/>
                        </a:ln>
                      </wps:spPr>
                      <wps:txbx>
                        <w:txbxContent>
                          <w:p w14:paraId="054156B9">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签发竣工结算支付证书的限制</w:t>
                            </w:r>
                          </w:p>
                        </w:txbxContent>
                      </wps:txbx>
                      <wps:bodyPr rot="0" vert="horz" wrap="square" lIns="91440" tIns="45720" rIns="91440" bIns="45720" anchor="t" anchorCtr="0"/>
                    </wps:wsp>
                  </a:graphicData>
                </a:graphic>
              </wp:anchor>
            </w:drawing>
          </mc:Choice>
          <mc:Fallback>
            <w:pict>
              <v:shape id="文本框 1058" o:spid="_x0000_s1026" o:spt="202" type="#_x0000_t202" style="position:absolute;left:0pt;margin-left:-5.25pt;margin-top:0.95pt;height:45.6pt;width:60.2pt;z-index:251931648;mso-width-relative:page;mso-height-relative:page;" filled="f" stroked="f" coordsize="21600,21600" o:gfxdata="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La4b&#10;xdYAAAAIAQAADwAAAAAAAAABACAAAAAiAAAAZHJzL2Rvd25yZXYueG1sUEsBAhQAFAAAAAgAh07i&#10;QCcV4v7rAQAAvwMAAA4AAAAAAAAAAQAgAAAAJQEAAGRycy9lMm9Eb2MueG1sUEsFBgAAAAAGAAYA&#10;WQEAAIIFAAAAAA==&#10;">
                <v:fill on="f" focussize="0,0"/>
                <v:stroke on="f" weight="1pt"/>
                <v:imagedata o:title=""/>
                <o:lock v:ext="edit" aspectratio="f"/>
                <v:textbox>
                  <w:txbxContent>
                    <w:p w14:paraId="054156B9">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签发竣工结算支付证书的限制</w:t>
                      </w:r>
                    </w:p>
                  </w:txbxContent>
                </v:textbox>
              </v:shape>
            </w:pict>
          </mc:Fallback>
        </mc:AlternateContent>
      </w:r>
      <w:r>
        <w:rPr>
          <w:rFonts w:hint="eastAsia" w:ascii="仿宋" w:hAnsi="仿宋" w:eastAsia="仿宋" w:cs="仿宋"/>
          <w:sz w:val="24"/>
          <w:szCs w:val="24"/>
          <w:lang w:eastAsia="zh-CN"/>
        </w:rPr>
        <w:t>如果造价咨询人未在第</w:t>
      </w:r>
      <w:r>
        <w:rPr>
          <w:rFonts w:ascii="仿宋" w:hAnsi="仿宋" w:eastAsia="仿宋" w:cs="仿宋"/>
          <w:sz w:val="24"/>
          <w:szCs w:val="24"/>
          <w:lang w:eastAsia="zh-CN"/>
        </w:rPr>
        <w:t>8</w:t>
      </w:r>
      <w:r>
        <w:rPr>
          <w:rFonts w:hint="eastAsia" w:ascii="仿宋" w:hAnsi="仿宋" w:eastAsia="仿宋" w:cs="仿宋"/>
          <w:sz w:val="24"/>
          <w:szCs w:val="24"/>
          <w:lang w:eastAsia="zh-CN"/>
        </w:rPr>
        <w:t>8</w:t>
      </w:r>
      <w:r>
        <w:rPr>
          <w:rFonts w:ascii="仿宋" w:hAnsi="仿宋" w:eastAsia="仿宋" w:cs="仿宋"/>
          <w:sz w:val="24"/>
          <w:szCs w:val="24"/>
          <w:lang w:eastAsia="zh-CN"/>
        </w:rPr>
        <w:t>.2</w:t>
      </w:r>
      <w:r>
        <w:rPr>
          <w:rFonts w:hint="eastAsia" w:ascii="仿宋" w:hAnsi="仿宋" w:eastAsia="仿宋" w:cs="仿宋"/>
          <w:sz w:val="24"/>
          <w:szCs w:val="24"/>
          <w:lang w:eastAsia="zh-CN"/>
        </w:rPr>
        <w:t>款约定的期限内签发竣工结算支付证书的，则视为承包人提交的竣工支付申请已被认可，承包人应及时向发包人发出要求支付竣工结算款的通知。发包人应在收到通知后的</w:t>
      </w:r>
      <w:r>
        <w:rPr>
          <w:rFonts w:ascii="仿宋" w:hAnsi="仿宋" w:eastAsia="仿宋" w:cs="仿宋"/>
          <w:sz w:val="24"/>
          <w:szCs w:val="24"/>
          <w:lang w:eastAsia="zh-CN"/>
        </w:rPr>
        <w:t>28</w:t>
      </w:r>
      <w:r>
        <w:rPr>
          <w:rFonts w:hint="eastAsia" w:ascii="仿宋" w:hAnsi="仿宋" w:eastAsia="仿宋" w:cs="仿宋"/>
          <w:sz w:val="24"/>
          <w:szCs w:val="24"/>
          <w:lang w:eastAsia="zh-CN"/>
        </w:rPr>
        <w:t>天内，按照承包人支付申请列明的金额向承包人支付竣工结算款。</w:t>
      </w:r>
    </w:p>
    <w:p w14:paraId="3925EBD7">
      <w:pPr>
        <w:spacing w:line="400" w:lineRule="exact"/>
        <w:rPr>
          <w:rFonts w:ascii="仿宋" w:hAnsi="仿宋" w:eastAsia="仿宋"/>
          <w:b/>
          <w:bCs/>
          <w:lang w:eastAsia="zh-CN"/>
        </w:rPr>
      </w:pPr>
      <w:r>
        <w:rPr>
          <w:rFonts w:ascii="仿宋" w:hAnsi="仿宋" w:eastAsia="仿宋" w:cs="仿宋"/>
          <w:b/>
          <w:bCs/>
          <w:lang w:eastAsia="zh-CN"/>
        </w:rPr>
        <w:t>8</w:t>
      </w:r>
      <w:r>
        <w:rPr>
          <w:rFonts w:hint="eastAsia" w:ascii="仿宋" w:hAnsi="仿宋" w:eastAsia="仿宋" w:cs="仿宋"/>
          <w:b/>
          <w:bCs/>
          <w:lang w:eastAsia="zh-CN"/>
        </w:rPr>
        <w:t>8</w:t>
      </w:r>
      <w:r>
        <w:rPr>
          <w:rFonts w:ascii="仿宋" w:hAnsi="仿宋" w:eastAsia="仿宋" w:cs="仿宋"/>
          <w:b/>
          <w:bCs/>
          <w:lang w:eastAsia="zh-CN"/>
        </w:rPr>
        <w:t xml:space="preserve">.5  </w:t>
      </w:r>
      <w:r>
        <w:rPr>
          <w:rFonts w:ascii="仿宋" w:hAnsi="仿宋" w:eastAsia="仿宋" w:cs="仿宋"/>
          <w:b/>
          <w:bCs/>
          <w:u w:val="dotted"/>
          <w:lang w:eastAsia="zh-CN"/>
        </w:rPr>
        <w:t xml:space="preserve">                                                                               </w:t>
      </w:r>
    </w:p>
    <w:p w14:paraId="509FEBFB">
      <w:pPr>
        <w:pStyle w:val="22"/>
        <w:widowControl w:val="0"/>
        <w:adjustRightInd w:val="0"/>
        <w:snapToGrid w:val="0"/>
        <w:spacing w:line="400" w:lineRule="exact"/>
        <w:ind w:left="1850" w:leftChars="771"/>
        <w:jc w:val="both"/>
        <w:rPr>
          <w:rFonts w:ascii="仿宋" w:hAnsi="仿宋" w:eastAsia="仿宋"/>
          <w:sz w:val="24"/>
          <w:szCs w:val="24"/>
          <w:lang w:eastAsia="zh-CN"/>
        </w:rPr>
      </w:pPr>
      <w:r>
        <mc:AlternateContent>
          <mc:Choice Requires="wps">
            <w:drawing>
              <wp:anchor distT="0" distB="0" distL="114300" distR="114300" simplePos="0" relativeHeight="251932672" behindDoc="0" locked="0" layoutInCell="1" allowOverlap="1">
                <wp:simplePos x="0" y="0"/>
                <wp:positionH relativeFrom="column">
                  <wp:posOffset>-114300</wp:posOffset>
                </wp:positionH>
                <wp:positionV relativeFrom="paragraph">
                  <wp:posOffset>58420</wp:posOffset>
                </wp:positionV>
                <wp:extent cx="756920" cy="580390"/>
                <wp:effectExtent l="0" t="0" r="0" b="0"/>
                <wp:wrapNone/>
                <wp:docPr id="398" name="文本框 1059"/>
                <wp:cNvGraphicFramePr/>
                <a:graphic xmlns:a="http://schemas.openxmlformats.org/drawingml/2006/main">
                  <a:graphicData uri="http://schemas.microsoft.com/office/word/2010/wordprocessingShape">
                    <wps:wsp>
                      <wps:cNvSpPr txBox="1"/>
                      <wps:spPr>
                        <a:xfrm>
                          <a:off x="0" y="0"/>
                          <a:ext cx="756920" cy="580390"/>
                        </a:xfrm>
                        <a:prstGeom prst="rect">
                          <a:avLst/>
                        </a:prstGeom>
                        <a:noFill/>
                        <a:ln w="12700">
                          <a:noFill/>
                        </a:ln>
                      </wps:spPr>
                      <wps:txbx>
                        <w:txbxContent>
                          <w:p w14:paraId="63E0AFE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txbxContent>
                      </wps:txbx>
                      <wps:bodyPr rot="0" vert="horz" wrap="square" lIns="91440" tIns="45720" rIns="91440" bIns="45720" anchor="t" anchorCtr="0"/>
                    </wps:wsp>
                  </a:graphicData>
                </a:graphic>
              </wp:anchor>
            </w:drawing>
          </mc:Choice>
          <mc:Fallback>
            <w:pict>
              <v:shape id="文本框 1059" o:spid="_x0000_s1026" o:spt="202" type="#_x0000_t202" style="position:absolute;left:0pt;margin-left:-9pt;margin-top:4.6pt;height:45.7pt;width:59.6pt;z-index:251932672;mso-width-relative:page;mso-height-relative:page;" filled="f" stroked="f" coordsize="21600,21600" o:gfxdata="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fr&#10;xmnWAAAACQEAAA8AAAAAAAAAAQAgAAAAIgAAAGRycy9kb3ducmV2LnhtbFBLAQIUABQAAAAIAIdO&#10;4kAbPU3+7AEAAL8DAAAOAAAAAAAAAAEAIAAAACUBAABkcnMvZTJvRG9jLnhtbFBLBQYAAAAABgAG&#10;AFkBAACDBQAAAAA=&#10;">
                <v:fill on="f" focussize="0,0"/>
                <v:stroke on="f" weight="1pt"/>
                <v:imagedata o:title=""/>
                <o:lock v:ext="edit" aspectratio="f"/>
                <v:textbox>
                  <w:txbxContent>
                    <w:p w14:paraId="63E0AFE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txbxContent>
                </v:textbox>
              </v:shape>
            </w:pict>
          </mc:Fallback>
        </mc:AlternateContent>
      </w:r>
      <w:r>
        <w:rPr>
          <w:rFonts w:hint="eastAsia" w:ascii="仿宋" w:hAnsi="仿宋" w:eastAsia="仿宋" w:cs="仿宋"/>
          <w:sz w:val="24"/>
          <w:szCs w:val="24"/>
          <w:lang w:eastAsia="zh-CN"/>
        </w:rPr>
        <w:t>发包人未按照第</w:t>
      </w:r>
      <w:r>
        <w:rPr>
          <w:rFonts w:ascii="仿宋" w:hAnsi="仿宋" w:eastAsia="仿宋" w:cs="仿宋"/>
          <w:sz w:val="24"/>
          <w:szCs w:val="24"/>
          <w:lang w:eastAsia="zh-CN"/>
        </w:rPr>
        <w:t>8</w:t>
      </w:r>
      <w:r>
        <w:rPr>
          <w:rFonts w:hint="eastAsia" w:ascii="仿宋" w:hAnsi="仿宋" w:eastAsia="仿宋" w:cs="仿宋"/>
          <w:sz w:val="24"/>
          <w:szCs w:val="24"/>
          <w:lang w:eastAsia="zh-CN"/>
        </w:rPr>
        <w:t>8</w:t>
      </w:r>
      <w:r>
        <w:rPr>
          <w:rFonts w:ascii="仿宋" w:hAnsi="仿宋" w:eastAsia="仿宋" w:cs="仿宋"/>
          <w:sz w:val="24"/>
          <w:szCs w:val="24"/>
          <w:lang w:eastAsia="zh-CN"/>
        </w:rPr>
        <w:t>.3</w:t>
      </w:r>
      <w:r>
        <w:rPr>
          <w:rFonts w:hint="eastAsia" w:ascii="仿宋" w:hAnsi="仿宋" w:eastAsia="仿宋" w:cs="仿宋"/>
          <w:sz w:val="24"/>
          <w:szCs w:val="24"/>
          <w:lang w:eastAsia="zh-CN"/>
        </w:rPr>
        <w:t>款和第</w:t>
      </w:r>
      <w:r>
        <w:rPr>
          <w:rFonts w:ascii="仿宋" w:hAnsi="仿宋" w:eastAsia="仿宋" w:cs="仿宋"/>
          <w:sz w:val="24"/>
          <w:szCs w:val="24"/>
          <w:lang w:eastAsia="zh-CN"/>
        </w:rPr>
        <w:t>8</w:t>
      </w:r>
      <w:r>
        <w:rPr>
          <w:rFonts w:hint="eastAsia" w:ascii="仿宋" w:hAnsi="仿宋" w:eastAsia="仿宋" w:cs="仿宋"/>
          <w:sz w:val="24"/>
          <w:szCs w:val="24"/>
          <w:lang w:eastAsia="zh-CN"/>
        </w:rPr>
        <w:t>8</w:t>
      </w:r>
      <w:r>
        <w:rPr>
          <w:rFonts w:ascii="仿宋" w:hAnsi="仿宋" w:eastAsia="仿宋" w:cs="仿宋"/>
          <w:sz w:val="24"/>
          <w:szCs w:val="24"/>
          <w:lang w:eastAsia="zh-CN"/>
        </w:rPr>
        <w:t>.4</w:t>
      </w:r>
      <w:r>
        <w:rPr>
          <w:rFonts w:hint="eastAsia" w:ascii="仿宋" w:hAnsi="仿宋" w:eastAsia="仿宋" w:cs="仿宋"/>
          <w:sz w:val="24"/>
          <w:szCs w:val="24"/>
          <w:lang w:eastAsia="zh-CN"/>
        </w:rPr>
        <w:t>款约定支付竣工结算款的，承包人可催告发包人支付竣工结算款，如双方达成延期支付协议，承包人有权按照第83</w:t>
      </w:r>
      <w:r>
        <w:rPr>
          <w:rFonts w:ascii="仿宋" w:hAnsi="仿宋" w:eastAsia="仿宋" w:cs="仿宋"/>
          <w:sz w:val="24"/>
          <w:szCs w:val="24"/>
          <w:lang w:eastAsia="zh-CN"/>
        </w:rPr>
        <w:t>.2</w:t>
      </w:r>
      <w:r>
        <w:rPr>
          <w:rFonts w:hint="eastAsia" w:ascii="仿宋" w:hAnsi="仿宋" w:eastAsia="仿宋" w:cs="仿宋"/>
          <w:sz w:val="24"/>
          <w:szCs w:val="24"/>
          <w:lang w:eastAsia="zh-CN"/>
        </w:rPr>
        <w:t>款约定获得延期支付的利息。</w:t>
      </w:r>
    </w:p>
    <w:p w14:paraId="19D2F3CD">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发包人在收到竣工结算支付证书后的</w:t>
      </w:r>
      <w:r>
        <w:rPr>
          <w:rFonts w:ascii="仿宋" w:hAnsi="仿宋" w:eastAsia="仿宋" w:cs="仿宋"/>
          <w:sz w:val="24"/>
          <w:szCs w:val="24"/>
          <w:lang w:eastAsia="zh-CN"/>
        </w:rPr>
        <w:t>56</w:t>
      </w:r>
      <w:r>
        <w:rPr>
          <w:rFonts w:hint="eastAsia" w:ascii="仿宋" w:hAnsi="仿宋" w:eastAsia="仿宋" w:cs="仿宋"/>
          <w:sz w:val="24"/>
          <w:szCs w:val="24"/>
          <w:lang w:eastAsia="zh-CN"/>
        </w:rPr>
        <w:t>天内仍未支付竣工结算款，合同双方当事人又未达成延期支付协议的，除法律另有规定外，承包人可与发包人协商将该永久工程折价，也可直接向人民法院申请将该永久工程依法拍卖。承包人就该永久工程折价或拍卖的价款优先受偿。</w:t>
      </w:r>
    </w:p>
    <w:p w14:paraId="2CF9FD03">
      <w:pPr>
        <w:pStyle w:val="22"/>
        <w:adjustRightInd w:val="0"/>
        <w:snapToGrid w:val="0"/>
        <w:spacing w:line="400" w:lineRule="exact"/>
        <w:rPr>
          <w:rFonts w:ascii="仿宋" w:hAnsi="仿宋" w:eastAsia="仿宋"/>
          <w:b/>
          <w:bCs/>
          <w:sz w:val="24"/>
          <w:szCs w:val="24"/>
          <w:u w:val="single"/>
          <w:lang w:eastAsia="zh-CN"/>
        </w:rPr>
      </w:pPr>
      <w:r>
        <w:rPr>
          <w:rFonts w:ascii="仿宋" w:hAnsi="仿宋" w:eastAsia="仿宋" w:cs="仿宋"/>
          <w:b/>
          <w:bCs/>
          <w:sz w:val="24"/>
          <w:szCs w:val="24"/>
          <w:u w:val="single"/>
          <w:lang w:eastAsia="zh-CN"/>
        </w:rPr>
        <w:t xml:space="preserve">                                                                                     </w:t>
      </w:r>
    </w:p>
    <w:p w14:paraId="2D987DF0">
      <w:pPr>
        <w:pStyle w:val="4"/>
        <w:tabs>
          <w:tab w:val="left" w:pos="420"/>
        </w:tabs>
        <w:spacing w:before="0" w:after="0" w:line="400" w:lineRule="exact"/>
        <w:rPr>
          <w:rFonts w:ascii="仿宋" w:hAnsi="仿宋" w:eastAsia="仿宋" w:cs="仿宋"/>
          <w:bCs w:val="0"/>
          <w:sz w:val="24"/>
          <w:szCs w:val="24"/>
          <w:lang w:eastAsia="zh-CN"/>
        </w:rPr>
      </w:pPr>
      <w:bookmarkStart w:id="684" w:name="_Toc15048"/>
      <w:bookmarkStart w:id="685" w:name="_Toc8691"/>
      <w:bookmarkStart w:id="686" w:name="_Toc194073200"/>
      <w:bookmarkStart w:id="687" w:name="_Toc12046"/>
      <w:r>
        <w:rPr>
          <w:rFonts w:hint="eastAsia" w:ascii="仿宋" w:hAnsi="仿宋" w:eastAsia="仿宋" w:cs="仿宋"/>
          <w:bCs w:val="0"/>
          <w:sz w:val="24"/>
          <w:szCs w:val="24"/>
          <w:lang w:eastAsia="zh-CN"/>
        </w:rPr>
        <w:t>★89</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质量保证金</w:t>
      </w:r>
      <w:bookmarkEnd w:id="684"/>
      <w:bookmarkEnd w:id="685"/>
      <w:bookmarkEnd w:id="686"/>
      <w:bookmarkEnd w:id="687"/>
    </w:p>
    <w:p w14:paraId="1E389804">
      <w:pPr>
        <w:spacing w:line="400" w:lineRule="exact"/>
        <w:rPr>
          <w:rFonts w:ascii="仿宋" w:hAnsi="仿宋" w:eastAsia="仿宋" w:cs="仿宋"/>
          <w:b/>
          <w:bCs/>
          <w:lang w:eastAsia="zh-CN"/>
        </w:rPr>
      </w:pPr>
      <w:bookmarkStart w:id="688" w:name="_Toc32434"/>
      <w:r>
        <w:rPr>
          <w:rFonts w:hint="eastAsia" w:ascii="仿宋" w:hAnsi="仿宋" w:eastAsia="仿宋" w:cs="仿宋"/>
          <w:b/>
          <w:bCs/>
          <w:lang w:eastAsia="zh-CN"/>
        </w:rPr>
        <w:t>89</w:t>
      </w:r>
      <w:r>
        <w:rPr>
          <w:rFonts w:ascii="仿宋" w:hAnsi="仿宋" w:eastAsia="仿宋" w:cs="仿宋"/>
          <w:b/>
          <w:bCs/>
          <w:lang w:eastAsia="zh-CN"/>
        </w:rPr>
        <w:t>.1</w:t>
      </w:r>
      <w:bookmarkEnd w:id="688"/>
    </w:p>
    <w:p w14:paraId="442D1323">
      <w:pPr>
        <w:pStyle w:val="22"/>
        <w:widowControl w:val="0"/>
        <w:adjustRightInd w:val="0"/>
        <w:snapToGrid w:val="0"/>
        <w:spacing w:line="400" w:lineRule="exact"/>
        <w:ind w:left="1850" w:leftChars="771"/>
        <w:jc w:val="both"/>
        <w:rPr>
          <w:rFonts w:ascii="仿宋" w:hAnsi="仿宋" w:eastAsia="仿宋"/>
          <w:sz w:val="24"/>
          <w:szCs w:val="24"/>
          <w:lang w:eastAsia="zh-CN"/>
        </w:rPr>
      </w:pPr>
      <w:r>
        <mc:AlternateContent>
          <mc:Choice Requires="wps">
            <w:drawing>
              <wp:anchor distT="0" distB="0" distL="114300" distR="114300" simplePos="0" relativeHeight="251933696" behindDoc="0" locked="0" layoutInCell="1" allowOverlap="1">
                <wp:simplePos x="0" y="0"/>
                <wp:positionH relativeFrom="column">
                  <wp:posOffset>-114300</wp:posOffset>
                </wp:positionH>
                <wp:positionV relativeFrom="paragraph">
                  <wp:posOffset>8255</wp:posOffset>
                </wp:positionV>
                <wp:extent cx="756920" cy="610235"/>
                <wp:effectExtent l="0" t="0" r="0" b="0"/>
                <wp:wrapNone/>
                <wp:docPr id="399" name="文本框 1060"/>
                <wp:cNvGraphicFramePr/>
                <a:graphic xmlns:a="http://schemas.openxmlformats.org/drawingml/2006/main">
                  <a:graphicData uri="http://schemas.microsoft.com/office/word/2010/wordprocessingShape">
                    <wps:wsp>
                      <wps:cNvSpPr txBox="1"/>
                      <wps:spPr>
                        <a:xfrm>
                          <a:off x="0" y="0"/>
                          <a:ext cx="756920" cy="610235"/>
                        </a:xfrm>
                        <a:prstGeom prst="rect">
                          <a:avLst/>
                        </a:prstGeom>
                        <a:noFill/>
                        <a:ln w="12700">
                          <a:noFill/>
                        </a:ln>
                      </wps:spPr>
                      <wps:txbx>
                        <w:txbxContent>
                          <w:p w14:paraId="0BF4A5B9">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质量保证金的用途和限制</w:t>
                            </w:r>
                          </w:p>
                        </w:txbxContent>
                      </wps:txbx>
                      <wps:bodyPr rot="0" vert="horz" wrap="square" lIns="91440" tIns="45720" rIns="91440" bIns="45720" anchor="t" anchorCtr="0"/>
                    </wps:wsp>
                  </a:graphicData>
                </a:graphic>
              </wp:anchor>
            </w:drawing>
          </mc:Choice>
          <mc:Fallback>
            <w:pict>
              <v:shape id="文本框 1060" o:spid="_x0000_s1026" o:spt="202" type="#_x0000_t202" style="position:absolute;left:0pt;margin-left:-9pt;margin-top:0.65pt;height:48.05pt;width:59.6pt;z-index:251933696;mso-width-relative:page;mso-height-relative:page;" filled="f" stroked="f" coordsize="21600,21600" o:gfxdata="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tK+hC&#10;1gAAAAgBAAAPAAAAAAAAAAEAIAAAACIAAABkcnMvZG93bnJldi54bWxQSwECFAAUAAAACACHTuJA&#10;/uY7feoBAAC/AwAADgAAAAAAAAABACAAAAAlAQAAZHJzL2Uyb0RvYy54bWxQSwUGAAAAAAYABgBZ&#10;AQAAgQUAAAAA&#10;">
                <v:fill on="f" focussize="0,0"/>
                <v:stroke on="f" weight="1pt"/>
                <v:imagedata o:title=""/>
                <o:lock v:ext="edit" aspectratio="f"/>
                <v:textbox>
                  <w:txbxContent>
                    <w:p w14:paraId="0BF4A5B9">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质量保证金的用途和限制</w:t>
                      </w:r>
                    </w:p>
                  </w:txbxContent>
                </v:textbox>
              </v:shape>
            </w:pict>
          </mc:Fallback>
        </mc:AlternateContent>
      </w:r>
      <w:r>
        <w:rPr>
          <w:rFonts w:hint="eastAsia" w:ascii="仿宋" w:hAnsi="仿宋" w:eastAsia="仿宋" w:cs="仿宋"/>
          <w:sz w:val="24"/>
          <w:szCs w:val="24"/>
          <w:lang w:eastAsia="zh-CN"/>
        </w:rPr>
        <w:t>质量保证金用于承包人对合同工程质量的担保。承包人未按照法律有关规定和合同约定履行质量保修义务的，发包人有权从质量保证金中扣留用于质量保修的各项支出。</w:t>
      </w:r>
    </w:p>
    <w:p w14:paraId="1138F75A">
      <w:pPr>
        <w:spacing w:line="400" w:lineRule="exact"/>
        <w:rPr>
          <w:rFonts w:ascii="仿宋" w:hAnsi="仿宋" w:eastAsia="仿宋"/>
          <w:b/>
          <w:bCs/>
          <w:lang w:eastAsia="zh-CN"/>
        </w:rPr>
      </w:pPr>
      <w:bookmarkStart w:id="689" w:name="_Toc3328"/>
      <w:r>
        <w:rPr>
          <w:rFonts w:hint="eastAsia" w:ascii="仿宋" w:hAnsi="仿宋" w:eastAsia="仿宋" w:cs="仿宋"/>
          <w:b/>
          <w:bCs/>
          <w:lang w:eastAsia="zh-CN"/>
        </w:rPr>
        <w:t>89</w:t>
      </w:r>
      <w:r>
        <w:rPr>
          <w:rFonts w:ascii="仿宋" w:hAnsi="仿宋" w:eastAsia="仿宋" w:cs="仿宋"/>
          <w:b/>
          <w:bCs/>
          <w:lang w:eastAsia="zh-CN"/>
        </w:rPr>
        <w:t>.2</w:t>
      </w:r>
      <w:bookmarkEnd w:id="689"/>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20DB611B">
      <w:pPr>
        <w:pStyle w:val="22"/>
        <w:widowControl w:val="0"/>
        <w:adjustRightInd w:val="0"/>
        <w:snapToGrid w:val="0"/>
        <w:spacing w:line="400" w:lineRule="exact"/>
        <w:ind w:left="1850" w:leftChars="771"/>
        <w:jc w:val="both"/>
        <w:rPr>
          <w:rFonts w:ascii="仿宋" w:hAnsi="仿宋" w:eastAsia="仿宋" w:cs="仿宋"/>
          <w:sz w:val="24"/>
          <w:szCs w:val="24"/>
          <w:lang w:eastAsia="zh-CN"/>
        </w:rPr>
      </w:pPr>
      <w:r>
        <mc:AlternateContent>
          <mc:Choice Requires="wps">
            <w:drawing>
              <wp:anchor distT="0" distB="0" distL="114300" distR="114300" simplePos="0" relativeHeight="251934720" behindDoc="0" locked="0" layoutInCell="1" allowOverlap="1">
                <wp:simplePos x="0" y="0"/>
                <wp:positionH relativeFrom="column">
                  <wp:posOffset>-66675</wp:posOffset>
                </wp:positionH>
                <wp:positionV relativeFrom="paragraph">
                  <wp:posOffset>8255</wp:posOffset>
                </wp:positionV>
                <wp:extent cx="804545" cy="612140"/>
                <wp:effectExtent l="0" t="0" r="0" b="0"/>
                <wp:wrapNone/>
                <wp:docPr id="400" name="文本框 1061"/>
                <wp:cNvGraphicFramePr/>
                <a:graphic xmlns:a="http://schemas.openxmlformats.org/drawingml/2006/main">
                  <a:graphicData uri="http://schemas.microsoft.com/office/word/2010/wordprocessingShape">
                    <wps:wsp>
                      <wps:cNvSpPr txBox="1"/>
                      <wps:spPr>
                        <a:xfrm>
                          <a:off x="0" y="0"/>
                          <a:ext cx="804545" cy="612140"/>
                        </a:xfrm>
                        <a:prstGeom prst="rect">
                          <a:avLst/>
                        </a:prstGeom>
                        <a:noFill/>
                        <a:ln w="12700">
                          <a:noFill/>
                        </a:ln>
                      </wps:spPr>
                      <wps:txbx>
                        <w:txbxContent>
                          <w:p w14:paraId="75C65666">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质量保证金的约定与扣留</w:t>
                            </w:r>
                          </w:p>
                        </w:txbxContent>
                      </wps:txbx>
                      <wps:bodyPr rot="0" vert="horz" wrap="square" lIns="91440" tIns="45720" rIns="91440" bIns="45720" anchor="t" anchorCtr="0"/>
                    </wps:wsp>
                  </a:graphicData>
                </a:graphic>
              </wp:anchor>
            </w:drawing>
          </mc:Choice>
          <mc:Fallback>
            <w:pict>
              <v:shape id="文本框 1061" o:spid="_x0000_s1026" o:spt="202" type="#_x0000_t202" style="position:absolute;left:0pt;margin-left:-5.25pt;margin-top:0.65pt;height:48.2pt;width:63.35pt;z-index:251934720;mso-width-relative:page;mso-height-relative:page;" filled="f" stroked="f" coordsize="21600,21600" o:gfxdata="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RprYzW&#10;AAAACAEAAA8AAAAAAAAAAQAgAAAAIgAAAGRycy9kb3ducmV2LnhtbFBLAQIUABQAAAAIAIdO4kCn&#10;sUKi6QEAAL8DAAAOAAAAAAAAAAEAIAAAACUBAABkcnMvZTJvRG9jLnhtbFBLBQYAAAAABgAGAFkB&#10;AACABQAAAAA=&#10;">
                <v:fill on="f" focussize="0,0"/>
                <v:stroke on="f" weight="1pt"/>
                <v:imagedata o:title=""/>
                <o:lock v:ext="edit" aspectratio="f"/>
                <v:textbox>
                  <w:txbxContent>
                    <w:p w14:paraId="75C65666">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质量保证金的约定与扣留</w:t>
                      </w:r>
                    </w:p>
                  </w:txbxContent>
                </v:textbox>
              </v:shape>
            </w:pict>
          </mc:Fallback>
        </mc:AlternateContent>
      </w:r>
      <w:r>
        <w:rPr>
          <w:rFonts w:hint="eastAsia" w:ascii="仿宋" w:hAnsi="仿宋" w:eastAsia="仿宋" w:cs="仿宋"/>
          <w:sz w:val="24"/>
          <w:szCs w:val="24"/>
          <w:lang w:eastAsia="zh-CN"/>
        </w:rPr>
        <w:t>89.2.1质量保证金预留方式</w:t>
      </w:r>
    </w:p>
    <w:p w14:paraId="70D5E701">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sz w:val="24"/>
          <w:szCs w:val="24"/>
          <w:lang w:eastAsia="zh-CN"/>
        </w:rPr>
        <w:t>除专用合同条款另有约定外，质量保证金的预留方式原则上采用银行保函、担保、保险等方式。</w:t>
      </w:r>
    </w:p>
    <w:p w14:paraId="4AA910A7">
      <w:pPr>
        <w:pStyle w:val="22"/>
        <w:widowControl w:val="0"/>
        <w:adjustRightInd w:val="0"/>
        <w:snapToGrid w:val="0"/>
        <w:spacing w:line="400" w:lineRule="exact"/>
        <w:ind w:left="1850" w:leftChars="771"/>
        <w:jc w:val="both"/>
        <w:rPr>
          <w:rFonts w:ascii="仿宋" w:hAnsi="仿宋" w:eastAsia="仿宋" w:cs="仿宋"/>
          <w:sz w:val="24"/>
          <w:lang w:eastAsia="zh-CN"/>
        </w:rPr>
      </w:pPr>
      <w:r>
        <w:rPr>
          <w:rFonts w:hint="eastAsia" w:ascii="仿宋" w:hAnsi="仿宋" w:eastAsia="仿宋" w:cs="仿宋"/>
          <w:sz w:val="24"/>
          <w:lang w:eastAsia="zh-CN"/>
        </w:rPr>
        <w:t>89.2.2质量保证金预留比例</w:t>
      </w:r>
    </w:p>
    <w:p w14:paraId="0219197A">
      <w:pPr>
        <w:pStyle w:val="22"/>
        <w:widowControl w:val="0"/>
        <w:adjustRightInd w:val="0"/>
        <w:snapToGrid w:val="0"/>
        <w:spacing w:line="400" w:lineRule="exact"/>
        <w:ind w:left="1850" w:leftChars="771"/>
        <w:jc w:val="both"/>
        <w:rPr>
          <w:rFonts w:ascii="仿宋" w:hAnsi="仿宋" w:eastAsia="仿宋" w:cs="仿宋"/>
          <w:sz w:val="24"/>
          <w:szCs w:val="24"/>
          <w:lang w:eastAsia="zh-CN"/>
        </w:rPr>
      </w:pPr>
      <w:r>
        <w:rPr>
          <w:rFonts w:hint="eastAsia" w:ascii="仿宋" w:hAnsi="仿宋" w:eastAsia="仿宋" w:cs="仿宋"/>
          <w:sz w:val="24"/>
          <w:lang w:eastAsia="zh-CN"/>
        </w:rPr>
        <w:t>发包人累计预留的质量保证金不得超过合同价格中建筑安装工程费、设备及工器具购置费（如果有）部分结算总额的3％。如承包人在发包人签发竣工付款证书后28天内提交质量保证金保函、担保或保险，发包人应同时退还扣留的作为质量保证金的工程价款；保函、担保或保险金额不得超过合同价格中建筑安装工程费、设备及工器具购置费（如果有）部分结算总额的3%。</w:t>
      </w:r>
    </w:p>
    <w:p w14:paraId="3893165F">
      <w:pPr>
        <w:spacing w:line="400" w:lineRule="exact"/>
        <w:rPr>
          <w:rFonts w:ascii="仿宋" w:hAnsi="仿宋" w:eastAsia="仿宋"/>
          <w:b/>
          <w:bCs/>
          <w:lang w:eastAsia="zh-CN"/>
        </w:rPr>
      </w:pPr>
      <w:bookmarkStart w:id="690" w:name="_Toc8069"/>
      <w:r>
        <w:rPr>
          <w:rFonts w:hint="eastAsia" w:ascii="仿宋" w:hAnsi="仿宋" w:eastAsia="仿宋" w:cs="仿宋"/>
          <w:b/>
          <w:bCs/>
          <w:lang w:eastAsia="zh-CN"/>
        </w:rPr>
        <w:t>89</w:t>
      </w:r>
      <w:r>
        <w:rPr>
          <w:rFonts w:ascii="仿宋" w:hAnsi="仿宋" w:eastAsia="仿宋" w:cs="仿宋"/>
          <w:b/>
          <w:bCs/>
          <w:lang w:eastAsia="zh-CN"/>
        </w:rPr>
        <w:t>.3</w:t>
      </w:r>
      <w:bookmarkEnd w:id="690"/>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74A12495">
      <w:pPr>
        <w:pStyle w:val="22"/>
        <w:widowControl w:val="0"/>
        <w:adjustRightInd w:val="0"/>
        <w:snapToGrid w:val="0"/>
        <w:spacing w:line="400" w:lineRule="exact"/>
        <w:ind w:left="1850" w:leftChars="771"/>
        <w:rPr>
          <w:rFonts w:ascii="仿宋" w:hAnsi="仿宋" w:eastAsia="仿宋" w:cs="仿宋"/>
          <w:sz w:val="24"/>
          <w:szCs w:val="24"/>
          <w:lang w:eastAsia="zh-CN"/>
        </w:rPr>
      </w:pPr>
      <w:r>
        <mc:AlternateContent>
          <mc:Choice Requires="wps">
            <w:drawing>
              <wp:anchor distT="0" distB="0" distL="114300" distR="114300" simplePos="0" relativeHeight="251935744" behindDoc="0" locked="0" layoutInCell="1" allowOverlap="1">
                <wp:simplePos x="0" y="0"/>
                <wp:positionH relativeFrom="column">
                  <wp:posOffset>-114300</wp:posOffset>
                </wp:positionH>
                <wp:positionV relativeFrom="paragraph">
                  <wp:posOffset>45720</wp:posOffset>
                </wp:positionV>
                <wp:extent cx="765810" cy="624205"/>
                <wp:effectExtent l="0" t="0" r="0" b="0"/>
                <wp:wrapNone/>
                <wp:docPr id="401" name="文本框 1062"/>
                <wp:cNvGraphicFramePr/>
                <a:graphic xmlns:a="http://schemas.openxmlformats.org/drawingml/2006/main">
                  <a:graphicData uri="http://schemas.microsoft.com/office/word/2010/wordprocessingShape">
                    <wps:wsp>
                      <wps:cNvSpPr txBox="1"/>
                      <wps:spPr>
                        <a:xfrm>
                          <a:off x="0" y="0"/>
                          <a:ext cx="765810" cy="624205"/>
                        </a:xfrm>
                        <a:prstGeom prst="rect">
                          <a:avLst/>
                        </a:prstGeom>
                        <a:noFill/>
                        <a:ln w="12700">
                          <a:noFill/>
                        </a:ln>
                      </wps:spPr>
                      <wps:txbx>
                        <w:txbxContent>
                          <w:p w14:paraId="2540CA3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质量保证金返还</w:t>
                            </w:r>
                          </w:p>
                        </w:txbxContent>
                      </wps:txbx>
                      <wps:bodyPr rot="0" vert="horz" wrap="square" lIns="91440" tIns="45720" rIns="91440" bIns="45720" anchor="t" anchorCtr="0"/>
                    </wps:wsp>
                  </a:graphicData>
                </a:graphic>
              </wp:anchor>
            </w:drawing>
          </mc:Choice>
          <mc:Fallback>
            <w:pict>
              <v:shape id="文本框 1062" o:spid="_x0000_s1026" o:spt="202" type="#_x0000_t202" style="position:absolute;left:0pt;margin-left:-9pt;margin-top:3.6pt;height:49.15pt;width:60.3pt;z-index:251935744;mso-width-relative:page;mso-height-relative:page;" filled="f" stroked="f" coordsize="21600,21600" o:gfxdata="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x2HRu&#10;1wAAAAkBAAAPAAAAAAAAAAEAIAAAACIAAABkcnMvZG93bnJldi54bWxQSwECFAAUAAAACACHTuJA&#10;Kc78HOkBAAC/AwAADgAAAAAAAAABACAAAAAmAQAAZHJzL2Uyb0RvYy54bWxQSwUGAAAAAAYABgBZ&#10;AQAAgQUAAAAA&#10;">
                <v:fill on="f" focussize="0,0"/>
                <v:stroke on="f" weight="1pt"/>
                <v:imagedata o:title=""/>
                <o:lock v:ext="edit" aspectratio="f"/>
                <v:textbox>
                  <w:txbxContent>
                    <w:p w14:paraId="2540CA3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质量保证金返还</w:t>
                      </w:r>
                    </w:p>
                  </w:txbxContent>
                </v:textbox>
              </v:shape>
            </w:pict>
          </mc:Fallback>
        </mc:AlternateContent>
      </w:r>
      <w:r>
        <w:rPr>
          <w:rFonts w:hint="eastAsia" w:ascii="仿宋" w:hAnsi="仿宋" w:eastAsia="仿宋" w:cs="仿宋"/>
          <w:sz w:val="24"/>
          <w:szCs w:val="24"/>
          <w:lang w:eastAsia="zh-CN"/>
        </w:rPr>
        <w:t>缺陷责任期（包括第67</w:t>
      </w:r>
      <w:r>
        <w:rPr>
          <w:rFonts w:ascii="仿宋" w:hAnsi="仿宋" w:eastAsia="仿宋" w:cs="仿宋"/>
          <w:sz w:val="24"/>
          <w:szCs w:val="24"/>
          <w:lang w:eastAsia="zh-CN"/>
        </w:rPr>
        <w:t>.2</w:t>
      </w:r>
      <w:r>
        <w:rPr>
          <w:rFonts w:hint="eastAsia" w:ascii="仿宋" w:hAnsi="仿宋" w:eastAsia="仿宋" w:cs="仿宋"/>
          <w:sz w:val="24"/>
          <w:szCs w:val="24"/>
          <w:lang w:eastAsia="zh-CN"/>
        </w:rPr>
        <w:t>款延长的期限）满时，承包人应向发包人申请到期应返还的剩余质量保证金金额。发包人如无异议，应在缺陷责任期满后的</w:t>
      </w:r>
      <w:r>
        <w:rPr>
          <w:rFonts w:ascii="仿宋" w:hAnsi="仿宋" w:eastAsia="仿宋" w:cs="仿宋"/>
          <w:sz w:val="24"/>
          <w:szCs w:val="24"/>
          <w:lang w:eastAsia="zh-CN"/>
        </w:rPr>
        <w:t>14</w:t>
      </w:r>
      <w:r>
        <w:rPr>
          <w:rFonts w:hint="eastAsia" w:ascii="仿宋" w:hAnsi="仿宋" w:eastAsia="仿宋" w:cs="仿宋"/>
          <w:sz w:val="24"/>
          <w:szCs w:val="24"/>
          <w:lang w:eastAsia="zh-CN"/>
        </w:rPr>
        <w:t>天内将剩余的质量保证金返还给承包人。逾期返还的，除专用条款另有约定外，从逾期之日起，按照全国银行间同业拆借中心公布的贷款市场报价利率（LPR）计付利息，并承担违约责任。剩余质量保证金的返还，并不能免除承包人按照合同约定应承担的质量保修责任和应履行的质量保修义务。</w:t>
      </w:r>
    </w:p>
    <w:p w14:paraId="1B5A119E">
      <w:pPr>
        <w:spacing w:line="400" w:lineRule="exact"/>
        <w:rPr>
          <w:rFonts w:ascii="仿宋" w:hAnsi="仿宋" w:eastAsia="仿宋"/>
          <w:b/>
          <w:bCs/>
          <w:lang w:eastAsia="zh-CN"/>
        </w:rPr>
      </w:pPr>
      <w:r>
        <w:rPr>
          <w:rFonts w:hint="eastAsia" w:ascii="仿宋" w:hAnsi="仿宋" w:eastAsia="仿宋" w:cs="仿宋"/>
          <w:b/>
          <w:bCs/>
          <w:lang w:eastAsia="zh-CN"/>
        </w:rPr>
        <w:t>89</w:t>
      </w:r>
      <w:r>
        <w:rPr>
          <w:rFonts w:ascii="仿宋" w:hAnsi="仿宋" w:eastAsia="仿宋" w:cs="仿宋"/>
          <w:b/>
          <w:bCs/>
          <w:lang w:eastAsia="zh-CN"/>
        </w:rPr>
        <w:t xml:space="preserve">.4  </w:t>
      </w:r>
      <w:r>
        <w:rPr>
          <w:rFonts w:ascii="仿宋" w:hAnsi="仿宋" w:eastAsia="仿宋" w:cs="仿宋"/>
          <w:b/>
          <w:bCs/>
          <w:u w:val="dotted"/>
          <w:lang w:eastAsia="zh-CN"/>
        </w:rPr>
        <w:t xml:space="preserve">                                                                               </w:t>
      </w:r>
    </w:p>
    <w:p w14:paraId="5539ED6C">
      <w:pPr>
        <w:pStyle w:val="22"/>
        <w:widowControl w:val="0"/>
        <w:adjustRightInd w:val="0"/>
        <w:snapToGrid w:val="0"/>
        <w:spacing w:line="400" w:lineRule="exact"/>
        <w:ind w:left="1850" w:leftChars="771"/>
        <w:jc w:val="both"/>
        <w:rPr>
          <w:rFonts w:ascii="仿宋" w:hAnsi="仿宋" w:eastAsia="仿宋"/>
          <w:sz w:val="24"/>
          <w:szCs w:val="24"/>
          <w:lang w:eastAsia="zh-CN"/>
        </w:rPr>
      </w:pPr>
      <w:r>
        <mc:AlternateContent>
          <mc:Choice Requires="wps">
            <w:drawing>
              <wp:anchor distT="0" distB="0" distL="114300" distR="114300" simplePos="0" relativeHeight="251936768" behindDoc="0" locked="0" layoutInCell="1" allowOverlap="1">
                <wp:simplePos x="0" y="0"/>
                <wp:positionH relativeFrom="column">
                  <wp:posOffset>-114300</wp:posOffset>
                </wp:positionH>
                <wp:positionV relativeFrom="paragraph">
                  <wp:posOffset>45720</wp:posOffset>
                </wp:positionV>
                <wp:extent cx="775970" cy="548640"/>
                <wp:effectExtent l="0" t="0" r="0" b="0"/>
                <wp:wrapNone/>
                <wp:docPr id="402" name="文本框 1063"/>
                <wp:cNvGraphicFramePr/>
                <a:graphic xmlns:a="http://schemas.openxmlformats.org/drawingml/2006/main">
                  <a:graphicData uri="http://schemas.microsoft.com/office/word/2010/wordprocessingShape">
                    <wps:wsp>
                      <wps:cNvSpPr txBox="1"/>
                      <wps:spPr>
                        <a:xfrm>
                          <a:off x="0" y="0"/>
                          <a:ext cx="775970" cy="548640"/>
                        </a:xfrm>
                        <a:prstGeom prst="rect">
                          <a:avLst/>
                        </a:prstGeom>
                        <a:noFill/>
                        <a:ln w="12700">
                          <a:noFill/>
                        </a:ln>
                      </wps:spPr>
                      <wps:txbx>
                        <w:txbxContent>
                          <w:p w14:paraId="3C83316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质量保证金扣留</w:t>
                            </w:r>
                          </w:p>
                        </w:txbxContent>
                      </wps:txbx>
                      <wps:bodyPr rot="0" vert="horz" wrap="square" lIns="91440" tIns="45720" rIns="91440" bIns="45720" anchor="t" anchorCtr="0"/>
                    </wps:wsp>
                  </a:graphicData>
                </a:graphic>
              </wp:anchor>
            </w:drawing>
          </mc:Choice>
          <mc:Fallback>
            <w:pict>
              <v:shape id="文本框 1063" o:spid="_x0000_s1026" o:spt="202" type="#_x0000_t202" style="position:absolute;left:0pt;margin-left:-9pt;margin-top:3.6pt;height:43.2pt;width:61.1pt;z-index:251936768;mso-width-relative:page;mso-height-relative:page;" filled="f" stroked="f" coordsize="21600,21600" o:gfxdata="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uWVhXtcAAAAIAQAADwAAAAAAAAABACAAAAAiAAAAZHJzL2Rvd25yZXYueG1sUEsBAhQAFAAAAAgA&#10;h07iQNW46CPtAQAAvwMAAA4AAAAAAAAAAQAgAAAAJgEAAGRycy9lMm9Eb2MueG1sUEsFBgAAAAAG&#10;AAYAWQEAAIUFAAAAAA==&#10;">
                <v:fill on="f" focussize="0,0"/>
                <v:stroke on="f" weight="1pt"/>
                <v:imagedata o:title=""/>
                <o:lock v:ext="edit" aspectratio="f"/>
                <v:textbox>
                  <w:txbxContent>
                    <w:p w14:paraId="3C83316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质量保证金扣留</w:t>
                      </w:r>
                    </w:p>
                  </w:txbxContent>
                </v:textbox>
              </v:shape>
            </w:pict>
          </mc:Fallback>
        </mc:AlternateContent>
      </w:r>
      <w:r>
        <w:rPr>
          <w:rFonts w:hint="eastAsia" w:ascii="仿宋" w:hAnsi="仿宋" w:eastAsia="仿宋" w:cs="仿宋"/>
          <w:sz w:val="24"/>
          <w:szCs w:val="24"/>
          <w:lang w:eastAsia="zh-CN"/>
        </w:rPr>
        <w:t>缺陷责任期（包括第66</w:t>
      </w:r>
      <w:r>
        <w:rPr>
          <w:rFonts w:ascii="仿宋" w:hAnsi="仿宋" w:eastAsia="仿宋" w:cs="仿宋"/>
          <w:sz w:val="24"/>
          <w:szCs w:val="24"/>
          <w:lang w:eastAsia="zh-CN"/>
        </w:rPr>
        <w:t>.2</w:t>
      </w:r>
      <w:r>
        <w:rPr>
          <w:rFonts w:hint="eastAsia" w:ascii="仿宋" w:hAnsi="仿宋" w:eastAsia="仿宋" w:cs="仿宋"/>
          <w:sz w:val="24"/>
          <w:szCs w:val="24"/>
          <w:lang w:eastAsia="zh-CN"/>
        </w:rPr>
        <w:t>款延长的期限）届满时，承包人没有全面</w:t>
      </w:r>
      <w:r>
        <w:rPr>
          <w:rFonts w:ascii="仿宋" w:hAnsi="仿宋" w:eastAsia="仿宋" w:cs="仿宋"/>
          <w:sz w:val="24"/>
          <w:szCs w:val="24"/>
          <w:lang w:eastAsia="zh-CN"/>
        </w:rPr>
        <w:t>履行</w:t>
      </w:r>
      <w:r>
        <w:rPr>
          <w:rFonts w:hint="eastAsia" w:ascii="仿宋" w:hAnsi="仿宋" w:eastAsia="仿宋" w:cs="仿宋"/>
          <w:sz w:val="24"/>
          <w:szCs w:val="24"/>
          <w:lang w:eastAsia="zh-CN"/>
        </w:rPr>
        <w:t>缺陷修复责任的，发包人有权扣留承包人未履行</w:t>
      </w:r>
      <w:r>
        <w:rPr>
          <w:rFonts w:ascii="仿宋" w:hAnsi="仿宋" w:eastAsia="仿宋" w:cs="仿宋"/>
          <w:sz w:val="24"/>
          <w:szCs w:val="24"/>
          <w:lang w:eastAsia="zh-CN"/>
        </w:rPr>
        <w:t>部分相应质量保证金</w:t>
      </w:r>
      <w:r>
        <w:rPr>
          <w:rFonts w:hint="eastAsia" w:ascii="仿宋" w:hAnsi="仿宋" w:eastAsia="仿宋" w:cs="仿宋"/>
          <w:sz w:val="24"/>
          <w:szCs w:val="24"/>
          <w:lang w:eastAsia="zh-CN"/>
        </w:rPr>
        <w:t>，并有权根据第66</w:t>
      </w:r>
      <w:r>
        <w:rPr>
          <w:rFonts w:ascii="仿宋" w:hAnsi="仿宋" w:eastAsia="仿宋" w:cs="仿宋"/>
          <w:sz w:val="24"/>
          <w:szCs w:val="24"/>
          <w:lang w:eastAsia="zh-CN"/>
        </w:rPr>
        <w:t>.2</w:t>
      </w:r>
      <w:r>
        <w:rPr>
          <w:rFonts w:hint="eastAsia" w:ascii="仿宋" w:hAnsi="仿宋" w:eastAsia="仿宋" w:cs="仿宋"/>
          <w:sz w:val="24"/>
          <w:szCs w:val="24"/>
          <w:lang w:eastAsia="zh-CN"/>
        </w:rPr>
        <w:t>款约定要求延长缺陷责任期，直到完成剩余工作为止。</w:t>
      </w:r>
    </w:p>
    <w:p w14:paraId="0FE65633">
      <w:pPr>
        <w:pStyle w:val="22"/>
        <w:adjustRightInd w:val="0"/>
        <w:snapToGrid w:val="0"/>
        <w:spacing w:line="400" w:lineRule="exact"/>
        <w:rPr>
          <w:rFonts w:ascii="仿宋" w:hAnsi="仿宋" w:eastAsia="仿宋"/>
          <w:b/>
          <w:bCs/>
          <w:sz w:val="24"/>
          <w:szCs w:val="24"/>
          <w:u w:val="single"/>
          <w:lang w:eastAsia="zh-CN"/>
        </w:rPr>
      </w:pPr>
      <w:r>
        <w:rPr>
          <w:rFonts w:ascii="仿宋" w:hAnsi="仿宋" w:eastAsia="仿宋" w:cs="仿宋"/>
          <w:b/>
          <w:bCs/>
          <w:sz w:val="24"/>
          <w:szCs w:val="24"/>
          <w:u w:val="single"/>
          <w:lang w:eastAsia="zh-CN"/>
        </w:rPr>
        <w:t xml:space="preserve">                                                           </w:t>
      </w:r>
      <w:r>
        <w:rPr>
          <w:rFonts w:hint="eastAsia" w:ascii="仿宋" w:hAnsi="仿宋" w:eastAsia="仿宋" w:cs="仿宋"/>
          <w:b/>
          <w:bCs/>
          <w:sz w:val="24"/>
          <w:szCs w:val="24"/>
          <w:u w:val="single"/>
          <w:lang w:eastAsia="zh-CN"/>
        </w:rPr>
        <w:t xml:space="preserve">     </w:t>
      </w:r>
      <w:r>
        <w:rPr>
          <w:rFonts w:ascii="仿宋" w:hAnsi="仿宋" w:eastAsia="仿宋" w:cs="仿宋"/>
          <w:b/>
          <w:bCs/>
          <w:sz w:val="24"/>
          <w:szCs w:val="24"/>
          <w:u w:val="single"/>
          <w:lang w:eastAsia="zh-CN"/>
        </w:rPr>
        <w:t xml:space="preserve">                     </w:t>
      </w:r>
    </w:p>
    <w:p w14:paraId="68507424">
      <w:pPr>
        <w:pStyle w:val="4"/>
        <w:tabs>
          <w:tab w:val="left" w:pos="420"/>
        </w:tabs>
        <w:spacing w:before="0" w:after="0" w:line="400" w:lineRule="exact"/>
        <w:rPr>
          <w:rFonts w:ascii="仿宋" w:hAnsi="仿宋" w:eastAsia="仿宋" w:cs="仿宋"/>
          <w:bCs w:val="0"/>
          <w:sz w:val="24"/>
          <w:szCs w:val="24"/>
          <w:lang w:eastAsia="zh-CN"/>
        </w:rPr>
      </w:pPr>
      <w:bookmarkStart w:id="691" w:name="_Toc22930"/>
      <w:bookmarkStart w:id="692" w:name="_Toc194073201"/>
      <w:bookmarkStart w:id="693" w:name="_Toc23885"/>
      <w:bookmarkStart w:id="694" w:name="_Toc22218"/>
      <w:r>
        <w:rPr>
          <w:rFonts w:hint="eastAsia" w:ascii="仿宋" w:hAnsi="仿宋" w:eastAsia="仿宋" w:cs="仿宋"/>
          <w:bCs w:val="0"/>
          <w:sz w:val="24"/>
          <w:szCs w:val="24"/>
          <w:lang w:eastAsia="zh-CN"/>
        </w:rPr>
        <w:t>90</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最终清算款</w:t>
      </w:r>
      <w:bookmarkEnd w:id="691"/>
      <w:bookmarkEnd w:id="692"/>
      <w:bookmarkEnd w:id="693"/>
      <w:bookmarkEnd w:id="694"/>
    </w:p>
    <w:p w14:paraId="6FE8F305">
      <w:pPr>
        <w:spacing w:line="400" w:lineRule="exact"/>
        <w:rPr>
          <w:rFonts w:ascii="仿宋" w:hAnsi="仿宋" w:eastAsia="仿宋" w:cs="仿宋"/>
          <w:b/>
          <w:bCs/>
          <w:lang w:eastAsia="zh-CN"/>
        </w:rPr>
      </w:pPr>
      <w:bookmarkStart w:id="695" w:name="_Toc28312"/>
      <w:r>
        <w:rPr>
          <w:rFonts w:hint="eastAsia" w:ascii="仿宋" w:hAnsi="仿宋" w:eastAsia="仿宋" w:cs="仿宋"/>
          <w:b/>
          <w:bCs/>
          <w:lang w:eastAsia="zh-CN"/>
        </w:rPr>
        <w:t>90</w:t>
      </w:r>
      <w:r>
        <w:rPr>
          <w:rFonts w:ascii="仿宋" w:hAnsi="仿宋" w:eastAsia="仿宋" w:cs="仿宋"/>
          <w:b/>
          <w:bCs/>
          <w:lang w:eastAsia="zh-CN"/>
        </w:rPr>
        <w:t>.1</w:t>
      </w:r>
      <w:bookmarkEnd w:id="695"/>
    </w:p>
    <w:p w14:paraId="04CB6D68">
      <w:pPr>
        <w:widowControl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937792" behindDoc="0" locked="0" layoutInCell="1" allowOverlap="1">
                <wp:simplePos x="0" y="0"/>
                <wp:positionH relativeFrom="column">
                  <wp:posOffset>-114300</wp:posOffset>
                </wp:positionH>
                <wp:positionV relativeFrom="paragraph">
                  <wp:posOffset>74295</wp:posOffset>
                </wp:positionV>
                <wp:extent cx="756920" cy="659130"/>
                <wp:effectExtent l="0" t="0" r="0" b="0"/>
                <wp:wrapNone/>
                <wp:docPr id="403" name="文本框 1064"/>
                <wp:cNvGraphicFramePr/>
                <a:graphic xmlns:a="http://schemas.openxmlformats.org/drawingml/2006/main">
                  <a:graphicData uri="http://schemas.microsoft.com/office/word/2010/wordprocessingShape">
                    <wps:wsp>
                      <wps:cNvSpPr txBox="1"/>
                      <wps:spPr>
                        <a:xfrm>
                          <a:off x="0" y="0"/>
                          <a:ext cx="756920" cy="659130"/>
                        </a:xfrm>
                        <a:prstGeom prst="rect">
                          <a:avLst/>
                        </a:prstGeom>
                        <a:noFill/>
                        <a:ln w="12700">
                          <a:noFill/>
                        </a:ln>
                      </wps:spPr>
                      <wps:txbx>
                        <w:txbxContent>
                          <w:p w14:paraId="3FDD43E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txbxContent>
                      </wps:txbx>
                      <wps:bodyPr rot="0" vert="horz" wrap="square" lIns="91440" tIns="45720" rIns="91440" bIns="45720" anchor="t" anchorCtr="0"/>
                    </wps:wsp>
                  </a:graphicData>
                </a:graphic>
              </wp:anchor>
            </w:drawing>
          </mc:Choice>
          <mc:Fallback>
            <w:pict>
              <v:shape id="文本框 1064" o:spid="_x0000_s1026" o:spt="202" type="#_x0000_t202" style="position:absolute;left:0pt;margin-left:-9pt;margin-top:5.85pt;height:51.9pt;width:59.6pt;z-index:251937792;mso-width-relative:page;mso-height-relative:page;" filled="f" stroked="f" coordsize="21600,21600" o:gfxdata="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k&#10;ox0y1wAAAAoBAAAPAAAAAAAAAAEAIAAAACIAAABkcnMvZG93bnJldi54bWxQSwECFAAUAAAACACH&#10;TuJA0nEGm+wBAAC/AwAADgAAAAAAAAABACAAAAAmAQAAZHJzL2Uyb0RvYy54bWxQSwUGAAAAAAYA&#10;BgBZAQAAhAUAAAAA&#10;">
                <v:fill on="f" focussize="0,0"/>
                <v:stroke on="f" weight="1pt"/>
                <v:imagedata o:title=""/>
                <o:lock v:ext="edit" aspectratio="f"/>
                <v:textbox>
                  <w:txbxContent>
                    <w:p w14:paraId="3FDD43E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txbxContent>
                </v:textbox>
              </v:shape>
            </w:pict>
          </mc:Fallback>
        </mc:AlternateContent>
      </w:r>
      <w:r>
        <w:rPr>
          <w:rFonts w:hint="eastAsia" w:ascii="仿宋" w:hAnsi="仿宋" w:eastAsia="仿宋" w:cs="仿宋"/>
          <w:lang w:eastAsia="zh-CN"/>
        </w:rPr>
        <w:t>合同双方当事人应在专用条款中明确最终清算款的支付时限。专用条款没有约定的</w:t>
      </w:r>
      <w:r>
        <w:rPr>
          <w:rFonts w:ascii="仿宋" w:hAnsi="仿宋" w:eastAsia="仿宋" w:cs="仿宋"/>
          <w:lang w:eastAsia="zh-CN"/>
        </w:rPr>
        <w:t>,</w:t>
      </w:r>
      <w:r>
        <w:rPr>
          <w:rFonts w:hint="eastAsia" w:ascii="仿宋" w:hAnsi="仿宋" w:eastAsia="仿宋" w:cs="仿宋"/>
          <w:lang w:eastAsia="zh-CN"/>
        </w:rPr>
        <w:t>最终清算款按照第90</w:t>
      </w:r>
      <w:r>
        <w:rPr>
          <w:rFonts w:ascii="仿宋" w:hAnsi="仿宋" w:eastAsia="仿宋" w:cs="仿宋"/>
          <w:lang w:eastAsia="zh-CN"/>
        </w:rPr>
        <w:t>.2</w:t>
      </w:r>
      <w:r>
        <w:rPr>
          <w:rFonts w:hint="eastAsia" w:ascii="仿宋" w:hAnsi="仿宋" w:eastAsia="仿宋" w:cs="仿宋"/>
          <w:lang w:eastAsia="zh-CN"/>
        </w:rPr>
        <w:t>款至第90</w:t>
      </w:r>
      <w:r>
        <w:rPr>
          <w:rFonts w:ascii="仿宋" w:hAnsi="仿宋" w:eastAsia="仿宋" w:cs="仿宋"/>
          <w:lang w:eastAsia="zh-CN"/>
        </w:rPr>
        <w:t>.5</w:t>
      </w:r>
      <w:r>
        <w:rPr>
          <w:rFonts w:hint="eastAsia" w:ascii="仿宋" w:hAnsi="仿宋" w:eastAsia="仿宋" w:cs="仿宋"/>
          <w:lang w:eastAsia="zh-CN"/>
        </w:rPr>
        <w:t>款约定办理。涉及政府投资资金的工程，支付期、支付方法等需调整的，应在专用条款中约定。</w:t>
      </w:r>
    </w:p>
    <w:p w14:paraId="391587A0">
      <w:pPr>
        <w:widowControl w:val="0"/>
        <w:spacing w:line="400" w:lineRule="exact"/>
        <w:ind w:left="1850" w:leftChars="771"/>
        <w:jc w:val="both"/>
        <w:rPr>
          <w:rFonts w:ascii="仿宋" w:hAnsi="仿宋" w:eastAsia="仿宋"/>
          <w:lang w:eastAsia="zh-CN"/>
        </w:rPr>
      </w:pPr>
      <w:r>
        <w:rPr>
          <w:rFonts w:hint="eastAsia" w:ascii="仿宋" w:hAnsi="仿宋" w:eastAsia="仿宋" w:cs="仿宋"/>
          <w:lang w:eastAsia="zh-CN"/>
        </w:rPr>
        <w:t>缺陷责任期终止证书签发后，承包人应按照专用条款约定的份数和期限向造价咨询人提交最终清算支付申请，并提供相关证明材料。发包人对最终清算支付申请有异议的，有权要求承包人进一步修正和提供补充资料。承包人修正后，应再次向造价咨询人提交修正后的最终清算支付申请。</w:t>
      </w:r>
    </w:p>
    <w:p w14:paraId="4622F48C">
      <w:pPr>
        <w:pStyle w:val="22"/>
        <w:tabs>
          <w:tab w:val="left" w:pos="900"/>
        </w:tabs>
        <w:adjustRightInd w:val="0"/>
        <w:snapToGrid w:val="0"/>
        <w:spacing w:line="400" w:lineRule="exact"/>
        <w:rPr>
          <w:rFonts w:ascii="仿宋" w:hAnsi="仿宋" w:eastAsia="仿宋"/>
          <w:sz w:val="24"/>
          <w:szCs w:val="24"/>
          <w:lang w:eastAsia="zh-CN"/>
        </w:rPr>
      </w:pPr>
      <w:r>
        <w:rPr>
          <w:rFonts w:hint="eastAsia" w:ascii="仿宋" w:hAnsi="仿宋" w:eastAsia="仿宋" w:cs="仿宋"/>
          <w:b/>
          <w:bCs/>
          <w:sz w:val="24"/>
          <w:szCs w:val="24"/>
          <w:lang w:eastAsia="zh-CN"/>
        </w:rPr>
        <w:t>90</w:t>
      </w:r>
      <w:r>
        <w:rPr>
          <w:rFonts w:ascii="仿宋" w:hAnsi="仿宋" w:eastAsia="仿宋" w:cs="仿宋"/>
          <w:b/>
          <w:bCs/>
          <w:sz w:val="24"/>
          <w:szCs w:val="24"/>
          <w:lang w:eastAsia="zh-CN"/>
        </w:rPr>
        <w:t>.2</w:t>
      </w:r>
      <w:r>
        <w:rPr>
          <w:rFonts w:ascii="仿宋" w:hAnsi="仿宋" w:eastAsia="仿宋" w:cs="仿宋"/>
          <w:sz w:val="24"/>
          <w:szCs w:val="24"/>
          <w:lang w:eastAsia="zh-CN"/>
        </w:rPr>
        <w:t xml:space="preserve">  </w:t>
      </w:r>
      <w:r>
        <w:rPr>
          <w:rFonts w:ascii="仿宋" w:hAnsi="仿宋" w:eastAsia="仿宋" w:cs="仿宋"/>
          <w:sz w:val="24"/>
          <w:szCs w:val="24"/>
          <w:u w:val="dotted"/>
          <w:lang w:eastAsia="zh-CN"/>
        </w:rPr>
        <w:t xml:space="preserve">                                                                               </w:t>
      </w:r>
    </w:p>
    <w:p w14:paraId="507A01A8">
      <w:pPr>
        <w:pStyle w:val="22"/>
        <w:widowControl w:val="0"/>
        <w:adjustRightInd w:val="0"/>
        <w:snapToGrid w:val="0"/>
        <w:spacing w:line="400" w:lineRule="exact"/>
        <w:ind w:left="1850" w:leftChars="771"/>
        <w:jc w:val="both"/>
        <w:rPr>
          <w:rFonts w:ascii="仿宋" w:hAnsi="仿宋" w:eastAsia="仿宋"/>
          <w:sz w:val="24"/>
          <w:szCs w:val="24"/>
          <w:u w:val="single"/>
          <w:lang w:eastAsia="zh-CN"/>
        </w:rPr>
      </w:pPr>
      <w:r>
        <mc:AlternateContent>
          <mc:Choice Requires="wps">
            <w:drawing>
              <wp:anchor distT="0" distB="0" distL="114300" distR="114300" simplePos="0" relativeHeight="251938816" behindDoc="0" locked="0" layoutInCell="1" allowOverlap="1">
                <wp:simplePos x="0" y="0"/>
                <wp:positionH relativeFrom="column">
                  <wp:posOffset>-114300</wp:posOffset>
                </wp:positionH>
                <wp:positionV relativeFrom="paragraph">
                  <wp:posOffset>8890</wp:posOffset>
                </wp:positionV>
                <wp:extent cx="762635" cy="577215"/>
                <wp:effectExtent l="0" t="0" r="0" b="0"/>
                <wp:wrapNone/>
                <wp:docPr id="404" name="文本框 1065"/>
                <wp:cNvGraphicFramePr/>
                <a:graphic xmlns:a="http://schemas.openxmlformats.org/drawingml/2006/main">
                  <a:graphicData uri="http://schemas.microsoft.com/office/word/2010/wordprocessingShape">
                    <wps:wsp>
                      <wps:cNvSpPr txBox="1"/>
                      <wps:spPr>
                        <a:xfrm>
                          <a:off x="0" y="0"/>
                          <a:ext cx="762635" cy="577215"/>
                        </a:xfrm>
                        <a:prstGeom prst="rect">
                          <a:avLst/>
                        </a:prstGeom>
                        <a:noFill/>
                        <a:ln w="12700">
                          <a:noFill/>
                        </a:ln>
                      </wps:spPr>
                      <wps:txbx>
                        <w:txbxContent>
                          <w:p w14:paraId="2522F9A5">
                            <w:pPr>
                              <w:spacing w:line="240" w:lineRule="exact"/>
                              <w:rPr>
                                <w:rFonts w:ascii="宋体"/>
                                <w:b/>
                                <w:bCs/>
                                <w:sz w:val="18"/>
                                <w:szCs w:val="18"/>
                              </w:rPr>
                            </w:pPr>
                            <w:r>
                              <w:rPr>
                                <w:rFonts w:hint="eastAsia" w:ascii="楷体_GB2312" w:hAnsi="宋体" w:eastAsia="楷体_GB2312" w:cs="楷体_GB2312"/>
                                <w:b/>
                                <w:bCs/>
                                <w:sz w:val="18"/>
                                <w:szCs w:val="18"/>
                              </w:rPr>
                              <w:t>签发最终清算支付证书</w:t>
                            </w:r>
                          </w:p>
                        </w:txbxContent>
                      </wps:txbx>
                      <wps:bodyPr rot="0" vert="horz" wrap="square" lIns="91440" tIns="45720" rIns="91440" bIns="45720" anchor="t" anchorCtr="0"/>
                    </wps:wsp>
                  </a:graphicData>
                </a:graphic>
              </wp:anchor>
            </w:drawing>
          </mc:Choice>
          <mc:Fallback>
            <w:pict>
              <v:shape id="文本框 1065" o:spid="_x0000_s1026" o:spt="202" type="#_x0000_t202" style="position:absolute;left:0pt;margin-left:-9pt;margin-top:0.7pt;height:45.45pt;width:60.05pt;z-index:251938816;mso-width-relative:page;mso-height-relative:page;" filled="f" stroked="f" coordsize="21600,21600" o:gfxdata="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9Hmm&#10;ztYAAAAIAQAADwAAAAAAAAABACAAAAAiAAAAZHJzL2Rvd25yZXYueG1sUEsBAhQAFAAAAAgAh07i&#10;QD9M7wjrAQAAvwMAAA4AAAAAAAAAAQAgAAAAJQEAAGRycy9lMm9Eb2MueG1sUEsFBgAAAAAGAAYA&#10;WQEAAIIFAAAAAA==&#10;">
                <v:fill on="f" focussize="0,0"/>
                <v:stroke on="f" weight="1pt"/>
                <v:imagedata o:title=""/>
                <o:lock v:ext="edit" aspectratio="f"/>
                <v:textbox>
                  <w:txbxContent>
                    <w:p w14:paraId="2522F9A5">
                      <w:pPr>
                        <w:spacing w:line="240" w:lineRule="exact"/>
                        <w:rPr>
                          <w:rFonts w:ascii="宋体"/>
                          <w:b/>
                          <w:bCs/>
                          <w:sz w:val="18"/>
                          <w:szCs w:val="18"/>
                        </w:rPr>
                      </w:pPr>
                      <w:r>
                        <w:rPr>
                          <w:rFonts w:hint="eastAsia" w:ascii="楷体_GB2312" w:hAnsi="宋体" w:eastAsia="楷体_GB2312" w:cs="楷体_GB2312"/>
                          <w:b/>
                          <w:bCs/>
                          <w:sz w:val="18"/>
                          <w:szCs w:val="18"/>
                        </w:rPr>
                        <w:t>签发最终清算支付证书</w:t>
                      </w:r>
                    </w:p>
                  </w:txbxContent>
                </v:textbox>
              </v:shape>
            </w:pict>
          </mc:Fallback>
        </mc:AlternateContent>
      </w:r>
      <w:r>
        <w:rPr>
          <w:rFonts w:hint="eastAsia" w:ascii="仿宋" w:hAnsi="仿宋" w:eastAsia="仿宋" w:cs="仿宋"/>
          <w:sz w:val="24"/>
          <w:szCs w:val="24"/>
          <w:lang w:eastAsia="zh-CN"/>
        </w:rPr>
        <w:t>造价咨询人应在收到最终清算支付申请后的</w:t>
      </w:r>
      <w:r>
        <w:rPr>
          <w:rFonts w:ascii="仿宋" w:hAnsi="仿宋" w:eastAsia="仿宋" w:cs="仿宋"/>
          <w:sz w:val="24"/>
          <w:szCs w:val="24"/>
          <w:lang w:eastAsia="zh-CN"/>
        </w:rPr>
        <w:t>14</w:t>
      </w:r>
      <w:r>
        <w:rPr>
          <w:rFonts w:hint="eastAsia" w:ascii="仿宋" w:hAnsi="仿宋" w:eastAsia="仿宋" w:cs="仿宋"/>
          <w:sz w:val="24"/>
          <w:szCs w:val="24"/>
          <w:lang w:eastAsia="zh-CN"/>
        </w:rPr>
        <w:t>天内予以计量、核实，并将核实结果通知承包人、抄报发包人。发包人应在收到核实结果后的</w:t>
      </w:r>
      <w:r>
        <w:rPr>
          <w:rFonts w:ascii="仿宋" w:hAnsi="仿宋" w:eastAsia="仿宋" w:cs="仿宋"/>
          <w:sz w:val="24"/>
          <w:szCs w:val="24"/>
          <w:lang w:eastAsia="zh-CN"/>
        </w:rPr>
        <w:t>7</w:t>
      </w:r>
      <w:r>
        <w:rPr>
          <w:rFonts w:hint="eastAsia" w:ascii="仿宋" w:hAnsi="仿宋" w:eastAsia="仿宋" w:cs="仿宋"/>
          <w:sz w:val="24"/>
          <w:szCs w:val="24"/>
          <w:lang w:eastAsia="zh-CN"/>
        </w:rPr>
        <w:t>天内在最终清算文件上签字确认。造价咨询人应在发包人签字确认最终清算文件后的</w:t>
      </w:r>
      <w:r>
        <w:rPr>
          <w:rFonts w:ascii="仿宋" w:hAnsi="仿宋" w:eastAsia="仿宋" w:cs="仿宋"/>
          <w:sz w:val="24"/>
          <w:szCs w:val="24"/>
          <w:lang w:eastAsia="zh-CN"/>
        </w:rPr>
        <w:t>7</w:t>
      </w:r>
      <w:r>
        <w:rPr>
          <w:rFonts w:hint="eastAsia" w:ascii="仿宋" w:hAnsi="仿宋" w:eastAsia="仿宋" w:cs="仿宋"/>
          <w:sz w:val="24"/>
          <w:szCs w:val="24"/>
          <w:lang w:eastAsia="zh-CN"/>
        </w:rPr>
        <w:t>天内，向发包人签发最终清算支付证书，同时抄送承包人。</w:t>
      </w:r>
    </w:p>
    <w:p w14:paraId="41AEE0B5">
      <w:pPr>
        <w:pStyle w:val="22"/>
        <w:tabs>
          <w:tab w:val="left" w:pos="900"/>
        </w:tabs>
        <w:adjustRightInd w:val="0"/>
        <w:snapToGrid w:val="0"/>
        <w:spacing w:line="400" w:lineRule="exact"/>
        <w:rPr>
          <w:rFonts w:ascii="仿宋" w:hAnsi="仿宋" w:eastAsia="仿宋"/>
          <w:sz w:val="24"/>
          <w:szCs w:val="24"/>
          <w:lang w:eastAsia="zh-CN"/>
        </w:rPr>
      </w:pPr>
      <w:bookmarkStart w:id="696" w:name="_Toc7893"/>
      <w:r>
        <w:rPr>
          <w:rFonts w:hint="eastAsia" w:ascii="仿宋" w:hAnsi="仿宋" w:eastAsia="仿宋" w:cs="仿宋"/>
          <w:b/>
          <w:bCs/>
          <w:sz w:val="24"/>
          <w:szCs w:val="24"/>
          <w:lang w:eastAsia="zh-CN"/>
        </w:rPr>
        <w:t>90</w:t>
      </w:r>
      <w:r>
        <w:rPr>
          <w:rFonts w:ascii="仿宋" w:hAnsi="仿宋" w:eastAsia="仿宋" w:cs="仿宋"/>
          <w:b/>
          <w:bCs/>
          <w:sz w:val="24"/>
          <w:szCs w:val="24"/>
          <w:lang w:eastAsia="zh-CN"/>
        </w:rPr>
        <w:t>.3</w:t>
      </w:r>
      <w:bookmarkEnd w:id="696"/>
      <w:r>
        <w:rPr>
          <w:rFonts w:ascii="仿宋" w:hAnsi="仿宋" w:eastAsia="仿宋" w:cs="仿宋"/>
          <w:sz w:val="24"/>
          <w:szCs w:val="24"/>
          <w:lang w:eastAsia="zh-CN"/>
        </w:rPr>
        <w:t xml:space="preserve">  </w:t>
      </w:r>
      <w:r>
        <w:rPr>
          <w:rFonts w:ascii="仿宋" w:hAnsi="仿宋" w:eastAsia="仿宋" w:cs="仿宋"/>
          <w:sz w:val="24"/>
          <w:szCs w:val="24"/>
          <w:u w:val="dotted"/>
          <w:lang w:eastAsia="zh-CN"/>
        </w:rPr>
        <w:t xml:space="preserve">                                                                               </w:t>
      </w:r>
    </w:p>
    <w:p w14:paraId="67742859">
      <w:pPr>
        <w:pStyle w:val="22"/>
        <w:widowControl w:val="0"/>
        <w:adjustRightInd w:val="0"/>
        <w:snapToGrid w:val="0"/>
        <w:spacing w:line="400" w:lineRule="exact"/>
        <w:ind w:left="1850" w:leftChars="771"/>
        <w:jc w:val="both"/>
        <w:rPr>
          <w:rFonts w:ascii="仿宋" w:hAnsi="仿宋" w:eastAsia="仿宋"/>
          <w:sz w:val="24"/>
          <w:szCs w:val="24"/>
          <w:lang w:eastAsia="zh-CN"/>
        </w:rPr>
      </w:pPr>
      <w:r>
        <w:rPr>
          <w:sz w:val="24"/>
          <w:szCs w:val="24"/>
        </w:rPr>
        <mc:AlternateContent>
          <mc:Choice Requires="wps">
            <w:drawing>
              <wp:anchor distT="0" distB="0" distL="114300" distR="114300" simplePos="0" relativeHeight="252065792" behindDoc="0" locked="0" layoutInCell="1" allowOverlap="1">
                <wp:simplePos x="0" y="0"/>
                <wp:positionH relativeFrom="column">
                  <wp:posOffset>-114300</wp:posOffset>
                </wp:positionH>
                <wp:positionV relativeFrom="paragraph">
                  <wp:posOffset>39370</wp:posOffset>
                </wp:positionV>
                <wp:extent cx="775970" cy="453390"/>
                <wp:effectExtent l="0" t="0" r="0" b="0"/>
                <wp:wrapNone/>
                <wp:docPr id="405" name="文本框 1066"/>
                <wp:cNvGraphicFramePr/>
                <a:graphic xmlns:a="http://schemas.openxmlformats.org/drawingml/2006/main">
                  <a:graphicData uri="http://schemas.microsoft.com/office/word/2010/wordprocessingShape">
                    <wps:wsp>
                      <wps:cNvSpPr txBox="1"/>
                      <wps:spPr>
                        <a:xfrm>
                          <a:off x="0" y="0"/>
                          <a:ext cx="775970" cy="453390"/>
                        </a:xfrm>
                        <a:prstGeom prst="rect">
                          <a:avLst/>
                        </a:prstGeom>
                        <a:noFill/>
                        <a:ln w="12700">
                          <a:noFill/>
                        </a:ln>
                      </wps:spPr>
                      <wps:txbx>
                        <w:txbxContent>
                          <w:p w14:paraId="59E07E75">
                            <w:pPr>
                              <w:spacing w:line="240" w:lineRule="exact"/>
                              <w:rPr>
                                <w:rFonts w:ascii="宋体"/>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txbxContent>
                      </wps:txbx>
                      <wps:bodyPr rot="0" vert="horz" wrap="square" lIns="91440" tIns="45720" rIns="91440" bIns="45720" anchor="t" anchorCtr="0"/>
                    </wps:wsp>
                  </a:graphicData>
                </a:graphic>
              </wp:anchor>
            </w:drawing>
          </mc:Choice>
          <mc:Fallback>
            <w:pict>
              <v:shape id="文本框 1066" o:spid="_x0000_s1026" o:spt="202" type="#_x0000_t202" style="position:absolute;left:0pt;margin-left:-9pt;margin-top:3.1pt;height:35.7pt;width:61.1pt;z-index:252065792;mso-width-relative:page;mso-height-relative:page;" filled="f" stroked="f" coordsize="21600,21600" o:gfxdata="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T5WzQ9cAAAAIAQAADwAAAAAAAAABACAAAAAiAAAAZHJzL2Rvd25yZXYueG1sUEsBAhQAFAAAAAgA&#10;h07iQBggILntAQAAvwMAAA4AAAAAAAAAAQAgAAAAJgEAAGRycy9lMm9Eb2MueG1sUEsFBgAAAAAG&#10;AAYAWQEAAIUFAAAAAA==&#10;">
                <v:fill on="f" focussize="0,0"/>
                <v:stroke on="f" weight="1pt"/>
                <v:imagedata o:title=""/>
                <o:lock v:ext="edit" aspectratio="f"/>
                <v:textbox>
                  <w:txbxContent>
                    <w:p w14:paraId="59E07E75">
                      <w:pPr>
                        <w:spacing w:line="240" w:lineRule="exact"/>
                        <w:rPr>
                          <w:rFonts w:ascii="宋体"/>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txbxContent>
                </v:textbox>
              </v:shape>
            </w:pict>
          </mc:Fallback>
        </mc:AlternateContent>
      </w:r>
      <w:r>
        <w:rPr>
          <w:rFonts w:hint="eastAsia" w:ascii="仿宋" w:hAnsi="仿宋" w:eastAsia="仿宋" w:cs="仿宋"/>
          <w:sz w:val="24"/>
          <w:szCs w:val="24"/>
          <w:lang w:eastAsia="zh-CN"/>
        </w:rPr>
        <w:t>发包人应在造价咨询人签发最终清算支付证书后的</w:t>
      </w:r>
      <w:r>
        <w:rPr>
          <w:rFonts w:ascii="仿宋" w:hAnsi="仿宋" w:eastAsia="仿宋" w:cs="仿宋"/>
          <w:sz w:val="24"/>
          <w:szCs w:val="24"/>
          <w:lang w:eastAsia="zh-CN"/>
        </w:rPr>
        <w:t>14</w:t>
      </w:r>
      <w:r>
        <w:rPr>
          <w:rFonts w:hint="eastAsia" w:ascii="仿宋" w:hAnsi="仿宋" w:eastAsia="仿宋" w:cs="仿宋"/>
          <w:sz w:val="24"/>
          <w:szCs w:val="24"/>
          <w:lang w:eastAsia="zh-CN"/>
        </w:rPr>
        <w:t>天内，按照最终清算支付证书列明的金额向承包人支付最终清算款，并通知造价咨询人。</w:t>
      </w:r>
    </w:p>
    <w:p w14:paraId="791C6E5B">
      <w:pPr>
        <w:pStyle w:val="22"/>
        <w:adjustRightInd w:val="0"/>
        <w:snapToGrid w:val="0"/>
        <w:spacing w:line="400" w:lineRule="exact"/>
        <w:rPr>
          <w:rFonts w:ascii="仿宋" w:hAnsi="仿宋" w:eastAsia="仿宋"/>
          <w:sz w:val="24"/>
          <w:szCs w:val="24"/>
          <w:lang w:eastAsia="zh-CN"/>
        </w:rPr>
      </w:pPr>
      <w:r>
        <w:rPr>
          <w:rFonts w:hint="eastAsia" w:ascii="仿宋" w:hAnsi="仿宋" w:eastAsia="仿宋" w:cs="仿宋"/>
          <w:b/>
          <w:bCs/>
          <w:sz w:val="24"/>
          <w:szCs w:val="24"/>
          <w:lang w:eastAsia="zh-CN"/>
        </w:rPr>
        <w:t>90</w:t>
      </w:r>
      <w:r>
        <w:rPr>
          <w:rFonts w:ascii="仿宋" w:hAnsi="仿宋" w:eastAsia="仿宋" w:cs="仿宋"/>
          <w:b/>
          <w:bCs/>
          <w:sz w:val="24"/>
          <w:szCs w:val="24"/>
          <w:lang w:eastAsia="zh-CN"/>
        </w:rPr>
        <w:t xml:space="preserve">.4 </w:t>
      </w:r>
      <w:r>
        <w:rPr>
          <w:rFonts w:ascii="仿宋" w:hAnsi="仿宋" w:eastAsia="仿宋" w:cs="仿宋"/>
          <w:sz w:val="24"/>
          <w:szCs w:val="24"/>
          <w:lang w:eastAsia="zh-CN"/>
        </w:rPr>
        <w:t xml:space="preserve"> </w:t>
      </w:r>
      <w:r>
        <w:rPr>
          <w:rFonts w:ascii="仿宋" w:hAnsi="仿宋" w:eastAsia="仿宋" w:cs="仿宋"/>
          <w:sz w:val="24"/>
          <w:szCs w:val="24"/>
          <w:u w:val="dotted"/>
          <w:lang w:eastAsia="zh-CN"/>
        </w:rPr>
        <w:t xml:space="preserve">                                                                               </w:t>
      </w:r>
    </w:p>
    <w:p w14:paraId="404C6304">
      <w:pPr>
        <w:pStyle w:val="22"/>
        <w:widowControl w:val="0"/>
        <w:adjustRightInd w:val="0"/>
        <w:snapToGrid w:val="0"/>
        <w:spacing w:line="400" w:lineRule="exact"/>
        <w:ind w:left="1850" w:leftChars="771"/>
        <w:jc w:val="both"/>
        <w:rPr>
          <w:rFonts w:ascii="仿宋" w:hAnsi="仿宋" w:eastAsia="仿宋"/>
          <w:sz w:val="24"/>
          <w:szCs w:val="24"/>
          <w:lang w:eastAsia="zh-CN"/>
        </w:rPr>
      </w:pPr>
      <w:r>
        <mc:AlternateContent>
          <mc:Choice Requires="wps">
            <w:drawing>
              <wp:anchor distT="0" distB="0" distL="114300" distR="114300" simplePos="0" relativeHeight="252066816" behindDoc="0" locked="0" layoutInCell="1" allowOverlap="1">
                <wp:simplePos x="0" y="0"/>
                <wp:positionH relativeFrom="column">
                  <wp:posOffset>-114300</wp:posOffset>
                </wp:positionH>
                <wp:positionV relativeFrom="paragraph">
                  <wp:posOffset>53340</wp:posOffset>
                </wp:positionV>
                <wp:extent cx="756920" cy="539115"/>
                <wp:effectExtent l="0" t="0" r="0" b="0"/>
                <wp:wrapNone/>
                <wp:docPr id="406" name="文本框 1067"/>
                <wp:cNvGraphicFramePr/>
                <a:graphic xmlns:a="http://schemas.openxmlformats.org/drawingml/2006/main">
                  <a:graphicData uri="http://schemas.microsoft.com/office/word/2010/wordprocessingShape">
                    <wps:wsp>
                      <wps:cNvSpPr txBox="1"/>
                      <wps:spPr>
                        <a:xfrm>
                          <a:off x="0" y="0"/>
                          <a:ext cx="756920" cy="539115"/>
                        </a:xfrm>
                        <a:prstGeom prst="rect">
                          <a:avLst/>
                        </a:prstGeom>
                        <a:noFill/>
                        <a:ln w="12700">
                          <a:noFill/>
                        </a:ln>
                      </wps:spPr>
                      <wps:txbx>
                        <w:txbxContent>
                          <w:p w14:paraId="538BE61E">
                            <w:pPr>
                              <w:spacing w:line="240" w:lineRule="exact"/>
                              <w:rPr>
                                <w:rFonts w:ascii="宋体"/>
                                <w:b/>
                                <w:bCs/>
                                <w:sz w:val="18"/>
                                <w:szCs w:val="18"/>
                                <w:lang w:eastAsia="zh-CN"/>
                              </w:rPr>
                            </w:pPr>
                            <w:r>
                              <w:rPr>
                                <w:rFonts w:hint="eastAsia" w:ascii="楷体_GB2312" w:hAnsi="宋体" w:eastAsia="楷体_GB2312" w:cs="楷体_GB2312"/>
                                <w:b/>
                                <w:bCs/>
                                <w:sz w:val="18"/>
                                <w:szCs w:val="18"/>
                                <w:lang w:eastAsia="zh-CN"/>
                              </w:rPr>
                              <w:t>签发最终清算支付证书限制</w:t>
                            </w:r>
                          </w:p>
                        </w:txbxContent>
                      </wps:txbx>
                      <wps:bodyPr rot="0" vert="horz" wrap="square" lIns="91440" tIns="45720" rIns="91440" bIns="45720" anchor="t" anchorCtr="0"/>
                    </wps:wsp>
                  </a:graphicData>
                </a:graphic>
              </wp:anchor>
            </w:drawing>
          </mc:Choice>
          <mc:Fallback>
            <w:pict>
              <v:shape id="文本框 1067" o:spid="_x0000_s1026" o:spt="202" type="#_x0000_t202" style="position:absolute;left:0pt;margin-left:-9pt;margin-top:4.2pt;height:42.45pt;width:59.6pt;z-index:252066816;mso-width-relative:page;mso-height-relative:page;" filled="f" stroked="f" coordsize="21600,21600" o:gfxdata="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fS&#10;3UbXAAAACAEAAA8AAAAAAAAAAQAgAAAAIgAAAGRycy9kb3ducmV2LnhtbFBLAQIUABQAAAAIAIdO&#10;4kAV7Sp16wEAAL8DAAAOAAAAAAAAAAEAIAAAACYBAABkcnMvZTJvRG9jLnhtbFBLBQYAAAAABgAG&#10;AFkBAACDBQAAAAA=&#10;">
                <v:fill on="f" focussize="0,0"/>
                <v:stroke on="f" weight="1pt"/>
                <v:imagedata o:title=""/>
                <o:lock v:ext="edit" aspectratio="f"/>
                <v:textbox>
                  <w:txbxContent>
                    <w:p w14:paraId="538BE61E">
                      <w:pPr>
                        <w:spacing w:line="240" w:lineRule="exact"/>
                        <w:rPr>
                          <w:rFonts w:ascii="宋体"/>
                          <w:b/>
                          <w:bCs/>
                          <w:sz w:val="18"/>
                          <w:szCs w:val="18"/>
                          <w:lang w:eastAsia="zh-CN"/>
                        </w:rPr>
                      </w:pPr>
                      <w:r>
                        <w:rPr>
                          <w:rFonts w:hint="eastAsia" w:ascii="楷体_GB2312" w:hAnsi="宋体" w:eastAsia="楷体_GB2312" w:cs="楷体_GB2312"/>
                          <w:b/>
                          <w:bCs/>
                          <w:sz w:val="18"/>
                          <w:szCs w:val="18"/>
                          <w:lang w:eastAsia="zh-CN"/>
                        </w:rPr>
                        <w:t>签发最终清算支付证书限制</w:t>
                      </w:r>
                    </w:p>
                  </w:txbxContent>
                </v:textbox>
              </v:shape>
            </w:pict>
          </mc:Fallback>
        </mc:AlternateContent>
      </w:r>
      <w:r>
        <w:rPr>
          <w:rFonts w:hint="eastAsia" w:ascii="仿宋" w:hAnsi="仿宋" w:eastAsia="仿宋" w:cs="仿宋"/>
          <w:sz w:val="24"/>
          <w:szCs w:val="24"/>
          <w:lang w:eastAsia="zh-CN"/>
        </w:rPr>
        <w:t>如果造价咨询人未在第90</w:t>
      </w:r>
      <w:r>
        <w:rPr>
          <w:rFonts w:ascii="仿宋" w:hAnsi="仿宋" w:eastAsia="仿宋" w:cs="仿宋"/>
          <w:sz w:val="24"/>
          <w:szCs w:val="24"/>
          <w:lang w:eastAsia="zh-CN"/>
        </w:rPr>
        <w:t>.2</w:t>
      </w:r>
      <w:r>
        <w:rPr>
          <w:rFonts w:hint="eastAsia" w:ascii="仿宋" w:hAnsi="仿宋" w:eastAsia="仿宋" w:cs="仿宋"/>
          <w:sz w:val="24"/>
          <w:szCs w:val="24"/>
          <w:lang w:eastAsia="zh-CN"/>
        </w:rPr>
        <w:t>款约定的期限内签发最终清算支付证书的，则视为承包人提交的最终清算支付申请已被认可，承包人应及时向发包人发出要求支付最终清算款的通知。发包人应在收到通知后的</w:t>
      </w:r>
      <w:r>
        <w:rPr>
          <w:rFonts w:ascii="仿宋" w:hAnsi="仿宋" w:eastAsia="仿宋" w:cs="仿宋"/>
          <w:sz w:val="24"/>
          <w:szCs w:val="24"/>
          <w:lang w:eastAsia="zh-CN"/>
        </w:rPr>
        <w:t>14</w:t>
      </w:r>
      <w:r>
        <w:rPr>
          <w:rFonts w:hint="eastAsia" w:ascii="仿宋" w:hAnsi="仿宋" w:eastAsia="仿宋" w:cs="仿宋"/>
          <w:sz w:val="24"/>
          <w:szCs w:val="24"/>
          <w:lang w:eastAsia="zh-CN"/>
        </w:rPr>
        <w:t>天内，按照承包人提交最终清算支付申请列明的金额向承包人支付最终清算款。</w:t>
      </w:r>
    </w:p>
    <w:p w14:paraId="46E6292B">
      <w:pPr>
        <w:pStyle w:val="22"/>
        <w:adjustRightInd w:val="0"/>
        <w:snapToGrid w:val="0"/>
        <w:spacing w:line="400" w:lineRule="exact"/>
        <w:rPr>
          <w:rFonts w:ascii="仿宋" w:hAnsi="仿宋" w:eastAsia="仿宋"/>
          <w:sz w:val="24"/>
          <w:szCs w:val="24"/>
          <w:lang w:eastAsia="zh-CN"/>
        </w:rPr>
      </w:pPr>
      <w:r>
        <w:rPr>
          <w:rFonts w:hint="eastAsia" w:ascii="仿宋" w:hAnsi="仿宋" w:eastAsia="仿宋" w:cs="仿宋"/>
          <w:b/>
          <w:bCs/>
          <w:sz w:val="24"/>
          <w:szCs w:val="24"/>
          <w:lang w:eastAsia="zh-CN"/>
        </w:rPr>
        <w:t>90</w:t>
      </w:r>
      <w:r>
        <w:rPr>
          <w:rFonts w:ascii="仿宋" w:hAnsi="仿宋" w:eastAsia="仿宋" w:cs="仿宋"/>
          <w:b/>
          <w:bCs/>
          <w:sz w:val="24"/>
          <w:szCs w:val="24"/>
          <w:lang w:eastAsia="zh-CN"/>
        </w:rPr>
        <w:t xml:space="preserve">.5 </w:t>
      </w:r>
      <w:r>
        <w:rPr>
          <w:rFonts w:ascii="仿宋" w:hAnsi="仿宋" w:eastAsia="仿宋" w:cs="仿宋"/>
          <w:sz w:val="24"/>
          <w:szCs w:val="24"/>
          <w:lang w:eastAsia="zh-CN"/>
        </w:rPr>
        <w:t xml:space="preserve"> </w:t>
      </w:r>
      <w:r>
        <w:rPr>
          <w:rFonts w:ascii="仿宋" w:hAnsi="仿宋" w:eastAsia="仿宋" w:cs="仿宋"/>
          <w:sz w:val="24"/>
          <w:szCs w:val="24"/>
          <w:u w:val="dotted"/>
          <w:lang w:eastAsia="zh-CN"/>
        </w:rPr>
        <w:t xml:space="preserve">                                                                               </w:t>
      </w:r>
    </w:p>
    <w:p w14:paraId="4B4E4557">
      <w:pPr>
        <w:widowControl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939840" behindDoc="0" locked="0" layoutInCell="1" allowOverlap="1">
                <wp:simplePos x="0" y="0"/>
                <wp:positionH relativeFrom="column">
                  <wp:posOffset>-114300</wp:posOffset>
                </wp:positionH>
                <wp:positionV relativeFrom="paragraph">
                  <wp:posOffset>8255</wp:posOffset>
                </wp:positionV>
                <wp:extent cx="790575" cy="628015"/>
                <wp:effectExtent l="0" t="0" r="0" b="0"/>
                <wp:wrapNone/>
                <wp:docPr id="407" name="文本框 1068"/>
                <wp:cNvGraphicFramePr/>
                <a:graphic xmlns:a="http://schemas.openxmlformats.org/drawingml/2006/main">
                  <a:graphicData uri="http://schemas.microsoft.com/office/word/2010/wordprocessingShape">
                    <wps:wsp>
                      <wps:cNvSpPr txBox="1"/>
                      <wps:spPr>
                        <a:xfrm>
                          <a:off x="0" y="0"/>
                          <a:ext cx="790575" cy="628015"/>
                        </a:xfrm>
                        <a:prstGeom prst="rect">
                          <a:avLst/>
                        </a:prstGeom>
                        <a:noFill/>
                        <a:ln w="12700">
                          <a:noFill/>
                        </a:ln>
                      </wps:spPr>
                      <wps:txbx>
                        <w:txbxContent>
                          <w:p w14:paraId="1D9463F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最终清算款支付的限制</w:t>
                            </w:r>
                          </w:p>
                        </w:txbxContent>
                      </wps:txbx>
                      <wps:bodyPr rot="0" vert="horz" wrap="square" lIns="91440" tIns="45720" rIns="91440" bIns="45720" anchor="t" anchorCtr="0"/>
                    </wps:wsp>
                  </a:graphicData>
                </a:graphic>
              </wp:anchor>
            </w:drawing>
          </mc:Choice>
          <mc:Fallback>
            <w:pict>
              <v:shape id="文本框 1068" o:spid="_x0000_s1026" o:spt="202" type="#_x0000_t202" style="position:absolute;left:0pt;margin-left:-9pt;margin-top:0.65pt;height:49.45pt;width:62.25pt;z-index:251939840;mso-width-relative:page;mso-height-relative:page;" filled="f" stroked="f" coordsize="21600,21600" o:gfxdata="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C8VBB&#10;1gAAAAkBAAAPAAAAAAAAAAEAIAAAACIAAABkcnMvZG93bnJldi54bWxQSwECFAAUAAAACACHTuJA&#10;L9o+0eoBAAC/AwAADgAAAAAAAAABACAAAAAlAQAAZHJzL2Uyb0RvYy54bWxQSwUGAAAAAAYABgBZ&#10;AQAAgQUAAAAA&#10;">
                <v:fill on="f" focussize="0,0"/>
                <v:stroke on="f" weight="1pt"/>
                <v:imagedata o:title=""/>
                <o:lock v:ext="edit" aspectratio="f"/>
                <v:textbox>
                  <w:txbxContent>
                    <w:p w14:paraId="1D9463F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最终清算款支付的限制</w:t>
                      </w:r>
                    </w:p>
                  </w:txbxContent>
                </v:textbox>
              </v:shape>
            </w:pict>
          </mc:Fallback>
        </mc:AlternateContent>
      </w:r>
      <w:r>
        <w:rPr>
          <w:rFonts w:hint="eastAsia" w:ascii="仿宋" w:hAnsi="仿宋" w:eastAsia="仿宋" w:cs="仿宋"/>
          <w:lang w:eastAsia="zh-CN"/>
        </w:rPr>
        <w:t>发包人未按照第90</w:t>
      </w:r>
      <w:r>
        <w:rPr>
          <w:rFonts w:ascii="仿宋" w:hAnsi="仿宋" w:eastAsia="仿宋" w:cs="仿宋"/>
          <w:lang w:eastAsia="zh-CN"/>
        </w:rPr>
        <w:t>.3</w:t>
      </w:r>
      <w:r>
        <w:rPr>
          <w:rFonts w:hint="eastAsia" w:ascii="仿宋" w:hAnsi="仿宋" w:eastAsia="仿宋" w:cs="仿宋"/>
          <w:lang w:eastAsia="zh-CN"/>
        </w:rPr>
        <w:t>款和第90</w:t>
      </w:r>
      <w:r>
        <w:rPr>
          <w:rFonts w:ascii="仿宋" w:hAnsi="仿宋" w:eastAsia="仿宋" w:cs="仿宋"/>
          <w:lang w:eastAsia="zh-CN"/>
        </w:rPr>
        <w:t>.4</w:t>
      </w:r>
      <w:r>
        <w:rPr>
          <w:rFonts w:hint="eastAsia" w:ascii="仿宋" w:hAnsi="仿宋" w:eastAsia="仿宋" w:cs="仿宋"/>
          <w:lang w:eastAsia="zh-CN"/>
        </w:rPr>
        <w:t>款约定支付最终清算款的，承包人可催告发包人支付最终清算款，如双方达成延期支付协议，承包人有权按照第83</w:t>
      </w:r>
      <w:r>
        <w:rPr>
          <w:rFonts w:ascii="仿宋" w:hAnsi="仿宋" w:eastAsia="仿宋" w:cs="仿宋"/>
          <w:lang w:eastAsia="zh-CN"/>
        </w:rPr>
        <w:t>.2</w:t>
      </w:r>
      <w:r>
        <w:rPr>
          <w:rFonts w:hint="eastAsia" w:ascii="仿宋" w:hAnsi="仿宋" w:eastAsia="仿宋" w:cs="仿宋"/>
          <w:lang w:eastAsia="zh-CN"/>
        </w:rPr>
        <w:t>款约定获得延期支付的利息。若该永久工程按照第</w:t>
      </w:r>
      <w:r>
        <w:rPr>
          <w:rFonts w:ascii="仿宋" w:hAnsi="仿宋" w:eastAsia="仿宋" w:cs="仿宋"/>
          <w:lang w:eastAsia="zh-CN"/>
        </w:rPr>
        <w:t>8</w:t>
      </w:r>
      <w:r>
        <w:rPr>
          <w:rFonts w:hint="eastAsia" w:ascii="仿宋" w:hAnsi="仿宋" w:eastAsia="仿宋" w:cs="仿宋"/>
          <w:lang w:eastAsia="zh-CN"/>
        </w:rPr>
        <w:t>8</w:t>
      </w:r>
      <w:r>
        <w:rPr>
          <w:rFonts w:ascii="仿宋" w:hAnsi="仿宋" w:eastAsia="仿宋" w:cs="仿宋"/>
          <w:lang w:eastAsia="zh-CN"/>
        </w:rPr>
        <w:t>.5</w:t>
      </w:r>
      <w:r>
        <w:rPr>
          <w:rFonts w:hint="eastAsia" w:ascii="仿宋" w:hAnsi="仿宋" w:eastAsia="仿宋" w:cs="仿宋"/>
          <w:lang w:eastAsia="zh-CN"/>
        </w:rPr>
        <w:t>款约定进行折价或依法拍卖的，承包人就该工程折价或拍卖的价款优先受偿。</w:t>
      </w:r>
    </w:p>
    <w:p w14:paraId="68AA4622">
      <w:pPr>
        <w:pStyle w:val="22"/>
        <w:adjustRightInd w:val="0"/>
        <w:snapToGrid w:val="0"/>
        <w:spacing w:line="400" w:lineRule="exact"/>
        <w:rPr>
          <w:rFonts w:ascii="仿宋" w:hAnsi="仿宋" w:eastAsia="仿宋"/>
          <w:sz w:val="24"/>
          <w:szCs w:val="24"/>
          <w:lang w:eastAsia="zh-CN"/>
        </w:rPr>
      </w:pPr>
      <w:r>
        <mc:AlternateContent>
          <mc:Choice Requires="wps">
            <w:drawing>
              <wp:anchor distT="0" distB="0" distL="114300" distR="114300" simplePos="0" relativeHeight="252067840" behindDoc="0" locked="0" layoutInCell="1" allowOverlap="1">
                <wp:simplePos x="0" y="0"/>
                <wp:positionH relativeFrom="column">
                  <wp:posOffset>-114300</wp:posOffset>
                </wp:positionH>
                <wp:positionV relativeFrom="paragraph">
                  <wp:posOffset>259715</wp:posOffset>
                </wp:positionV>
                <wp:extent cx="775970" cy="500380"/>
                <wp:effectExtent l="0" t="0" r="0" b="0"/>
                <wp:wrapNone/>
                <wp:docPr id="408" name="文本框 1069"/>
                <wp:cNvGraphicFramePr/>
                <a:graphic xmlns:a="http://schemas.openxmlformats.org/drawingml/2006/main">
                  <a:graphicData uri="http://schemas.microsoft.com/office/word/2010/wordprocessingShape">
                    <wps:wsp>
                      <wps:cNvSpPr txBox="1"/>
                      <wps:spPr>
                        <a:xfrm>
                          <a:off x="0" y="0"/>
                          <a:ext cx="775970" cy="500380"/>
                        </a:xfrm>
                        <a:prstGeom prst="rect">
                          <a:avLst/>
                        </a:prstGeom>
                        <a:noFill/>
                        <a:ln w="12700">
                          <a:noFill/>
                        </a:ln>
                      </wps:spPr>
                      <wps:txbx>
                        <w:txbxContent>
                          <w:p w14:paraId="1A31AC7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txbxContent>
                      </wps:txbx>
                      <wps:bodyPr rot="0" vert="horz" wrap="square" lIns="91440" tIns="45720" rIns="91440" bIns="45720" anchor="t" anchorCtr="0"/>
                    </wps:wsp>
                  </a:graphicData>
                </a:graphic>
              </wp:anchor>
            </w:drawing>
          </mc:Choice>
          <mc:Fallback>
            <w:pict>
              <v:shape id="文本框 1069" o:spid="_x0000_s1026" o:spt="202" type="#_x0000_t202" style="position:absolute;left:0pt;margin-left:-9pt;margin-top:20.45pt;height:39.4pt;width:61.1pt;z-index:252067840;mso-width-relative:page;mso-height-relative:page;" filled="f" stroked="f" coordsize="21600,21600" o:gfxdata="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suxuvZAAAACgEAAA8AAAAAAAAAAQAgAAAAIgAAAGRycy9kb3ducmV2LnhtbFBLAQIUABQAAAAI&#10;AIdO4kAQLugk7AEAAL8DAAAOAAAAAAAAAAEAIAAAACgBAABkcnMvZTJvRG9jLnhtbFBLBQYAAAAA&#10;BgAGAFkBAACGBQAAAAA=&#10;">
                <v:fill on="f" focussize="0,0"/>
                <v:stroke on="f" weight="1pt"/>
                <v:imagedata o:title=""/>
                <o:lock v:ext="edit" aspectratio="f"/>
                <v:textbox>
                  <w:txbxContent>
                    <w:p w14:paraId="1A31AC7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txbxContent>
                </v:textbox>
              </v:shape>
            </w:pict>
          </mc:Fallback>
        </mc:AlternateContent>
      </w:r>
      <w:r>
        <w:rPr>
          <w:rFonts w:hint="eastAsia" w:ascii="仿宋" w:hAnsi="仿宋" w:eastAsia="仿宋" w:cs="仿宋"/>
          <w:b/>
          <w:bCs/>
          <w:sz w:val="24"/>
          <w:szCs w:val="24"/>
          <w:lang w:eastAsia="zh-CN"/>
        </w:rPr>
        <w:t>90</w:t>
      </w:r>
      <w:r>
        <w:rPr>
          <w:rFonts w:ascii="仿宋" w:hAnsi="仿宋" w:eastAsia="仿宋" w:cs="仿宋"/>
          <w:b/>
          <w:bCs/>
          <w:sz w:val="24"/>
          <w:szCs w:val="24"/>
          <w:lang w:eastAsia="zh-CN"/>
        </w:rPr>
        <w:t xml:space="preserve">.6 </w:t>
      </w:r>
      <w:r>
        <w:rPr>
          <w:rFonts w:ascii="仿宋" w:hAnsi="仿宋" w:eastAsia="仿宋" w:cs="仿宋"/>
          <w:sz w:val="24"/>
          <w:szCs w:val="24"/>
          <w:lang w:eastAsia="zh-CN"/>
        </w:rPr>
        <w:t xml:space="preserve"> </w:t>
      </w:r>
      <w:r>
        <w:rPr>
          <w:rFonts w:ascii="仿宋" w:hAnsi="仿宋" w:eastAsia="仿宋" w:cs="仿宋"/>
          <w:sz w:val="24"/>
          <w:szCs w:val="24"/>
          <w:u w:val="dotted"/>
          <w:lang w:eastAsia="zh-CN"/>
        </w:rPr>
        <w:t xml:space="preserve">                                                                                </w:t>
      </w:r>
    </w:p>
    <w:p w14:paraId="2FFF28C1">
      <w:pPr>
        <w:widowControl w:val="0"/>
        <w:spacing w:line="400" w:lineRule="exact"/>
        <w:ind w:left="1850" w:leftChars="771"/>
        <w:rPr>
          <w:rFonts w:ascii="仿宋" w:hAnsi="仿宋" w:eastAsia="仿宋"/>
          <w:lang w:eastAsia="zh-CN"/>
        </w:rPr>
      </w:pPr>
      <w:r>
        <w:rPr>
          <w:rFonts w:hint="eastAsia" w:ascii="仿宋" w:hAnsi="仿宋" w:eastAsia="仿宋" w:cs="仿宋"/>
          <w:lang w:eastAsia="zh-CN"/>
        </w:rPr>
        <w:t>承包人对发包人支付的最终清算款有异议的，按照第91条约定的争议处理。</w:t>
      </w:r>
    </w:p>
    <w:p w14:paraId="056868F2">
      <w:pPr>
        <w:spacing w:line="400" w:lineRule="exact"/>
        <w:rPr>
          <w:lang w:eastAsia="zh-CN"/>
        </w:rPr>
      </w:pPr>
      <w:r>
        <w:rPr>
          <w:rFonts w:ascii="仿宋" w:hAnsi="仿宋" w:eastAsia="仿宋" w:cs="仿宋"/>
          <w:b/>
          <w:bCs/>
          <w:u w:val="single"/>
          <w:lang w:eastAsia="zh-CN"/>
        </w:rPr>
        <w:t xml:space="preserve">                                                                                     </w:t>
      </w:r>
    </w:p>
    <w:p w14:paraId="0AE85622">
      <w:pPr>
        <w:pStyle w:val="22"/>
        <w:adjustRightInd w:val="0"/>
        <w:snapToGrid w:val="0"/>
        <w:spacing w:line="400" w:lineRule="exact"/>
        <w:jc w:val="center"/>
        <w:outlineLvl w:val="1"/>
        <w:rPr>
          <w:rFonts w:ascii="仿宋" w:hAnsi="仿宋" w:eastAsia="仿宋"/>
          <w:b/>
          <w:bCs/>
          <w:sz w:val="24"/>
          <w:szCs w:val="24"/>
          <w:lang w:eastAsia="zh-CN"/>
        </w:rPr>
      </w:pPr>
      <w:bookmarkStart w:id="697" w:name="_Toc194073202"/>
      <w:bookmarkStart w:id="698" w:name="_Toc469384069"/>
      <w:bookmarkStart w:id="699" w:name="_Toc11326"/>
      <w:bookmarkStart w:id="700" w:name="_Toc25168"/>
      <w:bookmarkStart w:id="701" w:name="_Toc18654"/>
      <w:r>
        <w:rPr>
          <w:rFonts w:hint="eastAsia" w:ascii="仿宋" w:hAnsi="仿宋" w:eastAsia="仿宋" w:cs="仿宋"/>
          <w:b/>
          <w:bCs/>
          <w:sz w:val="24"/>
          <w:szCs w:val="24"/>
          <w:lang w:eastAsia="zh-CN"/>
        </w:rPr>
        <w:t>八、合同争议、解除与终止</w:t>
      </w:r>
      <w:bookmarkEnd w:id="697"/>
      <w:bookmarkEnd w:id="698"/>
      <w:bookmarkEnd w:id="699"/>
      <w:bookmarkEnd w:id="700"/>
      <w:bookmarkEnd w:id="701"/>
    </w:p>
    <w:p w14:paraId="24C9F11D">
      <w:pPr>
        <w:pStyle w:val="4"/>
        <w:tabs>
          <w:tab w:val="left" w:pos="420"/>
        </w:tabs>
        <w:spacing w:before="0" w:after="0" w:line="400" w:lineRule="exact"/>
        <w:rPr>
          <w:rFonts w:ascii="仿宋" w:hAnsi="仿宋" w:eastAsia="仿宋" w:cs="仿宋"/>
          <w:bCs w:val="0"/>
          <w:sz w:val="24"/>
          <w:szCs w:val="24"/>
          <w:lang w:eastAsia="zh-CN"/>
        </w:rPr>
      </w:pPr>
      <w:bookmarkStart w:id="702" w:name="_Toc26644"/>
      <w:bookmarkStart w:id="703" w:name="_Toc194073203"/>
      <w:bookmarkStart w:id="704" w:name="_Toc1473"/>
      <w:bookmarkStart w:id="705" w:name="_Toc469384070"/>
      <w:bookmarkStart w:id="706" w:name="_Toc30906"/>
      <w:r>
        <w:rPr>
          <w:rFonts w:hint="eastAsia" w:ascii="仿宋" w:hAnsi="仿宋" w:eastAsia="仿宋" w:cs="仿宋"/>
          <w:bCs w:val="0"/>
          <w:sz w:val="24"/>
          <w:szCs w:val="24"/>
          <w:lang w:eastAsia="zh-CN"/>
        </w:rPr>
        <w:t>91</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 xml:space="preserve"> 合同争议</w:t>
      </w:r>
      <w:bookmarkEnd w:id="702"/>
      <w:bookmarkEnd w:id="703"/>
      <w:bookmarkEnd w:id="704"/>
      <w:bookmarkEnd w:id="705"/>
      <w:bookmarkEnd w:id="706"/>
    </w:p>
    <w:p w14:paraId="2ACB0B05">
      <w:pPr>
        <w:pStyle w:val="22"/>
        <w:adjustRightInd w:val="0"/>
        <w:snapToGrid w:val="0"/>
        <w:spacing w:line="400" w:lineRule="exact"/>
        <w:rPr>
          <w:rFonts w:ascii="仿宋" w:hAnsi="仿宋" w:eastAsia="仿宋" w:cs="仿宋"/>
          <w:b/>
          <w:bCs/>
          <w:sz w:val="24"/>
          <w:szCs w:val="24"/>
          <w:lang w:eastAsia="zh-CN"/>
        </w:rPr>
      </w:pPr>
      <w:r>
        <w:rPr>
          <w:b/>
        </w:rPr>
        <mc:AlternateContent>
          <mc:Choice Requires="wps">
            <w:drawing>
              <wp:anchor distT="0" distB="0" distL="114300" distR="114300" simplePos="0" relativeHeight="252068864" behindDoc="0" locked="0" layoutInCell="1" allowOverlap="1">
                <wp:simplePos x="0" y="0"/>
                <wp:positionH relativeFrom="column">
                  <wp:posOffset>-114300</wp:posOffset>
                </wp:positionH>
                <wp:positionV relativeFrom="paragraph">
                  <wp:posOffset>284480</wp:posOffset>
                </wp:positionV>
                <wp:extent cx="804545" cy="723265"/>
                <wp:effectExtent l="0" t="0" r="0" b="0"/>
                <wp:wrapNone/>
                <wp:docPr id="409" name="文本框 1072"/>
                <wp:cNvGraphicFramePr/>
                <a:graphic xmlns:a="http://schemas.openxmlformats.org/drawingml/2006/main">
                  <a:graphicData uri="http://schemas.microsoft.com/office/word/2010/wordprocessingShape">
                    <wps:wsp>
                      <wps:cNvSpPr txBox="1"/>
                      <wps:spPr>
                        <a:xfrm>
                          <a:off x="0" y="0"/>
                          <a:ext cx="804545" cy="723265"/>
                        </a:xfrm>
                        <a:prstGeom prst="rect">
                          <a:avLst/>
                        </a:prstGeom>
                        <a:noFill/>
                        <a:ln w="12700">
                          <a:noFill/>
                        </a:ln>
                      </wps:spPr>
                      <wps:txbx>
                        <w:txbxContent>
                          <w:p w14:paraId="053D3AD6">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认可暂定结果或产生争议</w:t>
                            </w:r>
                          </w:p>
                        </w:txbxContent>
                      </wps:txbx>
                      <wps:bodyPr rot="0" vert="horz" wrap="square" lIns="91440" tIns="45720" rIns="91440" bIns="45720" anchor="t" anchorCtr="0"/>
                    </wps:wsp>
                  </a:graphicData>
                </a:graphic>
              </wp:anchor>
            </w:drawing>
          </mc:Choice>
          <mc:Fallback>
            <w:pict>
              <v:shape id="文本框 1072" o:spid="_x0000_s1026" o:spt="202" type="#_x0000_t202" style="position:absolute;left:0pt;margin-left:-9pt;margin-top:22.4pt;height:56.95pt;width:63.35pt;z-index:252068864;mso-width-relative:page;mso-height-relative:page;" filled="f" stroked="f" coordsize="21600,21600" o:gfxdata="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hV&#10;yLnXAAAACgEAAA8AAAAAAAAAAQAgAAAAIgAAAGRycy9kb3ducmV2LnhtbFBLAQIUABQAAAAIAIdO&#10;4kAnc99U6wEAAL8DAAAOAAAAAAAAAAEAIAAAACYBAABkcnMvZTJvRG9jLnhtbFBLBQYAAAAABgAG&#10;AFkBAACDBQAAAAA=&#10;">
                <v:fill on="f" focussize="0,0"/>
                <v:stroke on="f" weight="1pt"/>
                <v:imagedata o:title=""/>
                <o:lock v:ext="edit" aspectratio="f"/>
                <v:textbox>
                  <w:txbxContent>
                    <w:p w14:paraId="053D3AD6">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认可暂定结果或产生争议</w:t>
                      </w:r>
                    </w:p>
                  </w:txbxContent>
                </v:textbox>
              </v:shape>
            </w:pict>
          </mc:Fallback>
        </mc:AlternateContent>
      </w:r>
      <w:r>
        <w:rPr>
          <w:rFonts w:hint="eastAsia" w:ascii="仿宋" w:hAnsi="仿宋" w:eastAsia="仿宋" w:cs="仿宋"/>
          <w:b/>
          <w:bCs/>
          <w:sz w:val="24"/>
          <w:szCs w:val="24"/>
          <w:lang w:eastAsia="zh-CN"/>
        </w:rPr>
        <w:t>91</w:t>
      </w:r>
      <w:r>
        <w:rPr>
          <w:rFonts w:ascii="仿宋" w:hAnsi="仿宋" w:eastAsia="仿宋" w:cs="仿宋"/>
          <w:b/>
          <w:bCs/>
          <w:sz w:val="24"/>
          <w:szCs w:val="24"/>
          <w:lang w:eastAsia="zh-CN"/>
        </w:rPr>
        <w:t>.1</w:t>
      </w:r>
    </w:p>
    <w:p w14:paraId="25A8B7B0">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本合同履行期间，合同双方当事人应在收到监理人或造价咨询人依据合同约定作出暂定结果之后的</w:t>
      </w:r>
      <w:r>
        <w:rPr>
          <w:rFonts w:ascii="仿宋" w:hAnsi="仿宋" w:eastAsia="仿宋" w:cs="仿宋"/>
          <w:sz w:val="24"/>
          <w:szCs w:val="24"/>
          <w:lang w:eastAsia="zh-CN"/>
        </w:rPr>
        <w:t>14</w:t>
      </w:r>
      <w:r>
        <w:rPr>
          <w:rFonts w:hint="eastAsia" w:ascii="仿宋" w:hAnsi="仿宋" w:eastAsia="仿宋" w:cs="仿宋"/>
          <w:sz w:val="24"/>
          <w:szCs w:val="24"/>
          <w:lang w:eastAsia="zh-CN"/>
        </w:rPr>
        <w:t>天内，对暂定结果予以确认或提出意见。合同双方对暂定结果认可的，应以书面形式予以确认，暂定结果成为最终决定，对合同双方当事人都有约束力；合同双方或一方当事人不同意暂定结果的，应以书面形式向监理人或造价咨询人提出，说明自己认为正确的结果，同时抄送另一方当事人，此时该暂定结果成为争议。除非本合同已解除，在暂定结果不实质影响合同双方当事人履约的前提下，合同双方当事人应实施该结果，直到其被改变为止。</w:t>
      </w:r>
    </w:p>
    <w:p w14:paraId="6A1CBB39">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合同双方当事人在收到监理人或造价咨询人的暂定结果之日起，超过</w:t>
      </w:r>
      <w:r>
        <w:rPr>
          <w:rFonts w:ascii="仿宋" w:hAnsi="仿宋" w:eastAsia="仿宋" w:cs="仿宋"/>
          <w:sz w:val="24"/>
          <w:szCs w:val="24"/>
          <w:lang w:eastAsia="zh-CN"/>
        </w:rPr>
        <w:t>14</w:t>
      </w:r>
      <w:r>
        <w:rPr>
          <w:rFonts w:hint="eastAsia" w:ascii="仿宋" w:hAnsi="仿宋" w:eastAsia="仿宋" w:cs="仿宋"/>
          <w:sz w:val="24"/>
          <w:szCs w:val="24"/>
          <w:lang w:eastAsia="zh-CN"/>
        </w:rPr>
        <w:t>天，未对暂定结果予以确认也未提出意见的，视为合同双方当事人已认可暂定结果。</w:t>
      </w:r>
    </w:p>
    <w:p w14:paraId="5F97CF3D">
      <w:pPr>
        <w:spacing w:line="400" w:lineRule="exact"/>
        <w:rPr>
          <w:rFonts w:ascii="仿宋" w:hAnsi="仿宋" w:eastAsia="仿宋"/>
          <w:b/>
          <w:bCs/>
          <w:lang w:eastAsia="zh-CN"/>
        </w:rPr>
      </w:pPr>
      <w:bookmarkStart w:id="707" w:name="_Toc7915"/>
      <w:r>
        <w:rPr>
          <w:rFonts w:hint="eastAsia" w:ascii="仿宋" w:hAnsi="仿宋" w:eastAsia="仿宋" w:cs="仿宋"/>
          <w:b/>
          <w:bCs/>
          <w:lang w:eastAsia="zh-CN"/>
        </w:rPr>
        <w:t>91</w:t>
      </w:r>
      <w:r>
        <w:rPr>
          <w:rFonts w:ascii="仿宋" w:hAnsi="仿宋" w:eastAsia="仿宋" w:cs="仿宋"/>
          <w:b/>
          <w:bCs/>
          <w:lang w:eastAsia="zh-CN"/>
        </w:rPr>
        <w:t>.2</w:t>
      </w:r>
      <w:bookmarkEnd w:id="707"/>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3459ABEE">
      <w:pPr>
        <w:pStyle w:val="22"/>
        <w:tabs>
          <w:tab w:val="left" w:pos="1320"/>
        </w:tabs>
        <w:adjustRightInd w:val="0"/>
        <w:snapToGrid w:val="0"/>
        <w:spacing w:line="400" w:lineRule="exact"/>
        <w:ind w:left="1920" w:leftChars="800"/>
        <w:rPr>
          <w:rFonts w:ascii="仿宋" w:hAnsi="仿宋" w:eastAsia="仿宋"/>
          <w:b/>
          <w:bCs/>
          <w:sz w:val="24"/>
          <w:szCs w:val="24"/>
          <w:lang w:eastAsia="zh-CN"/>
        </w:rPr>
      </w:pPr>
      <w:r>
        <mc:AlternateContent>
          <mc:Choice Requires="wps">
            <w:drawing>
              <wp:anchor distT="0" distB="0" distL="114300" distR="114300" simplePos="0" relativeHeight="251940864" behindDoc="0" locked="0" layoutInCell="1" allowOverlap="1">
                <wp:simplePos x="0" y="0"/>
                <wp:positionH relativeFrom="column">
                  <wp:posOffset>-114300</wp:posOffset>
                </wp:positionH>
                <wp:positionV relativeFrom="paragraph">
                  <wp:posOffset>26670</wp:posOffset>
                </wp:positionV>
                <wp:extent cx="788035" cy="338455"/>
                <wp:effectExtent l="0" t="0" r="0" b="0"/>
                <wp:wrapNone/>
                <wp:docPr id="410" name="文本框 1073"/>
                <wp:cNvGraphicFramePr/>
                <a:graphic xmlns:a="http://schemas.openxmlformats.org/drawingml/2006/main">
                  <a:graphicData uri="http://schemas.microsoft.com/office/word/2010/wordprocessingShape">
                    <wps:wsp>
                      <wps:cNvSpPr txBox="1"/>
                      <wps:spPr>
                        <a:xfrm>
                          <a:off x="0" y="0"/>
                          <a:ext cx="788035" cy="338455"/>
                        </a:xfrm>
                        <a:prstGeom prst="rect">
                          <a:avLst/>
                        </a:prstGeom>
                        <a:noFill/>
                        <a:ln w="12700">
                          <a:noFill/>
                        </a:ln>
                      </wps:spPr>
                      <wps:txbx>
                        <w:txbxContent>
                          <w:p w14:paraId="51DB745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双方协商</w:t>
                            </w:r>
                          </w:p>
                        </w:txbxContent>
                      </wps:txbx>
                      <wps:bodyPr rot="0" vert="horz" wrap="square" lIns="91440" tIns="45720" rIns="91440" bIns="45720" anchor="t" anchorCtr="0"/>
                    </wps:wsp>
                  </a:graphicData>
                </a:graphic>
              </wp:anchor>
            </w:drawing>
          </mc:Choice>
          <mc:Fallback>
            <w:pict>
              <v:shape id="文本框 1073" o:spid="_x0000_s1026" o:spt="202" type="#_x0000_t202" style="position:absolute;left:0pt;margin-left:-9pt;margin-top:2.1pt;height:26.65pt;width:62.05pt;z-index:251940864;mso-width-relative:page;mso-height-relative:page;" filled="f" stroked="f" coordsize="21600,21600" o:gfxdata="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3t&#10;T27YAAAACAEAAA8AAAAAAAAAAQAgAAAAIgAAAGRycy9kb3ducmV2LnhtbFBLAQIUABQAAAAIAIdO&#10;4kD2t4cP6gEAAL8DAAAOAAAAAAAAAAEAIAAAACcBAABkcnMvZTJvRG9jLnhtbFBLBQYAAAAABgAG&#10;AFkBAACDBQAAAAA=&#10;">
                <v:fill on="f" focussize="0,0"/>
                <v:stroke on="f" weight="1pt"/>
                <v:imagedata o:title=""/>
                <o:lock v:ext="edit" aspectratio="f"/>
                <v:textbox>
                  <w:txbxContent>
                    <w:p w14:paraId="51DB745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双方协商</w:t>
                      </w:r>
                    </w:p>
                  </w:txbxContent>
                </v:textbox>
              </v:shape>
            </w:pict>
          </mc:Fallback>
        </mc:AlternateContent>
      </w:r>
      <w:r>
        <w:rPr>
          <w:rFonts w:hint="eastAsia" w:ascii="仿宋" w:hAnsi="仿宋" w:eastAsia="仿宋" w:cs="仿宋"/>
          <w:sz w:val="24"/>
          <w:szCs w:val="24"/>
          <w:lang w:eastAsia="zh-CN"/>
        </w:rPr>
        <w:t>争议发生后的</w:t>
      </w:r>
      <w:r>
        <w:rPr>
          <w:rFonts w:ascii="仿宋" w:hAnsi="仿宋" w:eastAsia="仿宋" w:cs="仿宋"/>
          <w:sz w:val="24"/>
          <w:szCs w:val="24"/>
          <w:lang w:eastAsia="zh-CN"/>
        </w:rPr>
        <w:t>14</w:t>
      </w:r>
      <w:r>
        <w:rPr>
          <w:rFonts w:hint="eastAsia" w:ascii="仿宋" w:hAnsi="仿宋" w:eastAsia="仿宋" w:cs="仿宋"/>
          <w:sz w:val="24"/>
          <w:szCs w:val="24"/>
          <w:lang w:eastAsia="zh-CN"/>
        </w:rPr>
        <w:t>天内，合同双方当事人可进一步进行协商。协商达成一致的，合同双方当事人应签订书面协议，经双方签字并盖章后作为合同补充文件，双方均应遵照执行，并将结果抄送监理人或造价咨询人；协商仍不能达成一致的，按照第91</w:t>
      </w:r>
      <w:r>
        <w:rPr>
          <w:rFonts w:ascii="仿宋" w:hAnsi="仿宋" w:eastAsia="仿宋" w:cs="仿宋"/>
          <w:sz w:val="24"/>
          <w:szCs w:val="24"/>
          <w:lang w:eastAsia="zh-CN"/>
        </w:rPr>
        <w:t>.3</w:t>
      </w:r>
      <w:r>
        <w:rPr>
          <w:rFonts w:hint="eastAsia" w:ascii="仿宋" w:hAnsi="仿宋" w:eastAsia="仿宋" w:cs="仿宋"/>
          <w:sz w:val="24"/>
          <w:szCs w:val="24"/>
          <w:lang w:eastAsia="zh-CN"/>
        </w:rPr>
        <w:t>款至第91</w:t>
      </w:r>
      <w:r>
        <w:rPr>
          <w:rFonts w:ascii="仿宋" w:hAnsi="仿宋" w:eastAsia="仿宋" w:cs="仿宋"/>
          <w:sz w:val="24"/>
          <w:szCs w:val="24"/>
          <w:lang w:eastAsia="zh-CN"/>
        </w:rPr>
        <w:t>.6</w:t>
      </w:r>
      <w:r>
        <w:rPr>
          <w:rFonts w:hint="eastAsia" w:ascii="仿宋" w:hAnsi="仿宋" w:eastAsia="仿宋" w:cs="仿宋"/>
          <w:sz w:val="24"/>
          <w:szCs w:val="24"/>
          <w:lang w:eastAsia="zh-CN"/>
        </w:rPr>
        <w:t>款约定进行调解或认定、仲裁或诉讼。</w:t>
      </w:r>
    </w:p>
    <w:p w14:paraId="303FE009">
      <w:pPr>
        <w:pStyle w:val="22"/>
        <w:tabs>
          <w:tab w:val="left" w:pos="1320"/>
        </w:tabs>
        <w:adjustRightInd w:val="0"/>
        <w:snapToGrid w:val="0"/>
        <w:spacing w:line="400" w:lineRule="exact"/>
        <w:rPr>
          <w:rFonts w:ascii="仿宋" w:hAnsi="仿宋" w:eastAsia="仿宋"/>
          <w:b/>
          <w:bCs/>
          <w:sz w:val="24"/>
          <w:szCs w:val="24"/>
          <w:lang w:eastAsia="zh-CN"/>
        </w:rPr>
      </w:pPr>
      <w:r>
        <w:rPr>
          <w:rFonts w:hint="eastAsia" w:ascii="仿宋" w:hAnsi="仿宋" w:eastAsia="仿宋" w:cs="仿宋"/>
          <w:b/>
          <w:bCs/>
          <w:sz w:val="24"/>
          <w:szCs w:val="24"/>
          <w:lang w:eastAsia="zh-CN"/>
        </w:rPr>
        <w:t>91</w:t>
      </w:r>
      <w:r>
        <w:rPr>
          <w:rFonts w:ascii="仿宋" w:hAnsi="仿宋" w:eastAsia="仿宋" w:cs="仿宋"/>
          <w:b/>
          <w:bCs/>
          <w:sz w:val="24"/>
          <w:szCs w:val="24"/>
          <w:lang w:eastAsia="zh-CN"/>
        </w:rPr>
        <w:t xml:space="preserve">.3  </w:t>
      </w:r>
      <w:r>
        <w:rPr>
          <w:rFonts w:ascii="仿宋" w:hAnsi="仿宋" w:eastAsia="仿宋" w:cs="仿宋"/>
          <w:b/>
          <w:bCs/>
          <w:sz w:val="24"/>
          <w:szCs w:val="24"/>
          <w:u w:val="dotted"/>
          <w:lang w:eastAsia="zh-CN"/>
        </w:rPr>
        <w:t xml:space="preserve">                                                                               </w:t>
      </w:r>
    </w:p>
    <w:p w14:paraId="791348BE">
      <w:pPr>
        <w:pStyle w:val="22"/>
        <w:widowControl w:val="0"/>
        <w:adjustRightInd w:val="0"/>
        <w:snapToGrid w:val="0"/>
        <w:spacing w:line="400" w:lineRule="exact"/>
        <w:ind w:left="1850" w:leftChars="771"/>
        <w:jc w:val="both"/>
        <w:rPr>
          <w:rFonts w:ascii="仿宋" w:hAnsi="仿宋" w:eastAsia="仿宋"/>
          <w:sz w:val="24"/>
          <w:szCs w:val="24"/>
          <w:lang w:eastAsia="zh-CN"/>
        </w:rPr>
      </w:pPr>
      <w:r>
        <mc:AlternateContent>
          <mc:Choice Requires="wps">
            <w:drawing>
              <wp:anchor distT="0" distB="0" distL="114300" distR="114300" simplePos="0" relativeHeight="251941888" behindDoc="0" locked="0" layoutInCell="1" allowOverlap="1">
                <wp:simplePos x="0" y="0"/>
                <wp:positionH relativeFrom="column">
                  <wp:posOffset>-114300</wp:posOffset>
                </wp:positionH>
                <wp:positionV relativeFrom="paragraph">
                  <wp:posOffset>11430</wp:posOffset>
                </wp:positionV>
                <wp:extent cx="781050" cy="450850"/>
                <wp:effectExtent l="0" t="0" r="0" b="0"/>
                <wp:wrapNone/>
                <wp:docPr id="411" name="文本框 1074"/>
                <wp:cNvGraphicFramePr/>
                <a:graphic xmlns:a="http://schemas.openxmlformats.org/drawingml/2006/main">
                  <a:graphicData uri="http://schemas.microsoft.com/office/word/2010/wordprocessingShape">
                    <wps:wsp>
                      <wps:cNvSpPr txBox="1"/>
                      <wps:spPr>
                        <a:xfrm>
                          <a:off x="0" y="0"/>
                          <a:ext cx="781050" cy="450850"/>
                        </a:xfrm>
                        <a:prstGeom prst="rect">
                          <a:avLst/>
                        </a:prstGeom>
                        <a:noFill/>
                        <a:ln w="12700">
                          <a:noFill/>
                        </a:ln>
                      </wps:spPr>
                      <wps:txbx>
                        <w:txbxContent>
                          <w:p w14:paraId="257CC6E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解决争议方式</w:t>
                            </w:r>
                          </w:p>
                        </w:txbxContent>
                      </wps:txbx>
                      <wps:bodyPr rot="0" vert="horz" wrap="square" lIns="91440" tIns="45720" rIns="91440" bIns="45720" anchor="t" anchorCtr="0"/>
                    </wps:wsp>
                  </a:graphicData>
                </a:graphic>
              </wp:anchor>
            </w:drawing>
          </mc:Choice>
          <mc:Fallback>
            <w:pict>
              <v:shape id="文本框 1074" o:spid="_x0000_s1026" o:spt="202" type="#_x0000_t202" style="position:absolute;left:0pt;margin-left:-9pt;margin-top:0.9pt;height:35.5pt;width:61.5pt;z-index:251941888;mso-width-relative:page;mso-height-relative:page;" filled="f" stroked="f" coordsize="21600,21600" o:gfxdata="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w+/rldUA&#10;AAAIAQAADwAAAAAAAAABACAAAAAiAAAAZHJzL2Rvd25yZXYueG1sUEsBAhQAFAAAAAgAh07iQOxj&#10;HaTpAQAAvwMAAA4AAAAAAAAAAQAgAAAAJAEAAGRycy9lMm9Eb2MueG1sUEsFBgAAAAAGAAYAWQEA&#10;AH8FAAAAAA==&#10;">
                <v:fill on="f" focussize="0,0"/>
                <v:stroke on="f" weight="1pt"/>
                <v:imagedata o:title=""/>
                <o:lock v:ext="edit" aspectratio="f"/>
                <v:textbox>
                  <w:txbxContent>
                    <w:p w14:paraId="257CC6E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解决争议方式</w:t>
                      </w:r>
                    </w:p>
                  </w:txbxContent>
                </v:textbox>
              </v:shape>
            </w:pict>
          </mc:Fallback>
        </mc:AlternateContent>
      </w:r>
      <w:r>
        <w:rPr>
          <w:rFonts w:hint="eastAsia" w:ascii="仿宋" w:hAnsi="仿宋" w:eastAsia="仿宋" w:cs="仿宋"/>
          <w:sz w:val="24"/>
          <w:szCs w:val="24"/>
          <w:lang w:eastAsia="zh-CN"/>
        </w:rPr>
        <w:t>合同双方当事人没有按照第91</w:t>
      </w:r>
      <w:r>
        <w:rPr>
          <w:rFonts w:ascii="仿宋" w:hAnsi="仿宋" w:eastAsia="仿宋" w:cs="仿宋"/>
          <w:sz w:val="24"/>
          <w:szCs w:val="24"/>
          <w:lang w:eastAsia="zh-CN"/>
        </w:rPr>
        <w:t>.2</w:t>
      </w:r>
      <w:r>
        <w:rPr>
          <w:rFonts w:hint="eastAsia" w:ascii="仿宋" w:hAnsi="仿宋" w:eastAsia="仿宋" w:cs="仿宋"/>
          <w:sz w:val="24"/>
          <w:szCs w:val="24"/>
          <w:lang w:eastAsia="zh-CN"/>
        </w:rPr>
        <w:t>款约定进一步协商的，或虽然协商但未在约定期限内达成一致的，合同双方或一方当事人可在争议发生后的</w:t>
      </w:r>
      <w:r>
        <w:rPr>
          <w:rFonts w:ascii="仿宋" w:hAnsi="仿宋" w:eastAsia="仿宋" w:cs="仿宋"/>
          <w:sz w:val="24"/>
          <w:szCs w:val="24"/>
          <w:lang w:eastAsia="zh-CN"/>
        </w:rPr>
        <w:t>28</w:t>
      </w:r>
      <w:r>
        <w:rPr>
          <w:rFonts w:hint="eastAsia" w:ascii="仿宋" w:hAnsi="仿宋" w:eastAsia="仿宋" w:cs="仿宋"/>
          <w:sz w:val="24"/>
          <w:szCs w:val="24"/>
          <w:lang w:eastAsia="zh-CN"/>
        </w:rPr>
        <w:t>天内，将争议提交争议调解或认定机构处理，或直接按照专用条款第91</w:t>
      </w:r>
      <w:r>
        <w:rPr>
          <w:rFonts w:ascii="仿宋" w:hAnsi="仿宋" w:eastAsia="仿宋" w:cs="仿宋"/>
          <w:sz w:val="24"/>
          <w:szCs w:val="24"/>
          <w:lang w:eastAsia="zh-CN"/>
        </w:rPr>
        <w:t>.6</w:t>
      </w:r>
      <w:r>
        <w:rPr>
          <w:rFonts w:hint="eastAsia" w:ascii="仿宋" w:hAnsi="仿宋" w:eastAsia="仿宋" w:cs="仿宋"/>
          <w:sz w:val="24"/>
          <w:szCs w:val="24"/>
          <w:lang w:eastAsia="zh-CN"/>
        </w:rPr>
        <w:t>款约定提请仲裁或诉讼。</w:t>
      </w:r>
    </w:p>
    <w:p w14:paraId="6919CB13">
      <w:pPr>
        <w:spacing w:line="400" w:lineRule="exact"/>
        <w:rPr>
          <w:rFonts w:ascii="仿宋" w:hAnsi="仿宋" w:eastAsia="仿宋"/>
          <w:lang w:eastAsia="zh-CN"/>
        </w:rPr>
      </w:pPr>
      <w:bookmarkStart w:id="708" w:name="_Toc3737"/>
      <w:r>
        <w:rPr>
          <w:rFonts w:hint="eastAsia" w:ascii="仿宋" w:hAnsi="仿宋" w:eastAsia="仿宋" w:cs="仿宋"/>
          <w:b/>
          <w:bCs/>
          <w:lang w:eastAsia="zh-CN"/>
        </w:rPr>
        <w:t>91</w:t>
      </w:r>
      <w:r>
        <w:rPr>
          <w:rFonts w:ascii="仿宋" w:hAnsi="仿宋" w:eastAsia="仿宋" w:cs="仿宋"/>
          <w:b/>
          <w:bCs/>
          <w:lang w:eastAsia="zh-CN"/>
        </w:rPr>
        <w:t>.4</w:t>
      </w:r>
      <w:bookmarkEnd w:id="708"/>
      <w:r>
        <w:rPr>
          <w:rFonts w:ascii="仿宋" w:hAnsi="仿宋" w:eastAsia="仿宋" w:cs="仿宋"/>
          <w:b/>
          <w:bCs/>
          <w:lang w:eastAsia="zh-CN"/>
        </w:rPr>
        <w:t xml:space="preserve"> </w:t>
      </w:r>
      <w:r>
        <w:rPr>
          <w:rFonts w:ascii="仿宋" w:hAnsi="仿宋" w:eastAsia="仿宋" w:cs="仿宋"/>
          <w:lang w:eastAsia="zh-CN"/>
        </w:rPr>
        <w:t xml:space="preserve"> </w:t>
      </w:r>
      <w:r>
        <w:rPr>
          <w:rFonts w:ascii="仿宋" w:hAnsi="仿宋" w:eastAsia="仿宋" w:cs="仿宋"/>
          <w:u w:val="dotted"/>
          <w:lang w:eastAsia="zh-CN"/>
        </w:rPr>
        <w:t xml:space="preserve">                                                                               </w:t>
      </w:r>
    </w:p>
    <w:p w14:paraId="07B0FE36">
      <w:pPr>
        <w:pStyle w:val="22"/>
        <w:adjustRightInd w:val="0"/>
        <w:snapToGrid w:val="0"/>
        <w:spacing w:line="400" w:lineRule="exact"/>
        <w:ind w:left="1850" w:leftChars="771"/>
        <w:rPr>
          <w:rFonts w:ascii="仿宋" w:hAnsi="仿宋" w:eastAsia="仿宋"/>
          <w:sz w:val="24"/>
          <w:szCs w:val="24"/>
          <w:lang w:eastAsia="zh-CN"/>
        </w:rPr>
      </w:pPr>
      <w:r>
        <mc:AlternateContent>
          <mc:Choice Requires="wps">
            <w:drawing>
              <wp:anchor distT="0" distB="0" distL="114300" distR="114300" simplePos="0" relativeHeight="251942912" behindDoc="0" locked="0" layoutInCell="1" allowOverlap="1">
                <wp:simplePos x="0" y="0"/>
                <wp:positionH relativeFrom="column">
                  <wp:posOffset>-114300</wp:posOffset>
                </wp:positionH>
                <wp:positionV relativeFrom="paragraph">
                  <wp:posOffset>59690</wp:posOffset>
                </wp:positionV>
                <wp:extent cx="894715" cy="370840"/>
                <wp:effectExtent l="0" t="0" r="0" b="0"/>
                <wp:wrapNone/>
                <wp:docPr id="412" name="文本框 1075"/>
                <wp:cNvGraphicFramePr/>
                <a:graphic xmlns:a="http://schemas.openxmlformats.org/drawingml/2006/main">
                  <a:graphicData uri="http://schemas.microsoft.com/office/word/2010/wordprocessingShape">
                    <wps:wsp>
                      <wps:cNvSpPr txBox="1"/>
                      <wps:spPr>
                        <a:xfrm>
                          <a:off x="0" y="0"/>
                          <a:ext cx="894715" cy="370840"/>
                        </a:xfrm>
                        <a:prstGeom prst="rect">
                          <a:avLst/>
                        </a:prstGeom>
                        <a:noFill/>
                        <a:ln w="12700">
                          <a:noFill/>
                        </a:ln>
                      </wps:spPr>
                      <wps:txbx>
                        <w:txbxContent>
                          <w:p w14:paraId="4452CCC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w:t>
                            </w:r>
                          </w:p>
                        </w:txbxContent>
                      </wps:txbx>
                      <wps:bodyPr rot="0" vert="horz" wrap="square" lIns="91440" tIns="45720" rIns="91440" bIns="45720" anchor="t" anchorCtr="0"/>
                    </wps:wsp>
                  </a:graphicData>
                </a:graphic>
              </wp:anchor>
            </w:drawing>
          </mc:Choice>
          <mc:Fallback>
            <w:pict>
              <v:shape id="文本框 1075" o:spid="_x0000_s1026" o:spt="202" type="#_x0000_t202" style="position:absolute;left:0pt;margin-left:-9pt;margin-top:4.7pt;height:29.2pt;width:70.45pt;z-index:251942912;mso-width-relative:page;mso-height-relative:page;" filled="f" stroked="f" coordsize="21600,21600" o:gfxdata="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V05dvYAAAACAEAAA8AAAAAAAAAAQAgAAAAIgAAAGRycy9kb3ducmV2LnhtbFBLAQIUABQAAAAI&#10;AIdO4kD73tv+7QEAAL8DAAAOAAAAAAAAAAEAIAAAACcBAABkcnMvZTJvRG9jLnhtbFBLBQYAAAAA&#10;BgAGAFkBAACGBQAAAAA=&#10;">
                <v:fill on="f" focussize="0,0"/>
                <v:stroke on="f" weight="1pt"/>
                <v:imagedata o:title=""/>
                <o:lock v:ext="edit" aspectratio="f"/>
                <v:textbox>
                  <w:txbxContent>
                    <w:p w14:paraId="4452CCC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w:t>
                      </w:r>
                    </w:p>
                  </w:txbxContent>
                </v:textbox>
              </v:shape>
            </w:pict>
          </mc:Fallback>
        </mc:AlternateContent>
      </w:r>
      <w:r>
        <w:rPr>
          <w:rFonts w:hint="eastAsia" w:ascii="仿宋" w:hAnsi="仿宋" w:eastAsia="仿宋" w:cs="仿宋"/>
          <w:sz w:val="24"/>
          <w:szCs w:val="24"/>
          <w:lang w:eastAsia="zh-CN"/>
        </w:rPr>
        <w:t>争议调解或认定机构在收到争议调解或认定请求后，可组织调查、勘查、计量等工作，合同双方当事人应为其开展工作提供便利和协助。争议调解或认定机构应就争议做出书面调解或认定结果，并通知合同双方当事人。除合同双方当事人认可并在专用条款约定外，下列机构为争议调解或认定机构：</w:t>
      </w:r>
    </w:p>
    <w:p w14:paraId="7DC703E5">
      <w:pPr>
        <w:pStyle w:val="22"/>
        <w:widowControl w:val="0"/>
        <w:numPr>
          <w:ilvl w:val="1"/>
          <w:numId w:val="30"/>
        </w:numPr>
        <w:tabs>
          <w:tab w:val="clear" w:pos="3285"/>
        </w:tabs>
        <w:adjustRightInd w:val="0"/>
        <w:snapToGrid w:val="0"/>
        <w:spacing w:line="400" w:lineRule="exact"/>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建设工程安全监督机构、行业协会或其他第三方调解机构，负责有关工程安全方面争议的调解或认定；</w:t>
      </w:r>
    </w:p>
    <w:p w14:paraId="36DFC594">
      <w:pPr>
        <w:pStyle w:val="22"/>
        <w:widowControl w:val="0"/>
        <w:numPr>
          <w:ilvl w:val="1"/>
          <w:numId w:val="30"/>
        </w:numPr>
        <w:tabs>
          <w:tab w:val="clear" w:pos="3285"/>
        </w:tabs>
        <w:adjustRightInd w:val="0"/>
        <w:snapToGrid w:val="0"/>
        <w:spacing w:line="400" w:lineRule="exact"/>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建设工程质量监督机构、行业协会或其他第三方调解机构，负责有关工程质量方面争议的调解或认定；</w:t>
      </w:r>
    </w:p>
    <w:p w14:paraId="5D4E1D10">
      <w:pPr>
        <w:pStyle w:val="22"/>
        <w:widowControl w:val="0"/>
        <w:numPr>
          <w:ilvl w:val="1"/>
          <w:numId w:val="30"/>
        </w:numPr>
        <w:tabs>
          <w:tab w:val="clear" w:pos="3285"/>
        </w:tabs>
        <w:adjustRightInd w:val="0"/>
        <w:snapToGrid w:val="0"/>
        <w:spacing w:line="400" w:lineRule="exact"/>
        <w:ind w:left="1850" w:leftChars="771" w:firstLine="0"/>
        <w:jc w:val="both"/>
        <w:rPr>
          <w:rFonts w:ascii="仿宋" w:hAnsi="仿宋" w:eastAsia="仿宋"/>
          <w:b/>
          <w:bCs/>
          <w:sz w:val="24"/>
          <w:szCs w:val="24"/>
          <w:lang w:eastAsia="zh-CN"/>
        </w:rPr>
      </w:pPr>
      <w:r>
        <w:rPr>
          <w:rFonts w:hint="eastAsia" w:ascii="仿宋" w:hAnsi="仿宋" w:eastAsia="仿宋" w:cs="仿宋"/>
          <w:sz w:val="24"/>
          <w:szCs w:val="24"/>
          <w:lang w:eastAsia="zh-CN"/>
        </w:rPr>
        <w:t>建设工程造价管理机构、行业协会或其他第三方调解机构，负责有关工程造价方面争议的调解或认定。</w:t>
      </w:r>
    </w:p>
    <w:p w14:paraId="4CF54838">
      <w:pPr>
        <w:spacing w:line="400" w:lineRule="exact"/>
        <w:rPr>
          <w:rFonts w:ascii="仿宋" w:hAnsi="仿宋" w:eastAsia="仿宋"/>
          <w:b/>
          <w:bCs/>
          <w:lang w:eastAsia="zh-CN"/>
        </w:rPr>
      </w:pPr>
      <w:bookmarkStart w:id="709" w:name="_Toc10351"/>
      <w:r>
        <w:rPr>
          <w:rFonts w:hint="eastAsia" w:ascii="仿宋" w:hAnsi="仿宋" w:eastAsia="仿宋" w:cs="仿宋"/>
          <w:b/>
          <w:bCs/>
          <w:lang w:eastAsia="zh-CN"/>
        </w:rPr>
        <w:t>91</w:t>
      </w:r>
      <w:r>
        <w:rPr>
          <w:rFonts w:ascii="仿宋" w:hAnsi="仿宋" w:eastAsia="仿宋" w:cs="仿宋"/>
          <w:b/>
          <w:bCs/>
          <w:lang w:eastAsia="zh-CN"/>
        </w:rPr>
        <w:t>.5</w:t>
      </w:r>
      <w:bookmarkEnd w:id="709"/>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714C49E7">
      <w:pPr>
        <w:pStyle w:val="22"/>
        <w:adjustRightInd w:val="0"/>
        <w:snapToGrid w:val="0"/>
        <w:spacing w:line="400" w:lineRule="exact"/>
        <w:ind w:left="1850" w:leftChars="771"/>
        <w:rPr>
          <w:rFonts w:ascii="仿宋" w:hAnsi="仿宋" w:eastAsia="仿宋"/>
          <w:sz w:val="24"/>
          <w:szCs w:val="24"/>
          <w:lang w:eastAsia="zh-CN"/>
        </w:rPr>
      </w:pPr>
      <w:r>
        <mc:AlternateContent>
          <mc:Choice Requires="wps">
            <w:drawing>
              <wp:anchor distT="0" distB="0" distL="114300" distR="114300" simplePos="0" relativeHeight="251943936" behindDoc="0" locked="0" layoutInCell="1" allowOverlap="1">
                <wp:simplePos x="0" y="0"/>
                <wp:positionH relativeFrom="column">
                  <wp:posOffset>-114300</wp:posOffset>
                </wp:positionH>
                <wp:positionV relativeFrom="paragraph">
                  <wp:posOffset>32385</wp:posOffset>
                </wp:positionV>
                <wp:extent cx="861060" cy="521335"/>
                <wp:effectExtent l="0" t="0" r="0" b="0"/>
                <wp:wrapNone/>
                <wp:docPr id="413" name="文本框 1076"/>
                <wp:cNvGraphicFramePr/>
                <a:graphic xmlns:a="http://schemas.openxmlformats.org/drawingml/2006/main">
                  <a:graphicData uri="http://schemas.microsoft.com/office/word/2010/wordprocessingShape">
                    <wps:wsp>
                      <wps:cNvSpPr txBox="1"/>
                      <wps:spPr>
                        <a:xfrm>
                          <a:off x="0" y="0"/>
                          <a:ext cx="861060" cy="521335"/>
                        </a:xfrm>
                        <a:prstGeom prst="rect">
                          <a:avLst/>
                        </a:prstGeom>
                        <a:noFill/>
                        <a:ln w="12700">
                          <a:noFill/>
                        </a:ln>
                      </wps:spPr>
                      <wps:txbx>
                        <w:txbxContent>
                          <w:p w14:paraId="3800E4F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txbxContent>
                      </wps:txbx>
                      <wps:bodyPr rot="0" vert="horz" wrap="square" lIns="91440" tIns="45720" rIns="91440" bIns="45720" anchor="t" anchorCtr="0"/>
                    </wps:wsp>
                  </a:graphicData>
                </a:graphic>
              </wp:anchor>
            </w:drawing>
          </mc:Choice>
          <mc:Fallback>
            <w:pict>
              <v:shape id="文本框 1076" o:spid="_x0000_s1026" o:spt="202" type="#_x0000_t202" style="position:absolute;left:0pt;margin-left:-9pt;margin-top:2.55pt;height:41.05pt;width:67.8pt;z-index:251943936;mso-width-relative:page;mso-height-relative:page;" filled="f" stroked="f" coordsize="21600,21600" o:gfxdata="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W+bX&#10;2NcAAAAIAQAADwAAAAAAAAABACAAAAAiAAAAZHJzL2Rvd25yZXYueG1sUEsBAhQAFAAAAAgAh07i&#10;QO7R7+PqAQAAvwMAAA4AAAAAAAAAAQAgAAAAJgEAAGRycy9lMm9Eb2MueG1sUEsFBgAAAAAGAAYA&#10;WQEAAIIFAAAAAA==&#10;">
                <v:fill on="f" focussize="0,0"/>
                <v:stroke on="f" weight="1pt"/>
                <v:imagedata o:title=""/>
                <o:lock v:ext="edit" aspectratio="f"/>
                <v:textbox>
                  <w:txbxContent>
                    <w:p w14:paraId="3800E4F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txbxContent>
                </v:textbox>
              </v:shape>
            </w:pict>
          </mc:Fallback>
        </mc:AlternateContent>
      </w:r>
      <w:r>
        <w:rPr>
          <w:rFonts w:hint="eastAsia" w:ascii="仿宋" w:hAnsi="仿宋" w:eastAsia="仿宋" w:cs="仿宋"/>
          <w:sz w:val="24"/>
          <w:szCs w:val="24"/>
          <w:lang w:eastAsia="zh-CN"/>
        </w:rPr>
        <w:t>合同双方当事人应在收到争议调解或认定机构书面结果后的</w:t>
      </w:r>
      <w:r>
        <w:rPr>
          <w:rFonts w:ascii="仿宋" w:hAnsi="仿宋" w:eastAsia="仿宋" w:cs="仿宋"/>
          <w:sz w:val="24"/>
          <w:szCs w:val="24"/>
          <w:lang w:eastAsia="zh-CN"/>
        </w:rPr>
        <w:t>28</w:t>
      </w:r>
      <w:r>
        <w:rPr>
          <w:rFonts w:hint="eastAsia" w:ascii="仿宋" w:hAnsi="仿宋" w:eastAsia="仿宋" w:cs="仿宋"/>
          <w:sz w:val="24"/>
          <w:szCs w:val="24"/>
          <w:lang w:eastAsia="zh-CN"/>
        </w:rPr>
        <w:t>天内，对调解或认定结果以书面形式予以确认。调解或认定结果经双方签字盖章后作为合同补充文件，双方均应遵照执行。</w:t>
      </w:r>
    </w:p>
    <w:p w14:paraId="5CDE42E7">
      <w:pPr>
        <w:spacing w:line="400" w:lineRule="exact"/>
        <w:rPr>
          <w:rFonts w:ascii="仿宋" w:hAnsi="仿宋" w:eastAsia="仿宋"/>
          <w:b/>
          <w:bCs/>
          <w:lang w:eastAsia="zh-CN"/>
        </w:rPr>
      </w:pPr>
      <w:r>
        <w:rPr>
          <w:rFonts w:hint="eastAsia" w:ascii="仿宋" w:hAnsi="仿宋" w:eastAsia="仿宋" w:cs="仿宋"/>
          <w:b/>
          <w:bCs/>
          <w:lang w:eastAsia="zh-CN"/>
        </w:rPr>
        <w:t>91</w:t>
      </w:r>
      <w:r>
        <w:rPr>
          <w:rFonts w:ascii="仿宋" w:hAnsi="仿宋" w:eastAsia="仿宋" w:cs="仿宋"/>
          <w:b/>
          <w:bCs/>
          <w:lang w:eastAsia="zh-CN"/>
        </w:rPr>
        <w:t xml:space="preserve">.6  </w:t>
      </w:r>
      <w:r>
        <w:rPr>
          <w:rFonts w:ascii="仿宋" w:hAnsi="仿宋" w:eastAsia="仿宋" w:cs="仿宋"/>
          <w:b/>
          <w:bCs/>
          <w:u w:val="dotted"/>
          <w:lang w:eastAsia="zh-CN"/>
        </w:rPr>
        <w:t xml:space="preserve">                                                                               </w:t>
      </w:r>
    </w:p>
    <w:p w14:paraId="75DF2DEB">
      <w:pPr>
        <w:pStyle w:val="22"/>
        <w:adjustRightInd w:val="0"/>
        <w:snapToGrid w:val="0"/>
        <w:spacing w:line="400" w:lineRule="exact"/>
        <w:ind w:left="1850" w:leftChars="771"/>
        <w:rPr>
          <w:rFonts w:ascii="仿宋" w:hAnsi="仿宋" w:eastAsia="仿宋"/>
          <w:sz w:val="24"/>
          <w:szCs w:val="24"/>
          <w:lang w:eastAsia="zh-CN"/>
        </w:rPr>
      </w:pPr>
      <w:r>
        <mc:AlternateContent>
          <mc:Choice Requires="wps">
            <w:drawing>
              <wp:anchor distT="0" distB="0" distL="114300" distR="114300" simplePos="0" relativeHeight="251944960" behindDoc="0" locked="0" layoutInCell="1" allowOverlap="1">
                <wp:simplePos x="0" y="0"/>
                <wp:positionH relativeFrom="column">
                  <wp:posOffset>-114300</wp:posOffset>
                </wp:positionH>
                <wp:positionV relativeFrom="paragraph">
                  <wp:posOffset>12065</wp:posOffset>
                </wp:positionV>
                <wp:extent cx="828040" cy="391795"/>
                <wp:effectExtent l="0" t="0" r="0" b="0"/>
                <wp:wrapNone/>
                <wp:docPr id="414" name="文本框 1077"/>
                <wp:cNvGraphicFramePr/>
                <a:graphic xmlns:a="http://schemas.openxmlformats.org/drawingml/2006/main">
                  <a:graphicData uri="http://schemas.microsoft.com/office/word/2010/wordprocessingShape">
                    <wps:wsp>
                      <wps:cNvSpPr txBox="1"/>
                      <wps:spPr>
                        <a:xfrm>
                          <a:off x="0" y="0"/>
                          <a:ext cx="828040" cy="391795"/>
                        </a:xfrm>
                        <a:prstGeom prst="rect">
                          <a:avLst/>
                        </a:prstGeom>
                        <a:noFill/>
                        <a:ln w="12700">
                          <a:noFill/>
                        </a:ln>
                      </wps:spPr>
                      <wps:txbx>
                        <w:txbxContent>
                          <w:p w14:paraId="3A08151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仲裁或诉讼</w:t>
                            </w:r>
                          </w:p>
                        </w:txbxContent>
                      </wps:txbx>
                      <wps:bodyPr rot="0" vert="horz" wrap="square" lIns="91440" tIns="45720" rIns="91440" bIns="45720" anchor="t" anchorCtr="0"/>
                    </wps:wsp>
                  </a:graphicData>
                </a:graphic>
              </wp:anchor>
            </w:drawing>
          </mc:Choice>
          <mc:Fallback>
            <w:pict>
              <v:shape id="文本框 1077" o:spid="_x0000_s1026" o:spt="202" type="#_x0000_t202" style="position:absolute;left:0pt;margin-left:-9pt;margin-top:0.95pt;height:30.85pt;width:65.2pt;z-index:251944960;mso-width-relative:page;mso-height-relative:page;" filled="f" stroked="f" coordsize="21600,21600" o:gfxdata="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q1BRo&#10;1gAAAAgBAAAPAAAAAAAAAAEAIAAAACIAAABkcnMvZG93bnJldi54bWxQSwECFAAUAAAACACHTuJA&#10;AGbQKeoBAAC/AwAADgAAAAAAAAABACAAAAAlAQAAZHJzL2Uyb0RvYy54bWxQSwUGAAAAAAYABgBZ&#10;AQAAgQUAAAAA&#10;">
                <v:fill on="f" focussize="0,0"/>
                <v:stroke on="f" weight="1pt"/>
                <v:imagedata o:title=""/>
                <o:lock v:ext="edit" aspectratio="f"/>
                <v:textbox>
                  <w:txbxContent>
                    <w:p w14:paraId="3A08151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仲裁或诉讼</w:t>
                      </w:r>
                    </w:p>
                  </w:txbxContent>
                </v:textbox>
              </v:shape>
            </w:pict>
          </mc:Fallback>
        </mc:AlternateContent>
      </w:r>
      <w:r>
        <w:rPr>
          <w:rFonts w:hint="eastAsia" w:ascii="仿宋" w:hAnsi="仿宋" w:eastAsia="仿宋" w:cs="仿宋"/>
          <w:sz w:val="24"/>
          <w:szCs w:val="24"/>
          <w:lang w:eastAsia="zh-CN"/>
        </w:rPr>
        <w:t>若合同双方或一方当事人在收到争议调解或认定机构的书面结果后明确表示不同意，或在</w:t>
      </w:r>
      <w:r>
        <w:rPr>
          <w:rFonts w:ascii="仿宋" w:hAnsi="仿宋" w:eastAsia="仿宋" w:cs="仿宋"/>
          <w:sz w:val="24"/>
          <w:szCs w:val="24"/>
          <w:lang w:eastAsia="zh-CN"/>
        </w:rPr>
        <w:t>28</w:t>
      </w:r>
      <w:r>
        <w:rPr>
          <w:rFonts w:hint="eastAsia" w:ascii="仿宋" w:hAnsi="仿宋" w:eastAsia="仿宋" w:cs="仿宋"/>
          <w:sz w:val="24"/>
          <w:szCs w:val="24"/>
          <w:lang w:eastAsia="zh-CN"/>
        </w:rPr>
        <w:t>天内没有书面确认，任何一方均可按照专用条款约定的下列任一种方式解决争议：</w:t>
      </w:r>
    </w:p>
    <w:p w14:paraId="600C2977">
      <w:pPr>
        <w:pStyle w:val="22"/>
        <w:widowControl w:val="0"/>
        <w:numPr>
          <w:ilvl w:val="1"/>
          <w:numId w:val="31"/>
        </w:numPr>
        <w:tabs>
          <w:tab w:val="clear" w:pos="3285"/>
        </w:tabs>
        <w:adjustRightInd w:val="0"/>
        <w:snapToGrid w:val="0"/>
        <w:spacing w:line="400" w:lineRule="exact"/>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向约定的仲裁委员会申请仲裁；</w:t>
      </w:r>
    </w:p>
    <w:p w14:paraId="316E5A63">
      <w:pPr>
        <w:pStyle w:val="22"/>
        <w:widowControl w:val="0"/>
        <w:numPr>
          <w:ilvl w:val="1"/>
          <w:numId w:val="31"/>
        </w:numPr>
        <w:tabs>
          <w:tab w:val="clear" w:pos="3285"/>
        </w:tabs>
        <w:adjustRightInd w:val="0"/>
        <w:snapToGrid w:val="0"/>
        <w:spacing w:line="400" w:lineRule="exact"/>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向有管辖权的人民法院提起诉讼。</w:t>
      </w:r>
    </w:p>
    <w:p w14:paraId="4FF4E0AE">
      <w:pPr>
        <w:pStyle w:val="22"/>
        <w:tabs>
          <w:tab w:val="left" w:pos="1320"/>
        </w:tabs>
        <w:adjustRightInd w:val="0"/>
        <w:snapToGrid w:val="0"/>
        <w:spacing w:line="400" w:lineRule="exact"/>
        <w:rPr>
          <w:rFonts w:ascii="仿宋" w:hAnsi="仿宋" w:eastAsia="仿宋"/>
          <w:b/>
          <w:bCs/>
          <w:sz w:val="24"/>
          <w:szCs w:val="24"/>
          <w:lang w:eastAsia="zh-CN"/>
        </w:rPr>
      </w:pPr>
      <w:r>
        <w:rPr>
          <w:rFonts w:hint="eastAsia" w:ascii="仿宋" w:hAnsi="仿宋" w:eastAsia="仿宋" w:cs="仿宋"/>
          <w:b/>
          <w:bCs/>
          <w:sz w:val="24"/>
          <w:szCs w:val="24"/>
          <w:lang w:eastAsia="zh-CN"/>
        </w:rPr>
        <w:t>91</w:t>
      </w:r>
      <w:r>
        <w:rPr>
          <w:rFonts w:ascii="仿宋" w:hAnsi="仿宋" w:eastAsia="仿宋" w:cs="仿宋"/>
          <w:b/>
          <w:bCs/>
          <w:sz w:val="24"/>
          <w:szCs w:val="24"/>
          <w:lang w:eastAsia="zh-CN"/>
        </w:rPr>
        <w:t xml:space="preserve">.7  </w:t>
      </w:r>
      <w:r>
        <w:rPr>
          <w:rFonts w:ascii="仿宋" w:hAnsi="仿宋" w:eastAsia="仿宋" w:cs="仿宋"/>
          <w:b/>
          <w:bCs/>
          <w:sz w:val="24"/>
          <w:szCs w:val="24"/>
          <w:u w:val="dotted"/>
          <w:lang w:eastAsia="zh-CN"/>
        </w:rPr>
        <w:t xml:space="preserve">                                                                               </w:t>
      </w:r>
    </w:p>
    <w:p w14:paraId="6B7B2A13">
      <w:pPr>
        <w:pStyle w:val="22"/>
        <w:widowControl w:val="0"/>
        <w:adjustRightInd w:val="0"/>
        <w:snapToGrid w:val="0"/>
        <w:spacing w:line="400" w:lineRule="exact"/>
        <w:ind w:left="1850" w:leftChars="771"/>
        <w:jc w:val="both"/>
        <w:rPr>
          <w:rFonts w:ascii="仿宋" w:hAnsi="仿宋" w:eastAsia="仿宋"/>
          <w:sz w:val="24"/>
          <w:szCs w:val="24"/>
          <w:lang w:eastAsia="zh-CN"/>
        </w:rPr>
      </w:pPr>
      <w:r>
        <mc:AlternateContent>
          <mc:Choice Requires="wps">
            <w:drawing>
              <wp:anchor distT="0" distB="0" distL="114300" distR="114300" simplePos="0" relativeHeight="251945984" behindDoc="0" locked="0" layoutInCell="1" allowOverlap="1">
                <wp:simplePos x="0" y="0"/>
                <wp:positionH relativeFrom="column">
                  <wp:posOffset>-114300</wp:posOffset>
                </wp:positionH>
                <wp:positionV relativeFrom="paragraph">
                  <wp:posOffset>15875</wp:posOffset>
                </wp:positionV>
                <wp:extent cx="832485" cy="536575"/>
                <wp:effectExtent l="0" t="0" r="0" b="0"/>
                <wp:wrapNone/>
                <wp:docPr id="415" name="文本框 1078"/>
                <wp:cNvGraphicFramePr/>
                <a:graphic xmlns:a="http://schemas.openxmlformats.org/drawingml/2006/main">
                  <a:graphicData uri="http://schemas.microsoft.com/office/word/2010/wordprocessingShape">
                    <wps:wsp>
                      <wps:cNvSpPr txBox="1"/>
                      <wps:spPr>
                        <a:xfrm>
                          <a:off x="0" y="0"/>
                          <a:ext cx="832485" cy="536575"/>
                        </a:xfrm>
                        <a:prstGeom prst="rect">
                          <a:avLst/>
                        </a:prstGeom>
                        <a:noFill/>
                        <a:ln w="12700">
                          <a:noFill/>
                        </a:ln>
                      </wps:spPr>
                      <wps:txbx>
                        <w:txbxContent>
                          <w:p w14:paraId="7EC0E9D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争议期间继续施工</w:t>
                            </w:r>
                          </w:p>
                        </w:txbxContent>
                      </wps:txbx>
                      <wps:bodyPr rot="0" vert="horz" wrap="square" lIns="91440" tIns="45720" rIns="91440" bIns="45720" anchor="t" anchorCtr="0"/>
                    </wps:wsp>
                  </a:graphicData>
                </a:graphic>
              </wp:anchor>
            </w:drawing>
          </mc:Choice>
          <mc:Fallback>
            <w:pict>
              <v:shape id="文本框 1078" o:spid="_x0000_s1026" o:spt="202" type="#_x0000_t202" style="position:absolute;left:0pt;margin-left:-9pt;margin-top:1.25pt;height:42.25pt;width:65.55pt;z-index:251945984;mso-width-relative:page;mso-height-relative:page;" filled="f" stroked="f" coordsize="21600,21600" o:gfxdata="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GMD&#10;dNYAAAAIAQAADwAAAAAAAAABACAAAAAiAAAAZHJzL2Rvd25yZXYueG1sUEsBAhQAFAAAAAgAh07i&#10;QIr/ZHDrAQAAvwMAAA4AAAAAAAAAAQAgAAAAJQEAAGRycy9lMm9Eb2MueG1sUEsFBgAAAAAGAAYA&#10;WQEAAIIFAAAAAA==&#10;">
                <v:fill on="f" focussize="0,0"/>
                <v:stroke on="f" weight="1pt"/>
                <v:imagedata o:title=""/>
                <o:lock v:ext="edit" aspectratio="f"/>
                <v:textbox>
                  <w:txbxContent>
                    <w:p w14:paraId="7EC0E9D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争议期间继续施工</w:t>
                      </w:r>
                    </w:p>
                  </w:txbxContent>
                </v:textbox>
              </v:shape>
            </w:pict>
          </mc:Fallback>
        </mc:AlternateContent>
      </w:r>
      <w:r>
        <w:rPr>
          <w:rFonts w:hint="eastAsia" w:ascii="仿宋" w:hAnsi="仿宋" w:eastAsia="仿宋" w:cs="仿宋"/>
          <w:sz w:val="24"/>
          <w:szCs w:val="24"/>
          <w:lang w:eastAsia="zh-CN"/>
        </w:rPr>
        <w:t>争议期间，除下列情况停止施工外，合同双方当事人应继续履行合同，保持工程连续施工，保护好已完工程：</w:t>
      </w:r>
    </w:p>
    <w:p w14:paraId="6077E8BB">
      <w:pPr>
        <w:pStyle w:val="22"/>
        <w:widowControl w:val="0"/>
        <w:numPr>
          <w:ilvl w:val="1"/>
          <w:numId w:val="32"/>
        </w:numPr>
        <w:tabs>
          <w:tab w:val="clear" w:pos="3285"/>
        </w:tabs>
        <w:adjustRightInd w:val="0"/>
        <w:snapToGrid w:val="0"/>
        <w:spacing w:line="400" w:lineRule="exact"/>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合同双方当事人协商同意；</w:t>
      </w:r>
    </w:p>
    <w:p w14:paraId="6F25CB14">
      <w:pPr>
        <w:pStyle w:val="22"/>
        <w:widowControl w:val="0"/>
        <w:numPr>
          <w:ilvl w:val="1"/>
          <w:numId w:val="32"/>
        </w:numPr>
        <w:tabs>
          <w:tab w:val="clear" w:pos="3285"/>
        </w:tabs>
        <w:adjustRightInd w:val="0"/>
        <w:snapToGrid w:val="0"/>
        <w:spacing w:line="400" w:lineRule="exact"/>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合同一方当事人违约导致合同无法履行；</w:t>
      </w:r>
    </w:p>
    <w:p w14:paraId="6BC25BEA">
      <w:pPr>
        <w:pStyle w:val="22"/>
        <w:widowControl w:val="0"/>
        <w:numPr>
          <w:ilvl w:val="1"/>
          <w:numId w:val="32"/>
        </w:numPr>
        <w:tabs>
          <w:tab w:val="clear" w:pos="3285"/>
        </w:tabs>
        <w:adjustRightInd w:val="0"/>
        <w:snapToGrid w:val="0"/>
        <w:spacing w:line="400" w:lineRule="exact"/>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工程造价调解机构调解需要，且合同双方当事人同意；</w:t>
      </w:r>
    </w:p>
    <w:p w14:paraId="3971F65D">
      <w:pPr>
        <w:pStyle w:val="22"/>
        <w:widowControl w:val="0"/>
        <w:numPr>
          <w:ilvl w:val="1"/>
          <w:numId w:val="32"/>
        </w:numPr>
        <w:tabs>
          <w:tab w:val="clear" w:pos="3285"/>
        </w:tabs>
        <w:adjustRightInd w:val="0"/>
        <w:snapToGrid w:val="0"/>
        <w:spacing w:line="400" w:lineRule="exact"/>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仲裁委员会仲裁需要，且合同双方当事人同意；</w:t>
      </w:r>
    </w:p>
    <w:p w14:paraId="74B18A91">
      <w:pPr>
        <w:pStyle w:val="22"/>
        <w:widowControl w:val="0"/>
        <w:numPr>
          <w:ilvl w:val="1"/>
          <w:numId w:val="32"/>
        </w:numPr>
        <w:tabs>
          <w:tab w:val="clear" w:pos="3285"/>
        </w:tabs>
        <w:adjustRightInd w:val="0"/>
        <w:snapToGrid w:val="0"/>
        <w:spacing w:line="400" w:lineRule="exact"/>
        <w:ind w:left="1850" w:leftChars="771"/>
        <w:jc w:val="both"/>
        <w:rPr>
          <w:lang w:eastAsia="zh-CN"/>
        </w:rPr>
      </w:pPr>
      <w:r>
        <w:rPr>
          <w:rFonts w:hint="eastAsia" w:ascii="仿宋" w:hAnsi="仿宋" w:eastAsia="仿宋" w:cs="仿宋"/>
          <w:sz w:val="24"/>
          <w:szCs w:val="24"/>
          <w:lang w:eastAsia="zh-CN"/>
        </w:rPr>
        <w:t>人民法院诉讼需要。</w:t>
      </w:r>
    </w:p>
    <w:p w14:paraId="4009877C">
      <w:pPr>
        <w:pStyle w:val="22"/>
        <w:tabs>
          <w:tab w:val="left" w:pos="1620"/>
        </w:tabs>
        <w:adjustRightInd w:val="0"/>
        <w:snapToGrid w:val="0"/>
        <w:spacing w:line="400" w:lineRule="exact"/>
        <w:rPr>
          <w:rFonts w:ascii="仿宋" w:hAnsi="仿宋" w:eastAsia="仿宋" w:cs="仿宋"/>
          <w:b/>
          <w:bCs/>
          <w:sz w:val="24"/>
          <w:szCs w:val="24"/>
          <w:u w:val="single"/>
          <w:lang w:eastAsia="zh-CN"/>
        </w:rPr>
      </w:pPr>
      <w:r>
        <w:rPr>
          <w:rFonts w:ascii="仿宋" w:hAnsi="仿宋" w:eastAsia="仿宋" w:cs="仿宋"/>
          <w:b/>
          <w:bCs/>
          <w:sz w:val="24"/>
          <w:szCs w:val="24"/>
          <w:u w:val="single"/>
          <w:lang w:eastAsia="zh-CN"/>
        </w:rPr>
        <w:t xml:space="preserve">                                                                                       </w:t>
      </w:r>
    </w:p>
    <w:p w14:paraId="4E47EC1B">
      <w:pPr>
        <w:pStyle w:val="4"/>
        <w:tabs>
          <w:tab w:val="left" w:pos="420"/>
        </w:tabs>
        <w:spacing w:before="0" w:after="0" w:line="400" w:lineRule="exact"/>
        <w:rPr>
          <w:rFonts w:ascii="仿宋" w:hAnsi="仿宋" w:eastAsia="仿宋" w:cs="仿宋"/>
          <w:bCs w:val="0"/>
          <w:sz w:val="24"/>
          <w:szCs w:val="24"/>
          <w:lang w:eastAsia="zh-CN"/>
        </w:rPr>
      </w:pPr>
      <w:bookmarkStart w:id="710" w:name="_Toc21859"/>
      <w:bookmarkStart w:id="711" w:name="_Toc469384071"/>
      <w:bookmarkStart w:id="712" w:name="_Toc194073204"/>
      <w:bookmarkStart w:id="713" w:name="_Toc15602"/>
      <w:bookmarkStart w:id="714" w:name="_Toc20747"/>
      <w:r>
        <w:rPr>
          <w:rFonts w:hint="eastAsia" w:ascii="仿宋" w:hAnsi="仿宋" w:eastAsia="仿宋" w:cs="仿宋"/>
          <w:bCs w:val="0"/>
          <w:sz w:val="24"/>
          <w:szCs w:val="24"/>
          <w:lang w:eastAsia="zh-CN"/>
        </w:rPr>
        <w:t>92</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合同解除</w:t>
      </w:r>
      <w:bookmarkEnd w:id="710"/>
      <w:bookmarkEnd w:id="711"/>
      <w:bookmarkEnd w:id="712"/>
      <w:bookmarkEnd w:id="713"/>
      <w:bookmarkEnd w:id="714"/>
    </w:p>
    <w:p w14:paraId="010E5B3B">
      <w:pPr>
        <w:spacing w:line="400" w:lineRule="exact"/>
        <w:rPr>
          <w:rFonts w:ascii="仿宋" w:hAnsi="仿宋" w:eastAsia="仿宋" w:cs="仿宋"/>
          <w:b/>
          <w:bCs/>
          <w:lang w:eastAsia="zh-CN"/>
        </w:rPr>
      </w:pPr>
      <w:bookmarkStart w:id="715" w:name="_Toc16164"/>
      <w:r>
        <mc:AlternateContent>
          <mc:Choice Requires="wps">
            <w:drawing>
              <wp:anchor distT="0" distB="0" distL="114300" distR="114300" simplePos="0" relativeHeight="251947008" behindDoc="0" locked="0" layoutInCell="1" allowOverlap="1">
                <wp:simplePos x="0" y="0"/>
                <wp:positionH relativeFrom="column">
                  <wp:posOffset>-114300</wp:posOffset>
                </wp:positionH>
                <wp:positionV relativeFrom="paragraph">
                  <wp:posOffset>165100</wp:posOffset>
                </wp:positionV>
                <wp:extent cx="790575" cy="450215"/>
                <wp:effectExtent l="0" t="0" r="0" b="0"/>
                <wp:wrapNone/>
                <wp:docPr id="416" name="文本框 1079"/>
                <wp:cNvGraphicFramePr/>
                <a:graphic xmlns:a="http://schemas.openxmlformats.org/drawingml/2006/main">
                  <a:graphicData uri="http://schemas.microsoft.com/office/word/2010/wordprocessingShape">
                    <wps:wsp>
                      <wps:cNvSpPr txBox="1"/>
                      <wps:spPr>
                        <a:xfrm>
                          <a:off x="0" y="0"/>
                          <a:ext cx="790575" cy="450215"/>
                        </a:xfrm>
                        <a:prstGeom prst="rect">
                          <a:avLst/>
                        </a:prstGeom>
                        <a:noFill/>
                        <a:ln w="12700">
                          <a:noFill/>
                        </a:ln>
                      </wps:spPr>
                      <wps:txbx>
                        <w:txbxContent>
                          <w:p w14:paraId="776B4E6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w:t>
                            </w:r>
                          </w:p>
                        </w:txbxContent>
                      </wps:txbx>
                      <wps:bodyPr rot="0" vert="horz" wrap="square" lIns="91440" tIns="45720" rIns="91440" bIns="45720" anchor="t" anchorCtr="0"/>
                    </wps:wsp>
                  </a:graphicData>
                </a:graphic>
              </wp:anchor>
            </w:drawing>
          </mc:Choice>
          <mc:Fallback>
            <w:pict>
              <v:shape id="文本框 1079" o:spid="_x0000_s1026" o:spt="202" type="#_x0000_t202" style="position:absolute;left:0pt;margin-left:-9pt;margin-top:13pt;height:35.45pt;width:62.25pt;z-index:251947008;mso-width-relative:page;mso-height-relative:page;" filled="f" stroked="f" coordsize="21600,21600" o:gfxdata="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a&#10;k0ke2AAAAAkBAAAPAAAAAAAAAAEAIAAAACIAAABkcnMvZG93bnJldi54bWxQSwECFAAUAAAACACH&#10;TuJAe1fzaesBAAC/AwAADgAAAAAAAAABACAAAAAnAQAAZHJzL2Uyb0RvYy54bWxQSwUGAAAAAAYA&#10;BgBZAQAAhAUAAAAA&#10;">
                <v:fill on="f" focussize="0,0"/>
                <v:stroke on="f" weight="1pt"/>
                <v:imagedata o:title=""/>
                <o:lock v:ext="edit" aspectratio="f"/>
                <v:textbox>
                  <w:txbxContent>
                    <w:p w14:paraId="776B4E6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w:t>
                      </w:r>
                    </w:p>
                  </w:txbxContent>
                </v:textbox>
              </v:shape>
            </w:pict>
          </mc:Fallback>
        </mc:AlternateContent>
      </w:r>
      <w:r>
        <w:rPr>
          <w:rFonts w:hint="eastAsia" w:ascii="仿宋" w:hAnsi="仿宋" w:eastAsia="仿宋" w:cs="仿宋"/>
          <w:b/>
          <w:bCs/>
          <w:lang w:eastAsia="zh-CN"/>
        </w:rPr>
        <w:t>92</w:t>
      </w:r>
      <w:r>
        <w:rPr>
          <w:rFonts w:ascii="仿宋" w:hAnsi="仿宋" w:eastAsia="仿宋" w:cs="仿宋"/>
          <w:b/>
          <w:bCs/>
          <w:lang w:eastAsia="zh-CN"/>
        </w:rPr>
        <w:t>.1</w:t>
      </w:r>
      <w:bookmarkEnd w:id="715"/>
    </w:p>
    <w:p w14:paraId="634CF5C7">
      <w:pPr>
        <w:pStyle w:val="22"/>
        <w:adjustRightInd w:val="0"/>
        <w:snapToGrid w:val="0"/>
        <w:spacing w:line="400" w:lineRule="exact"/>
        <w:ind w:left="1850" w:leftChars="771"/>
        <w:rPr>
          <w:rFonts w:ascii="仿宋" w:hAnsi="仿宋" w:eastAsia="仿宋"/>
          <w:sz w:val="24"/>
          <w:szCs w:val="24"/>
          <w:lang w:eastAsia="zh-CN"/>
        </w:rPr>
      </w:pPr>
      <w:r>
        <w:rPr>
          <w:rFonts w:hint="eastAsia" w:ascii="仿宋" w:hAnsi="仿宋" w:eastAsia="仿宋" w:cs="仿宋"/>
          <w:sz w:val="24"/>
          <w:szCs w:val="24"/>
          <w:lang w:eastAsia="zh-CN"/>
        </w:rPr>
        <w:t>合同双方当事人协商一致，可以解除合同。</w:t>
      </w:r>
    </w:p>
    <w:p w14:paraId="5C9E6B5C">
      <w:pPr>
        <w:pStyle w:val="22"/>
        <w:tabs>
          <w:tab w:val="left" w:pos="1320"/>
        </w:tabs>
        <w:adjustRightInd w:val="0"/>
        <w:snapToGrid w:val="0"/>
        <w:spacing w:line="400" w:lineRule="exact"/>
        <w:rPr>
          <w:rFonts w:ascii="仿宋" w:hAnsi="仿宋" w:eastAsia="仿宋"/>
          <w:sz w:val="24"/>
          <w:szCs w:val="24"/>
          <w:lang w:eastAsia="zh-CN"/>
        </w:rPr>
      </w:pPr>
      <w:r>
        <mc:AlternateContent>
          <mc:Choice Requires="wps">
            <w:drawing>
              <wp:anchor distT="0" distB="0" distL="114300" distR="114300" simplePos="0" relativeHeight="252069888" behindDoc="0" locked="0" layoutInCell="1" allowOverlap="1">
                <wp:simplePos x="0" y="0"/>
                <wp:positionH relativeFrom="column">
                  <wp:posOffset>-89535</wp:posOffset>
                </wp:positionH>
                <wp:positionV relativeFrom="paragraph">
                  <wp:posOffset>217170</wp:posOffset>
                </wp:positionV>
                <wp:extent cx="795020" cy="578485"/>
                <wp:effectExtent l="0" t="0" r="0" b="0"/>
                <wp:wrapNone/>
                <wp:docPr id="417" name="文本框 1080"/>
                <wp:cNvGraphicFramePr/>
                <a:graphic xmlns:a="http://schemas.openxmlformats.org/drawingml/2006/main">
                  <a:graphicData uri="http://schemas.microsoft.com/office/word/2010/wordprocessingShape">
                    <wps:wsp>
                      <wps:cNvSpPr txBox="1"/>
                      <wps:spPr>
                        <a:xfrm>
                          <a:off x="0" y="0"/>
                          <a:ext cx="795020" cy="578485"/>
                        </a:xfrm>
                        <a:prstGeom prst="rect">
                          <a:avLst/>
                        </a:prstGeom>
                        <a:noFill/>
                        <a:ln w="12700">
                          <a:noFill/>
                        </a:ln>
                      </wps:spPr>
                      <wps:txbx>
                        <w:txbxContent>
                          <w:p w14:paraId="4CB16DC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不可抗力导致解除</w:t>
                            </w:r>
                          </w:p>
                        </w:txbxContent>
                      </wps:txbx>
                      <wps:bodyPr rot="0" vert="horz" wrap="square" lIns="91440" tIns="45720" rIns="91440" bIns="45720" anchor="t" anchorCtr="0"/>
                    </wps:wsp>
                  </a:graphicData>
                </a:graphic>
              </wp:anchor>
            </w:drawing>
          </mc:Choice>
          <mc:Fallback>
            <w:pict>
              <v:shape id="文本框 1080" o:spid="_x0000_s1026" o:spt="202" type="#_x0000_t202" style="position:absolute;left:0pt;margin-left:-7.05pt;margin-top:17.1pt;height:45.55pt;width:62.6pt;z-index:252069888;mso-width-relative:page;mso-height-relative:page;" filled="f" stroked="f" coordsize="21600,21600" o:gfxdata="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7CIeA&#10;1wAAAAoBAAAPAAAAAAAAAAEAIAAAACIAAABkcnMvZG93bnJldi54bWxQSwECFAAUAAAACACHTuJA&#10;NnQmKekBAAC/AwAADgAAAAAAAAABACAAAAAmAQAAZHJzL2Uyb0RvYy54bWxQSwUGAAAAAAYABgBZ&#10;AQAAgQUAAAAA&#10;">
                <v:fill on="f" focussize="0,0"/>
                <v:stroke on="f" weight="1pt"/>
                <v:imagedata o:title=""/>
                <o:lock v:ext="edit" aspectratio="f"/>
                <v:textbox>
                  <w:txbxContent>
                    <w:p w14:paraId="4CB16DC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不可抗力导致解除</w:t>
                      </w:r>
                    </w:p>
                  </w:txbxContent>
                </v:textbox>
              </v:shape>
            </w:pict>
          </mc:Fallback>
        </mc:AlternateContent>
      </w:r>
      <w:r>
        <w:rPr>
          <w:rFonts w:hint="eastAsia" w:ascii="仿宋" w:hAnsi="仿宋" w:eastAsia="仿宋" w:cs="仿宋"/>
          <w:b/>
          <w:bCs/>
          <w:sz w:val="24"/>
          <w:szCs w:val="24"/>
          <w:lang w:eastAsia="zh-CN"/>
        </w:rPr>
        <w:t>92</w:t>
      </w:r>
      <w:r>
        <w:rPr>
          <w:rFonts w:ascii="仿宋" w:hAnsi="仿宋" w:eastAsia="仿宋" w:cs="仿宋"/>
          <w:b/>
          <w:bCs/>
          <w:sz w:val="24"/>
          <w:szCs w:val="24"/>
          <w:lang w:eastAsia="zh-CN"/>
        </w:rPr>
        <w:t xml:space="preserve">.2  </w:t>
      </w:r>
      <w:r>
        <w:rPr>
          <w:rFonts w:ascii="仿宋" w:hAnsi="仿宋" w:eastAsia="仿宋" w:cs="仿宋"/>
          <w:b/>
          <w:bCs/>
          <w:sz w:val="24"/>
          <w:szCs w:val="24"/>
          <w:u w:val="dotted"/>
          <w:lang w:eastAsia="zh-CN"/>
        </w:rPr>
        <w:t xml:space="preserve">  </w:t>
      </w:r>
      <w:r>
        <w:rPr>
          <w:rFonts w:ascii="仿宋" w:hAnsi="仿宋" w:eastAsia="仿宋" w:cs="仿宋"/>
          <w:sz w:val="24"/>
          <w:szCs w:val="24"/>
          <w:u w:val="dotted"/>
          <w:lang w:eastAsia="zh-CN"/>
        </w:rPr>
        <w:t xml:space="preserve">                                                                             </w:t>
      </w:r>
    </w:p>
    <w:p w14:paraId="0CC6A35B">
      <w:pPr>
        <w:pStyle w:val="22"/>
        <w:adjustRightInd w:val="0"/>
        <w:snapToGrid w:val="0"/>
        <w:spacing w:line="400" w:lineRule="exact"/>
        <w:ind w:left="1850" w:leftChars="771"/>
        <w:rPr>
          <w:rFonts w:ascii="仿宋" w:hAnsi="仿宋" w:eastAsia="仿宋"/>
          <w:sz w:val="24"/>
          <w:szCs w:val="24"/>
          <w:lang w:eastAsia="zh-CN"/>
        </w:rPr>
      </w:pPr>
      <w:r>
        <w:rPr>
          <w:rFonts w:hint="eastAsia" w:ascii="仿宋" w:hAnsi="仿宋" w:eastAsia="仿宋" w:cs="仿宋"/>
          <w:sz w:val="24"/>
          <w:szCs w:val="24"/>
          <w:lang w:eastAsia="zh-CN"/>
        </w:rPr>
        <w:t>因单次不可抗力导致合同无法履行连续超过84天或累计超过140天的，合同双方当事人有权解除合同。</w:t>
      </w:r>
    </w:p>
    <w:p w14:paraId="61516039">
      <w:pPr>
        <w:widowControl w:val="0"/>
        <w:spacing w:line="400" w:lineRule="exact"/>
        <w:rPr>
          <w:rFonts w:ascii="仿宋" w:hAnsi="仿宋" w:eastAsia="仿宋"/>
          <w:lang w:eastAsia="zh-CN"/>
        </w:rPr>
      </w:pPr>
      <w:bookmarkStart w:id="716" w:name="_Toc7790"/>
      <w:r>
        <w:rPr>
          <w:rFonts w:hint="eastAsia" w:ascii="仿宋" w:hAnsi="仿宋" w:eastAsia="仿宋" w:cs="仿宋"/>
          <w:b/>
          <w:bCs/>
          <w:lang w:eastAsia="zh-CN"/>
        </w:rPr>
        <w:t>92</w:t>
      </w:r>
      <w:r>
        <w:rPr>
          <w:rFonts w:ascii="仿宋" w:hAnsi="仿宋" w:eastAsia="仿宋" w:cs="仿宋"/>
          <w:b/>
          <w:bCs/>
          <w:lang w:eastAsia="zh-CN"/>
        </w:rPr>
        <w:t>.3</w:t>
      </w:r>
      <w:bookmarkEnd w:id="716"/>
      <w:r>
        <w:rPr>
          <w:rFonts w:ascii="仿宋" w:hAnsi="仿宋" w:eastAsia="仿宋" w:cs="仿宋"/>
          <w:b/>
          <w:bCs/>
          <w:lang w:eastAsia="zh-CN"/>
        </w:rPr>
        <w:t xml:space="preserve"> </w:t>
      </w:r>
      <w:r>
        <w:rPr>
          <w:rFonts w:ascii="仿宋" w:hAnsi="仿宋" w:eastAsia="仿宋" w:cs="仿宋"/>
          <w:lang w:eastAsia="zh-CN"/>
        </w:rPr>
        <w:t xml:space="preserve"> </w:t>
      </w:r>
      <w:r>
        <w:rPr>
          <w:rFonts w:ascii="仿宋" w:hAnsi="仿宋" w:eastAsia="仿宋" w:cs="仿宋"/>
          <w:u w:val="dotted"/>
          <w:lang w:eastAsia="zh-CN"/>
        </w:rPr>
        <w:t xml:space="preserve">                                                                                </w:t>
      </w:r>
    </w:p>
    <w:p w14:paraId="3086B88D">
      <w:pPr>
        <w:pStyle w:val="22"/>
        <w:adjustRightInd w:val="0"/>
        <w:snapToGrid w:val="0"/>
        <w:spacing w:line="400" w:lineRule="exact"/>
        <w:ind w:left="1850" w:leftChars="771"/>
        <w:jc w:val="both"/>
        <w:rPr>
          <w:rFonts w:ascii="仿宋" w:hAnsi="仿宋" w:eastAsia="仿宋"/>
          <w:sz w:val="24"/>
          <w:szCs w:val="24"/>
          <w:lang w:eastAsia="zh-CN"/>
        </w:rPr>
      </w:pPr>
      <w:r>
        <mc:AlternateContent>
          <mc:Choice Requires="wps">
            <w:drawing>
              <wp:anchor distT="0" distB="0" distL="114300" distR="114300" simplePos="0" relativeHeight="251948032" behindDoc="0" locked="0" layoutInCell="1" allowOverlap="1">
                <wp:simplePos x="0" y="0"/>
                <wp:positionH relativeFrom="column">
                  <wp:posOffset>-114300</wp:posOffset>
                </wp:positionH>
                <wp:positionV relativeFrom="paragraph">
                  <wp:posOffset>37465</wp:posOffset>
                </wp:positionV>
                <wp:extent cx="803275" cy="749300"/>
                <wp:effectExtent l="0" t="0" r="0" b="0"/>
                <wp:wrapNone/>
                <wp:docPr id="418" name="文本框 1081"/>
                <wp:cNvGraphicFramePr/>
                <a:graphic xmlns:a="http://schemas.openxmlformats.org/drawingml/2006/main">
                  <a:graphicData uri="http://schemas.microsoft.com/office/word/2010/wordprocessingShape">
                    <wps:wsp>
                      <wps:cNvSpPr txBox="1"/>
                      <wps:spPr>
                        <a:xfrm>
                          <a:off x="0" y="0"/>
                          <a:ext cx="803275" cy="749300"/>
                        </a:xfrm>
                        <a:prstGeom prst="rect">
                          <a:avLst/>
                        </a:prstGeom>
                        <a:noFill/>
                        <a:ln w="12700">
                          <a:noFill/>
                        </a:ln>
                      </wps:spPr>
                      <wps:txbx>
                        <w:txbxContent>
                          <w:p w14:paraId="246BA72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w:t>
                            </w:r>
                          </w:p>
                        </w:txbxContent>
                      </wps:txbx>
                      <wps:bodyPr rot="0" vert="horz" wrap="square" lIns="91440" tIns="45720" rIns="91440" bIns="45720" anchor="t" anchorCtr="0"/>
                    </wps:wsp>
                  </a:graphicData>
                </a:graphic>
              </wp:anchor>
            </w:drawing>
          </mc:Choice>
          <mc:Fallback>
            <w:pict>
              <v:shape id="文本框 1081" o:spid="_x0000_s1026" o:spt="202" type="#_x0000_t202" style="position:absolute;left:0pt;margin-left:-9pt;margin-top:2.95pt;height:59pt;width:63.25pt;z-index:251948032;mso-width-relative:page;mso-height-relative:page;" filled="f" stroked="f" coordsize="21600,21600" o:gfxdata="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hL&#10;8MLYAAAACQEAAA8AAAAAAAAAAQAgAAAAIgAAAGRycy9kb3ducmV2LnhtbFBLAQIUABQAAAAIAIdO&#10;4kBjsGk46gEAAL8DAAAOAAAAAAAAAAEAIAAAACcBAABkcnMvZTJvRG9jLnhtbFBLBQYAAAAABgAG&#10;AFkBAACDBQAAAAA=&#10;">
                <v:fill on="f" focussize="0,0"/>
                <v:stroke on="f" weight="1pt"/>
                <v:imagedata o:title=""/>
                <o:lock v:ext="edit" aspectratio="f"/>
                <v:textbox>
                  <w:txbxContent>
                    <w:p w14:paraId="246BA72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w:t>
                      </w:r>
                    </w:p>
                  </w:txbxContent>
                </v:textbox>
              </v:shape>
            </w:pict>
          </mc:Fallback>
        </mc:AlternateContent>
      </w:r>
      <w:r>
        <w:rPr>
          <w:rFonts w:hint="eastAsia" w:ascii="仿宋" w:hAnsi="仿宋" w:eastAsia="仿宋" w:cs="仿宋"/>
          <w:sz w:val="24"/>
          <w:szCs w:val="24"/>
          <w:lang w:eastAsia="zh-CN"/>
        </w:rPr>
        <w:t>承包人有下列情形之一的，发包人可以解除合同：</w:t>
      </w:r>
    </w:p>
    <w:p w14:paraId="0B953DB1">
      <w:pPr>
        <w:pStyle w:val="22"/>
        <w:widowControl w:val="0"/>
        <w:numPr>
          <w:ilvl w:val="0"/>
          <w:numId w:val="33"/>
        </w:numPr>
        <w:adjustRightInd w:val="0"/>
        <w:snapToGrid w:val="0"/>
        <w:spacing w:line="400" w:lineRule="exact"/>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承包人未能按照第41</w:t>
      </w:r>
      <w:r>
        <w:rPr>
          <w:rFonts w:ascii="仿宋" w:hAnsi="仿宋" w:eastAsia="仿宋" w:cs="仿宋"/>
          <w:sz w:val="24"/>
          <w:szCs w:val="24"/>
          <w:lang w:eastAsia="zh-CN"/>
        </w:rPr>
        <w:t>.2</w:t>
      </w:r>
      <w:r>
        <w:rPr>
          <w:rFonts w:hint="eastAsia" w:ascii="仿宋" w:hAnsi="仿宋" w:eastAsia="仿宋" w:cs="仿宋"/>
          <w:sz w:val="24"/>
          <w:szCs w:val="24"/>
          <w:lang w:eastAsia="zh-CN"/>
        </w:rPr>
        <w:t>款约定的开工期限内开展勘察（如果有）、设计、BIM技术应用、设备及工器具购置（如果有）和施工等阶段的总承包范围内工作，经设计顾问人或监理人催告后的</w:t>
      </w:r>
      <w:r>
        <w:rPr>
          <w:rFonts w:ascii="仿宋" w:hAnsi="仿宋" w:eastAsia="仿宋" w:cs="仿宋"/>
          <w:sz w:val="24"/>
          <w:szCs w:val="24"/>
          <w:lang w:eastAsia="zh-CN"/>
        </w:rPr>
        <w:t>28</w:t>
      </w:r>
      <w:r>
        <w:rPr>
          <w:rFonts w:hint="eastAsia" w:ascii="仿宋" w:hAnsi="仿宋" w:eastAsia="仿宋" w:cs="仿宋"/>
          <w:sz w:val="24"/>
          <w:szCs w:val="24"/>
          <w:lang w:eastAsia="zh-CN"/>
        </w:rPr>
        <w:t>天内仍未开工的；</w:t>
      </w:r>
    </w:p>
    <w:p w14:paraId="44953410">
      <w:pPr>
        <w:pStyle w:val="22"/>
        <w:widowControl w:val="0"/>
        <w:numPr>
          <w:ilvl w:val="0"/>
          <w:numId w:val="33"/>
        </w:numPr>
        <w:adjustRightInd w:val="0"/>
        <w:snapToGrid w:val="0"/>
        <w:spacing w:line="400" w:lineRule="exact"/>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按照第40条约定的进度计划未表明有停工且监理人也未按照第42</w:t>
      </w:r>
      <w:r>
        <w:rPr>
          <w:rFonts w:ascii="仿宋" w:hAnsi="仿宋" w:eastAsia="仿宋" w:cs="仿宋"/>
          <w:sz w:val="24"/>
          <w:szCs w:val="24"/>
          <w:lang w:eastAsia="zh-CN"/>
        </w:rPr>
        <w:t>.1</w:t>
      </w:r>
      <w:r>
        <w:rPr>
          <w:rFonts w:hint="eastAsia" w:ascii="仿宋" w:hAnsi="仿宋" w:eastAsia="仿宋" w:cs="仿宋"/>
          <w:sz w:val="24"/>
          <w:szCs w:val="24"/>
          <w:lang w:eastAsia="zh-CN"/>
        </w:rPr>
        <w:t>款约定发出暂停施工令，但承包人停止施工时间持续达</w:t>
      </w:r>
      <w:r>
        <w:rPr>
          <w:rFonts w:ascii="仿宋" w:hAnsi="仿宋" w:eastAsia="仿宋" w:cs="仿宋"/>
          <w:sz w:val="24"/>
          <w:szCs w:val="24"/>
          <w:lang w:eastAsia="zh-CN"/>
        </w:rPr>
        <w:t>56</w:t>
      </w:r>
      <w:r>
        <w:rPr>
          <w:rFonts w:hint="eastAsia" w:ascii="仿宋" w:hAnsi="仿宋" w:eastAsia="仿宋" w:cs="仿宋"/>
          <w:sz w:val="24"/>
          <w:szCs w:val="24"/>
          <w:lang w:eastAsia="zh-CN"/>
        </w:rPr>
        <w:t>天或累计停止施工时间达</w:t>
      </w:r>
      <w:r>
        <w:rPr>
          <w:rFonts w:ascii="仿宋" w:hAnsi="仿宋" w:eastAsia="仿宋" w:cs="仿宋"/>
          <w:sz w:val="24"/>
          <w:szCs w:val="24"/>
          <w:lang w:eastAsia="zh-CN"/>
        </w:rPr>
        <w:t>70</w:t>
      </w:r>
      <w:r>
        <w:rPr>
          <w:rFonts w:hint="eastAsia" w:ascii="仿宋" w:hAnsi="仿宋" w:eastAsia="仿宋" w:cs="仿宋"/>
          <w:sz w:val="24"/>
          <w:szCs w:val="24"/>
          <w:lang w:eastAsia="zh-CN"/>
        </w:rPr>
        <w:t>天的；</w:t>
      </w:r>
    </w:p>
    <w:p w14:paraId="61A51EF0">
      <w:pPr>
        <w:pStyle w:val="22"/>
        <w:widowControl w:val="0"/>
        <w:numPr>
          <w:ilvl w:val="0"/>
          <w:numId w:val="33"/>
        </w:numPr>
        <w:adjustRightInd w:val="0"/>
        <w:snapToGrid w:val="0"/>
        <w:spacing w:line="400" w:lineRule="exact"/>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承包人违反第21</w:t>
      </w:r>
      <w:r>
        <w:rPr>
          <w:rFonts w:ascii="仿宋" w:hAnsi="仿宋" w:eastAsia="仿宋" w:cs="仿宋"/>
          <w:sz w:val="24"/>
          <w:szCs w:val="24"/>
          <w:lang w:eastAsia="zh-CN"/>
        </w:rPr>
        <w:t>.1</w:t>
      </w:r>
      <w:r>
        <w:rPr>
          <w:rFonts w:hint="eastAsia" w:ascii="仿宋" w:hAnsi="仿宋" w:eastAsia="仿宋" w:cs="仿宋"/>
          <w:sz w:val="24"/>
          <w:szCs w:val="24"/>
          <w:lang w:eastAsia="zh-CN"/>
        </w:rPr>
        <w:t>款或第58</w:t>
      </w:r>
      <w:r>
        <w:rPr>
          <w:rFonts w:ascii="仿宋" w:hAnsi="仿宋" w:eastAsia="仿宋" w:cs="仿宋"/>
          <w:sz w:val="24"/>
          <w:szCs w:val="24"/>
          <w:lang w:eastAsia="zh-CN"/>
        </w:rPr>
        <w:t>.4</w:t>
      </w:r>
      <w:r>
        <w:rPr>
          <w:rFonts w:hint="eastAsia" w:ascii="仿宋" w:hAnsi="仿宋" w:eastAsia="仿宋" w:cs="仿宋"/>
          <w:sz w:val="24"/>
          <w:szCs w:val="24"/>
          <w:lang w:eastAsia="zh-CN"/>
        </w:rPr>
        <w:t>款约定未经监理人批准，擅自将已按照合同约定进入施工现场的施工设备、临时设施、工程材料、工程设备运出施工现场的；</w:t>
      </w:r>
    </w:p>
    <w:p w14:paraId="08699971">
      <w:pPr>
        <w:pStyle w:val="22"/>
        <w:widowControl w:val="0"/>
        <w:numPr>
          <w:ilvl w:val="0"/>
          <w:numId w:val="33"/>
        </w:numPr>
        <w:adjustRightInd w:val="0"/>
        <w:snapToGrid w:val="0"/>
        <w:spacing w:line="400" w:lineRule="exact"/>
        <w:ind w:left="1850" w:leftChars="771" w:firstLine="0"/>
        <w:jc w:val="both"/>
        <w:rPr>
          <w:rFonts w:ascii="仿宋" w:hAnsi="仿宋" w:eastAsia="仿宋" w:cs="仿宋"/>
          <w:sz w:val="24"/>
          <w:szCs w:val="24"/>
          <w:lang w:eastAsia="zh-CN"/>
        </w:rPr>
      </w:pPr>
      <w:r>
        <w:rPr>
          <w:rFonts w:hint="eastAsia" w:ascii="仿宋" w:hAnsi="仿宋" w:eastAsia="仿宋" w:cs="仿宋"/>
          <w:sz w:val="24"/>
          <w:szCs w:val="24"/>
          <w:lang w:eastAsia="zh-CN"/>
        </w:rPr>
        <w:t>承包人拖延完工且能偿付的误期赔偿费已达到专用条款约定最高限额的；</w:t>
      </w:r>
    </w:p>
    <w:p w14:paraId="2DFA7AE2">
      <w:pPr>
        <w:pStyle w:val="22"/>
        <w:widowControl w:val="0"/>
        <w:numPr>
          <w:ilvl w:val="0"/>
          <w:numId w:val="33"/>
        </w:numPr>
        <w:adjustRightInd w:val="0"/>
        <w:snapToGrid w:val="0"/>
        <w:spacing w:line="400" w:lineRule="exact"/>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承包人转包工程、违法分包或未经发</w:t>
      </w:r>
      <w:r>
        <w:rPr>
          <w:rFonts w:ascii="仿宋" w:hAnsi="仿宋" w:eastAsia="仿宋" w:cs="仿宋"/>
          <w:sz w:val="24"/>
          <w:szCs w:val="24"/>
          <w:lang w:eastAsia="zh-CN"/>
        </w:rPr>
        <w:t>包人同意</w:t>
      </w:r>
      <w:r>
        <w:rPr>
          <w:rFonts w:hint="eastAsia" w:ascii="仿宋" w:hAnsi="仿宋" w:eastAsia="仿宋" w:cs="仿宋"/>
          <w:sz w:val="24"/>
          <w:szCs w:val="24"/>
          <w:lang w:eastAsia="zh-CN"/>
        </w:rPr>
        <w:t>擅自分包工程的；</w:t>
      </w:r>
    </w:p>
    <w:p w14:paraId="0165682A">
      <w:pPr>
        <w:pStyle w:val="22"/>
        <w:widowControl w:val="0"/>
        <w:numPr>
          <w:ilvl w:val="0"/>
          <w:numId w:val="33"/>
        </w:numPr>
        <w:adjustRightInd w:val="0"/>
        <w:snapToGrid w:val="0"/>
        <w:spacing w:line="400" w:lineRule="exact"/>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承包人未按照合同约定或设计顾问人、监理人的指令，经监理人、设计顾问人书面指出后仍未按要求改正的；</w:t>
      </w:r>
    </w:p>
    <w:p w14:paraId="701CFE07">
      <w:pPr>
        <w:pStyle w:val="22"/>
        <w:widowControl w:val="0"/>
        <w:numPr>
          <w:ilvl w:val="0"/>
          <w:numId w:val="33"/>
        </w:numPr>
        <w:adjustRightInd w:val="0"/>
        <w:snapToGrid w:val="0"/>
        <w:spacing w:line="400" w:lineRule="exact"/>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承包人履行合同期间有欺诈行为的；</w:t>
      </w:r>
    </w:p>
    <w:p w14:paraId="19FFAFEE">
      <w:pPr>
        <w:pStyle w:val="22"/>
        <w:widowControl w:val="0"/>
        <w:numPr>
          <w:ilvl w:val="0"/>
          <w:numId w:val="33"/>
        </w:numPr>
        <w:adjustRightInd w:val="0"/>
        <w:snapToGrid w:val="0"/>
        <w:spacing w:line="400" w:lineRule="exact"/>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承包人向任何人给付或企图给付任何贿赂、礼品、赏金、回扣或其他贵重物品，以引诱或报偿他人，但给付承包人雇员的奖励则属例外；</w:t>
      </w:r>
    </w:p>
    <w:p w14:paraId="67665187">
      <w:pPr>
        <w:pStyle w:val="22"/>
        <w:widowControl w:val="0"/>
        <w:numPr>
          <w:ilvl w:val="0"/>
          <w:numId w:val="33"/>
        </w:numPr>
        <w:adjustRightInd w:val="0"/>
        <w:snapToGrid w:val="0"/>
        <w:spacing w:line="400" w:lineRule="exact"/>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承包人在缺陷责任期内未能对发生的缺陷进行修复，且又拒绝按照监理人指令再进行修补的；</w:t>
      </w:r>
    </w:p>
    <w:p w14:paraId="2733A41D">
      <w:pPr>
        <w:pStyle w:val="22"/>
        <w:widowControl w:val="0"/>
        <w:numPr>
          <w:ilvl w:val="0"/>
          <w:numId w:val="33"/>
        </w:numPr>
        <w:adjustRightInd w:val="0"/>
        <w:snapToGrid w:val="0"/>
        <w:spacing w:line="400" w:lineRule="exact"/>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承包人明确表示或以行为表明不履行合同约定主要义务的；</w:t>
      </w:r>
    </w:p>
    <w:p w14:paraId="4AD2D6DB">
      <w:pPr>
        <w:pStyle w:val="22"/>
        <w:widowControl w:val="0"/>
        <w:numPr>
          <w:ilvl w:val="0"/>
          <w:numId w:val="33"/>
        </w:numPr>
        <w:adjustRightInd w:val="0"/>
        <w:snapToGrid w:val="0"/>
        <w:spacing w:line="400" w:lineRule="exact"/>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承包人延迟履行合同约定的主要义务，经催告后在合理期限内仍未履行的；</w:t>
      </w:r>
    </w:p>
    <w:p w14:paraId="25AC66A1">
      <w:pPr>
        <w:pStyle w:val="22"/>
        <w:widowControl w:val="0"/>
        <w:numPr>
          <w:ilvl w:val="0"/>
          <w:numId w:val="33"/>
        </w:numPr>
        <w:adjustRightInd w:val="0"/>
        <w:snapToGrid w:val="0"/>
        <w:spacing w:line="400" w:lineRule="exact"/>
        <w:ind w:left="1850" w:leftChars="771" w:firstLine="0"/>
        <w:jc w:val="both"/>
        <w:rPr>
          <w:rFonts w:ascii="仿宋" w:hAnsi="仿宋" w:eastAsia="仿宋"/>
          <w:sz w:val="24"/>
          <w:szCs w:val="24"/>
          <w:lang w:eastAsia="zh-CN"/>
        </w:rPr>
      </w:pPr>
      <w:r>
        <w:rPr>
          <w:rFonts w:hint="eastAsia" w:ascii="仿宋" w:hAnsi="仿宋" w:eastAsia="仿宋" w:cs="仿宋"/>
          <w:sz w:val="24"/>
          <w:szCs w:val="24"/>
          <w:lang w:eastAsia="zh-CN"/>
        </w:rPr>
        <w:t>承包人破产或清算的，但以机构重组或联合为目的的除外；</w:t>
      </w:r>
    </w:p>
    <w:p w14:paraId="6B134F4D">
      <w:pPr>
        <w:pStyle w:val="22"/>
        <w:widowControl w:val="0"/>
        <w:numPr>
          <w:ilvl w:val="0"/>
          <w:numId w:val="33"/>
        </w:numPr>
        <w:adjustRightInd w:val="0"/>
        <w:snapToGrid w:val="0"/>
        <w:spacing w:line="400" w:lineRule="exact"/>
        <w:ind w:left="1850" w:leftChars="771" w:firstLine="0"/>
        <w:jc w:val="both"/>
        <w:rPr>
          <w:rFonts w:ascii="仿宋" w:hAnsi="仿宋" w:eastAsia="仿宋" w:cs="仿宋"/>
          <w:sz w:val="24"/>
          <w:szCs w:val="24"/>
          <w:lang w:eastAsia="zh-CN"/>
        </w:rPr>
      </w:pPr>
      <w:r>
        <w:rPr>
          <w:rFonts w:hint="eastAsia" w:ascii="仿宋" w:hAnsi="仿宋" w:eastAsia="仿宋" w:cs="仿宋"/>
          <w:sz w:val="24"/>
          <w:szCs w:val="24"/>
          <w:lang w:eastAsia="zh-CN"/>
        </w:rPr>
        <w:t>承包人被认为有严重违反合同的其他违约行为；</w:t>
      </w:r>
    </w:p>
    <w:p w14:paraId="70F3A91A">
      <w:pPr>
        <w:pStyle w:val="22"/>
        <w:widowControl w:val="0"/>
        <w:numPr>
          <w:ilvl w:val="0"/>
          <w:numId w:val="33"/>
        </w:numPr>
        <w:adjustRightInd w:val="0"/>
        <w:snapToGrid w:val="0"/>
        <w:spacing w:line="400" w:lineRule="exact"/>
        <w:ind w:left="1850" w:leftChars="771" w:firstLine="0"/>
        <w:jc w:val="both"/>
        <w:rPr>
          <w:rFonts w:ascii="仿宋" w:hAnsi="仿宋" w:eastAsia="仿宋"/>
          <w:sz w:val="24"/>
          <w:szCs w:val="24"/>
          <w:lang w:eastAsia="zh-CN"/>
        </w:rPr>
      </w:pPr>
      <w:r>
        <w:rPr>
          <w:rFonts w:hint="eastAsia" w:ascii="仿宋" w:hAnsi="仿宋" w:eastAsia="仿宋"/>
          <w:sz w:val="24"/>
          <w:szCs w:val="24"/>
          <w:lang w:eastAsia="zh-CN"/>
        </w:rPr>
        <w:t>承包人不配合发包人对本合同工程进行检查。</w:t>
      </w:r>
    </w:p>
    <w:p w14:paraId="4F8B1F36">
      <w:pPr>
        <w:pStyle w:val="22"/>
        <w:widowControl w:val="0"/>
        <w:adjustRightInd w:val="0"/>
        <w:snapToGrid w:val="0"/>
        <w:spacing w:line="400" w:lineRule="exact"/>
        <w:ind w:left="1850" w:leftChars="771"/>
        <w:jc w:val="both"/>
        <w:rPr>
          <w:rFonts w:ascii="仿宋" w:hAnsi="仿宋" w:eastAsia="仿宋"/>
          <w:b/>
          <w:bCs/>
          <w:sz w:val="24"/>
          <w:szCs w:val="24"/>
          <w:lang w:eastAsia="zh-CN"/>
        </w:rPr>
      </w:pPr>
      <w:r>
        <w:rPr>
          <w:rFonts w:hint="eastAsia" w:ascii="仿宋" w:hAnsi="仿宋" w:eastAsia="仿宋" w:cs="仿宋"/>
          <w:sz w:val="24"/>
          <w:szCs w:val="24"/>
          <w:lang w:eastAsia="zh-CN"/>
        </w:rPr>
        <w:t>在这种情况下，发包人可自行或委托第三方实施、完成合同工程或其任何部分，并可使用根据第21</w:t>
      </w:r>
      <w:r>
        <w:rPr>
          <w:rFonts w:ascii="仿宋" w:hAnsi="仿宋" w:eastAsia="仿宋" w:cs="仿宋"/>
          <w:sz w:val="24"/>
          <w:szCs w:val="24"/>
          <w:lang w:eastAsia="zh-CN"/>
        </w:rPr>
        <w:t>.2</w:t>
      </w:r>
      <w:r>
        <w:rPr>
          <w:rFonts w:hint="eastAsia" w:ascii="仿宋" w:hAnsi="仿宋" w:eastAsia="仿宋" w:cs="仿宋"/>
          <w:sz w:val="24"/>
          <w:szCs w:val="24"/>
          <w:lang w:eastAsia="zh-CN"/>
        </w:rPr>
        <w:t>款留下的承包人临时工程，直至永久工程完工为止。</w:t>
      </w:r>
    </w:p>
    <w:p w14:paraId="3D79C6DC">
      <w:pPr>
        <w:widowControl w:val="0"/>
        <w:spacing w:line="400" w:lineRule="exact"/>
        <w:rPr>
          <w:rFonts w:ascii="仿宋" w:hAnsi="仿宋" w:eastAsia="仿宋"/>
          <w:b/>
          <w:bCs/>
          <w:lang w:eastAsia="zh-CN"/>
        </w:rPr>
      </w:pPr>
      <w:bookmarkStart w:id="717" w:name="_Toc8110"/>
      <w:r>
        <w:rPr>
          <w:rFonts w:hint="eastAsia" w:ascii="仿宋" w:hAnsi="仿宋" w:eastAsia="仿宋" w:cs="仿宋"/>
          <w:b/>
          <w:bCs/>
          <w:lang w:eastAsia="zh-CN"/>
        </w:rPr>
        <w:t>92</w:t>
      </w:r>
      <w:r>
        <w:rPr>
          <w:rFonts w:ascii="仿宋" w:hAnsi="仿宋" w:eastAsia="仿宋" w:cs="仿宋"/>
          <w:b/>
          <w:bCs/>
          <w:lang w:eastAsia="zh-CN"/>
        </w:rPr>
        <w:t>.4</w:t>
      </w:r>
      <w:bookmarkEnd w:id="717"/>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23FE105C">
      <w:pPr>
        <w:pStyle w:val="22"/>
        <w:widowControl w:val="0"/>
        <w:adjustRightInd w:val="0"/>
        <w:snapToGrid w:val="0"/>
        <w:spacing w:line="400" w:lineRule="exact"/>
        <w:ind w:left="1850" w:leftChars="771"/>
        <w:jc w:val="both"/>
        <w:rPr>
          <w:rFonts w:ascii="仿宋" w:hAnsi="仿宋" w:eastAsia="仿宋"/>
          <w:sz w:val="24"/>
          <w:szCs w:val="24"/>
          <w:lang w:eastAsia="zh-CN"/>
        </w:rPr>
      </w:pPr>
      <w:r>
        <mc:AlternateContent>
          <mc:Choice Requires="wps">
            <w:drawing>
              <wp:anchor distT="0" distB="0" distL="114300" distR="114300" simplePos="0" relativeHeight="251949056" behindDoc="0" locked="0" layoutInCell="1" allowOverlap="1">
                <wp:simplePos x="0" y="0"/>
                <wp:positionH relativeFrom="column">
                  <wp:posOffset>-114300</wp:posOffset>
                </wp:positionH>
                <wp:positionV relativeFrom="paragraph">
                  <wp:posOffset>29845</wp:posOffset>
                </wp:positionV>
                <wp:extent cx="813435" cy="725805"/>
                <wp:effectExtent l="0" t="0" r="0" b="0"/>
                <wp:wrapNone/>
                <wp:docPr id="419" name="文本框 1082"/>
                <wp:cNvGraphicFramePr/>
                <a:graphic xmlns:a="http://schemas.openxmlformats.org/drawingml/2006/main">
                  <a:graphicData uri="http://schemas.microsoft.com/office/word/2010/wordprocessingShape">
                    <wps:wsp>
                      <wps:cNvSpPr txBox="1"/>
                      <wps:spPr>
                        <a:xfrm>
                          <a:off x="0" y="0"/>
                          <a:ext cx="813435" cy="725805"/>
                        </a:xfrm>
                        <a:prstGeom prst="rect">
                          <a:avLst/>
                        </a:prstGeom>
                        <a:noFill/>
                        <a:ln w="12700">
                          <a:noFill/>
                        </a:ln>
                      </wps:spPr>
                      <wps:txbx>
                        <w:txbxContent>
                          <w:p w14:paraId="1C66368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因发包人的原因解除</w:t>
                            </w:r>
                          </w:p>
                        </w:txbxContent>
                      </wps:txbx>
                      <wps:bodyPr rot="0" vert="horz" wrap="square" lIns="91440" tIns="45720" rIns="91440" bIns="45720" anchor="t" anchorCtr="0"/>
                    </wps:wsp>
                  </a:graphicData>
                </a:graphic>
              </wp:anchor>
            </w:drawing>
          </mc:Choice>
          <mc:Fallback>
            <w:pict>
              <v:shape id="文本框 1082" o:spid="_x0000_s1026" o:spt="202" type="#_x0000_t202" style="position:absolute;left:0pt;margin-left:-9pt;margin-top:2.35pt;height:57.15pt;width:64.05pt;z-index:251949056;mso-width-relative:page;mso-height-relative:page;" filled="f" stroked="f" coordsize="21600,21600" o:gfxdata="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oI&#10;P0HXAAAACQEAAA8AAAAAAAAAAQAgAAAAIgAAAGRycy9kb3ducmV2LnhtbFBLAQIUABQAAAAIAIdO&#10;4kAGN9xX6wEAAL8DAAAOAAAAAAAAAAEAIAAAACYBAABkcnMvZTJvRG9jLnhtbFBLBQYAAAAABgAG&#10;AFkBAACDBQAAAAA=&#10;">
                <v:fill on="f" focussize="0,0"/>
                <v:stroke on="f" weight="1pt"/>
                <v:imagedata o:title=""/>
                <o:lock v:ext="edit" aspectratio="f"/>
                <v:textbox>
                  <w:txbxContent>
                    <w:p w14:paraId="1C66368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因发包人的原因解除</w:t>
                      </w:r>
                    </w:p>
                  </w:txbxContent>
                </v:textbox>
              </v:shape>
            </w:pict>
          </mc:Fallback>
        </mc:AlternateContent>
      </w:r>
      <w:r>
        <w:rPr>
          <w:rFonts w:hint="eastAsia" w:ascii="仿宋" w:hAnsi="仿宋" w:eastAsia="仿宋" w:cs="仿宋"/>
          <w:sz w:val="24"/>
          <w:szCs w:val="24"/>
          <w:lang w:eastAsia="zh-CN"/>
        </w:rPr>
        <w:t>发包人有下列情形之一的，承包人可以解除合同：</w:t>
      </w:r>
    </w:p>
    <w:p w14:paraId="27B2246F">
      <w:pPr>
        <w:pStyle w:val="22"/>
        <w:widowControl w:val="0"/>
        <w:numPr>
          <w:ilvl w:val="0"/>
          <w:numId w:val="34"/>
        </w:numPr>
        <w:tabs>
          <w:tab w:val="clear" w:pos="1560"/>
        </w:tabs>
        <w:adjustRightInd w:val="0"/>
        <w:snapToGrid w:val="0"/>
        <w:spacing w:line="400" w:lineRule="exact"/>
        <w:ind w:left="1850" w:leftChars="771" w:firstLine="1"/>
        <w:jc w:val="both"/>
        <w:rPr>
          <w:rFonts w:ascii="仿宋" w:hAnsi="仿宋" w:eastAsia="仿宋"/>
          <w:sz w:val="24"/>
          <w:szCs w:val="24"/>
          <w:lang w:eastAsia="zh-CN"/>
        </w:rPr>
      </w:pPr>
      <w:r>
        <w:rPr>
          <w:rFonts w:hint="eastAsia" w:ascii="仿宋" w:hAnsi="仿宋" w:eastAsia="仿宋" w:cs="仿宋"/>
          <w:sz w:val="24"/>
          <w:szCs w:val="24"/>
          <w:lang w:eastAsia="zh-CN"/>
        </w:rPr>
        <w:t>非承包人原因未按照第41</w:t>
      </w:r>
      <w:r>
        <w:rPr>
          <w:rFonts w:ascii="仿宋" w:hAnsi="仿宋" w:eastAsia="仿宋" w:cs="仿宋"/>
          <w:sz w:val="24"/>
          <w:szCs w:val="24"/>
          <w:lang w:eastAsia="zh-CN"/>
        </w:rPr>
        <w:t>.2</w:t>
      </w:r>
      <w:r>
        <w:rPr>
          <w:rFonts w:hint="eastAsia" w:ascii="仿宋" w:hAnsi="仿宋" w:eastAsia="仿宋" w:cs="仿宋"/>
          <w:sz w:val="24"/>
          <w:szCs w:val="24"/>
          <w:lang w:eastAsia="zh-CN"/>
        </w:rPr>
        <w:t>款约定期限内发出开工令，经承包人催告后</w:t>
      </w:r>
      <w:r>
        <w:rPr>
          <w:rFonts w:ascii="仿宋" w:hAnsi="仿宋" w:eastAsia="仿宋" w:cs="仿宋"/>
          <w:sz w:val="24"/>
          <w:szCs w:val="24"/>
          <w:lang w:eastAsia="zh-CN"/>
        </w:rPr>
        <w:t>28</w:t>
      </w:r>
      <w:r>
        <w:rPr>
          <w:rFonts w:hint="eastAsia" w:ascii="仿宋" w:hAnsi="仿宋" w:eastAsia="仿宋" w:cs="仿宋"/>
          <w:sz w:val="24"/>
          <w:szCs w:val="24"/>
          <w:lang w:eastAsia="zh-CN"/>
        </w:rPr>
        <w:t>天内仍未发出开工令的；</w:t>
      </w:r>
    </w:p>
    <w:p w14:paraId="2CDB9094">
      <w:pPr>
        <w:pStyle w:val="22"/>
        <w:widowControl w:val="0"/>
        <w:numPr>
          <w:ilvl w:val="0"/>
          <w:numId w:val="34"/>
        </w:numPr>
        <w:tabs>
          <w:tab w:val="clear" w:pos="1560"/>
        </w:tabs>
        <w:adjustRightInd w:val="0"/>
        <w:snapToGrid w:val="0"/>
        <w:spacing w:line="400" w:lineRule="exact"/>
        <w:ind w:left="1850" w:leftChars="771" w:firstLine="1"/>
        <w:jc w:val="both"/>
        <w:rPr>
          <w:rFonts w:ascii="仿宋" w:hAnsi="仿宋" w:eastAsia="仿宋" w:cs="仿宋"/>
          <w:sz w:val="24"/>
          <w:szCs w:val="24"/>
          <w:lang w:eastAsia="zh-CN"/>
        </w:rPr>
      </w:pPr>
      <w:r>
        <w:rPr>
          <w:rFonts w:hint="eastAsia" w:ascii="仿宋" w:hAnsi="仿宋" w:eastAsia="仿宋" w:cs="仿宋"/>
          <w:sz w:val="24"/>
          <w:szCs w:val="24"/>
          <w:lang w:eastAsia="zh-CN"/>
        </w:rPr>
        <w:t>按照第42</w:t>
      </w:r>
      <w:r>
        <w:rPr>
          <w:rFonts w:ascii="仿宋" w:hAnsi="仿宋" w:eastAsia="仿宋" w:cs="仿宋"/>
          <w:sz w:val="24"/>
          <w:szCs w:val="24"/>
          <w:lang w:eastAsia="zh-CN"/>
        </w:rPr>
        <w:t>.3</w:t>
      </w:r>
      <w:r>
        <w:rPr>
          <w:rFonts w:hint="eastAsia" w:ascii="仿宋" w:hAnsi="仿宋" w:eastAsia="仿宋" w:cs="仿宋"/>
          <w:sz w:val="24"/>
          <w:szCs w:val="24"/>
          <w:lang w:eastAsia="zh-CN"/>
        </w:rPr>
        <w:t>款约定非承包人原因造成暂停施工持续</w:t>
      </w:r>
      <w:r>
        <w:rPr>
          <w:rFonts w:ascii="仿宋" w:hAnsi="仿宋" w:eastAsia="仿宋" w:cs="仿宋"/>
          <w:sz w:val="24"/>
          <w:szCs w:val="24"/>
          <w:lang w:eastAsia="zh-CN"/>
        </w:rPr>
        <w:t>56</w:t>
      </w:r>
      <w:r>
        <w:rPr>
          <w:rFonts w:hint="eastAsia" w:ascii="仿宋" w:hAnsi="仿宋" w:eastAsia="仿宋" w:cs="仿宋"/>
          <w:sz w:val="24"/>
          <w:szCs w:val="24"/>
          <w:lang w:eastAsia="zh-CN"/>
        </w:rPr>
        <w:t>天以上或累计停工时间超过了</w:t>
      </w:r>
      <w:r>
        <w:rPr>
          <w:rFonts w:ascii="仿宋" w:hAnsi="仿宋" w:eastAsia="仿宋" w:cs="仿宋"/>
          <w:sz w:val="24"/>
          <w:szCs w:val="24"/>
          <w:lang w:eastAsia="zh-CN"/>
        </w:rPr>
        <w:t>70</w:t>
      </w:r>
      <w:r>
        <w:rPr>
          <w:rFonts w:hint="eastAsia" w:ascii="仿宋" w:hAnsi="仿宋" w:eastAsia="仿宋" w:cs="仿宋"/>
          <w:sz w:val="24"/>
          <w:szCs w:val="24"/>
          <w:lang w:eastAsia="zh-CN"/>
        </w:rPr>
        <w:t>天的；</w:t>
      </w:r>
    </w:p>
    <w:p w14:paraId="0A921052">
      <w:pPr>
        <w:pStyle w:val="22"/>
        <w:widowControl w:val="0"/>
        <w:numPr>
          <w:ilvl w:val="0"/>
          <w:numId w:val="34"/>
        </w:numPr>
        <w:tabs>
          <w:tab w:val="clear" w:pos="1560"/>
        </w:tabs>
        <w:adjustRightInd w:val="0"/>
        <w:snapToGrid w:val="0"/>
        <w:spacing w:line="400" w:lineRule="exact"/>
        <w:ind w:left="1850" w:leftChars="771" w:firstLine="1"/>
        <w:jc w:val="both"/>
        <w:rPr>
          <w:rFonts w:ascii="仿宋" w:hAnsi="仿宋" w:eastAsia="仿宋"/>
          <w:sz w:val="24"/>
          <w:szCs w:val="24"/>
          <w:lang w:eastAsia="zh-CN"/>
        </w:rPr>
      </w:pPr>
      <w:r>
        <w:rPr>
          <w:rFonts w:hint="eastAsia" w:ascii="仿宋" w:hAnsi="仿宋" w:eastAsia="仿宋" w:cs="仿宋"/>
          <w:sz w:val="24"/>
          <w:szCs w:val="24"/>
          <w:lang w:eastAsia="zh-CN"/>
        </w:rPr>
        <w:t>发包人按照第55条约定供应的工程材料和工程设备不符合强制性标准，致使承包人无法施工，经承包人催告后</w:t>
      </w:r>
      <w:r>
        <w:rPr>
          <w:rFonts w:ascii="仿宋" w:hAnsi="仿宋" w:eastAsia="仿宋" w:cs="仿宋"/>
          <w:sz w:val="24"/>
          <w:szCs w:val="24"/>
          <w:lang w:eastAsia="zh-CN"/>
        </w:rPr>
        <w:t>28</w:t>
      </w:r>
      <w:r>
        <w:rPr>
          <w:rFonts w:hint="eastAsia" w:ascii="仿宋" w:hAnsi="仿宋" w:eastAsia="仿宋" w:cs="仿宋"/>
          <w:sz w:val="24"/>
          <w:szCs w:val="24"/>
          <w:lang w:eastAsia="zh-CN"/>
        </w:rPr>
        <w:t>天内仍未更换的；</w:t>
      </w:r>
    </w:p>
    <w:p w14:paraId="06085A55">
      <w:pPr>
        <w:pStyle w:val="22"/>
        <w:widowControl w:val="0"/>
        <w:numPr>
          <w:ilvl w:val="0"/>
          <w:numId w:val="34"/>
        </w:numPr>
        <w:tabs>
          <w:tab w:val="clear" w:pos="1560"/>
        </w:tabs>
        <w:adjustRightInd w:val="0"/>
        <w:snapToGrid w:val="0"/>
        <w:spacing w:line="400" w:lineRule="exact"/>
        <w:ind w:left="1850" w:leftChars="771" w:firstLine="1"/>
        <w:jc w:val="both"/>
        <w:rPr>
          <w:rFonts w:ascii="仿宋" w:hAnsi="仿宋" w:eastAsia="仿宋" w:cs="仿宋"/>
          <w:sz w:val="24"/>
          <w:szCs w:val="24"/>
          <w:lang w:eastAsia="zh-CN"/>
        </w:rPr>
      </w:pPr>
      <w:r>
        <w:rPr>
          <w:rFonts w:hint="eastAsia" w:ascii="仿宋" w:hAnsi="仿宋" w:eastAsia="仿宋" w:cs="仿宋"/>
          <w:sz w:val="24"/>
          <w:szCs w:val="24"/>
          <w:lang w:eastAsia="zh-CN"/>
        </w:rPr>
        <w:t>设计顾问人或监理人未按照合同约定及时发出工作指令，导致承包人无法继续工作或施工的；</w:t>
      </w:r>
      <w:r>
        <w:rPr>
          <w:rFonts w:ascii="仿宋" w:hAnsi="仿宋" w:eastAsia="仿宋" w:cs="仿宋"/>
          <w:sz w:val="24"/>
          <w:szCs w:val="24"/>
          <w:lang w:eastAsia="zh-CN"/>
        </w:rPr>
        <w:t xml:space="preserve"> </w:t>
      </w:r>
    </w:p>
    <w:p w14:paraId="5246F314">
      <w:pPr>
        <w:pStyle w:val="22"/>
        <w:widowControl w:val="0"/>
        <w:numPr>
          <w:ilvl w:val="0"/>
          <w:numId w:val="34"/>
        </w:numPr>
        <w:tabs>
          <w:tab w:val="clear" w:pos="1560"/>
        </w:tabs>
        <w:adjustRightInd w:val="0"/>
        <w:snapToGrid w:val="0"/>
        <w:spacing w:line="400" w:lineRule="exact"/>
        <w:ind w:left="1850" w:leftChars="771" w:firstLine="1"/>
        <w:jc w:val="both"/>
        <w:rPr>
          <w:rFonts w:ascii="仿宋" w:hAnsi="仿宋" w:eastAsia="仿宋"/>
          <w:sz w:val="24"/>
          <w:szCs w:val="24"/>
          <w:lang w:eastAsia="zh-CN"/>
        </w:rPr>
      </w:pPr>
      <w:r>
        <w:rPr>
          <w:rFonts w:hint="eastAsia" w:ascii="仿宋" w:hAnsi="仿宋" w:eastAsia="仿宋" w:cs="仿宋"/>
          <w:sz w:val="24"/>
          <w:szCs w:val="24"/>
          <w:lang w:eastAsia="zh-CN"/>
        </w:rPr>
        <w:t>发包人未按照第83</w:t>
      </w:r>
      <w:r>
        <w:rPr>
          <w:rFonts w:ascii="仿宋" w:hAnsi="仿宋" w:eastAsia="仿宋" w:cs="仿宋"/>
          <w:sz w:val="24"/>
          <w:szCs w:val="24"/>
          <w:lang w:eastAsia="zh-CN"/>
        </w:rPr>
        <w:t>.1</w:t>
      </w:r>
      <w:r>
        <w:rPr>
          <w:rFonts w:hint="eastAsia" w:ascii="仿宋" w:hAnsi="仿宋" w:eastAsia="仿宋" w:cs="仿宋"/>
          <w:sz w:val="24"/>
          <w:szCs w:val="24"/>
          <w:lang w:eastAsia="zh-CN"/>
        </w:rPr>
        <w:t>款约定向承包人支付工程款，经承包人催告后</w:t>
      </w:r>
      <w:r>
        <w:rPr>
          <w:rFonts w:ascii="仿宋" w:hAnsi="仿宋" w:eastAsia="仿宋" w:cs="仿宋"/>
          <w:sz w:val="24"/>
          <w:szCs w:val="24"/>
          <w:lang w:eastAsia="zh-CN"/>
        </w:rPr>
        <w:t>28</w:t>
      </w:r>
      <w:r>
        <w:rPr>
          <w:rFonts w:hint="eastAsia" w:ascii="仿宋" w:hAnsi="仿宋" w:eastAsia="仿宋" w:cs="仿宋"/>
          <w:sz w:val="24"/>
          <w:szCs w:val="24"/>
          <w:lang w:eastAsia="zh-CN"/>
        </w:rPr>
        <w:t>天内仍未支付的；</w:t>
      </w:r>
    </w:p>
    <w:p w14:paraId="72B11B1B">
      <w:pPr>
        <w:pStyle w:val="22"/>
        <w:widowControl w:val="0"/>
        <w:numPr>
          <w:ilvl w:val="0"/>
          <w:numId w:val="34"/>
        </w:numPr>
        <w:tabs>
          <w:tab w:val="clear" w:pos="1560"/>
        </w:tabs>
        <w:adjustRightInd w:val="0"/>
        <w:snapToGrid w:val="0"/>
        <w:spacing w:line="400" w:lineRule="exact"/>
        <w:ind w:left="1850" w:leftChars="771" w:firstLine="1"/>
        <w:jc w:val="both"/>
        <w:rPr>
          <w:rFonts w:ascii="仿宋" w:hAnsi="仿宋" w:eastAsia="仿宋"/>
          <w:sz w:val="24"/>
          <w:szCs w:val="24"/>
          <w:lang w:eastAsia="zh-CN"/>
        </w:rPr>
      </w:pPr>
      <w:r>
        <w:rPr>
          <w:rFonts w:hint="eastAsia" w:ascii="仿宋" w:hAnsi="仿宋" w:eastAsia="仿宋" w:cs="仿宋"/>
          <w:sz w:val="24"/>
          <w:szCs w:val="24"/>
          <w:lang w:eastAsia="zh-CN"/>
        </w:rPr>
        <w:t>发包人无法继续履行、明确表示或以行为表明不履行合同约定主要义务的；</w:t>
      </w:r>
    </w:p>
    <w:p w14:paraId="794DE06B">
      <w:pPr>
        <w:pStyle w:val="22"/>
        <w:widowControl w:val="0"/>
        <w:numPr>
          <w:ilvl w:val="0"/>
          <w:numId w:val="34"/>
        </w:numPr>
        <w:tabs>
          <w:tab w:val="clear" w:pos="1560"/>
        </w:tabs>
        <w:adjustRightInd w:val="0"/>
        <w:snapToGrid w:val="0"/>
        <w:spacing w:line="400" w:lineRule="exact"/>
        <w:ind w:left="1850" w:leftChars="771" w:firstLine="1"/>
        <w:jc w:val="both"/>
        <w:rPr>
          <w:rFonts w:ascii="仿宋" w:hAnsi="仿宋" w:eastAsia="仿宋"/>
          <w:sz w:val="24"/>
          <w:szCs w:val="24"/>
          <w:lang w:eastAsia="zh-CN"/>
        </w:rPr>
      </w:pPr>
      <w:r>
        <w:rPr>
          <w:rFonts w:hint="eastAsia" w:ascii="仿宋" w:hAnsi="仿宋" w:eastAsia="仿宋" w:cs="仿宋"/>
          <w:sz w:val="24"/>
          <w:szCs w:val="24"/>
          <w:lang w:eastAsia="zh-CN"/>
        </w:rPr>
        <w:t>发包人延迟履行合同约定主要义务，经催告后在合理期限内仍未履行的；</w:t>
      </w:r>
    </w:p>
    <w:p w14:paraId="30011117">
      <w:pPr>
        <w:pStyle w:val="22"/>
        <w:widowControl w:val="0"/>
        <w:numPr>
          <w:ilvl w:val="0"/>
          <w:numId w:val="34"/>
        </w:numPr>
        <w:tabs>
          <w:tab w:val="clear" w:pos="1560"/>
        </w:tabs>
        <w:adjustRightInd w:val="0"/>
        <w:snapToGrid w:val="0"/>
        <w:spacing w:line="400" w:lineRule="exact"/>
        <w:ind w:left="1850" w:leftChars="771" w:firstLine="1"/>
        <w:jc w:val="both"/>
        <w:rPr>
          <w:rFonts w:ascii="仿宋" w:hAnsi="仿宋" w:eastAsia="仿宋"/>
          <w:sz w:val="24"/>
          <w:szCs w:val="24"/>
          <w:lang w:eastAsia="zh-CN"/>
        </w:rPr>
      </w:pPr>
      <w:r>
        <w:rPr>
          <w:rFonts w:hint="eastAsia" w:ascii="仿宋" w:hAnsi="仿宋" w:eastAsia="仿宋" w:cs="仿宋"/>
          <w:sz w:val="24"/>
          <w:szCs w:val="24"/>
          <w:lang w:eastAsia="zh-CN"/>
        </w:rPr>
        <w:t>发包人破产或清算的，但以机构重组或联合为目的的除外；</w:t>
      </w:r>
    </w:p>
    <w:p w14:paraId="457FB0C9">
      <w:pPr>
        <w:pStyle w:val="22"/>
        <w:widowControl w:val="0"/>
        <w:numPr>
          <w:ilvl w:val="0"/>
          <w:numId w:val="34"/>
        </w:numPr>
        <w:tabs>
          <w:tab w:val="clear" w:pos="1560"/>
        </w:tabs>
        <w:adjustRightInd w:val="0"/>
        <w:snapToGrid w:val="0"/>
        <w:spacing w:line="400" w:lineRule="exact"/>
        <w:ind w:left="1850" w:leftChars="771" w:firstLine="1"/>
        <w:jc w:val="both"/>
        <w:rPr>
          <w:rFonts w:ascii="仿宋" w:hAnsi="仿宋" w:eastAsia="仿宋"/>
          <w:sz w:val="24"/>
          <w:szCs w:val="24"/>
          <w:lang w:eastAsia="zh-CN"/>
        </w:rPr>
      </w:pPr>
      <w:r>
        <w:rPr>
          <w:rFonts w:hint="eastAsia" w:ascii="仿宋" w:hAnsi="仿宋" w:eastAsia="仿宋" w:cs="仿宋"/>
          <w:sz w:val="24"/>
          <w:szCs w:val="24"/>
          <w:lang w:eastAsia="zh-CN"/>
        </w:rPr>
        <w:t>发包人被认为有严重违反合同的其他违约行为。</w:t>
      </w:r>
    </w:p>
    <w:p w14:paraId="564B6116">
      <w:pPr>
        <w:pStyle w:val="22"/>
        <w:tabs>
          <w:tab w:val="left" w:pos="1320"/>
        </w:tabs>
        <w:adjustRightInd w:val="0"/>
        <w:snapToGrid w:val="0"/>
        <w:spacing w:line="400" w:lineRule="exact"/>
        <w:rPr>
          <w:rFonts w:ascii="仿宋" w:hAnsi="仿宋" w:eastAsia="仿宋"/>
          <w:b/>
          <w:bCs/>
          <w:sz w:val="24"/>
          <w:szCs w:val="24"/>
          <w:lang w:eastAsia="zh-CN"/>
        </w:rPr>
      </w:pPr>
      <w:r>
        <mc:AlternateContent>
          <mc:Choice Requires="wps">
            <w:drawing>
              <wp:anchor distT="0" distB="0" distL="114300" distR="114300" simplePos="0" relativeHeight="252070912" behindDoc="0" locked="0" layoutInCell="1" allowOverlap="1">
                <wp:simplePos x="0" y="0"/>
                <wp:positionH relativeFrom="column">
                  <wp:posOffset>-114300</wp:posOffset>
                </wp:positionH>
                <wp:positionV relativeFrom="paragraph">
                  <wp:posOffset>202565</wp:posOffset>
                </wp:positionV>
                <wp:extent cx="803910" cy="534035"/>
                <wp:effectExtent l="0" t="0" r="0" b="0"/>
                <wp:wrapNone/>
                <wp:docPr id="420" name="文本框 1083"/>
                <wp:cNvGraphicFramePr/>
                <a:graphic xmlns:a="http://schemas.openxmlformats.org/drawingml/2006/main">
                  <a:graphicData uri="http://schemas.microsoft.com/office/word/2010/wordprocessingShape">
                    <wps:wsp>
                      <wps:cNvSpPr txBox="1"/>
                      <wps:spPr>
                        <a:xfrm>
                          <a:off x="0" y="0"/>
                          <a:ext cx="803910" cy="534035"/>
                        </a:xfrm>
                        <a:prstGeom prst="rect">
                          <a:avLst/>
                        </a:prstGeom>
                        <a:noFill/>
                        <a:ln w="12700">
                          <a:noFill/>
                        </a:ln>
                      </wps:spPr>
                      <wps:txbx>
                        <w:txbxContent>
                          <w:p w14:paraId="473A25E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书面通知合同解除</w:t>
                            </w:r>
                          </w:p>
                        </w:txbxContent>
                      </wps:txbx>
                      <wps:bodyPr rot="0" vert="horz" wrap="square" lIns="91440" tIns="45720" rIns="91440" bIns="45720" anchor="t" anchorCtr="0"/>
                    </wps:wsp>
                  </a:graphicData>
                </a:graphic>
              </wp:anchor>
            </w:drawing>
          </mc:Choice>
          <mc:Fallback>
            <w:pict>
              <v:shape id="文本框 1083" o:spid="_x0000_s1026" o:spt="202" type="#_x0000_t202" style="position:absolute;left:0pt;margin-left:-9pt;margin-top:15.95pt;height:42.05pt;width:63.3pt;z-index:252070912;mso-width-relative:page;mso-height-relative:page;" filled="f" stroked="f" coordsize="21600,21600" o:gfxdata="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K&#10;T0Sd2AAAAAoBAAAPAAAAAAAAAAEAIAAAACIAAABkcnMvZG93bnJldi54bWxQSwECFAAUAAAACACH&#10;TuJAd5yW6+sBAAC/AwAADgAAAAAAAAABACAAAAAnAQAAZHJzL2Uyb0RvYy54bWxQSwUGAAAAAAYA&#10;BgBZAQAAhAUAAAAA&#10;">
                <v:fill on="f" focussize="0,0"/>
                <v:stroke on="f" weight="1pt"/>
                <v:imagedata o:title=""/>
                <o:lock v:ext="edit" aspectratio="f"/>
                <v:textbox>
                  <w:txbxContent>
                    <w:p w14:paraId="473A25E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书面通知合同解除</w:t>
                      </w:r>
                    </w:p>
                  </w:txbxContent>
                </v:textbox>
              </v:shape>
            </w:pict>
          </mc:Fallback>
        </mc:AlternateContent>
      </w:r>
      <w:r>
        <w:rPr>
          <w:rFonts w:hint="eastAsia" w:ascii="仿宋" w:hAnsi="仿宋" w:eastAsia="仿宋" w:cs="仿宋"/>
          <w:b/>
          <w:bCs/>
          <w:sz w:val="24"/>
          <w:szCs w:val="24"/>
          <w:lang w:eastAsia="zh-CN"/>
        </w:rPr>
        <w:t>92</w:t>
      </w:r>
      <w:r>
        <w:rPr>
          <w:rFonts w:ascii="仿宋" w:hAnsi="仿宋" w:eastAsia="仿宋" w:cs="仿宋"/>
          <w:b/>
          <w:bCs/>
          <w:sz w:val="24"/>
          <w:szCs w:val="24"/>
          <w:lang w:eastAsia="zh-CN"/>
        </w:rPr>
        <w:t xml:space="preserve">.5  </w:t>
      </w:r>
      <w:r>
        <w:rPr>
          <w:rFonts w:ascii="仿宋" w:hAnsi="仿宋" w:eastAsia="仿宋" w:cs="仿宋"/>
          <w:b/>
          <w:bCs/>
          <w:sz w:val="24"/>
          <w:szCs w:val="24"/>
          <w:u w:val="dotted"/>
          <w:lang w:eastAsia="zh-CN"/>
        </w:rPr>
        <w:t xml:space="preserve">                                                                               </w:t>
      </w:r>
    </w:p>
    <w:p w14:paraId="69473AF0">
      <w:pPr>
        <w:pStyle w:val="22"/>
        <w:adjustRightInd w:val="0"/>
        <w:snapToGrid w:val="0"/>
        <w:spacing w:line="400" w:lineRule="exact"/>
        <w:ind w:left="1850" w:leftChars="771"/>
        <w:rPr>
          <w:rFonts w:ascii="仿宋" w:hAnsi="仿宋" w:eastAsia="仿宋"/>
          <w:sz w:val="24"/>
          <w:szCs w:val="24"/>
          <w:lang w:eastAsia="zh-CN"/>
        </w:rPr>
      </w:pPr>
      <w:r>
        <w:rPr>
          <w:rFonts w:hint="eastAsia" w:ascii="仿宋" w:hAnsi="仿宋" w:eastAsia="仿宋" w:cs="仿宋"/>
          <w:sz w:val="24"/>
          <w:szCs w:val="24"/>
          <w:lang w:eastAsia="zh-CN"/>
        </w:rPr>
        <w:t>根据第92</w:t>
      </w:r>
      <w:r>
        <w:rPr>
          <w:rFonts w:ascii="仿宋" w:hAnsi="仿宋" w:eastAsia="仿宋" w:cs="仿宋"/>
          <w:sz w:val="24"/>
          <w:szCs w:val="24"/>
          <w:lang w:eastAsia="zh-CN"/>
        </w:rPr>
        <w:t>.2</w:t>
      </w:r>
      <w:r>
        <w:rPr>
          <w:rFonts w:hint="eastAsia" w:ascii="仿宋" w:hAnsi="仿宋" w:eastAsia="仿宋" w:cs="仿宋"/>
          <w:sz w:val="24"/>
          <w:szCs w:val="24"/>
          <w:lang w:eastAsia="zh-CN"/>
        </w:rPr>
        <w:t>款至第92</w:t>
      </w:r>
      <w:r>
        <w:rPr>
          <w:rFonts w:ascii="仿宋" w:hAnsi="仿宋" w:eastAsia="仿宋" w:cs="仿宋"/>
          <w:sz w:val="24"/>
          <w:szCs w:val="24"/>
          <w:lang w:eastAsia="zh-CN"/>
        </w:rPr>
        <w:t>.4</w:t>
      </w:r>
      <w:r>
        <w:rPr>
          <w:rFonts w:hint="eastAsia" w:ascii="仿宋" w:hAnsi="仿宋" w:eastAsia="仿宋" w:cs="仿宋"/>
          <w:sz w:val="24"/>
          <w:szCs w:val="24"/>
          <w:lang w:eastAsia="zh-CN"/>
        </w:rPr>
        <w:t>款约定要求解除合同的，解除方应以书面形式向另一方当事人发出解除合同的通知，自通知到达对方时合同解除。对解除合同有争议的，应按照第91条约定处理。</w:t>
      </w:r>
    </w:p>
    <w:p w14:paraId="4DCB984B">
      <w:pPr>
        <w:spacing w:line="400" w:lineRule="exact"/>
        <w:rPr>
          <w:rFonts w:ascii="仿宋" w:hAnsi="仿宋" w:eastAsia="仿宋"/>
          <w:b/>
          <w:bCs/>
          <w:lang w:eastAsia="zh-CN"/>
        </w:rPr>
      </w:pPr>
      <w:bookmarkStart w:id="718" w:name="_Toc27334"/>
      <w:r>
        <w:rPr>
          <w:rFonts w:hint="eastAsia" w:ascii="仿宋" w:hAnsi="仿宋" w:eastAsia="仿宋" w:cs="仿宋"/>
          <w:b/>
          <w:bCs/>
          <w:lang w:eastAsia="zh-CN"/>
        </w:rPr>
        <w:t>92</w:t>
      </w:r>
      <w:r>
        <w:rPr>
          <w:rFonts w:ascii="仿宋" w:hAnsi="仿宋" w:eastAsia="仿宋" w:cs="仿宋"/>
          <w:b/>
          <w:bCs/>
          <w:lang w:eastAsia="zh-CN"/>
        </w:rPr>
        <w:t>.6</w:t>
      </w:r>
      <w:bookmarkEnd w:id="718"/>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39BEF99D">
      <w:pPr>
        <w:pStyle w:val="22"/>
        <w:widowControl w:val="0"/>
        <w:adjustRightInd w:val="0"/>
        <w:snapToGrid w:val="0"/>
        <w:spacing w:line="400" w:lineRule="exact"/>
        <w:ind w:left="1850" w:leftChars="771"/>
        <w:jc w:val="both"/>
        <w:rPr>
          <w:rFonts w:ascii="仿宋" w:hAnsi="仿宋" w:eastAsia="仿宋"/>
          <w:sz w:val="24"/>
          <w:szCs w:val="24"/>
          <w:lang w:eastAsia="zh-CN"/>
        </w:rPr>
      </w:pPr>
      <w:r>
        <mc:AlternateContent>
          <mc:Choice Requires="wps">
            <w:drawing>
              <wp:anchor distT="0" distB="0" distL="114300" distR="114300" simplePos="0" relativeHeight="251950080" behindDoc="0" locked="0" layoutInCell="1" allowOverlap="1">
                <wp:simplePos x="0" y="0"/>
                <wp:positionH relativeFrom="column">
                  <wp:posOffset>-114300</wp:posOffset>
                </wp:positionH>
                <wp:positionV relativeFrom="paragraph">
                  <wp:posOffset>6985</wp:posOffset>
                </wp:positionV>
                <wp:extent cx="794385" cy="582930"/>
                <wp:effectExtent l="0" t="0" r="0" b="0"/>
                <wp:wrapNone/>
                <wp:docPr id="421" name="文本框 1084"/>
                <wp:cNvGraphicFramePr/>
                <a:graphic xmlns:a="http://schemas.openxmlformats.org/drawingml/2006/main">
                  <a:graphicData uri="http://schemas.microsoft.com/office/word/2010/wordprocessingShape">
                    <wps:wsp>
                      <wps:cNvSpPr txBox="1"/>
                      <wps:spPr>
                        <a:xfrm>
                          <a:off x="0" y="0"/>
                          <a:ext cx="794385" cy="582930"/>
                        </a:xfrm>
                        <a:prstGeom prst="rect">
                          <a:avLst/>
                        </a:prstGeom>
                        <a:noFill/>
                        <a:ln w="12700">
                          <a:noFill/>
                        </a:ln>
                      </wps:spPr>
                      <wps:txbx>
                        <w:txbxContent>
                          <w:p w14:paraId="31259572">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合同解除后双方的责任和义务</w:t>
                            </w:r>
                          </w:p>
                        </w:txbxContent>
                      </wps:txbx>
                      <wps:bodyPr rot="0" vert="horz" wrap="square" lIns="91440" tIns="45720" rIns="91440" bIns="45720" anchor="t" anchorCtr="0"/>
                    </wps:wsp>
                  </a:graphicData>
                </a:graphic>
              </wp:anchor>
            </w:drawing>
          </mc:Choice>
          <mc:Fallback>
            <w:pict>
              <v:shape id="文本框 1084" o:spid="_x0000_s1026" o:spt="202" type="#_x0000_t202" style="position:absolute;left:0pt;margin-left:-9pt;margin-top:0.55pt;height:45.9pt;width:62.55pt;z-index:251950080;mso-width-relative:page;mso-height-relative:page;" filled="f" stroked="f" coordsize="21600,21600" o:gfxdata="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r&#10;5/EZ1gAAAAgBAAAPAAAAAAAAAAEAIAAAACIAAABkcnMvZG93bnJldi54bWxQSwECFAAUAAAACACH&#10;TuJAy7zXL+0BAAC/AwAADgAAAAAAAAABACAAAAAlAQAAZHJzL2Uyb0RvYy54bWxQSwUGAAAAAAYA&#10;BgBZAQAAhAUAAAAA&#10;">
                <v:fill on="f" focussize="0,0"/>
                <v:stroke on="f" weight="1pt"/>
                <v:imagedata o:title=""/>
                <o:lock v:ext="edit" aspectratio="f"/>
                <v:textbox>
                  <w:txbxContent>
                    <w:p w14:paraId="31259572">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合同解除后双方的责任和义务</w:t>
                      </w:r>
                    </w:p>
                  </w:txbxContent>
                </v:textbox>
              </v:shape>
            </w:pict>
          </mc:Fallback>
        </mc:AlternateContent>
      </w:r>
      <w:r>
        <w:rPr>
          <w:rFonts w:hint="eastAsia" w:ascii="仿宋" w:hAnsi="仿宋" w:eastAsia="仿宋" w:cs="仿宋"/>
          <w:sz w:val="24"/>
          <w:szCs w:val="24"/>
          <w:lang w:eastAsia="zh-CN"/>
        </w:rPr>
        <w:t>合同一旦解除，承包人应立即停止施工，保证现场安全，保护已完工程和已购工程材料、工程设备，尽快撤离现场，并将所有与本合同有关的勘察资料、施工文件、设计文件移交给监理人。发包人应为承包人的撤离提供便利和协助。</w:t>
      </w:r>
    </w:p>
    <w:p w14:paraId="15040ADC">
      <w:pPr>
        <w:pStyle w:val="22"/>
        <w:adjustRightInd w:val="0"/>
        <w:snapToGrid w:val="0"/>
        <w:spacing w:line="400" w:lineRule="exact"/>
        <w:rPr>
          <w:rFonts w:ascii="仿宋" w:hAnsi="仿宋" w:eastAsia="仿宋" w:cs="仿宋"/>
          <w:b/>
          <w:bCs/>
          <w:sz w:val="24"/>
          <w:szCs w:val="24"/>
          <w:u w:val="single"/>
          <w:lang w:eastAsia="zh-CN"/>
        </w:rPr>
      </w:pPr>
      <w:r>
        <w:rPr>
          <w:rFonts w:ascii="仿宋" w:hAnsi="仿宋" w:eastAsia="仿宋" w:cs="仿宋"/>
          <w:b/>
          <w:bCs/>
          <w:sz w:val="24"/>
          <w:szCs w:val="24"/>
          <w:u w:val="single"/>
          <w:lang w:eastAsia="zh-CN"/>
        </w:rPr>
        <w:t xml:space="preserve">                                                                                     </w:t>
      </w:r>
    </w:p>
    <w:p w14:paraId="7276FDA6">
      <w:pPr>
        <w:pStyle w:val="4"/>
        <w:tabs>
          <w:tab w:val="left" w:pos="420"/>
        </w:tabs>
        <w:spacing w:before="0" w:after="0" w:line="400" w:lineRule="exact"/>
        <w:rPr>
          <w:rFonts w:ascii="仿宋" w:hAnsi="仿宋" w:eastAsia="仿宋" w:cs="仿宋"/>
          <w:bCs w:val="0"/>
          <w:sz w:val="24"/>
          <w:szCs w:val="24"/>
          <w:lang w:eastAsia="zh-CN"/>
        </w:rPr>
      </w:pPr>
      <w:bookmarkStart w:id="719" w:name="_Toc16693"/>
      <w:bookmarkStart w:id="720" w:name="_Toc194073205"/>
      <w:bookmarkStart w:id="721" w:name="_Toc469384072"/>
      <w:bookmarkStart w:id="722" w:name="_Toc18434"/>
      <w:bookmarkStart w:id="723" w:name="_Toc25047"/>
      <w:r>
        <w:rPr>
          <w:rFonts w:hint="eastAsia" w:ascii="仿宋" w:hAnsi="仿宋" w:eastAsia="仿宋" w:cs="仿宋"/>
          <w:bCs w:val="0"/>
          <w:sz w:val="24"/>
          <w:szCs w:val="24"/>
          <w:lang w:eastAsia="zh-CN"/>
        </w:rPr>
        <w:t>93</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合同解除的支付</w:t>
      </w:r>
      <w:bookmarkEnd w:id="719"/>
      <w:bookmarkEnd w:id="720"/>
      <w:bookmarkEnd w:id="721"/>
      <w:bookmarkEnd w:id="722"/>
      <w:bookmarkEnd w:id="723"/>
    </w:p>
    <w:p w14:paraId="1D78A918">
      <w:pPr>
        <w:pStyle w:val="22"/>
        <w:adjustRightInd w:val="0"/>
        <w:snapToGrid w:val="0"/>
        <w:spacing w:line="400" w:lineRule="exact"/>
        <w:rPr>
          <w:rFonts w:ascii="仿宋" w:hAnsi="仿宋" w:eastAsia="仿宋" w:cs="仿宋"/>
          <w:b/>
          <w:bCs/>
          <w:sz w:val="24"/>
          <w:szCs w:val="24"/>
          <w:lang w:eastAsia="zh-CN"/>
        </w:rPr>
      </w:pPr>
      <w:r>
        <mc:AlternateContent>
          <mc:Choice Requires="wps">
            <w:drawing>
              <wp:anchor distT="0" distB="0" distL="114300" distR="114300" simplePos="0" relativeHeight="252071936" behindDoc="0" locked="0" layoutInCell="1" allowOverlap="1">
                <wp:simplePos x="0" y="0"/>
                <wp:positionH relativeFrom="column">
                  <wp:posOffset>-66675</wp:posOffset>
                </wp:positionH>
                <wp:positionV relativeFrom="paragraph">
                  <wp:posOffset>188595</wp:posOffset>
                </wp:positionV>
                <wp:extent cx="765810" cy="429895"/>
                <wp:effectExtent l="0" t="0" r="0" b="0"/>
                <wp:wrapNone/>
                <wp:docPr id="422" name="文本框 1085"/>
                <wp:cNvGraphicFramePr/>
                <a:graphic xmlns:a="http://schemas.openxmlformats.org/drawingml/2006/main">
                  <a:graphicData uri="http://schemas.microsoft.com/office/word/2010/wordprocessingShape">
                    <wps:wsp>
                      <wps:cNvSpPr txBox="1"/>
                      <wps:spPr>
                        <a:xfrm>
                          <a:off x="0" y="0"/>
                          <a:ext cx="765810" cy="429895"/>
                        </a:xfrm>
                        <a:prstGeom prst="rect">
                          <a:avLst/>
                        </a:prstGeom>
                        <a:noFill/>
                        <a:ln w="12700">
                          <a:noFill/>
                        </a:ln>
                      </wps:spPr>
                      <wps:txbx>
                        <w:txbxContent>
                          <w:p w14:paraId="0E1B6D6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协商一致解除的支付</w:t>
                            </w:r>
                          </w:p>
                        </w:txbxContent>
                      </wps:txbx>
                      <wps:bodyPr rot="0" vert="horz" wrap="square" lIns="91440" tIns="45720" rIns="91440" bIns="45720" anchor="t" anchorCtr="0"/>
                    </wps:wsp>
                  </a:graphicData>
                </a:graphic>
              </wp:anchor>
            </w:drawing>
          </mc:Choice>
          <mc:Fallback>
            <w:pict>
              <v:shape id="文本框 1085" o:spid="_x0000_s1026" o:spt="202" type="#_x0000_t202" style="position:absolute;left:0pt;margin-left:-5.25pt;margin-top:14.85pt;height:33.85pt;width:60.3pt;z-index:252071936;mso-width-relative:page;mso-height-relative:page;" filled="f" stroked="f" coordsize="21600,21600" o:gfxdata="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nr&#10;tWHYAAAACQEAAA8AAAAAAAAAAQAgAAAAIgAAAGRycy9kb3ducmV2LnhtbFBLAQIUABQAAAAIAIdO&#10;4kDXeHR06gEAAL8DAAAOAAAAAAAAAAEAIAAAACcBAABkcnMvZTJvRG9jLnhtbFBLBQYAAAAABgAG&#10;AFkBAACDBQAAAAA=&#10;">
                <v:fill on="f" focussize="0,0"/>
                <v:stroke on="f" weight="1pt"/>
                <v:imagedata o:title=""/>
                <o:lock v:ext="edit" aspectratio="f"/>
                <v:textbox>
                  <w:txbxContent>
                    <w:p w14:paraId="0E1B6D6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协商一致解除的支付</w:t>
                      </w:r>
                    </w:p>
                  </w:txbxContent>
                </v:textbox>
              </v:shape>
            </w:pict>
          </mc:Fallback>
        </mc:AlternateContent>
      </w:r>
      <w:r>
        <w:rPr>
          <w:rFonts w:hint="eastAsia" w:ascii="仿宋" w:hAnsi="仿宋" w:eastAsia="仿宋" w:cs="仿宋"/>
          <w:b/>
          <w:bCs/>
          <w:sz w:val="24"/>
          <w:szCs w:val="24"/>
          <w:lang w:eastAsia="zh-CN"/>
        </w:rPr>
        <w:t>93</w:t>
      </w:r>
      <w:r>
        <w:rPr>
          <w:rFonts w:ascii="仿宋" w:hAnsi="仿宋" w:eastAsia="仿宋" w:cs="仿宋"/>
          <w:b/>
          <w:bCs/>
          <w:sz w:val="24"/>
          <w:szCs w:val="24"/>
          <w:lang w:eastAsia="zh-CN"/>
        </w:rPr>
        <w:t>.1</w:t>
      </w:r>
    </w:p>
    <w:p w14:paraId="2A395B62">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根据第92</w:t>
      </w:r>
      <w:r>
        <w:rPr>
          <w:rFonts w:ascii="仿宋" w:hAnsi="仿宋" w:eastAsia="仿宋" w:cs="仿宋"/>
          <w:sz w:val="24"/>
          <w:szCs w:val="24"/>
          <w:lang w:eastAsia="zh-CN"/>
        </w:rPr>
        <w:t>.1</w:t>
      </w:r>
      <w:r>
        <w:rPr>
          <w:rFonts w:hint="eastAsia" w:ascii="仿宋" w:hAnsi="仿宋" w:eastAsia="仿宋" w:cs="仿宋"/>
          <w:sz w:val="24"/>
          <w:szCs w:val="24"/>
          <w:lang w:eastAsia="zh-CN"/>
        </w:rPr>
        <w:t>款约定解除合同的，按照达成的协议办理结算和支付工程款。</w:t>
      </w:r>
    </w:p>
    <w:p w14:paraId="07DDACBC">
      <w:pPr>
        <w:spacing w:line="400" w:lineRule="exact"/>
        <w:rPr>
          <w:rFonts w:ascii="仿宋" w:hAnsi="仿宋" w:eastAsia="仿宋"/>
          <w:b/>
          <w:bCs/>
          <w:lang w:eastAsia="zh-CN"/>
        </w:rPr>
      </w:pPr>
      <w:bookmarkStart w:id="724" w:name="_Toc12411"/>
      <w:r>
        <w:rPr>
          <w:rFonts w:hint="eastAsia" w:ascii="仿宋" w:hAnsi="仿宋" w:eastAsia="仿宋" w:cs="仿宋"/>
          <w:b/>
          <w:bCs/>
          <w:lang w:eastAsia="zh-CN"/>
        </w:rPr>
        <w:t>93</w:t>
      </w:r>
      <w:r>
        <w:rPr>
          <w:rFonts w:ascii="仿宋" w:hAnsi="仿宋" w:eastAsia="仿宋" w:cs="仿宋"/>
          <w:b/>
          <w:bCs/>
          <w:lang w:eastAsia="zh-CN"/>
        </w:rPr>
        <w:t>.2</w:t>
      </w:r>
      <w:bookmarkEnd w:id="724"/>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1EC04FFC">
      <w:pPr>
        <w:pStyle w:val="22"/>
        <w:widowControl w:val="0"/>
        <w:adjustRightInd w:val="0"/>
        <w:snapToGrid w:val="0"/>
        <w:spacing w:line="400" w:lineRule="exact"/>
        <w:ind w:left="1850" w:leftChars="771"/>
        <w:jc w:val="both"/>
        <w:rPr>
          <w:rFonts w:ascii="仿宋" w:hAnsi="仿宋" w:eastAsia="仿宋"/>
          <w:sz w:val="24"/>
          <w:szCs w:val="24"/>
          <w:lang w:eastAsia="zh-CN"/>
        </w:rPr>
      </w:pPr>
      <w:r>
        <mc:AlternateContent>
          <mc:Choice Requires="wps">
            <w:drawing>
              <wp:anchor distT="0" distB="0" distL="114300" distR="114300" simplePos="0" relativeHeight="251951104" behindDoc="0" locked="0" layoutInCell="1" allowOverlap="1">
                <wp:simplePos x="0" y="0"/>
                <wp:positionH relativeFrom="column">
                  <wp:posOffset>-114300</wp:posOffset>
                </wp:positionH>
                <wp:positionV relativeFrom="paragraph">
                  <wp:posOffset>15875</wp:posOffset>
                </wp:positionV>
                <wp:extent cx="775970" cy="607060"/>
                <wp:effectExtent l="0" t="0" r="0" b="0"/>
                <wp:wrapNone/>
                <wp:docPr id="423" name="文本框 1086"/>
                <wp:cNvGraphicFramePr/>
                <a:graphic xmlns:a="http://schemas.openxmlformats.org/drawingml/2006/main">
                  <a:graphicData uri="http://schemas.microsoft.com/office/word/2010/wordprocessingShape">
                    <wps:wsp>
                      <wps:cNvSpPr txBox="1"/>
                      <wps:spPr>
                        <a:xfrm>
                          <a:off x="0" y="0"/>
                          <a:ext cx="775970" cy="607060"/>
                        </a:xfrm>
                        <a:prstGeom prst="rect">
                          <a:avLst/>
                        </a:prstGeom>
                        <a:noFill/>
                        <a:ln w="12700">
                          <a:noFill/>
                        </a:ln>
                      </wps:spPr>
                      <wps:txbx>
                        <w:txbxContent>
                          <w:p w14:paraId="0AE8E9E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不可抗力解除的支付</w:t>
                            </w:r>
                          </w:p>
                        </w:txbxContent>
                      </wps:txbx>
                      <wps:bodyPr rot="0" vert="horz" wrap="square" lIns="91440" tIns="45720" rIns="91440" bIns="45720" anchor="t" anchorCtr="0"/>
                    </wps:wsp>
                  </a:graphicData>
                </a:graphic>
              </wp:anchor>
            </w:drawing>
          </mc:Choice>
          <mc:Fallback>
            <w:pict>
              <v:shape id="文本框 1086" o:spid="_x0000_s1026" o:spt="202" type="#_x0000_t202" style="position:absolute;left:0pt;margin-left:-9pt;margin-top:1.25pt;height:47.8pt;width:61.1pt;z-index:251951104;mso-width-relative:page;mso-height-relative:page;" filled="f" stroked="f" coordsize="21600,21600" o:gfxdata="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Qxc+lNcAAAAIAQAADwAAAAAAAAABACAAAAAiAAAAZHJzL2Rvd25yZXYueG1sUEsBAhQAFAAAAAgA&#10;h07iQMlPzrrtAQAAvwMAAA4AAAAAAAAAAQAgAAAAJgEAAGRycy9lMm9Eb2MueG1sUEsFBgAAAAAG&#10;AAYAWQEAAIUFAAAAAA==&#10;">
                <v:fill on="f" focussize="0,0"/>
                <v:stroke on="f" weight="1pt"/>
                <v:imagedata o:title=""/>
                <o:lock v:ext="edit" aspectratio="f"/>
                <v:textbox>
                  <w:txbxContent>
                    <w:p w14:paraId="0AE8E9E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不可抗力解除的支付</w:t>
                      </w:r>
                    </w:p>
                  </w:txbxContent>
                </v:textbox>
              </v:shape>
            </w:pict>
          </mc:Fallback>
        </mc:AlternateContent>
      </w:r>
      <w:r>
        <w:rPr>
          <w:rFonts w:hint="eastAsia" w:ascii="仿宋" w:hAnsi="仿宋" w:eastAsia="仿宋" w:cs="仿宋"/>
          <w:sz w:val="24"/>
          <w:szCs w:val="24"/>
          <w:lang w:eastAsia="zh-CN"/>
        </w:rPr>
        <w:t>根据第92</w:t>
      </w:r>
      <w:r>
        <w:rPr>
          <w:rFonts w:ascii="仿宋" w:hAnsi="仿宋" w:eastAsia="仿宋" w:cs="仿宋"/>
          <w:sz w:val="24"/>
          <w:szCs w:val="24"/>
          <w:lang w:eastAsia="zh-CN"/>
        </w:rPr>
        <w:t>.2</w:t>
      </w:r>
      <w:r>
        <w:rPr>
          <w:rFonts w:hint="eastAsia" w:ascii="仿宋" w:hAnsi="仿宋" w:eastAsia="仿宋" w:cs="仿宋"/>
          <w:sz w:val="24"/>
          <w:szCs w:val="24"/>
          <w:lang w:eastAsia="zh-CN"/>
        </w:rPr>
        <w:t>款约定解除合同的，发包人应向承包人支付合同解除之日前已完成工程但尚未支付的工程款。此外，发包人还应支付下列款项：</w:t>
      </w:r>
    </w:p>
    <w:p w14:paraId="4D8BC513">
      <w:pPr>
        <w:pStyle w:val="22"/>
        <w:widowControl w:val="0"/>
        <w:numPr>
          <w:ilvl w:val="0"/>
          <w:numId w:val="35"/>
        </w:numPr>
        <w:adjustRightInd w:val="0"/>
        <w:snapToGrid w:val="0"/>
        <w:spacing w:line="400" w:lineRule="exact"/>
        <w:ind w:left="2327" w:leftChars="771" w:hanging="477" w:hangingChars="199"/>
        <w:jc w:val="both"/>
        <w:rPr>
          <w:rFonts w:ascii="仿宋" w:hAnsi="仿宋" w:eastAsia="仿宋"/>
          <w:sz w:val="24"/>
          <w:szCs w:val="24"/>
          <w:lang w:eastAsia="zh-CN"/>
        </w:rPr>
      </w:pPr>
      <w:r>
        <w:rPr>
          <w:rFonts w:hint="eastAsia" w:ascii="仿宋" w:hAnsi="仿宋" w:eastAsia="仿宋" w:cs="仿宋"/>
          <w:sz w:val="24"/>
          <w:szCs w:val="24"/>
          <w:lang w:eastAsia="zh-CN"/>
        </w:rPr>
        <w:t>已实施或部分实施的措施项目应付款项；</w:t>
      </w:r>
    </w:p>
    <w:p w14:paraId="08EDD2E0">
      <w:pPr>
        <w:pStyle w:val="22"/>
        <w:widowControl w:val="0"/>
        <w:numPr>
          <w:ilvl w:val="0"/>
          <w:numId w:val="35"/>
        </w:numPr>
        <w:adjustRightInd w:val="0"/>
        <w:snapToGrid w:val="0"/>
        <w:spacing w:line="400" w:lineRule="exact"/>
        <w:ind w:left="1849" w:leftChars="770" w:hanging="1"/>
        <w:jc w:val="both"/>
        <w:rPr>
          <w:rFonts w:ascii="仿宋" w:hAnsi="仿宋" w:eastAsia="仿宋"/>
          <w:sz w:val="24"/>
          <w:szCs w:val="24"/>
          <w:lang w:eastAsia="zh-CN"/>
        </w:rPr>
      </w:pPr>
      <w:r>
        <w:rPr>
          <w:rFonts w:hint="eastAsia" w:ascii="仿宋" w:hAnsi="仿宋" w:eastAsia="仿宋" w:cs="仿宋"/>
          <w:sz w:val="24"/>
          <w:szCs w:val="24"/>
          <w:lang w:eastAsia="zh-CN"/>
        </w:rPr>
        <w:t>承包人为合同工程合理订购且已交付的工程材料和工程设备货款。发包人一经支付此项货款，该工程材料和工程设备即成为发包人的财产；</w:t>
      </w:r>
    </w:p>
    <w:p w14:paraId="1B4B1F6A">
      <w:pPr>
        <w:pStyle w:val="22"/>
        <w:widowControl w:val="0"/>
        <w:numPr>
          <w:ilvl w:val="0"/>
          <w:numId w:val="35"/>
        </w:numPr>
        <w:adjustRightInd w:val="0"/>
        <w:snapToGrid w:val="0"/>
        <w:spacing w:line="400" w:lineRule="exact"/>
        <w:ind w:left="1849" w:leftChars="770" w:hanging="1"/>
        <w:jc w:val="both"/>
        <w:rPr>
          <w:rFonts w:ascii="仿宋" w:hAnsi="仿宋" w:eastAsia="仿宋"/>
          <w:sz w:val="24"/>
          <w:szCs w:val="24"/>
          <w:lang w:eastAsia="zh-CN"/>
        </w:rPr>
      </w:pPr>
      <w:r>
        <w:rPr>
          <w:rFonts w:hint="eastAsia" w:ascii="仿宋" w:hAnsi="仿宋" w:eastAsia="仿宋" w:cs="仿宋"/>
          <w:sz w:val="24"/>
          <w:szCs w:val="24"/>
          <w:lang w:eastAsia="zh-CN"/>
        </w:rPr>
        <w:t>承包人为完成合同工程而预期开支的任何合理款项，且该项款项未包括在本款其他各项支付之内；</w:t>
      </w:r>
    </w:p>
    <w:p w14:paraId="0987983C">
      <w:pPr>
        <w:pStyle w:val="22"/>
        <w:widowControl w:val="0"/>
        <w:numPr>
          <w:ilvl w:val="0"/>
          <w:numId w:val="35"/>
        </w:numPr>
        <w:adjustRightInd w:val="0"/>
        <w:snapToGrid w:val="0"/>
        <w:spacing w:line="400" w:lineRule="exact"/>
        <w:ind w:left="2327" w:leftChars="771" w:hanging="477" w:hangingChars="199"/>
        <w:jc w:val="both"/>
        <w:rPr>
          <w:rFonts w:ascii="仿宋" w:hAnsi="仿宋" w:eastAsia="仿宋"/>
          <w:sz w:val="24"/>
          <w:szCs w:val="24"/>
          <w:lang w:eastAsia="zh-CN"/>
        </w:rPr>
      </w:pPr>
      <w:r>
        <w:rPr>
          <w:rFonts w:hint="eastAsia" w:ascii="仿宋" w:hAnsi="仿宋" w:eastAsia="仿宋" w:cs="仿宋"/>
          <w:sz w:val="24"/>
          <w:szCs w:val="24"/>
          <w:lang w:eastAsia="zh-CN"/>
        </w:rPr>
        <w:t>根据第</w:t>
      </w:r>
      <w:r>
        <w:rPr>
          <w:rFonts w:ascii="仿宋" w:hAnsi="仿宋" w:eastAsia="仿宋" w:cs="仿宋"/>
          <w:sz w:val="24"/>
          <w:szCs w:val="24"/>
          <w:lang w:eastAsia="zh-CN"/>
        </w:rPr>
        <w:t>3</w:t>
      </w:r>
      <w:r>
        <w:rPr>
          <w:rFonts w:hint="eastAsia" w:ascii="仿宋" w:hAnsi="仿宋" w:eastAsia="仿宋" w:cs="仿宋"/>
          <w:sz w:val="24"/>
          <w:szCs w:val="24"/>
          <w:lang w:eastAsia="zh-CN"/>
        </w:rPr>
        <w:t>5</w:t>
      </w:r>
      <w:r>
        <w:rPr>
          <w:rFonts w:ascii="仿宋" w:hAnsi="仿宋" w:eastAsia="仿宋" w:cs="仿宋"/>
          <w:sz w:val="24"/>
          <w:szCs w:val="24"/>
          <w:lang w:eastAsia="zh-CN"/>
        </w:rPr>
        <w:t>.3</w:t>
      </w:r>
      <w:r>
        <w:rPr>
          <w:rFonts w:hint="eastAsia" w:ascii="仿宋" w:hAnsi="仿宋" w:eastAsia="仿宋" w:cs="仿宋"/>
          <w:sz w:val="24"/>
          <w:szCs w:val="24"/>
          <w:lang w:eastAsia="zh-CN"/>
        </w:rPr>
        <w:t>款约定的任何工作应支付的款项；</w:t>
      </w:r>
    </w:p>
    <w:p w14:paraId="36A5179F">
      <w:pPr>
        <w:pStyle w:val="22"/>
        <w:widowControl w:val="0"/>
        <w:numPr>
          <w:ilvl w:val="0"/>
          <w:numId w:val="35"/>
        </w:numPr>
        <w:tabs>
          <w:tab w:val="left" w:pos="1980"/>
        </w:tabs>
        <w:adjustRightInd w:val="0"/>
        <w:snapToGrid w:val="0"/>
        <w:spacing w:line="400" w:lineRule="exact"/>
        <w:ind w:left="1849" w:leftChars="770" w:hanging="1"/>
        <w:jc w:val="both"/>
        <w:rPr>
          <w:rFonts w:ascii="仿宋" w:hAnsi="仿宋" w:eastAsia="仿宋"/>
          <w:sz w:val="24"/>
          <w:szCs w:val="24"/>
          <w:lang w:eastAsia="zh-CN"/>
        </w:rPr>
      </w:pPr>
      <w:r>
        <w:rPr>
          <w:rFonts w:hint="eastAsia" w:ascii="仿宋" w:hAnsi="仿宋" w:eastAsia="仿宋" w:cs="仿宋"/>
          <w:sz w:val="24"/>
          <w:szCs w:val="24"/>
          <w:lang w:eastAsia="zh-CN"/>
        </w:rPr>
        <w:t>根据第92</w:t>
      </w:r>
      <w:r>
        <w:rPr>
          <w:rFonts w:ascii="仿宋" w:hAnsi="仿宋" w:eastAsia="仿宋" w:cs="仿宋"/>
          <w:sz w:val="24"/>
          <w:szCs w:val="24"/>
          <w:lang w:eastAsia="zh-CN"/>
        </w:rPr>
        <w:t>.6</w:t>
      </w:r>
      <w:r>
        <w:rPr>
          <w:rFonts w:hint="eastAsia" w:ascii="仿宋" w:hAnsi="仿宋" w:eastAsia="仿宋" w:cs="仿宋"/>
          <w:sz w:val="24"/>
          <w:szCs w:val="24"/>
          <w:lang w:eastAsia="zh-CN"/>
        </w:rPr>
        <w:t>款约定承包人撤离现场所需的合理款项，包括雇员遣散费和临时工程拆除、施工设备运离现场的款项。</w:t>
      </w:r>
    </w:p>
    <w:p w14:paraId="4634C030">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合同双方当事人按照第</w:t>
      </w:r>
      <w:r>
        <w:rPr>
          <w:rFonts w:ascii="仿宋" w:hAnsi="仿宋" w:eastAsia="仿宋" w:cs="仿宋"/>
          <w:sz w:val="24"/>
          <w:szCs w:val="24"/>
          <w:lang w:eastAsia="zh-CN"/>
        </w:rPr>
        <w:t>8</w:t>
      </w:r>
      <w:r>
        <w:rPr>
          <w:rFonts w:hint="eastAsia" w:ascii="仿宋" w:hAnsi="仿宋" w:eastAsia="仿宋" w:cs="仿宋"/>
          <w:sz w:val="24"/>
          <w:szCs w:val="24"/>
          <w:lang w:eastAsia="zh-CN"/>
        </w:rPr>
        <w:t>7条、第</w:t>
      </w:r>
      <w:r>
        <w:rPr>
          <w:rFonts w:ascii="仿宋" w:hAnsi="仿宋" w:eastAsia="仿宋" w:cs="仿宋"/>
          <w:sz w:val="24"/>
          <w:szCs w:val="24"/>
          <w:lang w:eastAsia="zh-CN"/>
        </w:rPr>
        <w:t>8</w:t>
      </w:r>
      <w:r>
        <w:rPr>
          <w:rFonts w:hint="eastAsia" w:ascii="仿宋" w:hAnsi="仿宋" w:eastAsia="仿宋" w:cs="仿宋"/>
          <w:sz w:val="24"/>
          <w:szCs w:val="24"/>
          <w:lang w:eastAsia="zh-CN"/>
        </w:rPr>
        <w:t>8条约定办理结算工程款，但应扣除合同解除之日前发包人向承包人收回的任何款项。如果发包人应扣除的款项超过了应支付的款项，则承包人应在合同解除后的</w:t>
      </w:r>
      <w:r>
        <w:rPr>
          <w:rFonts w:ascii="仿宋" w:hAnsi="仿宋" w:eastAsia="仿宋" w:cs="仿宋"/>
          <w:sz w:val="24"/>
          <w:szCs w:val="24"/>
          <w:lang w:eastAsia="zh-CN"/>
        </w:rPr>
        <w:t>56</w:t>
      </w:r>
      <w:r>
        <w:rPr>
          <w:rFonts w:hint="eastAsia" w:ascii="仿宋" w:hAnsi="仿宋" w:eastAsia="仿宋" w:cs="仿宋"/>
          <w:sz w:val="24"/>
          <w:szCs w:val="24"/>
          <w:lang w:eastAsia="zh-CN"/>
        </w:rPr>
        <w:t>天内将其差额退还给发包人。</w:t>
      </w:r>
    </w:p>
    <w:p w14:paraId="486C7957">
      <w:pPr>
        <w:pStyle w:val="22"/>
        <w:adjustRightInd w:val="0"/>
        <w:snapToGrid w:val="0"/>
        <w:spacing w:line="400" w:lineRule="exact"/>
        <w:rPr>
          <w:rFonts w:ascii="仿宋" w:hAnsi="仿宋" w:eastAsia="仿宋"/>
          <w:b/>
          <w:bCs/>
          <w:sz w:val="24"/>
          <w:szCs w:val="24"/>
          <w:lang w:eastAsia="zh-CN"/>
        </w:rPr>
      </w:pPr>
      <w:r>
        <w:rPr>
          <w:rFonts w:hint="eastAsia" w:ascii="仿宋" w:hAnsi="仿宋" w:eastAsia="仿宋" w:cs="仿宋"/>
          <w:b/>
          <w:bCs/>
          <w:sz w:val="24"/>
          <w:szCs w:val="24"/>
          <w:lang w:eastAsia="zh-CN"/>
        </w:rPr>
        <w:t>93</w:t>
      </w:r>
      <w:r>
        <w:rPr>
          <w:rFonts w:ascii="仿宋" w:hAnsi="仿宋" w:eastAsia="仿宋" w:cs="仿宋"/>
          <w:b/>
          <w:bCs/>
          <w:sz w:val="24"/>
          <w:szCs w:val="24"/>
          <w:lang w:eastAsia="zh-CN"/>
        </w:rPr>
        <w:t xml:space="preserve">.3  </w:t>
      </w:r>
      <w:r>
        <w:rPr>
          <w:rFonts w:ascii="仿宋" w:hAnsi="仿宋" w:eastAsia="仿宋" w:cs="仿宋"/>
          <w:b/>
          <w:bCs/>
          <w:sz w:val="24"/>
          <w:szCs w:val="24"/>
          <w:u w:val="dotted"/>
          <w:lang w:eastAsia="zh-CN"/>
        </w:rPr>
        <w:t xml:space="preserve">                                                                               </w:t>
      </w:r>
    </w:p>
    <w:p w14:paraId="0F554C12">
      <w:pPr>
        <w:pStyle w:val="22"/>
        <w:widowControl w:val="0"/>
        <w:adjustRightInd w:val="0"/>
        <w:snapToGrid w:val="0"/>
        <w:spacing w:line="400" w:lineRule="exact"/>
        <w:ind w:left="1850" w:leftChars="771"/>
        <w:jc w:val="both"/>
        <w:rPr>
          <w:rFonts w:ascii="仿宋" w:hAnsi="仿宋" w:eastAsia="仿宋"/>
          <w:b/>
          <w:bCs/>
          <w:sz w:val="24"/>
          <w:szCs w:val="24"/>
          <w:lang w:eastAsia="zh-CN"/>
        </w:rPr>
      </w:pPr>
      <w:r>
        <mc:AlternateContent>
          <mc:Choice Requires="wps">
            <w:drawing>
              <wp:anchor distT="0" distB="0" distL="114300" distR="114300" simplePos="0" relativeHeight="251952128" behindDoc="0" locked="0" layoutInCell="1" allowOverlap="1">
                <wp:simplePos x="0" y="0"/>
                <wp:positionH relativeFrom="column">
                  <wp:posOffset>-114300</wp:posOffset>
                </wp:positionH>
                <wp:positionV relativeFrom="paragraph">
                  <wp:posOffset>49530</wp:posOffset>
                </wp:positionV>
                <wp:extent cx="765810" cy="560070"/>
                <wp:effectExtent l="0" t="0" r="0" b="0"/>
                <wp:wrapNone/>
                <wp:docPr id="424" name="文本框 1087"/>
                <wp:cNvGraphicFramePr/>
                <a:graphic xmlns:a="http://schemas.openxmlformats.org/drawingml/2006/main">
                  <a:graphicData uri="http://schemas.microsoft.com/office/word/2010/wordprocessingShape">
                    <wps:wsp>
                      <wps:cNvSpPr txBox="1"/>
                      <wps:spPr>
                        <a:xfrm>
                          <a:off x="0" y="0"/>
                          <a:ext cx="765810" cy="560070"/>
                        </a:xfrm>
                        <a:prstGeom prst="rect">
                          <a:avLst/>
                        </a:prstGeom>
                        <a:noFill/>
                        <a:ln w="12700">
                          <a:noFill/>
                        </a:ln>
                      </wps:spPr>
                      <wps:txbx>
                        <w:txbxContent>
                          <w:p w14:paraId="68C71A5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txbxContent>
                      </wps:txbx>
                      <wps:bodyPr rot="0" vert="horz" wrap="square" lIns="91440" tIns="45720" rIns="91440" bIns="45720" anchor="t" anchorCtr="0"/>
                    </wps:wsp>
                  </a:graphicData>
                </a:graphic>
              </wp:anchor>
            </w:drawing>
          </mc:Choice>
          <mc:Fallback>
            <w:pict>
              <v:shape id="文本框 1087" o:spid="_x0000_s1026" o:spt="202" type="#_x0000_t202" style="position:absolute;left:0pt;margin-left:-9pt;margin-top:3.9pt;height:44.1pt;width:60.3pt;z-index:251952128;mso-width-relative:page;mso-height-relative:page;" filled="f" stroked="f" coordsize="21600,21600" o:gfxdata="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vF&#10;+g3WAAAACAEAAA8AAAAAAAAAAQAgAAAAIgAAAGRycy9kb3ducmV2LnhtbFBLAQIUABQAAAAIAIdO&#10;4kAPNt0f7AEAAL8DAAAOAAAAAAAAAAEAIAAAACUBAABkcnMvZTJvRG9jLnhtbFBLBQYAAAAABgAG&#10;AFkBAACDBQAAAAA=&#10;">
                <v:fill on="f" focussize="0,0"/>
                <v:stroke on="f" weight="1pt"/>
                <v:imagedata o:title=""/>
                <o:lock v:ext="edit" aspectratio="f"/>
                <v:textbox>
                  <w:txbxContent>
                    <w:p w14:paraId="68C71A5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txbxContent>
                </v:textbox>
              </v:shape>
            </w:pict>
          </mc:Fallback>
        </mc:AlternateContent>
      </w:r>
      <w:r>
        <w:rPr>
          <w:rFonts w:hint="eastAsia" w:ascii="仿宋" w:hAnsi="仿宋" w:eastAsia="仿宋" w:cs="仿宋"/>
          <w:sz w:val="24"/>
          <w:szCs w:val="24"/>
          <w:lang w:eastAsia="zh-CN"/>
        </w:rPr>
        <w:t>根据第92</w:t>
      </w:r>
      <w:r>
        <w:rPr>
          <w:rFonts w:ascii="仿宋" w:hAnsi="仿宋" w:eastAsia="仿宋" w:cs="仿宋"/>
          <w:sz w:val="24"/>
          <w:szCs w:val="24"/>
          <w:lang w:eastAsia="zh-CN"/>
        </w:rPr>
        <w:t>.3</w:t>
      </w:r>
      <w:r>
        <w:rPr>
          <w:rFonts w:hint="eastAsia" w:ascii="仿宋" w:hAnsi="仿宋" w:eastAsia="仿宋" w:cs="仿宋"/>
          <w:sz w:val="24"/>
          <w:szCs w:val="24"/>
          <w:lang w:eastAsia="zh-CN"/>
        </w:rPr>
        <w:t>款约定解除合同的，发包人暂停向承包人支付任何款项，造价咨询人应在合同解除后</w:t>
      </w:r>
      <w:r>
        <w:rPr>
          <w:rFonts w:ascii="仿宋" w:hAnsi="仿宋" w:eastAsia="仿宋" w:cs="仿宋"/>
          <w:sz w:val="24"/>
          <w:szCs w:val="24"/>
          <w:lang w:eastAsia="zh-CN"/>
        </w:rPr>
        <w:t>28</w:t>
      </w:r>
      <w:r>
        <w:rPr>
          <w:rFonts w:hint="eastAsia" w:ascii="仿宋" w:hAnsi="仿宋" w:eastAsia="仿宋" w:cs="仿宋"/>
          <w:sz w:val="24"/>
          <w:szCs w:val="24"/>
          <w:lang w:eastAsia="zh-CN"/>
        </w:rPr>
        <w:t>天内核实合同解除时承包人已完成的全部工程款以及已运至现场的工程材料和工程设备货款，并扣除误期赔偿费（如果有）和发包人已支付给承包人的各项款项，同时将结果通知承包人并抄报发包人。合同双方当事人应在收到核实结果后的</w:t>
      </w:r>
      <w:r>
        <w:rPr>
          <w:rFonts w:ascii="仿宋" w:hAnsi="仿宋" w:eastAsia="仿宋" w:cs="仿宋"/>
          <w:sz w:val="24"/>
          <w:szCs w:val="24"/>
          <w:lang w:eastAsia="zh-CN"/>
        </w:rPr>
        <w:t>28</w:t>
      </w:r>
      <w:r>
        <w:rPr>
          <w:rFonts w:hint="eastAsia" w:ascii="仿宋" w:hAnsi="仿宋" w:eastAsia="仿宋" w:cs="仿宋"/>
          <w:sz w:val="24"/>
          <w:szCs w:val="24"/>
          <w:lang w:eastAsia="zh-CN"/>
        </w:rPr>
        <w:t>天内予以确认或提出意见，并按照第</w:t>
      </w:r>
      <w:r>
        <w:rPr>
          <w:rFonts w:ascii="仿宋" w:hAnsi="仿宋" w:eastAsia="仿宋" w:cs="仿宋"/>
          <w:sz w:val="24"/>
          <w:szCs w:val="24"/>
          <w:lang w:eastAsia="zh-CN"/>
        </w:rPr>
        <w:t>8</w:t>
      </w:r>
      <w:r>
        <w:rPr>
          <w:rFonts w:hint="eastAsia" w:ascii="仿宋" w:hAnsi="仿宋" w:eastAsia="仿宋" w:cs="仿宋"/>
          <w:sz w:val="24"/>
          <w:szCs w:val="24"/>
          <w:lang w:eastAsia="zh-CN"/>
        </w:rPr>
        <w:t>7</w:t>
      </w:r>
      <w:r>
        <w:rPr>
          <w:rFonts w:ascii="仿宋" w:hAnsi="仿宋" w:eastAsia="仿宋" w:cs="仿宋"/>
          <w:sz w:val="24"/>
          <w:szCs w:val="24"/>
          <w:lang w:eastAsia="zh-CN"/>
        </w:rPr>
        <w:t>.4</w:t>
      </w:r>
      <w:r>
        <w:rPr>
          <w:rFonts w:hint="eastAsia" w:ascii="仿宋" w:hAnsi="仿宋" w:eastAsia="仿宋" w:cs="仿宋"/>
          <w:sz w:val="24"/>
          <w:szCs w:val="24"/>
          <w:lang w:eastAsia="zh-CN"/>
        </w:rPr>
        <w:t>款约定办理工程款结算。如果发包人应扣除的款项超过了应支付的款项，则承包人应在合同解除后的</w:t>
      </w:r>
      <w:r>
        <w:rPr>
          <w:rFonts w:ascii="仿宋" w:hAnsi="仿宋" w:eastAsia="仿宋" w:cs="仿宋"/>
          <w:sz w:val="24"/>
          <w:szCs w:val="24"/>
          <w:lang w:eastAsia="zh-CN"/>
        </w:rPr>
        <w:t>56</w:t>
      </w:r>
      <w:r>
        <w:rPr>
          <w:rFonts w:hint="eastAsia" w:ascii="仿宋" w:hAnsi="仿宋" w:eastAsia="仿宋" w:cs="仿宋"/>
          <w:sz w:val="24"/>
          <w:szCs w:val="24"/>
          <w:lang w:eastAsia="zh-CN"/>
        </w:rPr>
        <w:t>天内将其差额退还给发包人。</w:t>
      </w:r>
    </w:p>
    <w:p w14:paraId="5CD5EF51">
      <w:pPr>
        <w:spacing w:line="400" w:lineRule="exact"/>
        <w:rPr>
          <w:rFonts w:ascii="仿宋" w:hAnsi="仿宋" w:eastAsia="仿宋"/>
          <w:b/>
          <w:bCs/>
          <w:lang w:eastAsia="zh-CN"/>
        </w:rPr>
      </w:pPr>
      <w:bookmarkStart w:id="725" w:name="_Toc23620"/>
      <w:r>
        <mc:AlternateContent>
          <mc:Choice Requires="wps">
            <w:drawing>
              <wp:anchor distT="0" distB="0" distL="114300" distR="114300" simplePos="0" relativeHeight="252072960" behindDoc="0" locked="0" layoutInCell="1" allowOverlap="1">
                <wp:simplePos x="0" y="0"/>
                <wp:positionH relativeFrom="column">
                  <wp:posOffset>-114300</wp:posOffset>
                </wp:positionH>
                <wp:positionV relativeFrom="paragraph">
                  <wp:posOffset>259715</wp:posOffset>
                </wp:positionV>
                <wp:extent cx="775970" cy="569595"/>
                <wp:effectExtent l="0" t="0" r="0" b="0"/>
                <wp:wrapNone/>
                <wp:docPr id="425" name="文本框 1088"/>
                <wp:cNvGraphicFramePr/>
                <a:graphic xmlns:a="http://schemas.openxmlformats.org/drawingml/2006/main">
                  <a:graphicData uri="http://schemas.microsoft.com/office/word/2010/wordprocessingShape">
                    <wps:wsp>
                      <wps:cNvSpPr txBox="1"/>
                      <wps:spPr>
                        <a:xfrm>
                          <a:off x="0" y="0"/>
                          <a:ext cx="775970" cy="569595"/>
                        </a:xfrm>
                        <a:prstGeom prst="rect">
                          <a:avLst/>
                        </a:prstGeom>
                        <a:noFill/>
                        <a:ln w="12700">
                          <a:noFill/>
                        </a:ln>
                      </wps:spPr>
                      <wps:txbx>
                        <w:txbxContent>
                          <w:p w14:paraId="649D3DD4">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因发包人的原因解除的支付</w:t>
                            </w:r>
                          </w:p>
                        </w:txbxContent>
                      </wps:txbx>
                      <wps:bodyPr rot="0" vert="horz" wrap="square" lIns="91440" tIns="45720" rIns="91440" bIns="45720" anchor="t" anchorCtr="0"/>
                    </wps:wsp>
                  </a:graphicData>
                </a:graphic>
              </wp:anchor>
            </w:drawing>
          </mc:Choice>
          <mc:Fallback>
            <w:pict>
              <v:shape id="文本框 1088" o:spid="_x0000_s1026" o:spt="202" type="#_x0000_t202" style="position:absolute;left:0pt;margin-left:-9pt;margin-top:20.45pt;height:44.85pt;width:61.1pt;z-index:252072960;mso-width-relative:page;mso-height-relative:page;" filled="f" stroked="f" coordsize="21600,21600" o:gfxdata="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pC&#10;XCDYAAAACgEAAA8AAAAAAAAAAQAgAAAAIgAAAGRycy9kb3ducmV2LnhtbFBLAQIUABQAAAAIAIdO&#10;4kBe5Z0n6gEAAL8DAAAOAAAAAAAAAAEAIAAAACcBAABkcnMvZTJvRG9jLnhtbFBLBQYAAAAABgAG&#10;AFkBAACDBQAAAAA=&#10;">
                <v:fill on="f" focussize="0,0"/>
                <v:stroke on="f" weight="1pt"/>
                <v:imagedata o:title=""/>
                <o:lock v:ext="edit" aspectratio="f"/>
                <v:textbox>
                  <w:txbxContent>
                    <w:p w14:paraId="649D3DD4">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因发包人的原因解除的支付</w:t>
                      </w:r>
                    </w:p>
                  </w:txbxContent>
                </v:textbox>
              </v:shape>
            </w:pict>
          </mc:Fallback>
        </mc:AlternateContent>
      </w:r>
      <w:r>
        <w:rPr>
          <w:rFonts w:hint="eastAsia" w:ascii="仿宋" w:hAnsi="仿宋" w:eastAsia="仿宋" w:cs="仿宋"/>
          <w:b/>
          <w:bCs/>
          <w:lang w:eastAsia="zh-CN"/>
        </w:rPr>
        <w:t>93</w:t>
      </w:r>
      <w:r>
        <w:rPr>
          <w:rFonts w:ascii="仿宋" w:hAnsi="仿宋" w:eastAsia="仿宋" w:cs="仿宋"/>
          <w:b/>
          <w:bCs/>
          <w:lang w:eastAsia="zh-CN"/>
        </w:rPr>
        <w:t>.4</w:t>
      </w:r>
      <w:bookmarkEnd w:id="725"/>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5F534EFC">
      <w:pPr>
        <w:pStyle w:val="22"/>
        <w:widowControl w:val="0"/>
        <w:adjustRightInd w:val="0"/>
        <w:snapToGrid w:val="0"/>
        <w:spacing w:line="400" w:lineRule="exact"/>
        <w:ind w:left="1850" w:leftChars="771"/>
        <w:jc w:val="both"/>
        <w:rPr>
          <w:rFonts w:ascii="仿宋" w:hAnsi="仿宋" w:eastAsia="仿宋"/>
          <w:sz w:val="24"/>
          <w:szCs w:val="24"/>
          <w:lang w:eastAsia="zh-CN"/>
        </w:rPr>
      </w:pPr>
      <w:r>
        <w:rPr>
          <w:rFonts w:hint="eastAsia" w:ascii="仿宋" w:hAnsi="仿宋" w:eastAsia="仿宋" w:cs="仿宋"/>
          <w:sz w:val="24"/>
          <w:szCs w:val="24"/>
          <w:lang w:eastAsia="zh-CN"/>
        </w:rPr>
        <w:t>根据第92</w:t>
      </w:r>
      <w:r>
        <w:rPr>
          <w:rFonts w:ascii="仿宋" w:hAnsi="仿宋" w:eastAsia="仿宋" w:cs="仿宋"/>
          <w:sz w:val="24"/>
          <w:szCs w:val="24"/>
          <w:lang w:eastAsia="zh-CN"/>
        </w:rPr>
        <w:t>.4</w:t>
      </w:r>
      <w:r>
        <w:rPr>
          <w:rFonts w:hint="eastAsia" w:ascii="仿宋" w:hAnsi="仿宋" w:eastAsia="仿宋" w:cs="仿宋"/>
          <w:sz w:val="24"/>
          <w:szCs w:val="24"/>
          <w:lang w:eastAsia="zh-CN"/>
        </w:rPr>
        <w:t>款约定解除合同的，发包人除应按照第93</w:t>
      </w:r>
      <w:r>
        <w:rPr>
          <w:rFonts w:ascii="仿宋" w:hAnsi="仿宋" w:eastAsia="仿宋" w:cs="仿宋"/>
          <w:sz w:val="24"/>
          <w:szCs w:val="24"/>
          <w:lang w:eastAsia="zh-CN"/>
        </w:rPr>
        <w:t>.2</w:t>
      </w:r>
      <w:r>
        <w:rPr>
          <w:rFonts w:hint="eastAsia" w:ascii="仿宋" w:hAnsi="仿宋" w:eastAsia="仿宋" w:cs="仿宋"/>
          <w:sz w:val="24"/>
          <w:szCs w:val="24"/>
          <w:lang w:eastAsia="zh-CN"/>
        </w:rPr>
        <w:t>款约定向承包人支付各项款项外，还应支付给承包人由于解除合同而引起的损失或损害的款项。该笔款项由承包人提出，造价咨询人核实后与合同双方当事人协商确定，并在确定后的</w:t>
      </w:r>
      <w:r>
        <w:rPr>
          <w:rFonts w:ascii="仿宋" w:hAnsi="仿宋" w:eastAsia="仿宋" w:cs="仿宋"/>
          <w:sz w:val="24"/>
          <w:szCs w:val="24"/>
          <w:lang w:eastAsia="zh-CN"/>
        </w:rPr>
        <w:t>7</w:t>
      </w:r>
      <w:r>
        <w:rPr>
          <w:rFonts w:hint="eastAsia" w:ascii="仿宋" w:hAnsi="仿宋" w:eastAsia="仿宋" w:cs="仿宋"/>
          <w:sz w:val="24"/>
          <w:szCs w:val="24"/>
          <w:lang w:eastAsia="zh-CN"/>
        </w:rPr>
        <w:t>天内由造价咨询人向发包人签发支付证书，抄送承包人。协商不能达成一致的，按照第91条约定处理。</w:t>
      </w:r>
    </w:p>
    <w:p w14:paraId="64C4F6BD">
      <w:pPr>
        <w:pStyle w:val="22"/>
        <w:adjustRightInd w:val="0"/>
        <w:snapToGrid w:val="0"/>
        <w:spacing w:line="400" w:lineRule="exact"/>
        <w:rPr>
          <w:rFonts w:ascii="仿宋" w:hAnsi="仿宋" w:eastAsia="仿宋" w:cs="仿宋"/>
          <w:b/>
          <w:bCs/>
          <w:sz w:val="24"/>
          <w:szCs w:val="24"/>
          <w:u w:val="single"/>
          <w:lang w:eastAsia="zh-CN"/>
        </w:rPr>
      </w:pPr>
      <w:r>
        <w:rPr>
          <w:rFonts w:ascii="仿宋" w:hAnsi="仿宋" w:eastAsia="仿宋" w:cs="仿宋"/>
          <w:b/>
          <w:bCs/>
          <w:sz w:val="24"/>
          <w:szCs w:val="24"/>
          <w:u w:val="single"/>
          <w:lang w:eastAsia="zh-CN"/>
        </w:rPr>
        <w:t xml:space="preserve">                                                                                     </w:t>
      </w:r>
    </w:p>
    <w:p w14:paraId="561BB4EB">
      <w:pPr>
        <w:pStyle w:val="4"/>
        <w:tabs>
          <w:tab w:val="left" w:pos="420"/>
        </w:tabs>
        <w:spacing w:before="0" w:after="0" w:line="400" w:lineRule="exact"/>
        <w:rPr>
          <w:rFonts w:ascii="仿宋" w:hAnsi="仿宋" w:eastAsia="仿宋" w:cs="仿宋"/>
          <w:bCs w:val="0"/>
          <w:sz w:val="24"/>
          <w:szCs w:val="24"/>
          <w:lang w:eastAsia="zh-CN"/>
        </w:rPr>
      </w:pPr>
      <w:bookmarkStart w:id="726" w:name="_Toc469384073"/>
      <w:bookmarkStart w:id="727" w:name="_Toc5459"/>
      <w:bookmarkStart w:id="728" w:name="_Toc194073206"/>
      <w:bookmarkStart w:id="729" w:name="_Toc24556"/>
      <w:bookmarkStart w:id="730" w:name="_Toc11751"/>
      <w:r>
        <w:rPr>
          <w:rFonts w:hint="eastAsia" w:ascii="仿宋" w:hAnsi="仿宋" w:eastAsia="仿宋" w:cs="仿宋"/>
          <w:bCs w:val="0"/>
          <w:sz w:val="24"/>
          <w:szCs w:val="24"/>
          <w:lang w:eastAsia="zh-CN"/>
        </w:rPr>
        <w:t>94</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合同终止</w:t>
      </w:r>
      <w:bookmarkEnd w:id="726"/>
      <w:bookmarkEnd w:id="727"/>
      <w:bookmarkEnd w:id="728"/>
      <w:bookmarkEnd w:id="729"/>
      <w:bookmarkEnd w:id="730"/>
    </w:p>
    <w:p w14:paraId="35679910">
      <w:pPr>
        <w:spacing w:line="400" w:lineRule="exact"/>
        <w:rPr>
          <w:rFonts w:ascii="仿宋" w:hAnsi="仿宋" w:eastAsia="仿宋" w:cs="仿宋"/>
          <w:b/>
          <w:bCs/>
          <w:lang w:eastAsia="zh-CN"/>
        </w:rPr>
      </w:pPr>
      <w:bookmarkStart w:id="731" w:name="_Toc21953"/>
      <w:r>
        <w:rPr>
          <w:rFonts w:hint="eastAsia" w:ascii="仿宋" w:hAnsi="仿宋" w:eastAsia="仿宋" w:cs="仿宋"/>
          <w:b/>
          <w:bCs/>
          <w:lang w:eastAsia="zh-CN"/>
        </w:rPr>
        <w:t>94</w:t>
      </w:r>
      <w:r>
        <w:rPr>
          <w:rFonts w:ascii="仿宋" w:hAnsi="仿宋" w:eastAsia="仿宋" w:cs="仿宋"/>
          <w:b/>
          <w:bCs/>
          <w:lang w:eastAsia="zh-CN"/>
        </w:rPr>
        <w:t>.1</w:t>
      </w:r>
      <w:bookmarkEnd w:id="731"/>
    </w:p>
    <w:p w14:paraId="2BB3DC66">
      <w:pPr>
        <w:pStyle w:val="22"/>
        <w:widowControl w:val="0"/>
        <w:adjustRightInd w:val="0"/>
        <w:snapToGrid w:val="0"/>
        <w:spacing w:line="400" w:lineRule="exact"/>
        <w:ind w:left="1850" w:leftChars="771"/>
        <w:jc w:val="both"/>
        <w:rPr>
          <w:rFonts w:ascii="仿宋" w:hAnsi="仿宋" w:eastAsia="仿宋"/>
          <w:sz w:val="24"/>
          <w:szCs w:val="24"/>
          <w:lang w:eastAsia="zh-CN"/>
        </w:rPr>
      </w:pPr>
      <w:r>
        <mc:AlternateContent>
          <mc:Choice Requires="wps">
            <w:drawing>
              <wp:anchor distT="0" distB="0" distL="114300" distR="114300" simplePos="0" relativeHeight="251953152" behindDoc="0" locked="0" layoutInCell="1" allowOverlap="1">
                <wp:simplePos x="0" y="0"/>
                <wp:positionH relativeFrom="column">
                  <wp:posOffset>-114300</wp:posOffset>
                </wp:positionH>
                <wp:positionV relativeFrom="paragraph">
                  <wp:posOffset>15875</wp:posOffset>
                </wp:positionV>
                <wp:extent cx="832485" cy="440055"/>
                <wp:effectExtent l="0" t="0" r="0" b="0"/>
                <wp:wrapNone/>
                <wp:docPr id="426" name="文本框 1089"/>
                <wp:cNvGraphicFramePr/>
                <a:graphic xmlns:a="http://schemas.openxmlformats.org/drawingml/2006/main">
                  <a:graphicData uri="http://schemas.microsoft.com/office/word/2010/wordprocessingShape">
                    <wps:wsp>
                      <wps:cNvSpPr txBox="1"/>
                      <wps:spPr>
                        <a:xfrm>
                          <a:off x="0" y="0"/>
                          <a:ext cx="832485" cy="440055"/>
                        </a:xfrm>
                        <a:prstGeom prst="rect">
                          <a:avLst/>
                        </a:prstGeom>
                        <a:noFill/>
                        <a:ln w="12700">
                          <a:noFill/>
                        </a:ln>
                      </wps:spPr>
                      <wps:txbx>
                        <w:txbxContent>
                          <w:p w14:paraId="4BACBFA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合同解除后的终止</w:t>
                            </w:r>
                          </w:p>
                        </w:txbxContent>
                      </wps:txbx>
                      <wps:bodyPr rot="0" vert="horz" wrap="square" lIns="91440" tIns="45720" rIns="91440" bIns="45720" anchor="t" anchorCtr="0"/>
                    </wps:wsp>
                  </a:graphicData>
                </a:graphic>
              </wp:anchor>
            </w:drawing>
          </mc:Choice>
          <mc:Fallback>
            <w:pict>
              <v:shape id="文本框 1089" o:spid="_x0000_s1026" o:spt="202" type="#_x0000_t202" style="position:absolute;left:0pt;margin-left:-9pt;margin-top:1.25pt;height:34.65pt;width:65.55pt;z-index:251953152;mso-width-relative:page;mso-height-relative:page;" filled="f" stroked="f" coordsize="21600,21600" o:gfxdata="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5s&#10;lLXXAAAACAEAAA8AAAAAAAAAAQAgAAAAIgAAAGRycy9kb3ducmV2LnhtbFBLAQIUABQAAAAIAIdO&#10;4kD5YwKo6wEAAL8DAAAOAAAAAAAAAAEAIAAAACYBAABkcnMvZTJvRG9jLnhtbFBLBQYAAAAABgAG&#10;AFkBAACDBQAAAAA=&#10;">
                <v:fill on="f" focussize="0,0"/>
                <v:stroke on="f" weight="1pt"/>
                <v:imagedata o:title=""/>
                <o:lock v:ext="edit" aspectratio="f"/>
                <v:textbox>
                  <w:txbxContent>
                    <w:p w14:paraId="4BACBFA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合同解除后的终止</w:t>
                      </w:r>
                    </w:p>
                  </w:txbxContent>
                </v:textbox>
              </v:shape>
            </w:pict>
          </mc:Fallback>
        </mc:AlternateContent>
      </w:r>
      <w:r>
        <w:rPr>
          <w:rFonts w:hint="eastAsia" w:ascii="仿宋" w:hAnsi="仿宋" w:eastAsia="仿宋" w:cs="仿宋"/>
          <w:sz w:val="24"/>
          <w:szCs w:val="24"/>
          <w:lang w:eastAsia="zh-CN"/>
        </w:rPr>
        <w:t>合同解除后，除合同双方当事人享有第91条至第93条约定的权利外，本合同的权利</w:t>
      </w:r>
      <w:r>
        <w:rPr>
          <w:rFonts w:ascii="仿宋" w:hAnsi="仿宋" w:eastAsia="仿宋" w:cs="仿宋"/>
          <w:sz w:val="24"/>
          <w:szCs w:val="24"/>
          <w:lang w:eastAsia="zh-CN"/>
        </w:rPr>
        <w:t>义务</w:t>
      </w:r>
      <w:r>
        <w:rPr>
          <w:rFonts w:hint="eastAsia" w:ascii="仿宋" w:hAnsi="仿宋" w:eastAsia="仿宋" w:cs="仿宋"/>
          <w:sz w:val="24"/>
          <w:szCs w:val="24"/>
          <w:lang w:eastAsia="zh-CN"/>
        </w:rPr>
        <w:t>关系</w:t>
      </w:r>
      <w:r>
        <w:rPr>
          <w:rFonts w:ascii="仿宋" w:hAnsi="仿宋" w:eastAsia="仿宋" w:cs="仿宋"/>
          <w:sz w:val="24"/>
          <w:szCs w:val="24"/>
          <w:lang w:eastAsia="zh-CN"/>
        </w:rPr>
        <w:t>终止</w:t>
      </w:r>
      <w:r>
        <w:rPr>
          <w:rFonts w:hint="eastAsia" w:ascii="仿宋" w:hAnsi="仿宋" w:eastAsia="仿宋" w:cs="仿宋"/>
          <w:sz w:val="24"/>
          <w:szCs w:val="24"/>
          <w:lang w:eastAsia="zh-CN"/>
        </w:rPr>
        <w:t>，但不影响一方当事人在此以前的任何违约而损害另一方当事人应享有的权利，也不影响合同双方当事人履行本合同结算和清算条款的效力。</w:t>
      </w:r>
    </w:p>
    <w:p w14:paraId="522D1FC7">
      <w:pPr>
        <w:spacing w:line="400" w:lineRule="exact"/>
        <w:rPr>
          <w:rFonts w:ascii="仿宋" w:hAnsi="仿宋" w:eastAsia="仿宋"/>
          <w:b/>
          <w:bCs/>
          <w:lang w:eastAsia="zh-CN"/>
        </w:rPr>
      </w:pPr>
      <w:bookmarkStart w:id="732" w:name="_Toc15914"/>
      <w:r>
        <w:rPr>
          <w:rFonts w:hint="eastAsia" w:ascii="仿宋" w:hAnsi="仿宋" w:eastAsia="仿宋" w:cs="仿宋"/>
          <w:b/>
          <w:bCs/>
          <w:lang w:eastAsia="zh-CN"/>
        </w:rPr>
        <w:t>94</w:t>
      </w:r>
      <w:r>
        <w:rPr>
          <w:rFonts w:ascii="仿宋" w:hAnsi="仿宋" w:eastAsia="仿宋" w:cs="仿宋"/>
          <w:b/>
          <w:bCs/>
          <w:lang w:eastAsia="zh-CN"/>
        </w:rPr>
        <w:t>.2</w:t>
      </w:r>
      <w:bookmarkEnd w:id="732"/>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1530982C">
      <w:pPr>
        <w:pStyle w:val="22"/>
        <w:widowControl w:val="0"/>
        <w:adjustRightInd w:val="0"/>
        <w:snapToGrid w:val="0"/>
        <w:spacing w:line="400" w:lineRule="exact"/>
        <w:ind w:left="1850" w:leftChars="771"/>
        <w:jc w:val="both"/>
        <w:rPr>
          <w:rFonts w:ascii="仿宋" w:hAnsi="仿宋" w:eastAsia="仿宋"/>
          <w:sz w:val="24"/>
          <w:szCs w:val="24"/>
          <w:lang w:eastAsia="zh-CN"/>
        </w:rPr>
      </w:pPr>
      <w:r>
        <mc:AlternateContent>
          <mc:Choice Requires="wps">
            <w:drawing>
              <wp:anchor distT="0" distB="0" distL="114300" distR="114300" simplePos="0" relativeHeight="251954176" behindDoc="0" locked="0" layoutInCell="1" allowOverlap="1">
                <wp:simplePos x="0" y="0"/>
                <wp:positionH relativeFrom="column">
                  <wp:posOffset>-114300</wp:posOffset>
                </wp:positionH>
                <wp:positionV relativeFrom="paragraph">
                  <wp:posOffset>635</wp:posOffset>
                </wp:positionV>
                <wp:extent cx="765810" cy="707390"/>
                <wp:effectExtent l="0" t="0" r="0" b="0"/>
                <wp:wrapNone/>
                <wp:docPr id="427" name="文本框 1090"/>
                <wp:cNvGraphicFramePr/>
                <a:graphic xmlns:a="http://schemas.openxmlformats.org/drawingml/2006/main">
                  <a:graphicData uri="http://schemas.microsoft.com/office/word/2010/wordprocessingShape">
                    <wps:wsp>
                      <wps:cNvSpPr txBox="1"/>
                      <wps:spPr>
                        <a:xfrm>
                          <a:off x="0" y="0"/>
                          <a:ext cx="765810" cy="707390"/>
                        </a:xfrm>
                        <a:prstGeom prst="rect">
                          <a:avLst/>
                        </a:prstGeom>
                        <a:noFill/>
                        <a:ln w="12700">
                          <a:noFill/>
                        </a:ln>
                      </wps:spPr>
                      <wps:txbx>
                        <w:txbxContent>
                          <w:p w14:paraId="51506717">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双方履行完全部义务后的终止</w:t>
                            </w:r>
                          </w:p>
                        </w:txbxContent>
                      </wps:txbx>
                      <wps:bodyPr rot="0" vert="horz" wrap="square" lIns="91440" tIns="45720" rIns="91440" bIns="45720" anchor="t" anchorCtr="0"/>
                    </wps:wsp>
                  </a:graphicData>
                </a:graphic>
              </wp:anchor>
            </w:drawing>
          </mc:Choice>
          <mc:Fallback>
            <w:pict>
              <v:shape id="文本框 1090" o:spid="_x0000_s1026" o:spt="202" type="#_x0000_t202" style="position:absolute;left:0pt;margin-left:-9pt;margin-top:0.05pt;height:55.7pt;width:60.3pt;z-index:251954176;mso-width-relative:page;mso-height-relative:page;" filled="f" stroked="f" coordsize="21600,21600" o:gfxdata="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hTv5u9UA&#10;AAAIAQAADwAAAAAAAAABACAAAAAiAAAAZHJzL2Rvd25yZXYueG1sUEsBAhQAFAAAAAgAh07iQEY1&#10;YVLpAQAAvwMAAA4AAAAAAAAAAQAgAAAAJAEAAGRycy9lMm9Eb2MueG1sUEsFBgAAAAAGAAYAWQEA&#10;AH8FAAAAAA==&#10;">
                <v:fill on="f" focussize="0,0"/>
                <v:stroke on="f" weight="1pt"/>
                <v:imagedata o:title=""/>
                <o:lock v:ext="edit" aspectratio="f"/>
                <v:textbox>
                  <w:txbxContent>
                    <w:p w14:paraId="51506717">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双方履行完全部义务后的终止</w:t>
                      </w:r>
                    </w:p>
                  </w:txbxContent>
                </v:textbox>
              </v:shape>
            </w:pict>
          </mc:Fallback>
        </mc:AlternateContent>
      </w:r>
      <w:r>
        <w:rPr>
          <w:rFonts w:hint="eastAsia" w:ascii="仿宋" w:hAnsi="仿宋" w:eastAsia="仿宋" w:cs="仿宋"/>
          <w:sz w:val="24"/>
          <w:szCs w:val="24"/>
          <w:lang w:eastAsia="zh-CN"/>
        </w:rPr>
        <w:t>除第66条和第89条约定的质量保修条款外，合同双方当事人履行完本合同全部义务，发包人向承包人支付完竣工结算款，承包人向发包人交付竣工工程后，本合同即告终止。</w:t>
      </w:r>
    </w:p>
    <w:p w14:paraId="1026EC8F">
      <w:pPr>
        <w:spacing w:line="400" w:lineRule="exact"/>
        <w:rPr>
          <w:rFonts w:ascii="仿宋" w:hAnsi="仿宋" w:eastAsia="仿宋"/>
          <w:b/>
          <w:bCs/>
          <w:lang w:eastAsia="zh-CN"/>
        </w:rPr>
      </w:pPr>
      <w:bookmarkStart w:id="733" w:name="_Toc583"/>
      <w:r>
        <w:rPr>
          <w:rFonts w:hint="eastAsia" w:ascii="仿宋" w:hAnsi="仿宋" w:eastAsia="仿宋" w:cs="仿宋"/>
          <w:b/>
          <w:bCs/>
          <w:lang w:eastAsia="zh-CN"/>
        </w:rPr>
        <w:t>94</w:t>
      </w:r>
      <w:r>
        <w:rPr>
          <w:rFonts w:ascii="仿宋" w:hAnsi="仿宋" w:eastAsia="仿宋" w:cs="仿宋"/>
          <w:b/>
          <w:bCs/>
          <w:lang w:eastAsia="zh-CN"/>
        </w:rPr>
        <w:t>.3</w:t>
      </w:r>
      <w:bookmarkEnd w:id="733"/>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351BBF48">
      <w:pPr>
        <w:pStyle w:val="22"/>
        <w:widowControl w:val="0"/>
        <w:adjustRightInd w:val="0"/>
        <w:snapToGrid w:val="0"/>
        <w:spacing w:line="400" w:lineRule="exact"/>
        <w:ind w:left="1850" w:leftChars="771"/>
        <w:jc w:val="both"/>
        <w:rPr>
          <w:rFonts w:ascii="仿宋" w:hAnsi="仿宋" w:eastAsia="仿宋"/>
          <w:sz w:val="24"/>
          <w:szCs w:val="24"/>
          <w:lang w:eastAsia="zh-CN"/>
        </w:rPr>
      </w:pPr>
      <w:r>
        <mc:AlternateContent>
          <mc:Choice Requires="wps">
            <w:drawing>
              <wp:anchor distT="0" distB="0" distL="114300" distR="114300" simplePos="0" relativeHeight="251955200" behindDoc="0" locked="0" layoutInCell="1" allowOverlap="1">
                <wp:simplePos x="0" y="0"/>
                <wp:positionH relativeFrom="column">
                  <wp:posOffset>-114300</wp:posOffset>
                </wp:positionH>
                <wp:positionV relativeFrom="paragraph">
                  <wp:posOffset>13335</wp:posOffset>
                </wp:positionV>
                <wp:extent cx="832485" cy="565785"/>
                <wp:effectExtent l="0" t="0" r="0" b="0"/>
                <wp:wrapNone/>
                <wp:docPr id="428" name="文本框 1091"/>
                <wp:cNvGraphicFramePr/>
                <a:graphic xmlns:a="http://schemas.openxmlformats.org/drawingml/2006/main">
                  <a:graphicData uri="http://schemas.microsoft.com/office/word/2010/wordprocessingShape">
                    <wps:wsp>
                      <wps:cNvSpPr txBox="1"/>
                      <wps:spPr>
                        <a:xfrm>
                          <a:off x="0" y="0"/>
                          <a:ext cx="832485" cy="565785"/>
                        </a:xfrm>
                        <a:prstGeom prst="rect">
                          <a:avLst/>
                        </a:prstGeom>
                        <a:noFill/>
                        <a:ln w="12700">
                          <a:noFill/>
                        </a:ln>
                      </wps:spPr>
                      <wps:txbx>
                        <w:txbxContent>
                          <w:p w14:paraId="546380D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txbxContent>
                      </wps:txbx>
                      <wps:bodyPr rot="0" vert="horz" wrap="square" lIns="91440" tIns="45720" rIns="91440" bIns="45720" anchor="t" anchorCtr="0"/>
                    </wps:wsp>
                  </a:graphicData>
                </a:graphic>
              </wp:anchor>
            </w:drawing>
          </mc:Choice>
          <mc:Fallback>
            <w:pict>
              <v:shape id="文本框 1091" o:spid="_x0000_s1026" o:spt="202" type="#_x0000_t202" style="position:absolute;left:0pt;margin-left:-9pt;margin-top:1.05pt;height:44.55pt;width:65.55pt;z-index:251955200;mso-width-relative:page;mso-height-relative:page;" filled="f" stroked="f" coordsize="21600,21600" o:gfxdata="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0j&#10;HiPWAAAACAEAAA8AAAAAAAAAAQAgAAAAIgAAAGRycy9kb3ducmV2LnhtbFBLAQIUABQAAAAIAIdO&#10;4kDIWBLo7AEAAL8DAAAOAAAAAAAAAAEAIAAAACUBAABkcnMvZTJvRG9jLnhtbFBLBQYAAAAABgAG&#10;AFkBAACDBQAAAAA=&#10;">
                <v:fill on="f" focussize="0,0"/>
                <v:stroke on="f" weight="1pt"/>
                <v:imagedata o:title=""/>
                <o:lock v:ext="edit" aspectratio="f"/>
                <v:textbox>
                  <w:txbxContent>
                    <w:p w14:paraId="546380D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txbxContent>
                </v:textbox>
              </v:shape>
            </w:pict>
          </mc:Fallback>
        </mc:AlternateContent>
      </w:r>
      <w:r>
        <w:rPr>
          <w:rFonts w:hint="eastAsia" w:ascii="仿宋" w:hAnsi="仿宋" w:eastAsia="仿宋" w:cs="仿宋"/>
          <w:sz w:val="24"/>
          <w:szCs w:val="24"/>
          <w:lang w:eastAsia="zh-CN"/>
        </w:rPr>
        <w:t>本合同的权利义务终止后，合同双方当事人仍应遵循诚实信用原则，继续履行合同约定的通知、协助、保密等义务。</w:t>
      </w:r>
    </w:p>
    <w:p w14:paraId="71EB50F3">
      <w:pPr>
        <w:pStyle w:val="22"/>
        <w:adjustRightInd w:val="0"/>
        <w:snapToGrid w:val="0"/>
        <w:spacing w:line="400" w:lineRule="exact"/>
        <w:ind w:right="-238"/>
        <w:rPr>
          <w:rFonts w:ascii="仿宋" w:hAnsi="仿宋" w:eastAsia="仿宋" w:cs="仿宋"/>
          <w:sz w:val="24"/>
          <w:szCs w:val="24"/>
          <w:u w:val="single"/>
          <w:lang w:eastAsia="zh-CN"/>
        </w:rPr>
      </w:pPr>
      <w:r>
        <w:rPr>
          <w:rFonts w:ascii="仿宋" w:hAnsi="仿宋" w:eastAsia="仿宋" w:cs="仿宋"/>
          <w:sz w:val="24"/>
          <w:szCs w:val="24"/>
          <w:u w:val="single"/>
          <w:lang w:eastAsia="zh-CN"/>
        </w:rPr>
        <w:t xml:space="preserve">                                                                           </w:t>
      </w:r>
      <w:r>
        <w:rPr>
          <w:rFonts w:hint="eastAsia" w:ascii="仿宋" w:hAnsi="仿宋" w:eastAsia="仿宋" w:cs="仿宋"/>
          <w:sz w:val="24"/>
          <w:szCs w:val="24"/>
          <w:u w:val="single"/>
          <w:lang w:eastAsia="zh-CN"/>
        </w:rPr>
        <w:t xml:space="preserve">    </w:t>
      </w:r>
      <w:r>
        <w:rPr>
          <w:rFonts w:ascii="仿宋" w:hAnsi="仿宋" w:eastAsia="仿宋" w:cs="仿宋"/>
          <w:sz w:val="24"/>
          <w:szCs w:val="24"/>
          <w:u w:val="single"/>
          <w:lang w:eastAsia="zh-CN"/>
        </w:rPr>
        <w:t xml:space="preserve">      </w:t>
      </w:r>
    </w:p>
    <w:p w14:paraId="7F04F0B8">
      <w:pPr>
        <w:pStyle w:val="22"/>
        <w:adjustRightInd w:val="0"/>
        <w:snapToGrid w:val="0"/>
        <w:spacing w:line="400" w:lineRule="exact"/>
        <w:jc w:val="center"/>
        <w:outlineLvl w:val="1"/>
        <w:rPr>
          <w:rFonts w:ascii="仿宋" w:hAnsi="仿宋" w:eastAsia="仿宋" w:cs="仿宋"/>
          <w:b/>
          <w:bCs/>
          <w:sz w:val="24"/>
          <w:szCs w:val="24"/>
          <w:lang w:eastAsia="zh-CN"/>
        </w:rPr>
      </w:pPr>
      <w:bookmarkStart w:id="734" w:name="_Toc8338"/>
      <w:bookmarkStart w:id="735" w:name="_Toc194073207"/>
      <w:bookmarkStart w:id="736" w:name="_Toc9454"/>
      <w:bookmarkStart w:id="737" w:name="_Toc11088"/>
      <w:r>
        <w:rPr>
          <w:rFonts w:hint="eastAsia" w:ascii="仿宋" w:hAnsi="仿宋" w:eastAsia="仿宋" w:cs="仿宋"/>
          <w:b/>
          <w:bCs/>
          <w:sz w:val="24"/>
          <w:szCs w:val="24"/>
          <w:lang w:eastAsia="zh-CN"/>
        </w:rPr>
        <w:t>九、违约</w:t>
      </w:r>
      <w:bookmarkEnd w:id="734"/>
      <w:bookmarkEnd w:id="735"/>
      <w:bookmarkEnd w:id="736"/>
      <w:bookmarkEnd w:id="737"/>
    </w:p>
    <w:p w14:paraId="3924A676">
      <w:pPr>
        <w:pStyle w:val="4"/>
        <w:tabs>
          <w:tab w:val="left" w:pos="420"/>
        </w:tabs>
        <w:spacing w:before="0" w:after="0" w:line="400" w:lineRule="exact"/>
        <w:rPr>
          <w:rFonts w:ascii="仿宋" w:hAnsi="仿宋" w:eastAsia="仿宋" w:cs="仿宋"/>
          <w:bCs w:val="0"/>
          <w:sz w:val="24"/>
          <w:szCs w:val="24"/>
          <w:lang w:eastAsia="zh-CN"/>
        </w:rPr>
      </w:pPr>
      <w:bookmarkStart w:id="738" w:name="_Toc194073208"/>
      <w:bookmarkStart w:id="739" w:name="_Toc23401"/>
      <w:bookmarkStart w:id="740" w:name="_Toc10547"/>
      <w:bookmarkStart w:id="741" w:name="_Toc14201"/>
      <w:r>
        <w:rPr>
          <w:rFonts w:hint="eastAsia" w:ascii="仿宋" w:hAnsi="仿宋" w:eastAsia="仿宋" w:cs="仿宋"/>
          <w:bCs w:val="0"/>
          <w:sz w:val="24"/>
          <w:szCs w:val="24"/>
          <w:lang w:eastAsia="zh-CN"/>
        </w:rPr>
        <w:t>★95</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承包人违约</w:t>
      </w:r>
      <w:bookmarkEnd w:id="738"/>
      <w:bookmarkEnd w:id="739"/>
      <w:bookmarkEnd w:id="740"/>
      <w:bookmarkEnd w:id="741"/>
    </w:p>
    <w:p w14:paraId="5338EC33">
      <w:pPr>
        <w:spacing w:line="400" w:lineRule="exact"/>
        <w:rPr>
          <w:rFonts w:ascii="仿宋" w:hAnsi="仿宋" w:eastAsia="仿宋" w:cs="仿宋"/>
          <w:b/>
          <w:bCs/>
          <w:lang w:eastAsia="zh-CN"/>
        </w:rPr>
      </w:pPr>
      <w:bookmarkStart w:id="742" w:name="_Toc20371"/>
      <w:r>
        <mc:AlternateContent>
          <mc:Choice Requires="wps">
            <w:drawing>
              <wp:anchor distT="0" distB="0" distL="114300" distR="114300" simplePos="0" relativeHeight="251968512" behindDoc="0" locked="0" layoutInCell="1" allowOverlap="1">
                <wp:simplePos x="0" y="0"/>
                <wp:positionH relativeFrom="column">
                  <wp:posOffset>-114300</wp:posOffset>
                </wp:positionH>
                <wp:positionV relativeFrom="paragraph">
                  <wp:posOffset>187960</wp:posOffset>
                </wp:positionV>
                <wp:extent cx="775970" cy="459105"/>
                <wp:effectExtent l="0" t="0" r="0" b="0"/>
                <wp:wrapNone/>
                <wp:docPr id="429" name="文本框 1106"/>
                <wp:cNvGraphicFramePr/>
                <a:graphic xmlns:a="http://schemas.openxmlformats.org/drawingml/2006/main">
                  <a:graphicData uri="http://schemas.microsoft.com/office/word/2010/wordprocessingShape">
                    <wps:wsp>
                      <wps:cNvSpPr txBox="1"/>
                      <wps:spPr>
                        <a:xfrm>
                          <a:off x="0" y="0"/>
                          <a:ext cx="775970" cy="459105"/>
                        </a:xfrm>
                        <a:prstGeom prst="rect">
                          <a:avLst/>
                        </a:prstGeom>
                        <a:noFill/>
                        <a:ln w="12700">
                          <a:noFill/>
                        </a:ln>
                      </wps:spPr>
                      <wps:txbx>
                        <w:txbxContent>
                          <w:p w14:paraId="6EE913BA">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违约情形</w:t>
                            </w:r>
                          </w:p>
                        </w:txbxContent>
                      </wps:txbx>
                      <wps:bodyPr rot="0" vert="horz" wrap="square" lIns="91440" tIns="45720" rIns="91440" bIns="45720" anchor="t" anchorCtr="0"/>
                    </wps:wsp>
                  </a:graphicData>
                </a:graphic>
              </wp:anchor>
            </w:drawing>
          </mc:Choice>
          <mc:Fallback>
            <w:pict>
              <v:shape id="文本框 1106" o:spid="_x0000_s1026" o:spt="202" type="#_x0000_t202" style="position:absolute;left:0pt;margin-left:-9pt;margin-top:14.8pt;height:36.15pt;width:61.1pt;z-index:251968512;mso-width-relative:page;mso-height-relative:page;" filled="f" stroked="f" coordsize="21600,21600" o:gfxdata="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D&#10;kYDT2AAAAAoBAAAPAAAAAAAAAAEAIAAAACIAAABkcnMvZG93bnJldi54bWxQSwECFAAUAAAACACH&#10;TuJAyNhSM+sBAAC/AwAADgAAAAAAAAABACAAAAAnAQAAZHJzL2Uyb0RvYy54bWxQSwUGAAAAAAYA&#10;BgBZAQAAhAUAAAAA&#10;">
                <v:fill on="f" focussize="0,0"/>
                <v:stroke on="f" weight="1pt"/>
                <v:imagedata o:title=""/>
                <o:lock v:ext="edit" aspectratio="f"/>
                <v:textbox>
                  <w:txbxContent>
                    <w:p w14:paraId="6EE913BA">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违约情形</w:t>
                      </w:r>
                    </w:p>
                  </w:txbxContent>
                </v:textbox>
              </v:shape>
            </w:pict>
          </mc:Fallback>
        </mc:AlternateContent>
      </w:r>
      <w:r>
        <w:rPr>
          <w:rFonts w:hint="eastAsia" w:ascii="仿宋" w:hAnsi="仿宋" w:eastAsia="仿宋" w:cs="仿宋"/>
          <w:b/>
          <w:bCs/>
          <w:lang w:eastAsia="zh-CN"/>
        </w:rPr>
        <w:t>95</w:t>
      </w:r>
      <w:r>
        <w:rPr>
          <w:rFonts w:ascii="仿宋" w:hAnsi="仿宋" w:eastAsia="仿宋" w:cs="仿宋"/>
          <w:b/>
          <w:bCs/>
          <w:lang w:eastAsia="zh-CN"/>
        </w:rPr>
        <w:t>.1</w:t>
      </w:r>
      <w:bookmarkEnd w:id="742"/>
    </w:p>
    <w:p w14:paraId="72F18EEA">
      <w:pPr>
        <w:widowControl w:val="0"/>
        <w:adjustRightInd w:val="0"/>
        <w:snapToGrid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在合同履行过程中发生的下列情形，属于承包人违约：</w:t>
      </w:r>
    </w:p>
    <w:p w14:paraId="116EC3AA">
      <w:pPr>
        <w:widowControl w:val="0"/>
        <w:numPr>
          <w:ilvl w:val="1"/>
          <w:numId w:val="36"/>
        </w:numPr>
        <w:tabs>
          <w:tab w:val="clear" w:pos="3285"/>
        </w:tabs>
        <w:adjustRightInd w:val="0"/>
        <w:snapToGrid w:val="0"/>
        <w:spacing w:line="400" w:lineRule="exact"/>
        <w:ind w:left="1850" w:leftChars="771" w:firstLine="0"/>
        <w:jc w:val="both"/>
        <w:rPr>
          <w:rFonts w:ascii="仿宋" w:hAnsi="仿宋" w:eastAsia="仿宋" w:cs="仿宋"/>
          <w:lang w:eastAsia="zh-CN"/>
        </w:rPr>
      </w:pPr>
      <w:r>
        <w:rPr>
          <w:rFonts w:hint="eastAsia" w:ascii="仿宋" w:hAnsi="仿宋" w:eastAsia="仿宋" w:cs="仿宋"/>
          <w:lang w:eastAsia="zh-CN"/>
        </w:rPr>
        <w:t>承包人的设计、承包人文件、实施和竣工的工程不符合法律以及合同约定；</w:t>
      </w:r>
    </w:p>
    <w:p w14:paraId="02D4B38A">
      <w:pPr>
        <w:widowControl w:val="0"/>
        <w:numPr>
          <w:ilvl w:val="1"/>
          <w:numId w:val="36"/>
        </w:numPr>
        <w:tabs>
          <w:tab w:val="clear" w:pos="3285"/>
        </w:tabs>
        <w:adjustRightInd w:val="0"/>
        <w:snapToGrid w:val="0"/>
        <w:spacing w:line="400" w:lineRule="exact"/>
        <w:ind w:left="1850" w:leftChars="771" w:firstLine="0"/>
        <w:jc w:val="both"/>
        <w:rPr>
          <w:rFonts w:ascii="仿宋" w:hAnsi="仿宋" w:eastAsia="仿宋" w:cs="仿宋"/>
          <w:lang w:eastAsia="zh-CN"/>
        </w:rPr>
      </w:pPr>
      <w:r>
        <w:rPr>
          <w:rFonts w:hint="eastAsia" w:ascii="仿宋" w:hAnsi="仿宋" w:eastAsia="仿宋" w:cs="仿宋"/>
          <w:lang w:eastAsia="zh-CN"/>
        </w:rPr>
        <w:tab/>
      </w:r>
      <w:r>
        <w:rPr>
          <w:rFonts w:hint="eastAsia" w:ascii="仿宋" w:hAnsi="仿宋" w:eastAsia="仿宋" w:cs="仿宋"/>
          <w:lang w:eastAsia="zh-CN"/>
        </w:rPr>
        <w:t>承包人违反合同约定进行转包或违法分包的；</w:t>
      </w:r>
    </w:p>
    <w:p w14:paraId="2B5C4A8D">
      <w:pPr>
        <w:widowControl w:val="0"/>
        <w:numPr>
          <w:ilvl w:val="1"/>
          <w:numId w:val="36"/>
        </w:numPr>
        <w:tabs>
          <w:tab w:val="clear" w:pos="3285"/>
        </w:tabs>
        <w:adjustRightInd w:val="0"/>
        <w:snapToGrid w:val="0"/>
        <w:spacing w:line="400" w:lineRule="exact"/>
        <w:ind w:left="1850" w:leftChars="771" w:firstLine="0"/>
        <w:jc w:val="both"/>
        <w:rPr>
          <w:rFonts w:ascii="仿宋" w:hAnsi="仿宋" w:eastAsia="仿宋" w:cs="仿宋"/>
          <w:lang w:eastAsia="zh-CN"/>
        </w:rPr>
      </w:pPr>
      <w:r>
        <w:rPr>
          <w:rFonts w:hint="eastAsia" w:ascii="仿宋" w:hAnsi="仿宋" w:eastAsia="仿宋" w:cs="仿宋"/>
          <w:lang w:eastAsia="zh-CN"/>
        </w:rPr>
        <w:t>承包人违反约定采购和使用不合格工程材料或工程设备；</w:t>
      </w:r>
    </w:p>
    <w:p w14:paraId="3293925C">
      <w:pPr>
        <w:widowControl w:val="0"/>
        <w:numPr>
          <w:ilvl w:val="1"/>
          <w:numId w:val="36"/>
        </w:numPr>
        <w:tabs>
          <w:tab w:val="clear" w:pos="3285"/>
        </w:tabs>
        <w:adjustRightInd w:val="0"/>
        <w:snapToGrid w:val="0"/>
        <w:spacing w:line="400" w:lineRule="exact"/>
        <w:ind w:left="1850" w:leftChars="771" w:firstLine="0"/>
        <w:jc w:val="both"/>
        <w:rPr>
          <w:rFonts w:ascii="仿宋" w:hAnsi="仿宋" w:eastAsia="仿宋" w:cs="仿宋"/>
          <w:lang w:eastAsia="zh-CN"/>
        </w:rPr>
      </w:pPr>
      <w:r>
        <w:rPr>
          <w:rFonts w:hint="eastAsia" w:ascii="仿宋" w:hAnsi="仿宋" w:eastAsia="仿宋" w:cs="仿宋"/>
          <w:lang w:eastAsia="zh-CN"/>
        </w:rPr>
        <w:t>因承包人原因导致工程质量不符合合同约定的；</w:t>
      </w:r>
    </w:p>
    <w:p w14:paraId="50DE61EC">
      <w:pPr>
        <w:widowControl w:val="0"/>
        <w:numPr>
          <w:ilvl w:val="1"/>
          <w:numId w:val="36"/>
        </w:numPr>
        <w:tabs>
          <w:tab w:val="clear" w:pos="3285"/>
        </w:tabs>
        <w:adjustRightInd w:val="0"/>
        <w:snapToGrid w:val="0"/>
        <w:spacing w:line="400" w:lineRule="exact"/>
        <w:ind w:left="1850" w:leftChars="771" w:firstLine="0"/>
        <w:jc w:val="both"/>
        <w:rPr>
          <w:rFonts w:ascii="仿宋" w:hAnsi="仿宋" w:eastAsia="仿宋" w:cs="仿宋"/>
          <w:lang w:eastAsia="zh-CN"/>
        </w:rPr>
      </w:pPr>
      <w:r>
        <w:rPr>
          <w:rFonts w:hint="eastAsia" w:ascii="仿宋" w:hAnsi="仿宋" w:eastAsia="仿宋" w:cs="仿宋"/>
          <w:lang w:eastAsia="zh-CN"/>
        </w:rPr>
        <w:t>承包人未经工程师批准，擅自将已按合同约定进入施工现场的施工设备、临时设施、工程材料、工程设备撤离施工现场；</w:t>
      </w:r>
    </w:p>
    <w:p w14:paraId="060D117F">
      <w:pPr>
        <w:widowControl w:val="0"/>
        <w:numPr>
          <w:ilvl w:val="1"/>
          <w:numId w:val="36"/>
        </w:numPr>
        <w:tabs>
          <w:tab w:val="clear" w:pos="3285"/>
        </w:tabs>
        <w:adjustRightInd w:val="0"/>
        <w:snapToGrid w:val="0"/>
        <w:spacing w:line="400" w:lineRule="exact"/>
        <w:ind w:left="1850" w:leftChars="771" w:firstLine="0"/>
        <w:jc w:val="both"/>
        <w:rPr>
          <w:rFonts w:ascii="仿宋" w:hAnsi="仿宋" w:eastAsia="仿宋" w:cs="仿宋"/>
          <w:lang w:eastAsia="zh-CN"/>
        </w:rPr>
      </w:pPr>
      <w:r>
        <w:rPr>
          <w:rFonts w:hint="eastAsia" w:ascii="仿宋" w:hAnsi="仿宋" w:eastAsia="仿宋" w:cs="仿宋"/>
          <w:lang w:eastAsia="zh-CN"/>
        </w:rPr>
        <w:t>承包人未能按项目进度计划及时完成合同约定的工作，造成工期延误；</w:t>
      </w:r>
    </w:p>
    <w:p w14:paraId="63E9AFF5">
      <w:pPr>
        <w:widowControl w:val="0"/>
        <w:numPr>
          <w:ilvl w:val="1"/>
          <w:numId w:val="36"/>
        </w:numPr>
        <w:tabs>
          <w:tab w:val="clear" w:pos="3285"/>
        </w:tabs>
        <w:adjustRightInd w:val="0"/>
        <w:snapToGrid w:val="0"/>
        <w:spacing w:line="400" w:lineRule="exact"/>
        <w:ind w:left="1850" w:leftChars="771" w:firstLine="0"/>
        <w:jc w:val="both"/>
        <w:rPr>
          <w:rFonts w:ascii="仿宋" w:hAnsi="仿宋" w:eastAsia="仿宋" w:cs="仿宋"/>
          <w:lang w:eastAsia="zh-CN"/>
        </w:rPr>
      </w:pPr>
      <w:r>
        <w:rPr>
          <w:rFonts w:hint="eastAsia" w:ascii="仿宋" w:hAnsi="仿宋" w:eastAsia="仿宋" w:cs="仿宋"/>
          <w:lang w:eastAsia="zh-CN"/>
        </w:rPr>
        <w:t>由于承包人原因未能通过竣工试验或竣工后试验的；</w:t>
      </w:r>
    </w:p>
    <w:p w14:paraId="1341138B">
      <w:pPr>
        <w:widowControl w:val="0"/>
        <w:numPr>
          <w:ilvl w:val="1"/>
          <w:numId w:val="36"/>
        </w:numPr>
        <w:tabs>
          <w:tab w:val="clear" w:pos="3285"/>
        </w:tabs>
        <w:adjustRightInd w:val="0"/>
        <w:snapToGrid w:val="0"/>
        <w:spacing w:line="400" w:lineRule="exact"/>
        <w:ind w:left="1850" w:leftChars="771" w:firstLine="0"/>
        <w:jc w:val="both"/>
        <w:rPr>
          <w:rFonts w:ascii="仿宋" w:hAnsi="仿宋" w:eastAsia="仿宋" w:cs="仿宋"/>
          <w:lang w:eastAsia="zh-CN"/>
        </w:rPr>
      </w:pPr>
      <w:r>
        <w:rPr>
          <w:rFonts w:hint="eastAsia" w:ascii="仿宋" w:hAnsi="仿宋" w:eastAsia="仿宋" w:cs="仿宋"/>
          <w:lang w:eastAsia="zh-CN"/>
        </w:rPr>
        <w:t>承包人在缺陷责任期及保修期内，未能在合理期限对工程缺陷进行修复，或拒绝按发包人指示进行修复的；</w:t>
      </w:r>
    </w:p>
    <w:p w14:paraId="508DB4AF">
      <w:pPr>
        <w:widowControl w:val="0"/>
        <w:numPr>
          <w:ilvl w:val="1"/>
          <w:numId w:val="36"/>
        </w:numPr>
        <w:tabs>
          <w:tab w:val="clear" w:pos="3285"/>
        </w:tabs>
        <w:adjustRightInd w:val="0"/>
        <w:snapToGrid w:val="0"/>
        <w:spacing w:line="400" w:lineRule="exact"/>
        <w:ind w:left="1850" w:leftChars="771" w:firstLine="0"/>
        <w:jc w:val="both"/>
        <w:rPr>
          <w:rFonts w:ascii="仿宋" w:hAnsi="仿宋" w:eastAsia="仿宋" w:cs="仿宋"/>
          <w:lang w:eastAsia="zh-CN"/>
        </w:rPr>
      </w:pPr>
      <w:r>
        <w:rPr>
          <w:rFonts w:hint="eastAsia" w:ascii="仿宋" w:hAnsi="仿宋" w:eastAsia="仿宋" w:cs="仿宋"/>
          <w:lang w:eastAsia="zh-CN"/>
        </w:rPr>
        <w:t>承包人明确表示或者以其行为表明不履行合同主要义务的；</w:t>
      </w:r>
    </w:p>
    <w:p w14:paraId="661B9125">
      <w:pPr>
        <w:widowControl w:val="0"/>
        <w:numPr>
          <w:ilvl w:val="1"/>
          <w:numId w:val="36"/>
        </w:numPr>
        <w:tabs>
          <w:tab w:val="clear" w:pos="3285"/>
        </w:tabs>
        <w:adjustRightInd w:val="0"/>
        <w:snapToGrid w:val="0"/>
        <w:spacing w:line="400" w:lineRule="exact"/>
        <w:ind w:left="1850" w:leftChars="771" w:firstLine="0"/>
        <w:jc w:val="both"/>
        <w:rPr>
          <w:rFonts w:ascii="仿宋" w:hAnsi="仿宋" w:eastAsia="仿宋" w:cs="仿宋"/>
          <w:lang w:eastAsia="zh-CN"/>
        </w:rPr>
      </w:pPr>
      <w:r>
        <w:rPr>
          <w:rFonts w:hint="eastAsia" w:ascii="仿宋" w:hAnsi="仿宋" w:eastAsia="仿宋" w:cs="仿宋"/>
          <w:lang w:eastAsia="zh-CN"/>
        </w:rPr>
        <w:t>承包人未能按照合同约定履行其他义务的。</w:t>
      </w:r>
    </w:p>
    <w:p w14:paraId="22DC6EFF">
      <w:pPr>
        <w:spacing w:line="400" w:lineRule="exact"/>
        <w:rPr>
          <w:rFonts w:ascii="仿宋" w:hAnsi="仿宋" w:eastAsia="仿宋" w:cs="仿宋"/>
          <w:lang w:eastAsia="zh-CN"/>
        </w:rPr>
      </w:pPr>
      <w:r>
        <w:rPr>
          <w:rFonts w:hint="eastAsia" w:ascii="仿宋" w:hAnsi="仿宋" w:eastAsia="仿宋" w:cs="仿宋"/>
          <w:b/>
          <w:bCs/>
          <w:lang w:eastAsia="zh-CN"/>
        </w:rPr>
        <w:t>95</w:t>
      </w:r>
      <w:r>
        <w:rPr>
          <w:rFonts w:ascii="仿宋" w:hAnsi="仿宋" w:eastAsia="仿宋" w:cs="仿宋"/>
          <w:b/>
          <w:bCs/>
          <w:lang w:eastAsia="zh-CN"/>
        </w:rPr>
        <w:t xml:space="preserve">.2  </w:t>
      </w:r>
      <w:r>
        <w:rPr>
          <w:rFonts w:ascii="仿宋" w:hAnsi="仿宋" w:eastAsia="仿宋" w:cs="仿宋"/>
          <w:b/>
          <w:bCs/>
          <w:u w:val="dotted"/>
          <w:lang w:eastAsia="zh-CN"/>
        </w:rPr>
        <w:t xml:space="preserve">                                                                               </w:t>
      </w:r>
    </w:p>
    <w:p w14:paraId="127DB2DD">
      <w:pPr>
        <w:widowControl w:val="0"/>
        <w:adjustRightInd w:val="0"/>
        <w:snapToGrid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bidi="ar-SA"/>
        </w:rPr>
        <mc:AlternateContent>
          <mc:Choice Requires="wps">
            <w:drawing>
              <wp:anchor distT="0" distB="0" distL="114300" distR="114300" simplePos="0" relativeHeight="252114944" behindDoc="0" locked="0" layoutInCell="1" allowOverlap="1">
                <wp:simplePos x="0" y="0"/>
                <wp:positionH relativeFrom="column">
                  <wp:posOffset>-77470</wp:posOffset>
                </wp:positionH>
                <wp:positionV relativeFrom="paragraph">
                  <wp:posOffset>62230</wp:posOffset>
                </wp:positionV>
                <wp:extent cx="746760" cy="432435"/>
                <wp:effectExtent l="0" t="0" r="0" b="0"/>
                <wp:wrapNone/>
                <wp:docPr id="430" name="文本框 1107"/>
                <wp:cNvGraphicFramePr/>
                <a:graphic xmlns:a="http://schemas.openxmlformats.org/drawingml/2006/main">
                  <a:graphicData uri="http://schemas.microsoft.com/office/word/2010/wordprocessingShape">
                    <wps:wsp>
                      <wps:cNvSpPr txBox="1"/>
                      <wps:spPr>
                        <a:xfrm>
                          <a:off x="0" y="0"/>
                          <a:ext cx="746760" cy="432435"/>
                        </a:xfrm>
                        <a:prstGeom prst="rect">
                          <a:avLst/>
                        </a:prstGeom>
                        <a:noFill/>
                        <a:ln w="12700">
                          <a:noFill/>
                        </a:ln>
                      </wps:spPr>
                      <wps:txbx>
                        <w:txbxContent>
                          <w:p w14:paraId="3403EE1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通知改正</w:t>
                            </w:r>
                          </w:p>
                        </w:txbxContent>
                      </wps:txbx>
                      <wps:bodyPr rot="0" vert="horz" wrap="square" lIns="91440" tIns="45720" rIns="91440" bIns="45720" anchor="t" anchorCtr="0"/>
                    </wps:wsp>
                  </a:graphicData>
                </a:graphic>
              </wp:anchor>
            </w:drawing>
          </mc:Choice>
          <mc:Fallback>
            <w:pict>
              <v:shape id="文本框 1107" o:spid="_x0000_s1026" o:spt="202" type="#_x0000_t202" style="position:absolute;left:0pt;margin-left:-6.1pt;margin-top:4.9pt;height:34.05pt;width:58.8pt;z-index:252114944;mso-width-relative:page;mso-height-relative:page;" filled="f" stroked="f" coordsize="21600,21600" o:gfxdata="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3CEj&#10;hNcAAAAIAQAADwAAAAAAAAABACAAAAAiAAAAZHJzL2Rvd25yZXYueG1sUEsBAhQAFAAAAAgAh07i&#10;QIZNRWDqAQAAvwMAAA4AAAAAAAAAAQAgAAAAJgEAAGRycy9lMm9Eb2MueG1sUEsFBgAAAAAGAAYA&#10;WQEAAIIFAAAAAA==&#10;">
                <v:fill on="f" focussize="0,0"/>
                <v:stroke on="f" weight="1pt"/>
                <v:imagedata o:title=""/>
                <o:lock v:ext="edit" aspectratio="f"/>
                <v:textbox>
                  <w:txbxContent>
                    <w:p w14:paraId="3403EE1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通知改正</w:t>
                      </w:r>
                    </w:p>
                  </w:txbxContent>
                </v:textbox>
              </v:shape>
            </w:pict>
          </mc:Fallback>
        </mc:AlternateContent>
      </w:r>
      <w:r>
        <w:rPr>
          <w:rFonts w:hint="eastAsia" w:ascii="仿宋" w:hAnsi="仿宋" w:eastAsia="仿宋" w:cs="仿宋"/>
          <w:lang w:eastAsia="zh-CN"/>
        </w:rPr>
        <w:t>承包人发生除第95.1款第（7）目、第（9）目约定以外的其他违约情况时，设计顾问人、监理人和造价咨询人可向承包人发出整改通知，要求其在指定的期限内改正。</w:t>
      </w:r>
    </w:p>
    <w:p w14:paraId="4C6F0B40">
      <w:pPr>
        <w:spacing w:line="400" w:lineRule="exact"/>
        <w:rPr>
          <w:rFonts w:ascii="仿宋" w:hAnsi="仿宋" w:eastAsia="仿宋" w:cs="仿宋"/>
          <w:b/>
          <w:bCs/>
          <w:u w:val="dotted"/>
          <w:lang w:eastAsia="zh-CN"/>
        </w:rPr>
      </w:pPr>
      <w:r>
        <w:rPr>
          <w:rFonts w:hint="eastAsia" w:ascii="仿宋" w:hAnsi="仿宋" w:eastAsia="仿宋" w:cs="仿宋"/>
          <w:b/>
          <w:bCs/>
          <w:u w:val="dotted"/>
          <w:lang w:eastAsia="zh-CN" w:bidi="ar-SA"/>
        </w:rPr>
        <mc:AlternateContent>
          <mc:Choice Requires="wps">
            <w:drawing>
              <wp:anchor distT="0" distB="0" distL="114300" distR="114300" simplePos="0" relativeHeight="252115968" behindDoc="0" locked="0" layoutInCell="1" allowOverlap="1">
                <wp:simplePos x="0" y="0"/>
                <wp:positionH relativeFrom="column">
                  <wp:posOffset>-81915</wp:posOffset>
                </wp:positionH>
                <wp:positionV relativeFrom="paragraph">
                  <wp:posOffset>282575</wp:posOffset>
                </wp:positionV>
                <wp:extent cx="794385" cy="518160"/>
                <wp:effectExtent l="0" t="0" r="0" b="0"/>
                <wp:wrapNone/>
                <wp:docPr id="431" name="文本框 1107"/>
                <wp:cNvGraphicFramePr/>
                <a:graphic xmlns:a="http://schemas.openxmlformats.org/drawingml/2006/main">
                  <a:graphicData uri="http://schemas.microsoft.com/office/word/2010/wordprocessingShape">
                    <wps:wsp>
                      <wps:cNvSpPr txBox="1"/>
                      <wps:spPr>
                        <a:xfrm>
                          <a:off x="0" y="0"/>
                          <a:ext cx="794385" cy="518160"/>
                        </a:xfrm>
                        <a:prstGeom prst="rect">
                          <a:avLst/>
                        </a:prstGeom>
                        <a:noFill/>
                        <a:ln w="12700">
                          <a:noFill/>
                        </a:ln>
                      </wps:spPr>
                      <wps:txbx>
                        <w:txbxContent>
                          <w:p w14:paraId="61D50061">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违约的责任</w:t>
                            </w:r>
                          </w:p>
                          <w:p w14:paraId="5F69F157">
                            <w:pPr>
                              <w:spacing w:line="240" w:lineRule="exact"/>
                              <w:rPr>
                                <w:rFonts w:ascii="楷体_GB2312" w:hAnsi="宋体" w:eastAsia="楷体_GB2312"/>
                                <w:b/>
                                <w:bCs/>
                                <w:sz w:val="18"/>
                                <w:szCs w:val="18"/>
                                <w:lang w:eastAsia="zh-CN"/>
                              </w:rPr>
                            </w:pPr>
                          </w:p>
                        </w:txbxContent>
                      </wps:txbx>
                      <wps:bodyPr rot="0" vert="horz" wrap="square" lIns="91440" tIns="45720" rIns="91440" bIns="45720" anchor="t" anchorCtr="0"/>
                    </wps:wsp>
                  </a:graphicData>
                </a:graphic>
              </wp:anchor>
            </w:drawing>
          </mc:Choice>
          <mc:Fallback>
            <w:pict>
              <v:shape id="文本框 1107" o:spid="_x0000_s1026" o:spt="202" type="#_x0000_t202" style="position:absolute;left:0pt;margin-left:-6.45pt;margin-top:22.25pt;height:40.8pt;width:62.55pt;z-index:252115968;mso-width-relative:page;mso-height-relative:page;" filled="f" stroked="f" coordsize="21600,21600" o:gfxdata="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Z8kj3YAAAACgEAAA8AAAAAAAAAAQAgAAAAIgAAAGRycy9kb3ducmV2LnhtbFBLAQIUABQAAAAI&#10;AIdO4kDAwZOb7QEAAL8DAAAOAAAAAAAAAAEAIAAAACcBAABkcnMvZTJvRG9jLnhtbFBLBQYAAAAA&#10;BgAGAFkBAACGBQAAAAA=&#10;">
                <v:fill on="f" focussize="0,0"/>
                <v:stroke on="f" weight="1pt"/>
                <v:imagedata o:title=""/>
                <o:lock v:ext="edit" aspectratio="f"/>
                <v:textbox>
                  <w:txbxContent>
                    <w:p w14:paraId="61D50061">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违约的责任</w:t>
                      </w:r>
                    </w:p>
                    <w:p w14:paraId="5F69F157">
                      <w:pPr>
                        <w:spacing w:line="240" w:lineRule="exact"/>
                        <w:rPr>
                          <w:rFonts w:ascii="楷体_GB2312" w:hAnsi="宋体" w:eastAsia="楷体_GB2312"/>
                          <w:b/>
                          <w:bCs/>
                          <w:sz w:val="18"/>
                          <w:szCs w:val="18"/>
                          <w:lang w:eastAsia="zh-CN"/>
                        </w:rPr>
                      </w:pPr>
                    </w:p>
                  </w:txbxContent>
                </v:textbox>
              </v:shape>
            </w:pict>
          </mc:Fallback>
        </mc:AlternateContent>
      </w:r>
      <w:r>
        <w:rPr>
          <w:rFonts w:hint="eastAsia" w:ascii="仿宋" w:hAnsi="仿宋" w:eastAsia="仿宋" w:cs="仿宋"/>
          <w:b/>
          <w:bCs/>
          <w:lang w:eastAsia="zh-CN"/>
        </w:rPr>
        <w:t>95</w:t>
      </w:r>
      <w:r>
        <w:rPr>
          <w:rFonts w:ascii="仿宋" w:hAnsi="仿宋" w:eastAsia="仿宋" w:cs="仿宋"/>
          <w:b/>
          <w:bCs/>
          <w:lang w:eastAsia="zh-CN"/>
        </w:rPr>
        <w:t>.</w:t>
      </w:r>
      <w:r>
        <w:rPr>
          <w:rFonts w:hint="eastAsia" w:ascii="仿宋" w:hAnsi="仿宋" w:eastAsia="仿宋" w:cs="仿宋"/>
          <w:b/>
          <w:bCs/>
          <w:lang w:eastAsia="zh-CN"/>
        </w:rPr>
        <w:t>3</w:t>
      </w:r>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67D2A9F7">
      <w:pPr>
        <w:widowControl w:val="0"/>
        <w:adjustRightInd w:val="0"/>
        <w:snapToGrid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bidi="ar-SA"/>
        </w:rPr>
        <w:t>承包人应承担因其违约行为而增加的费用和（或）延误的工期。此外，合同当事人可在合同专用条款中另行约定承包人违约责任的承担方式和计算方法。</w:t>
      </w:r>
    </w:p>
    <w:p w14:paraId="7BE12371">
      <w:pPr>
        <w:spacing w:line="400" w:lineRule="exact"/>
        <w:rPr>
          <w:rFonts w:ascii="仿宋" w:hAnsi="仿宋" w:eastAsia="仿宋" w:cs="仿宋"/>
          <w:b/>
          <w:bCs/>
          <w:u w:val="dotted"/>
          <w:lang w:eastAsia="zh-CN"/>
        </w:rPr>
      </w:pPr>
      <w:bookmarkStart w:id="743" w:name="_Toc8891"/>
      <w:r>
        <w:rPr>
          <w:rFonts w:hint="eastAsia" w:ascii="仿宋" w:hAnsi="仿宋" w:eastAsia="仿宋" w:cs="仿宋"/>
          <w:b/>
          <w:bCs/>
          <w:lang w:eastAsia="zh-CN"/>
        </w:rPr>
        <w:t>95</w:t>
      </w:r>
      <w:r>
        <w:rPr>
          <w:rFonts w:ascii="仿宋" w:hAnsi="仿宋" w:eastAsia="仿宋" w:cs="仿宋"/>
          <w:b/>
          <w:bCs/>
          <w:lang w:eastAsia="zh-CN"/>
        </w:rPr>
        <w:t>.</w:t>
      </w:r>
      <w:bookmarkEnd w:id="743"/>
      <w:r>
        <w:rPr>
          <w:rFonts w:hint="eastAsia" w:ascii="仿宋" w:hAnsi="仿宋" w:eastAsia="仿宋" w:cs="仿宋"/>
          <w:b/>
          <w:bCs/>
          <w:lang w:eastAsia="zh-CN"/>
        </w:rPr>
        <w:t>4</w:t>
      </w:r>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7EC6DB1E">
      <w:pPr>
        <w:widowControl w:val="0"/>
        <w:adjustRightInd w:val="0"/>
        <w:snapToGrid w:val="0"/>
        <w:spacing w:line="400" w:lineRule="exact"/>
        <w:ind w:left="1850" w:leftChars="771"/>
        <w:jc w:val="both"/>
        <w:rPr>
          <w:rFonts w:ascii="仿宋" w:hAnsi="仿宋" w:eastAsia="仿宋" w:cs="仿宋"/>
          <w:lang w:eastAsia="zh-CN"/>
        </w:rPr>
      </w:pPr>
      <w:r>
        <mc:AlternateContent>
          <mc:Choice Requires="wps">
            <w:drawing>
              <wp:anchor distT="0" distB="0" distL="114300" distR="114300" simplePos="0" relativeHeight="252073984" behindDoc="0" locked="0" layoutInCell="1" allowOverlap="1">
                <wp:simplePos x="0" y="0"/>
                <wp:positionH relativeFrom="column">
                  <wp:posOffset>-114300</wp:posOffset>
                </wp:positionH>
                <wp:positionV relativeFrom="paragraph">
                  <wp:posOffset>20955</wp:posOffset>
                </wp:positionV>
                <wp:extent cx="794385" cy="632460"/>
                <wp:effectExtent l="0" t="0" r="0" b="0"/>
                <wp:wrapNone/>
                <wp:docPr id="432" name="文本框 1107"/>
                <wp:cNvGraphicFramePr/>
                <a:graphic xmlns:a="http://schemas.openxmlformats.org/drawingml/2006/main">
                  <a:graphicData uri="http://schemas.microsoft.com/office/word/2010/wordprocessingShape">
                    <wps:wsp>
                      <wps:cNvSpPr txBox="1"/>
                      <wps:spPr>
                        <a:xfrm>
                          <a:off x="0" y="0"/>
                          <a:ext cx="794385" cy="632460"/>
                        </a:xfrm>
                        <a:prstGeom prst="rect">
                          <a:avLst/>
                        </a:prstGeom>
                        <a:noFill/>
                        <a:ln w="12700">
                          <a:noFill/>
                        </a:ln>
                      </wps:spPr>
                      <wps:txbx>
                        <w:txbxContent>
                          <w:p w14:paraId="5DE3862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采购合同权益转让</w:t>
                            </w:r>
                          </w:p>
                          <w:p w14:paraId="781EB524">
                            <w:pPr>
                              <w:spacing w:line="240" w:lineRule="exact"/>
                              <w:rPr>
                                <w:rFonts w:ascii="楷体_GB2312" w:hAnsi="宋体" w:eastAsia="楷体_GB2312"/>
                                <w:b/>
                                <w:bCs/>
                                <w:sz w:val="18"/>
                                <w:szCs w:val="18"/>
                              </w:rPr>
                            </w:pPr>
                          </w:p>
                        </w:txbxContent>
                      </wps:txbx>
                      <wps:bodyPr rot="0" vert="horz" wrap="square" lIns="91440" tIns="45720" rIns="91440" bIns="45720" anchor="t" anchorCtr="0"/>
                    </wps:wsp>
                  </a:graphicData>
                </a:graphic>
              </wp:anchor>
            </w:drawing>
          </mc:Choice>
          <mc:Fallback>
            <w:pict>
              <v:shape id="文本框 1107" o:spid="_x0000_s1026" o:spt="202" type="#_x0000_t202" style="position:absolute;left:0pt;margin-left:-9pt;margin-top:1.65pt;height:49.8pt;width:62.55pt;z-index:252073984;mso-width-relative:page;mso-height-relative:page;" filled="f" stroked="f" coordsize="21600,21600" o:gfxdata="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t8zZhNcAAAAJAQAADwAAAAAAAAABACAAAAAiAAAAZHJzL2Rvd25yZXYueG1sUEsBAhQAFAAAAAgA&#10;h07iQHYEchztAQAAvwMAAA4AAAAAAAAAAQAgAAAAJgEAAGRycy9lMm9Eb2MueG1sUEsFBgAAAAAG&#10;AAYAWQEAAIUFAAAAAA==&#10;">
                <v:fill on="f" focussize="0,0"/>
                <v:stroke on="f" weight="1pt"/>
                <v:imagedata o:title=""/>
                <o:lock v:ext="edit" aspectratio="f"/>
                <v:textbox>
                  <w:txbxContent>
                    <w:p w14:paraId="5DE3862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采购合同权益转让</w:t>
                      </w:r>
                    </w:p>
                    <w:p w14:paraId="781EB524">
                      <w:pPr>
                        <w:spacing w:line="240" w:lineRule="exact"/>
                        <w:rPr>
                          <w:rFonts w:ascii="楷体_GB2312" w:hAnsi="宋体" w:eastAsia="楷体_GB2312"/>
                          <w:b/>
                          <w:bCs/>
                          <w:sz w:val="18"/>
                          <w:szCs w:val="18"/>
                        </w:rPr>
                      </w:pPr>
                    </w:p>
                  </w:txbxContent>
                </v:textbox>
              </v:shape>
            </w:pict>
          </mc:Fallback>
        </mc:AlternateContent>
      </w:r>
      <w:r>
        <w:rPr>
          <w:rFonts w:hint="eastAsia" w:ascii="仿宋" w:hAnsi="仿宋" w:eastAsia="仿宋" w:cs="仿宋"/>
          <w:lang w:eastAsia="zh-CN"/>
        </w:rPr>
        <w:t>因承包人违约解除合同的，发包人有权要求承包人将其为实施合同而签订的工程材料和工程设备的采购合同的权益转让给发包人，承包人应在收到解除合同通知后14 天内，协助发包人与采购合同的供应商达成相关的转让协议。</w:t>
      </w:r>
    </w:p>
    <w:p w14:paraId="219C0D37">
      <w:pPr>
        <w:pStyle w:val="22"/>
        <w:adjustRightInd w:val="0"/>
        <w:snapToGrid w:val="0"/>
        <w:spacing w:line="400" w:lineRule="exact"/>
        <w:ind w:right="-238"/>
        <w:rPr>
          <w:rFonts w:ascii="仿宋" w:hAnsi="仿宋" w:eastAsia="仿宋"/>
          <w:lang w:eastAsia="zh-CN"/>
        </w:rPr>
      </w:pPr>
      <w:r>
        <w:rPr>
          <w:rFonts w:ascii="仿宋" w:hAnsi="仿宋" w:eastAsia="仿宋" w:cs="仿宋"/>
          <w:sz w:val="24"/>
          <w:szCs w:val="24"/>
          <w:u w:val="single"/>
          <w:lang w:eastAsia="zh-CN"/>
        </w:rPr>
        <w:t xml:space="preserve">                                                               </w:t>
      </w:r>
      <w:r>
        <w:rPr>
          <w:rFonts w:hint="eastAsia" w:ascii="仿宋" w:hAnsi="仿宋" w:eastAsia="仿宋" w:cs="仿宋"/>
          <w:sz w:val="24"/>
          <w:szCs w:val="24"/>
          <w:u w:val="single"/>
          <w:lang w:eastAsia="zh-CN"/>
        </w:rPr>
        <w:t xml:space="preserve">     </w:t>
      </w:r>
      <w:r>
        <w:rPr>
          <w:rFonts w:ascii="仿宋" w:hAnsi="仿宋" w:eastAsia="仿宋" w:cs="仿宋"/>
          <w:sz w:val="24"/>
          <w:szCs w:val="24"/>
          <w:u w:val="single"/>
          <w:lang w:eastAsia="zh-CN"/>
        </w:rPr>
        <w:t xml:space="preserve">                  </w:t>
      </w:r>
    </w:p>
    <w:p w14:paraId="04D9B3DC">
      <w:pPr>
        <w:pStyle w:val="4"/>
        <w:tabs>
          <w:tab w:val="left" w:pos="420"/>
        </w:tabs>
        <w:spacing w:before="0" w:after="0" w:line="400" w:lineRule="exact"/>
        <w:rPr>
          <w:rFonts w:ascii="仿宋" w:hAnsi="仿宋" w:eastAsia="仿宋" w:cs="仿宋"/>
          <w:bCs w:val="0"/>
          <w:sz w:val="24"/>
          <w:szCs w:val="24"/>
          <w:lang w:eastAsia="zh-CN"/>
        </w:rPr>
      </w:pPr>
      <w:bookmarkStart w:id="744" w:name="_Toc17507"/>
      <w:bookmarkStart w:id="745" w:name="_Toc11432"/>
      <w:bookmarkStart w:id="746" w:name="_Toc489260630"/>
      <w:bookmarkStart w:id="747" w:name="_Toc194073209"/>
      <w:bookmarkStart w:id="748" w:name="_Toc19003"/>
      <w:r>
        <w:rPr>
          <w:rFonts w:hint="eastAsia" w:ascii="仿宋" w:hAnsi="仿宋" w:eastAsia="仿宋" w:cs="仿宋"/>
          <w:bCs w:val="0"/>
          <w:sz w:val="24"/>
          <w:szCs w:val="24"/>
          <w:lang w:eastAsia="zh-CN"/>
        </w:rPr>
        <w:t>★96</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 xml:space="preserve"> 发包人违约</w:t>
      </w:r>
      <w:bookmarkEnd w:id="744"/>
      <w:bookmarkEnd w:id="745"/>
      <w:bookmarkEnd w:id="746"/>
      <w:bookmarkEnd w:id="747"/>
      <w:bookmarkEnd w:id="748"/>
    </w:p>
    <w:p w14:paraId="4A20B2DE">
      <w:pPr>
        <w:pStyle w:val="22"/>
        <w:adjustRightInd w:val="0"/>
        <w:snapToGrid w:val="0"/>
        <w:spacing w:line="400" w:lineRule="exact"/>
        <w:rPr>
          <w:rFonts w:ascii="仿宋" w:hAnsi="仿宋" w:eastAsia="仿宋" w:cs="仿宋"/>
          <w:b/>
          <w:bCs/>
          <w:sz w:val="24"/>
          <w:szCs w:val="24"/>
          <w:lang w:eastAsia="zh-CN"/>
        </w:rPr>
      </w:pPr>
      <w:r>
        <mc:AlternateContent>
          <mc:Choice Requires="wps">
            <w:drawing>
              <wp:anchor distT="0" distB="0" distL="114300" distR="114300" simplePos="0" relativeHeight="252075008" behindDoc="0" locked="0" layoutInCell="1" allowOverlap="1">
                <wp:simplePos x="0" y="0"/>
                <wp:positionH relativeFrom="column">
                  <wp:posOffset>-81280</wp:posOffset>
                </wp:positionH>
                <wp:positionV relativeFrom="paragraph">
                  <wp:posOffset>254000</wp:posOffset>
                </wp:positionV>
                <wp:extent cx="813435" cy="629285"/>
                <wp:effectExtent l="0" t="0" r="0" b="0"/>
                <wp:wrapNone/>
                <wp:docPr id="433" name="文本框 1108"/>
                <wp:cNvGraphicFramePr/>
                <a:graphic xmlns:a="http://schemas.openxmlformats.org/drawingml/2006/main">
                  <a:graphicData uri="http://schemas.microsoft.com/office/word/2010/wordprocessingShape">
                    <wps:wsp>
                      <wps:cNvSpPr txBox="1"/>
                      <wps:spPr>
                        <a:xfrm>
                          <a:off x="0" y="0"/>
                          <a:ext cx="813435" cy="629285"/>
                        </a:xfrm>
                        <a:prstGeom prst="rect">
                          <a:avLst/>
                        </a:prstGeom>
                        <a:noFill/>
                        <a:ln w="12700">
                          <a:noFill/>
                        </a:ln>
                      </wps:spPr>
                      <wps:txbx>
                        <w:txbxContent>
                          <w:p w14:paraId="13AD5BD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发包人违约的情形</w:t>
                            </w:r>
                          </w:p>
                        </w:txbxContent>
                      </wps:txbx>
                      <wps:bodyPr rot="0" vert="horz" wrap="square" lIns="91440" tIns="45720" rIns="91440" bIns="45720" anchor="t" anchorCtr="0"/>
                    </wps:wsp>
                  </a:graphicData>
                </a:graphic>
              </wp:anchor>
            </w:drawing>
          </mc:Choice>
          <mc:Fallback>
            <w:pict>
              <v:shape id="文本框 1108" o:spid="_x0000_s1026" o:spt="202" type="#_x0000_t202" style="position:absolute;left:0pt;margin-left:-6.4pt;margin-top:20pt;height:49.55pt;width:64.05pt;z-index:252075008;mso-width-relative:page;mso-height-relative:page;" filled="f" stroked="f" coordsize="21600,21600" o:gfxdata="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u+BO9gAAAAKAQAADwAAAAAAAAABACAAAAAiAAAAZHJzL2Rvd25yZXYueG1sUEsBAhQAFAAAAAgA&#10;h07iQCfyIwzsAQAAvwMAAA4AAAAAAAAAAQAgAAAAJwEAAGRycy9lMm9Eb2MueG1sUEsFBgAAAAAG&#10;AAYAWQEAAIUFAAAAAA==&#10;">
                <v:fill on="f" focussize="0,0"/>
                <v:stroke on="f" weight="1pt"/>
                <v:imagedata o:title=""/>
                <o:lock v:ext="edit" aspectratio="f"/>
                <v:textbox>
                  <w:txbxContent>
                    <w:p w14:paraId="13AD5BD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发包人违约的情形</w:t>
                      </w:r>
                    </w:p>
                  </w:txbxContent>
                </v:textbox>
              </v:shape>
            </w:pict>
          </mc:Fallback>
        </mc:AlternateContent>
      </w:r>
      <w:r>
        <w:rPr>
          <w:rFonts w:hint="eastAsia" w:ascii="仿宋" w:hAnsi="仿宋" w:eastAsia="仿宋" w:cs="仿宋"/>
          <w:b/>
          <w:bCs/>
          <w:sz w:val="24"/>
          <w:szCs w:val="24"/>
          <w:lang w:eastAsia="zh-CN"/>
        </w:rPr>
        <w:t>96</w:t>
      </w:r>
      <w:r>
        <w:rPr>
          <w:rFonts w:ascii="仿宋" w:hAnsi="仿宋" w:eastAsia="仿宋" w:cs="仿宋"/>
          <w:b/>
          <w:bCs/>
          <w:sz w:val="24"/>
          <w:szCs w:val="24"/>
          <w:lang w:eastAsia="zh-CN"/>
        </w:rPr>
        <w:t>.1</w:t>
      </w:r>
    </w:p>
    <w:p w14:paraId="0B574253">
      <w:pPr>
        <w:widowControl w:val="0"/>
        <w:adjustRightInd w:val="0"/>
        <w:snapToGrid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除合同专用条款另有约定外，在合同履行过程中发生的下列情形，属于发包人违约：</w:t>
      </w:r>
    </w:p>
    <w:p w14:paraId="7A4547B0">
      <w:pPr>
        <w:widowControl w:val="0"/>
        <w:numPr>
          <w:ilvl w:val="1"/>
          <w:numId w:val="37"/>
        </w:numPr>
        <w:tabs>
          <w:tab w:val="clear" w:pos="3285"/>
        </w:tabs>
        <w:spacing w:line="400" w:lineRule="exact"/>
        <w:ind w:left="1850" w:leftChars="771" w:firstLine="0"/>
        <w:jc w:val="both"/>
        <w:rPr>
          <w:rFonts w:ascii="仿宋" w:hAnsi="仿宋" w:eastAsia="仿宋" w:cs="仿宋"/>
          <w:lang w:eastAsia="zh-CN"/>
        </w:rPr>
      </w:pPr>
      <w:r>
        <w:rPr>
          <w:rFonts w:hint="eastAsia" w:ascii="仿宋" w:hAnsi="仿宋" w:eastAsia="仿宋" w:cs="仿宋"/>
          <w:lang w:eastAsia="zh-CN"/>
        </w:rPr>
        <w:t xml:space="preserve">因发包人原因导致开始工作日期延误的； </w:t>
      </w:r>
    </w:p>
    <w:p w14:paraId="692C200D">
      <w:pPr>
        <w:widowControl w:val="0"/>
        <w:numPr>
          <w:ilvl w:val="1"/>
          <w:numId w:val="37"/>
        </w:numPr>
        <w:tabs>
          <w:tab w:val="clear" w:pos="3285"/>
        </w:tabs>
        <w:spacing w:line="400" w:lineRule="exact"/>
        <w:ind w:left="1850" w:leftChars="771" w:firstLine="0"/>
        <w:jc w:val="both"/>
        <w:rPr>
          <w:rFonts w:ascii="仿宋" w:hAnsi="仿宋" w:eastAsia="仿宋" w:cs="仿宋"/>
          <w:lang w:eastAsia="zh-CN"/>
        </w:rPr>
      </w:pPr>
      <w:r>
        <w:rPr>
          <w:rFonts w:hint="eastAsia" w:ascii="仿宋" w:hAnsi="仿宋" w:eastAsia="仿宋" w:cs="仿宋"/>
          <w:lang w:eastAsia="zh-CN"/>
        </w:rPr>
        <w:t>因发包人原因未能按合同约定支付合同价款的；</w:t>
      </w:r>
    </w:p>
    <w:p w14:paraId="426AC4AC">
      <w:pPr>
        <w:widowControl w:val="0"/>
        <w:numPr>
          <w:ilvl w:val="1"/>
          <w:numId w:val="37"/>
        </w:numPr>
        <w:tabs>
          <w:tab w:val="clear" w:pos="3285"/>
        </w:tabs>
        <w:spacing w:line="400" w:lineRule="exact"/>
        <w:ind w:left="1850" w:leftChars="771" w:firstLine="0"/>
        <w:jc w:val="both"/>
        <w:rPr>
          <w:rFonts w:ascii="仿宋" w:hAnsi="仿宋" w:eastAsia="仿宋" w:cs="仿宋"/>
          <w:lang w:eastAsia="zh-CN"/>
        </w:rPr>
      </w:pPr>
      <w:r>
        <w:rPr>
          <w:rFonts w:hint="eastAsia" w:ascii="仿宋" w:hAnsi="仿宋" w:eastAsia="仿宋" w:cs="仿宋"/>
          <w:lang w:eastAsia="zh-CN"/>
        </w:rPr>
        <w:t>发包人违反第13.1.1项约定，自行实施被取消的工作或转由他人实施的；</w:t>
      </w:r>
    </w:p>
    <w:p w14:paraId="47391EAE">
      <w:pPr>
        <w:widowControl w:val="0"/>
        <w:numPr>
          <w:ilvl w:val="1"/>
          <w:numId w:val="37"/>
        </w:numPr>
        <w:tabs>
          <w:tab w:val="clear" w:pos="3285"/>
        </w:tabs>
        <w:spacing w:line="400" w:lineRule="exact"/>
        <w:ind w:left="1850" w:leftChars="771" w:firstLine="0"/>
        <w:jc w:val="both"/>
        <w:rPr>
          <w:rFonts w:ascii="仿宋" w:hAnsi="仿宋" w:eastAsia="仿宋" w:cs="仿宋"/>
          <w:lang w:eastAsia="zh-CN"/>
        </w:rPr>
      </w:pPr>
      <w:r>
        <w:rPr>
          <w:rFonts w:hint="eastAsia" w:ascii="仿宋" w:hAnsi="仿宋" w:eastAsia="仿宋" w:cs="仿宋"/>
          <w:lang w:eastAsia="zh-CN"/>
        </w:rPr>
        <w:tab/>
      </w:r>
      <w:r>
        <w:rPr>
          <w:rFonts w:hint="eastAsia" w:ascii="仿宋" w:hAnsi="仿宋" w:eastAsia="仿宋" w:cs="仿宋"/>
          <w:lang w:eastAsia="zh-CN"/>
        </w:rPr>
        <w:t>因发包人违反合同约定造成工程暂停施工的；</w:t>
      </w:r>
    </w:p>
    <w:p w14:paraId="590A33A9">
      <w:pPr>
        <w:widowControl w:val="0"/>
        <w:numPr>
          <w:ilvl w:val="1"/>
          <w:numId w:val="37"/>
        </w:numPr>
        <w:tabs>
          <w:tab w:val="clear" w:pos="3285"/>
        </w:tabs>
        <w:spacing w:line="400" w:lineRule="exact"/>
        <w:ind w:left="1850" w:leftChars="771" w:firstLine="0"/>
        <w:jc w:val="both"/>
        <w:rPr>
          <w:rFonts w:ascii="仿宋" w:hAnsi="仿宋" w:eastAsia="仿宋" w:cs="仿宋"/>
          <w:lang w:eastAsia="zh-CN"/>
        </w:rPr>
      </w:pPr>
      <w:r>
        <w:rPr>
          <w:rFonts w:hint="eastAsia" w:ascii="仿宋" w:hAnsi="仿宋" w:eastAsia="仿宋" w:cs="仿宋"/>
          <w:lang w:eastAsia="zh-CN"/>
        </w:rPr>
        <w:t>监理人无正当理由没有在约定期限内发出复工指示，导致承包人无法复工的；</w:t>
      </w:r>
    </w:p>
    <w:p w14:paraId="5C74AB72">
      <w:pPr>
        <w:widowControl w:val="0"/>
        <w:numPr>
          <w:ilvl w:val="1"/>
          <w:numId w:val="37"/>
        </w:numPr>
        <w:tabs>
          <w:tab w:val="clear" w:pos="3285"/>
        </w:tabs>
        <w:spacing w:line="400" w:lineRule="exact"/>
        <w:ind w:left="1850" w:leftChars="771" w:firstLine="0"/>
        <w:jc w:val="both"/>
        <w:rPr>
          <w:rFonts w:ascii="仿宋" w:hAnsi="仿宋" w:eastAsia="仿宋" w:cs="仿宋"/>
          <w:lang w:eastAsia="zh-CN"/>
        </w:rPr>
      </w:pPr>
      <w:r>
        <w:rPr>
          <w:rFonts w:hint="eastAsia" w:ascii="仿宋" w:hAnsi="仿宋" w:eastAsia="仿宋" w:cs="仿宋"/>
          <w:lang w:eastAsia="zh-CN"/>
        </w:rPr>
        <w:t>发包人明确表示或者以其行为表明不履行合同主要义务的；</w:t>
      </w:r>
    </w:p>
    <w:p w14:paraId="528B1A32">
      <w:pPr>
        <w:widowControl w:val="0"/>
        <w:numPr>
          <w:ilvl w:val="1"/>
          <w:numId w:val="37"/>
        </w:numPr>
        <w:tabs>
          <w:tab w:val="clear" w:pos="3285"/>
        </w:tabs>
        <w:adjustRightInd w:val="0"/>
        <w:snapToGrid w:val="0"/>
        <w:spacing w:line="400" w:lineRule="exact"/>
        <w:ind w:left="1850" w:leftChars="771" w:firstLine="0"/>
        <w:jc w:val="both"/>
        <w:rPr>
          <w:rFonts w:ascii="仿宋" w:hAnsi="仿宋" w:eastAsia="仿宋"/>
          <w:b/>
          <w:bCs/>
          <w:lang w:eastAsia="zh-CN"/>
        </w:rPr>
      </w:pPr>
      <w:r>
        <w:rPr>
          <w:rFonts w:hint="eastAsia" w:ascii="仿宋" w:hAnsi="仿宋" w:eastAsia="仿宋" w:cs="仿宋"/>
          <w:lang w:eastAsia="zh-CN"/>
        </w:rPr>
        <w:tab/>
      </w:r>
      <w:r>
        <w:rPr>
          <w:rFonts w:hint="eastAsia" w:ascii="仿宋" w:hAnsi="仿宋" w:eastAsia="仿宋" w:cs="仿宋"/>
          <w:lang w:eastAsia="zh-CN"/>
        </w:rPr>
        <w:t>发包人未能按照合同约定履行其他义务的。</w:t>
      </w:r>
    </w:p>
    <w:p w14:paraId="24FB66CF">
      <w:pPr>
        <w:spacing w:line="400" w:lineRule="exact"/>
        <w:rPr>
          <w:rFonts w:ascii="仿宋" w:hAnsi="仿宋" w:eastAsia="仿宋" w:cs="仿宋"/>
          <w:b/>
          <w:bCs/>
          <w:u w:val="dotted"/>
          <w:lang w:eastAsia="zh-CN"/>
        </w:rPr>
      </w:pPr>
      <w:bookmarkStart w:id="749" w:name="_Toc15582"/>
      <w:r>
        <mc:AlternateContent>
          <mc:Choice Requires="wps">
            <w:drawing>
              <wp:anchor distT="0" distB="0" distL="114300" distR="114300" simplePos="0" relativeHeight="252076032" behindDoc="0" locked="0" layoutInCell="1" allowOverlap="1">
                <wp:simplePos x="0" y="0"/>
                <wp:positionH relativeFrom="column">
                  <wp:posOffset>-114300</wp:posOffset>
                </wp:positionH>
                <wp:positionV relativeFrom="paragraph">
                  <wp:posOffset>235585</wp:posOffset>
                </wp:positionV>
                <wp:extent cx="775970" cy="547370"/>
                <wp:effectExtent l="0" t="0" r="0" b="0"/>
                <wp:wrapNone/>
                <wp:docPr id="434" name="文本框 1109"/>
                <wp:cNvGraphicFramePr/>
                <a:graphic xmlns:a="http://schemas.openxmlformats.org/drawingml/2006/main">
                  <a:graphicData uri="http://schemas.microsoft.com/office/word/2010/wordprocessingShape">
                    <wps:wsp>
                      <wps:cNvSpPr txBox="1"/>
                      <wps:spPr>
                        <a:xfrm>
                          <a:off x="0" y="0"/>
                          <a:ext cx="775970" cy="547370"/>
                        </a:xfrm>
                        <a:prstGeom prst="rect">
                          <a:avLst/>
                        </a:prstGeom>
                        <a:noFill/>
                        <a:ln w="12700">
                          <a:noFill/>
                        </a:ln>
                      </wps:spPr>
                      <wps:txbx>
                        <w:txbxContent>
                          <w:p w14:paraId="3D01152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通知改正</w:t>
                            </w:r>
                          </w:p>
                        </w:txbxContent>
                      </wps:txbx>
                      <wps:bodyPr rot="0" vert="horz" wrap="square" lIns="91440" tIns="45720" rIns="91440" bIns="45720" anchor="t" anchorCtr="0"/>
                    </wps:wsp>
                  </a:graphicData>
                </a:graphic>
              </wp:anchor>
            </w:drawing>
          </mc:Choice>
          <mc:Fallback>
            <w:pict>
              <v:shape id="文本框 1109" o:spid="_x0000_s1026" o:spt="202" type="#_x0000_t202" style="position:absolute;left:0pt;margin-left:-9pt;margin-top:18.55pt;height:43.1pt;width:61.1pt;z-index:252076032;mso-width-relative:page;mso-height-relative:page;" filled="f" stroked="f" coordsize="21600,21600" o:gfxdata="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hl&#10;ldbYAAAACgEAAA8AAAAAAAAAAQAgAAAAIgAAAGRycy9kb3ducmV2LnhtbFBLAQIUABQAAAAIAIdO&#10;4kCVwodl6gEAAL8DAAAOAAAAAAAAAAEAIAAAACcBAABkcnMvZTJvRG9jLnhtbFBLBQYAAAAABgAG&#10;AFkBAACDBQAAAAA=&#10;">
                <v:fill on="f" focussize="0,0"/>
                <v:stroke on="f" weight="1pt"/>
                <v:imagedata o:title=""/>
                <o:lock v:ext="edit" aspectratio="f"/>
                <v:textbox>
                  <w:txbxContent>
                    <w:p w14:paraId="3D01152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通知改正</w:t>
                      </w:r>
                    </w:p>
                  </w:txbxContent>
                </v:textbox>
              </v:shape>
            </w:pict>
          </mc:Fallback>
        </mc:AlternateContent>
      </w:r>
      <w:r>
        <w:rPr>
          <w:rFonts w:hint="eastAsia" w:ascii="仿宋" w:hAnsi="仿宋" w:eastAsia="仿宋" w:cs="仿宋"/>
          <w:b/>
          <w:bCs/>
          <w:lang w:eastAsia="zh-CN"/>
        </w:rPr>
        <w:t>96</w:t>
      </w:r>
      <w:r>
        <w:rPr>
          <w:rFonts w:ascii="仿宋" w:hAnsi="仿宋" w:eastAsia="仿宋" w:cs="仿宋"/>
          <w:b/>
          <w:bCs/>
          <w:lang w:eastAsia="zh-CN"/>
        </w:rPr>
        <w:t>.2</w:t>
      </w:r>
      <w:bookmarkEnd w:id="749"/>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58C530CE">
      <w:pPr>
        <w:widowControl w:val="0"/>
        <w:adjustRightInd w:val="0"/>
        <w:snapToGrid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发包人发生除第96.1款第（6）项以外的违约情况时，承包人可向发包人发出通知，要求发包人采取有效措施纠正违约行为。发包人收到承包人通知后28天内仍不纠正违约行为的，承包人有权暂停相应部位工程实施，并通知设计顾问人、监理人和造价咨询人。</w:t>
      </w:r>
    </w:p>
    <w:p w14:paraId="640B39EC">
      <w:pPr>
        <w:spacing w:line="400" w:lineRule="exact"/>
        <w:rPr>
          <w:rFonts w:ascii="仿宋" w:hAnsi="仿宋" w:eastAsia="仿宋" w:cs="仿宋"/>
          <w:b/>
          <w:bCs/>
          <w:u w:val="dotted"/>
          <w:lang w:eastAsia="zh-CN"/>
        </w:rPr>
      </w:pPr>
      <w:r>
        <mc:AlternateContent>
          <mc:Choice Requires="wps">
            <w:drawing>
              <wp:anchor distT="0" distB="0" distL="114300" distR="114300" simplePos="0" relativeHeight="252116992" behindDoc="0" locked="0" layoutInCell="1" allowOverlap="1">
                <wp:simplePos x="0" y="0"/>
                <wp:positionH relativeFrom="column">
                  <wp:posOffset>-114300</wp:posOffset>
                </wp:positionH>
                <wp:positionV relativeFrom="paragraph">
                  <wp:posOffset>235585</wp:posOffset>
                </wp:positionV>
                <wp:extent cx="803910" cy="536575"/>
                <wp:effectExtent l="0" t="0" r="0" b="0"/>
                <wp:wrapNone/>
                <wp:docPr id="435" name="文本框 1109"/>
                <wp:cNvGraphicFramePr/>
                <a:graphic xmlns:a="http://schemas.openxmlformats.org/drawingml/2006/main">
                  <a:graphicData uri="http://schemas.microsoft.com/office/word/2010/wordprocessingShape">
                    <wps:wsp>
                      <wps:cNvSpPr txBox="1"/>
                      <wps:spPr>
                        <a:xfrm>
                          <a:off x="0" y="0"/>
                          <a:ext cx="803910" cy="536575"/>
                        </a:xfrm>
                        <a:prstGeom prst="rect">
                          <a:avLst/>
                        </a:prstGeom>
                        <a:noFill/>
                        <a:ln w="12700">
                          <a:noFill/>
                        </a:ln>
                      </wps:spPr>
                      <wps:txbx>
                        <w:txbxContent>
                          <w:p w14:paraId="6ADF178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w:t>
                            </w:r>
                            <w:r>
                              <w:rPr>
                                <w:rFonts w:hint="eastAsia" w:ascii="楷体_GB2312" w:hAnsi="宋体" w:eastAsia="楷体_GB2312" w:cs="楷体_GB2312"/>
                                <w:b/>
                                <w:bCs/>
                                <w:sz w:val="18"/>
                                <w:szCs w:val="18"/>
                                <w:lang w:eastAsia="zh-CN"/>
                              </w:rPr>
                              <w:t>的责任</w:t>
                            </w:r>
                          </w:p>
                        </w:txbxContent>
                      </wps:txbx>
                      <wps:bodyPr rot="0" vert="horz" wrap="square" lIns="91440" tIns="45720" rIns="91440" bIns="45720" anchor="t" anchorCtr="0"/>
                    </wps:wsp>
                  </a:graphicData>
                </a:graphic>
              </wp:anchor>
            </w:drawing>
          </mc:Choice>
          <mc:Fallback>
            <w:pict>
              <v:shape id="文本框 1109" o:spid="_x0000_s1026" o:spt="202" type="#_x0000_t202" style="position:absolute;left:0pt;margin-left:-9pt;margin-top:18.55pt;height:42.25pt;width:63.3pt;z-index:252116992;mso-width-relative:page;mso-height-relative:page;" filled="f" stroked="f" coordsize="21600,21600" o:gfxdata="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Z&#10;zbTd2AAAAAoBAAAPAAAAAAAAAAEAIAAAACIAAABkcnMvZG93bnJldi54bWxQSwECFAAUAAAACACH&#10;TuJAZ9r3JOsBAAC/AwAADgAAAAAAAAABACAAAAAnAQAAZHJzL2Uyb0RvYy54bWxQSwUGAAAAAAYA&#10;BgBZAQAAhAUAAAAA&#10;">
                <v:fill on="f" focussize="0,0"/>
                <v:stroke on="f" weight="1pt"/>
                <v:imagedata o:title=""/>
                <o:lock v:ext="edit" aspectratio="f"/>
                <v:textbox>
                  <w:txbxContent>
                    <w:p w14:paraId="6ADF178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w:t>
                      </w:r>
                      <w:r>
                        <w:rPr>
                          <w:rFonts w:hint="eastAsia" w:ascii="楷体_GB2312" w:hAnsi="宋体" w:eastAsia="楷体_GB2312" w:cs="楷体_GB2312"/>
                          <w:b/>
                          <w:bCs/>
                          <w:sz w:val="18"/>
                          <w:szCs w:val="18"/>
                          <w:lang w:eastAsia="zh-CN"/>
                        </w:rPr>
                        <w:t>的责任</w:t>
                      </w:r>
                    </w:p>
                  </w:txbxContent>
                </v:textbox>
              </v:shape>
            </w:pict>
          </mc:Fallback>
        </mc:AlternateContent>
      </w:r>
      <w:r>
        <w:rPr>
          <w:rFonts w:hint="eastAsia" w:ascii="仿宋" w:hAnsi="仿宋" w:eastAsia="仿宋" w:cs="仿宋"/>
          <w:b/>
          <w:bCs/>
          <w:lang w:eastAsia="zh-CN"/>
        </w:rPr>
        <w:t>96</w:t>
      </w:r>
      <w:r>
        <w:rPr>
          <w:rFonts w:ascii="仿宋" w:hAnsi="仿宋" w:eastAsia="仿宋" w:cs="仿宋"/>
          <w:b/>
          <w:bCs/>
          <w:lang w:eastAsia="zh-CN"/>
        </w:rPr>
        <w:t>.</w:t>
      </w:r>
      <w:r>
        <w:rPr>
          <w:rFonts w:hint="eastAsia" w:ascii="仿宋" w:hAnsi="仿宋" w:eastAsia="仿宋" w:cs="仿宋"/>
          <w:b/>
          <w:bCs/>
          <w:lang w:eastAsia="zh-CN"/>
        </w:rPr>
        <w:t>3</w:t>
      </w:r>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7DFFDDC1">
      <w:pPr>
        <w:widowControl w:val="0"/>
        <w:adjustRightInd w:val="0"/>
        <w:snapToGrid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发包人应承担因其违约给承包人增加的费用和（或）延误的工期，并支付承包人合理的利润。此外，合同当事人可在合同专用条款中另行约定发包人违约责任的承担方式和计算方法。</w:t>
      </w:r>
    </w:p>
    <w:p w14:paraId="5C80E12E">
      <w:pPr>
        <w:pStyle w:val="22"/>
        <w:adjustRightInd w:val="0"/>
        <w:snapToGrid w:val="0"/>
        <w:spacing w:line="400" w:lineRule="exact"/>
        <w:ind w:right="-238"/>
        <w:rPr>
          <w:rFonts w:ascii="仿宋" w:hAnsi="仿宋" w:eastAsia="仿宋"/>
          <w:lang w:eastAsia="zh-CN"/>
        </w:rPr>
      </w:pPr>
      <w:r>
        <w:rPr>
          <w:rFonts w:ascii="仿宋" w:hAnsi="仿宋" w:eastAsia="仿宋" w:cs="仿宋"/>
          <w:sz w:val="24"/>
          <w:szCs w:val="24"/>
          <w:u w:val="single"/>
          <w:lang w:eastAsia="zh-CN"/>
        </w:rPr>
        <w:t xml:space="preserve">                                                               </w:t>
      </w:r>
      <w:r>
        <w:rPr>
          <w:rFonts w:hint="eastAsia" w:ascii="仿宋" w:hAnsi="仿宋" w:eastAsia="仿宋" w:cs="仿宋"/>
          <w:sz w:val="24"/>
          <w:szCs w:val="24"/>
          <w:u w:val="single"/>
          <w:lang w:eastAsia="zh-CN"/>
        </w:rPr>
        <w:t xml:space="preserve">     </w:t>
      </w:r>
      <w:r>
        <w:rPr>
          <w:rFonts w:ascii="仿宋" w:hAnsi="仿宋" w:eastAsia="仿宋" w:cs="仿宋"/>
          <w:sz w:val="24"/>
          <w:szCs w:val="24"/>
          <w:u w:val="single"/>
          <w:lang w:eastAsia="zh-CN"/>
        </w:rPr>
        <w:t xml:space="preserve">                  </w:t>
      </w:r>
    </w:p>
    <w:p w14:paraId="5BECA976">
      <w:pPr>
        <w:pStyle w:val="4"/>
        <w:tabs>
          <w:tab w:val="left" w:pos="420"/>
        </w:tabs>
        <w:spacing w:before="0" w:after="0" w:line="400" w:lineRule="exact"/>
        <w:rPr>
          <w:rFonts w:ascii="仿宋" w:hAnsi="仿宋" w:eastAsia="仿宋" w:cs="仿宋"/>
          <w:bCs w:val="0"/>
          <w:sz w:val="24"/>
          <w:szCs w:val="24"/>
          <w:lang w:eastAsia="zh-CN"/>
        </w:rPr>
      </w:pPr>
      <w:bookmarkStart w:id="750" w:name="_Toc194073210"/>
      <w:bookmarkStart w:id="751" w:name="_Toc489260631"/>
      <w:bookmarkStart w:id="752" w:name="_Toc30475"/>
      <w:bookmarkStart w:id="753" w:name="_Toc2886"/>
      <w:bookmarkStart w:id="754" w:name="_Toc24302"/>
      <w:r>
        <w:rPr>
          <w:rFonts w:hint="eastAsia" w:ascii="仿宋" w:hAnsi="仿宋" w:eastAsia="仿宋" w:cs="仿宋"/>
          <w:bCs w:val="0"/>
          <w:sz w:val="24"/>
          <w:szCs w:val="24"/>
          <w:lang w:eastAsia="zh-CN"/>
        </w:rPr>
        <w:t>★</w:t>
      </w:r>
      <w:r>
        <w:rPr>
          <w:rFonts w:ascii="仿宋" w:hAnsi="仿宋" w:eastAsia="仿宋" w:cs="仿宋"/>
          <w:bCs w:val="0"/>
          <w:sz w:val="24"/>
          <w:szCs w:val="24"/>
          <w:lang w:eastAsia="zh-CN"/>
        </w:rPr>
        <w:t>9</w:t>
      </w:r>
      <w:r>
        <w:rPr>
          <w:rFonts w:hint="eastAsia" w:ascii="仿宋" w:hAnsi="仿宋" w:eastAsia="仿宋" w:cs="仿宋"/>
          <w:bCs w:val="0"/>
          <w:sz w:val="24"/>
          <w:szCs w:val="24"/>
          <w:lang w:eastAsia="zh-CN"/>
        </w:rPr>
        <w:t>7</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第三方违约与除外责任</w:t>
      </w:r>
      <w:bookmarkEnd w:id="750"/>
      <w:bookmarkEnd w:id="751"/>
      <w:bookmarkEnd w:id="752"/>
      <w:bookmarkEnd w:id="753"/>
      <w:bookmarkEnd w:id="754"/>
    </w:p>
    <w:p w14:paraId="7F2447BF">
      <w:pPr>
        <w:spacing w:line="400" w:lineRule="exact"/>
        <w:rPr>
          <w:rFonts w:ascii="仿宋" w:hAnsi="仿宋" w:eastAsia="仿宋" w:cs="仿宋"/>
          <w:b/>
          <w:bCs/>
          <w:u w:val="dotted"/>
          <w:lang w:eastAsia="zh-CN"/>
        </w:rPr>
      </w:pPr>
      <w:r>
        <mc:AlternateContent>
          <mc:Choice Requires="wps">
            <w:drawing>
              <wp:anchor distT="0" distB="0" distL="114300" distR="114300" simplePos="0" relativeHeight="252118016" behindDoc="0" locked="0" layoutInCell="1" allowOverlap="1">
                <wp:simplePos x="0" y="0"/>
                <wp:positionH relativeFrom="column">
                  <wp:posOffset>-114300</wp:posOffset>
                </wp:positionH>
                <wp:positionV relativeFrom="paragraph">
                  <wp:posOffset>235585</wp:posOffset>
                </wp:positionV>
                <wp:extent cx="833120" cy="584835"/>
                <wp:effectExtent l="0" t="0" r="0" b="0"/>
                <wp:wrapNone/>
                <wp:docPr id="436" name="文本框 1109"/>
                <wp:cNvGraphicFramePr/>
                <a:graphic xmlns:a="http://schemas.openxmlformats.org/drawingml/2006/main">
                  <a:graphicData uri="http://schemas.microsoft.com/office/word/2010/wordprocessingShape">
                    <wps:wsp>
                      <wps:cNvSpPr txBox="1"/>
                      <wps:spPr>
                        <a:xfrm>
                          <a:off x="0" y="0"/>
                          <a:ext cx="833120" cy="584835"/>
                        </a:xfrm>
                        <a:prstGeom prst="rect">
                          <a:avLst/>
                        </a:prstGeom>
                        <a:noFill/>
                        <a:ln w="12700">
                          <a:noFill/>
                        </a:ln>
                      </wps:spPr>
                      <wps:txbx>
                        <w:txbxContent>
                          <w:p w14:paraId="65C1818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第三方违约</w:t>
                            </w:r>
                          </w:p>
                        </w:txbxContent>
                      </wps:txbx>
                      <wps:bodyPr rot="0" vert="horz" wrap="square" lIns="91440" tIns="45720" rIns="91440" bIns="45720" anchor="t" anchorCtr="0"/>
                    </wps:wsp>
                  </a:graphicData>
                </a:graphic>
              </wp:anchor>
            </w:drawing>
          </mc:Choice>
          <mc:Fallback>
            <w:pict>
              <v:shape id="文本框 1109" o:spid="_x0000_s1026" o:spt="202" type="#_x0000_t202" style="position:absolute;left:0pt;margin-left:-9pt;margin-top:18.55pt;height:46.05pt;width:65.6pt;z-index:252118016;mso-width-relative:page;mso-height-relative:page;" filled="f" stroked="f" coordsize="21600,21600" o:gfxdata="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7&#10;r2SY2AAAAAoBAAAPAAAAAAAAAAEAIAAAACIAAABkcnMvZG93bnJldi54bWxQSwECFAAUAAAACACH&#10;TuJA2iVTnesBAAC/AwAADgAAAAAAAAABACAAAAAnAQAAZHJzL2Uyb0RvYy54bWxQSwUGAAAAAAYA&#10;BgBZAQAAhAUAAAAA&#10;">
                <v:fill on="f" focussize="0,0"/>
                <v:stroke on="f" weight="1pt"/>
                <v:imagedata o:title=""/>
                <o:lock v:ext="edit" aspectratio="f"/>
                <v:textbox>
                  <w:txbxContent>
                    <w:p w14:paraId="65C1818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第三方违约</w:t>
                      </w:r>
                    </w:p>
                  </w:txbxContent>
                </v:textbox>
              </v:shape>
            </w:pict>
          </mc:Fallback>
        </mc:AlternateContent>
      </w:r>
      <w:r>
        <w:rPr>
          <w:rFonts w:hint="eastAsia" w:ascii="仿宋" w:hAnsi="仿宋" w:eastAsia="仿宋" w:cs="仿宋"/>
          <w:b/>
          <w:bCs/>
          <w:lang w:eastAsia="zh-CN"/>
        </w:rPr>
        <w:t>97</w:t>
      </w:r>
      <w:r>
        <w:rPr>
          <w:rFonts w:ascii="仿宋" w:hAnsi="仿宋" w:eastAsia="仿宋" w:cs="仿宋"/>
          <w:b/>
          <w:bCs/>
          <w:lang w:eastAsia="zh-CN"/>
        </w:rPr>
        <w:t>.</w:t>
      </w:r>
      <w:r>
        <w:rPr>
          <w:rFonts w:hint="eastAsia" w:ascii="仿宋" w:hAnsi="仿宋" w:eastAsia="仿宋" w:cs="仿宋"/>
          <w:b/>
          <w:bCs/>
          <w:lang w:eastAsia="zh-CN"/>
        </w:rPr>
        <w:t>1</w:t>
      </w:r>
    </w:p>
    <w:p w14:paraId="0D748619">
      <w:pPr>
        <w:widowControl w:val="0"/>
        <w:adjustRightInd w:val="0"/>
        <w:snapToGrid w:val="0"/>
        <w:spacing w:line="400" w:lineRule="exact"/>
        <w:ind w:left="1850" w:leftChars="771"/>
        <w:jc w:val="both"/>
        <w:rPr>
          <w:rFonts w:ascii="仿宋" w:hAnsi="仿宋" w:eastAsia="仿宋" w:cs="仿宋"/>
          <w:lang w:eastAsia="zh-CN"/>
        </w:rPr>
      </w:pPr>
      <w:r>
        <w:rPr>
          <w:rFonts w:hint="eastAsia" w:ascii="仿宋" w:hAnsi="仿宋" w:eastAsia="仿宋" w:cs="仿宋"/>
          <w:lang w:eastAsia="zh-CN"/>
        </w:rPr>
        <w:t>在履行合同过程中，一方当事人因第三人的原因造成违约的，应当向对方当事人承担违约责任。一方当事人和第三人之间的纠纷，依照法律规定或者按照约定解决。</w:t>
      </w:r>
    </w:p>
    <w:p w14:paraId="5C29B64C">
      <w:pPr>
        <w:spacing w:line="400" w:lineRule="exact"/>
        <w:rPr>
          <w:lang w:eastAsia="zh-CN" w:bidi="ar-SA"/>
        </w:rPr>
      </w:pPr>
      <w:r>
        <w:rPr>
          <w:rFonts w:hint="eastAsia" w:ascii="仿宋" w:hAnsi="仿宋" w:eastAsia="仿宋" w:cs="仿宋"/>
          <w:b/>
          <w:bCs/>
          <w:lang w:eastAsia="zh-CN"/>
        </w:rPr>
        <w:t>97</w:t>
      </w:r>
      <w:r>
        <w:rPr>
          <w:rFonts w:ascii="仿宋" w:hAnsi="仿宋" w:eastAsia="仿宋" w:cs="仿宋"/>
          <w:b/>
          <w:bCs/>
          <w:lang w:eastAsia="zh-CN"/>
        </w:rPr>
        <w:t>.</w:t>
      </w:r>
      <w:r>
        <w:rPr>
          <w:rFonts w:hint="eastAsia" w:ascii="仿宋" w:hAnsi="仿宋" w:eastAsia="仿宋" w:cs="仿宋"/>
          <w:b/>
          <w:bCs/>
          <w:lang w:eastAsia="zh-CN"/>
        </w:rPr>
        <w:t>2</w:t>
      </w:r>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hint="eastAsia" w:ascii="仿宋" w:hAnsi="仿宋" w:eastAsia="仿宋" w:cs="仿宋"/>
          <w:b/>
          <w:bCs/>
          <w:u w:val="dotted"/>
          <w:lang w:eastAsia="zh-CN"/>
        </w:rPr>
        <w:t xml:space="preserve"> </w:t>
      </w:r>
      <w:r>
        <w:rPr>
          <w:rFonts w:ascii="仿宋" w:hAnsi="仿宋" w:eastAsia="仿宋" w:cs="仿宋"/>
          <w:b/>
          <w:bCs/>
          <w:u w:val="dotted"/>
          <w:lang w:eastAsia="zh-CN"/>
        </w:rPr>
        <w:t xml:space="preserve">                                 </w:t>
      </w:r>
    </w:p>
    <w:p w14:paraId="5A5F33B9">
      <w:pPr>
        <w:adjustRightInd w:val="0"/>
        <w:snapToGrid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969536" behindDoc="0" locked="0" layoutInCell="1" allowOverlap="1">
                <wp:simplePos x="0" y="0"/>
                <wp:positionH relativeFrom="column">
                  <wp:posOffset>-114300</wp:posOffset>
                </wp:positionH>
                <wp:positionV relativeFrom="paragraph">
                  <wp:posOffset>15875</wp:posOffset>
                </wp:positionV>
                <wp:extent cx="736600" cy="506095"/>
                <wp:effectExtent l="0" t="0" r="0" b="0"/>
                <wp:wrapNone/>
                <wp:docPr id="437" name="文本框 1110"/>
                <wp:cNvGraphicFramePr/>
                <a:graphic xmlns:a="http://schemas.openxmlformats.org/drawingml/2006/main">
                  <a:graphicData uri="http://schemas.microsoft.com/office/word/2010/wordprocessingShape">
                    <wps:wsp>
                      <wps:cNvSpPr txBox="1"/>
                      <wps:spPr>
                        <a:xfrm>
                          <a:off x="0" y="0"/>
                          <a:ext cx="736600" cy="506095"/>
                        </a:xfrm>
                        <a:prstGeom prst="rect">
                          <a:avLst/>
                        </a:prstGeom>
                        <a:noFill/>
                        <a:ln w="12700">
                          <a:noFill/>
                        </a:ln>
                      </wps:spPr>
                      <wps:txbx>
                        <w:txbxContent>
                          <w:p w14:paraId="28034D7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wps:txbx>
                      <wps:bodyPr rot="0" vert="horz" wrap="square" lIns="91440" tIns="45720" rIns="91440" bIns="45720" anchor="t" anchorCtr="0"/>
                    </wps:wsp>
                  </a:graphicData>
                </a:graphic>
              </wp:anchor>
            </w:drawing>
          </mc:Choice>
          <mc:Fallback>
            <w:pict>
              <v:shape id="文本框 1110" o:spid="_x0000_s1026" o:spt="202" type="#_x0000_t202" style="position:absolute;left:0pt;margin-left:-9pt;margin-top:1.25pt;height:39.85pt;width:58pt;z-index:251969536;mso-width-relative:page;mso-height-relative:page;" filled="f" stroked="f" coordsize="21600,21600" o:gfxdata="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xBUqY1QAA&#10;AAcBAAAPAAAAAAAAAAEAIAAAACIAAABkcnMvZG93bnJldi54bWxQSwECFAAUAAAACACHTuJAJMfO&#10;6ugBAAC/AwAADgAAAAAAAAABACAAAAAkAQAAZHJzL2Uyb0RvYy54bWxQSwUGAAAAAAYABgBZAQAA&#10;fgUAAAAA&#10;">
                <v:fill on="f" focussize="0,0"/>
                <v:stroke on="f" weight="1pt"/>
                <v:imagedata o:title=""/>
                <o:lock v:ext="edit" aspectratio="f"/>
                <v:textbox>
                  <w:txbxContent>
                    <w:p w14:paraId="28034D7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v:textbox>
              </v:shape>
            </w:pict>
          </mc:Fallback>
        </mc:AlternateContent>
      </w:r>
      <w:r>
        <w:rPr>
          <w:rFonts w:hint="eastAsia" w:ascii="仿宋" w:hAnsi="仿宋" w:eastAsia="仿宋" w:cs="仿宋"/>
          <w:lang w:eastAsia="zh-CN"/>
        </w:rPr>
        <w:t>非承包人的原因，且承包人无过错，而产生的各类损失，承包人不承担赔偿责任。</w:t>
      </w:r>
    </w:p>
    <w:p w14:paraId="56522D98">
      <w:pPr>
        <w:widowControl w:val="0"/>
        <w:adjustRightInd w:val="0"/>
        <w:snapToGrid w:val="0"/>
        <w:spacing w:line="400" w:lineRule="exact"/>
        <w:ind w:left="1850" w:leftChars="771"/>
        <w:jc w:val="both"/>
        <w:rPr>
          <w:rFonts w:ascii="仿宋" w:hAnsi="仿宋" w:eastAsia="仿宋"/>
          <w:lang w:eastAsia="zh-CN"/>
        </w:rPr>
      </w:pPr>
      <w:r>
        <w:rPr>
          <w:rFonts w:hint="eastAsia" w:ascii="仿宋" w:hAnsi="仿宋" w:eastAsia="仿宋" w:cs="仿宋"/>
          <w:lang w:eastAsia="zh-CN"/>
        </w:rPr>
        <w:t>因不可抗力导致本合同全部或部分不能履行时，双方各自承担损失。</w:t>
      </w:r>
    </w:p>
    <w:p w14:paraId="47DA1C72">
      <w:pPr>
        <w:pStyle w:val="22"/>
        <w:adjustRightInd w:val="0"/>
        <w:snapToGrid w:val="0"/>
        <w:spacing w:line="400" w:lineRule="exact"/>
        <w:ind w:right="-238"/>
        <w:rPr>
          <w:rFonts w:ascii="仿宋" w:hAnsi="仿宋" w:eastAsia="仿宋"/>
          <w:sz w:val="24"/>
          <w:szCs w:val="24"/>
          <w:u w:val="single"/>
          <w:lang w:eastAsia="zh-CN"/>
        </w:rPr>
      </w:pPr>
      <w:r>
        <w:rPr>
          <w:rFonts w:ascii="仿宋" w:hAnsi="仿宋" w:eastAsia="仿宋" w:cs="仿宋"/>
          <w:sz w:val="24"/>
          <w:szCs w:val="24"/>
          <w:u w:val="single"/>
          <w:lang w:eastAsia="zh-CN"/>
        </w:rPr>
        <w:t xml:space="preserve">                                                               </w:t>
      </w:r>
      <w:r>
        <w:rPr>
          <w:rFonts w:hint="eastAsia" w:ascii="仿宋" w:hAnsi="仿宋" w:eastAsia="仿宋" w:cs="仿宋"/>
          <w:sz w:val="24"/>
          <w:szCs w:val="24"/>
          <w:u w:val="single"/>
          <w:lang w:eastAsia="zh-CN"/>
        </w:rPr>
        <w:t xml:space="preserve">     </w:t>
      </w:r>
      <w:r>
        <w:rPr>
          <w:rFonts w:ascii="仿宋" w:hAnsi="仿宋" w:eastAsia="仿宋" w:cs="仿宋"/>
          <w:sz w:val="24"/>
          <w:szCs w:val="24"/>
          <w:u w:val="single"/>
          <w:lang w:eastAsia="zh-CN"/>
        </w:rPr>
        <w:t xml:space="preserve">                  </w:t>
      </w:r>
    </w:p>
    <w:p w14:paraId="6902425D">
      <w:pPr>
        <w:pStyle w:val="22"/>
        <w:adjustRightInd w:val="0"/>
        <w:snapToGrid w:val="0"/>
        <w:spacing w:line="400" w:lineRule="exact"/>
        <w:jc w:val="center"/>
        <w:outlineLvl w:val="1"/>
        <w:rPr>
          <w:rFonts w:ascii="仿宋" w:hAnsi="仿宋" w:eastAsia="仿宋"/>
          <w:b/>
          <w:bCs/>
          <w:sz w:val="24"/>
          <w:szCs w:val="24"/>
          <w:lang w:eastAsia="zh-CN"/>
        </w:rPr>
      </w:pPr>
      <w:bookmarkStart w:id="755" w:name="_Toc10262"/>
      <w:bookmarkStart w:id="756" w:name="_Toc9992"/>
      <w:bookmarkStart w:id="757" w:name="_Toc194073211"/>
      <w:bookmarkStart w:id="758" w:name="_Toc469384074"/>
      <w:bookmarkStart w:id="759" w:name="_Toc8666"/>
      <w:r>
        <w:rPr>
          <w:rFonts w:hint="eastAsia" w:ascii="仿宋" w:hAnsi="仿宋" w:eastAsia="仿宋" w:cs="仿宋"/>
          <w:b/>
          <w:bCs/>
          <w:sz w:val="24"/>
          <w:szCs w:val="24"/>
          <w:lang w:eastAsia="zh-CN"/>
        </w:rPr>
        <w:t>十、其</w:t>
      </w:r>
      <w:r>
        <w:rPr>
          <w:rFonts w:ascii="仿宋" w:hAnsi="仿宋" w:eastAsia="仿宋" w:cs="仿宋"/>
          <w:b/>
          <w:bCs/>
          <w:sz w:val="24"/>
          <w:szCs w:val="24"/>
          <w:lang w:eastAsia="zh-CN"/>
        </w:rPr>
        <w:t xml:space="preserve">  </w:t>
      </w:r>
      <w:r>
        <w:rPr>
          <w:rFonts w:hint="eastAsia" w:ascii="仿宋" w:hAnsi="仿宋" w:eastAsia="仿宋" w:cs="仿宋"/>
          <w:b/>
          <w:bCs/>
          <w:sz w:val="24"/>
          <w:szCs w:val="24"/>
          <w:lang w:eastAsia="zh-CN"/>
        </w:rPr>
        <w:t>他</w:t>
      </w:r>
      <w:bookmarkEnd w:id="755"/>
      <w:bookmarkEnd w:id="756"/>
      <w:bookmarkEnd w:id="757"/>
      <w:bookmarkEnd w:id="758"/>
      <w:bookmarkEnd w:id="759"/>
    </w:p>
    <w:p w14:paraId="4367722D">
      <w:pPr>
        <w:pStyle w:val="4"/>
        <w:tabs>
          <w:tab w:val="left" w:pos="420"/>
        </w:tabs>
        <w:spacing w:before="0" w:after="0" w:line="400" w:lineRule="exact"/>
        <w:rPr>
          <w:rFonts w:ascii="仿宋" w:hAnsi="仿宋" w:eastAsia="仿宋" w:cs="仿宋"/>
          <w:bCs w:val="0"/>
          <w:sz w:val="24"/>
          <w:szCs w:val="24"/>
          <w:lang w:eastAsia="zh-CN"/>
        </w:rPr>
      </w:pPr>
      <w:bookmarkStart w:id="760" w:name="_Toc24800"/>
      <w:bookmarkStart w:id="761" w:name="_Toc469384075"/>
      <w:bookmarkStart w:id="762" w:name="_Toc30941"/>
      <w:bookmarkStart w:id="763" w:name="_Toc194073212"/>
      <w:bookmarkStart w:id="764" w:name="_Toc24123"/>
      <w:r>
        <w:rPr>
          <w:rFonts w:ascii="仿宋" w:hAnsi="仿宋" w:eastAsia="仿宋" w:cs="仿宋"/>
          <w:bCs w:val="0"/>
          <w:sz w:val="24"/>
          <w:szCs w:val="24"/>
          <w:lang w:eastAsia="zh-CN"/>
        </w:rPr>
        <w:t>9</w:t>
      </w:r>
      <w:r>
        <w:rPr>
          <w:rFonts w:hint="eastAsia" w:ascii="仿宋" w:hAnsi="仿宋" w:eastAsia="仿宋" w:cs="仿宋"/>
          <w:bCs w:val="0"/>
          <w:sz w:val="24"/>
          <w:szCs w:val="24"/>
          <w:lang w:eastAsia="zh-CN"/>
        </w:rPr>
        <w:t>8</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缴纳税费</w:t>
      </w:r>
      <w:bookmarkEnd w:id="760"/>
      <w:bookmarkEnd w:id="761"/>
      <w:bookmarkEnd w:id="762"/>
      <w:bookmarkEnd w:id="763"/>
      <w:bookmarkEnd w:id="764"/>
    </w:p>
    <w:p w14:paraId="08929849">
      <w:pPr>
        <w:pStyle w:val="22"/>
        <w:tabs>
          <w:tab w:val="left" w:pos="1320"/>
        </w:tabs>
        <w:adjustRightInd w:val="0"/>
        <w:snapToGrid w:val="0"/>
        <w:spacing w:line="400" w:lineRule="exact"/>
        <w:rPr>
          <w:rFonts w:ascii="仿宋" w:hAnsi="仿宋" w:eastAsia="仿宋" w:cs="仿宋"/>
          <w:b/>
          <w:bCs/>
          <w:sz w:val="24"/>
          <w:szCs w:val="24"/>
          <w:lang w:eastAsia="zh-CN"/>
        </w:rPr>
      </w:pPr>
      <w:r>
        <w:rPr>
          <w:rFonts w:ascii="仿宋" w:hAnsi="仿宋" w:eastAsia="仿宋" w:cs="仿宋"/>
          <w:b/>
          <w:bCs/>
          <w:sz w:val="24"/>
          <w:szCs w:val="24"/>
          <w:lang w:eastAsia="zh-CN"/>
        </w:rPr>
        <w:t>9</w:t>
      </w:r>
      <w:r>
        <w:rPr>
          <w:rFonts w:hint="eastAsia" w:ascii="仿宋" w:hAnsi="仿宋" w:eastAsia="仿宋" w:cs="仿宋"/>
          <w:b/>
          <w:bCs/>
          <w:sz w:val="24"/>
          <w:szCs w:val="24"/>
          <w:lang w:eastAsia="zh-CN"/>
        </w:rPr>
        <w:t>8</w:t>
      </w:r>
      <w:r>
        <w:rPr>
          <w:rFonts w:ascii="仿宋" w:hAnsi="仿宋" w:eastAsia="仿宋" w:cs="仿宋"/>
          <w:b/>
          <w:bCs/>
          <w:sz w:val="24"/>
          <w:szCs w:val="24"/>
          <w:lang w:eastAsia="zh-CN"/>
        </w:rPr>
        <w:t>.1</w:t>
      </w:r>
    </w:p>
    <w:p w14:paraId="038CFBCF">
      <w:pPr>
        <w:widowControl w:val="0"/>
        <w:adjustRightInd w:val="0"/>
        <w:snapToGrid w:val="0"/>
        <w:spacing w:line="400" w:lineRule="exact"/>
        <w:ind w:left="1850" w:leftChars="771"/>
        <w:jc w:val="both"/>
        <w:rPr>
          <w:rFonts w:ascii="仿宋" w:hAnsi="仿宋" w:eastAsia="仿宋"/>
          <w:lang w:eastAsia="zh-CN"/>
        </w:rPr>
      </w:pPr>
      <w:r>
        <w:rPr>
          <w:rFonts w:hint="eastAsia" w:ascii="仿宋" w:hAnsi="仿宋" w:eastAsia="仿宋" w:cs="仿宋"/>
          <w:lang w:eastAsia="zh-CN"/>
        </w:rPr>
        <w:t>合同双方当事人</w:t>
      </w:r>
      <w:r>
        <mc:AlternateContent>
          <mc:Choice Requires="wps">
            <w:drawing>
              <wp:anchor distT="0" distB="0" distL="114300" distR="114300" simplePos="0" relativeHeight="251956224" behindDoc="0" locked="0" layoutInCell="1" allowOverlap="1">
                <wp:simplePos x="0" y="0"/>
                <wp:positionH relativeFrom="column">
                  <wp:posOffset>-114300</wp:posOffset>
                </wp:positionH>
                <wp:positionV relativeFrom="paragraph">
                  <wp:posOffset>635</wp:posOffset>
                </wp:positionV>
                <wp:extent cx="813435" cy="466725"/>
                <wp:effectExtent l="0" t="0" r="0" b="0"/>
                <wp:wrapNone/>
                <wp:docPr id="438" name="文本框 1092"/>
                <wp:cNvGraphicFramePr/>
                <a:graphic xmlns:a="http://schemas.openxmlformats.org/drawingml/2006/main">
                  <a:graphicData uri="http://schemas.microsoft.com/office/word/2010/wordprocessingShape">
                    <wps:wsp>
                      <wps:cNvSpPr txBox="1"/>
                      <wps:spPr>
                        <a:xfrm>
                          <a:off x="0" y="0"/>
                          <a:ext cx="813435" cy="466725"/>
                        </a:xfrm>
                        <a:prstGeom prst="rect">
                          <a:avLst/>
                        </a:prstGeom>
                        <a:noFill/>
                        <a:ln w="12700">
                          <a:noFill/>
                        </a:ln>
                      </wps:spPr>
                      <wps:txbx>
                        <w:txbxContent>
                          <w:p w14:paraId="0C43209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约定缴纳一切税费</w:t>
                            </w:r>
                          </w:p>
                        </w:txbxContent>
                      </wps:txbx>
                      <wps:bodyPr rot="0" vert="horz" wrap="square" lIns="91440" tIns="45720" rIns="91440" bIns="45720" anchor="t" anchorCtr="0"/>
                    </wps:wsp>
                  </a:graphicData>
                </a:graphic>
              </wp:anchor>
            </w:drawing>
          </mc:Choice>
          <mc:Fallback>
            <w:pict>
              <v:shape id="文本框 1092" o:spid="_x0000_s1026" o:spt="202" type="#_x0000_t202" style="position:absolute;left:0pt;margin-left:-9pt;margin-top:0.05pt;height:36.75pt;width:64.05pt;z-index:251956224;mso-width-relative:page;mso-height-relative:page;" filled="f" stroked="f" coordsize="21600,21600" o:gfxdata="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cj0c6&#10;1AAAAAcBAAAPAAAAAAAAAAEAIAAAACIAAABkcnMvZG93bnJldi54bWxQSwECFAAUAAAACACHTuJA&#10;EL/U8OwBAAC/AwAADgAAAAAAAAABACAAAAAjAQAAZHJzL2Uyb0RvYy54bWxQSwUGAAAAAAYABgBZ&#10;AQAAgQUAAAAA&#10;">
                <v:fill on="f" focussize="0,0"/>
                <v:stroke on="f" weight="1pt"/>
                <v:imagedata o:title=""/>
                <o:lock v:ext="edit" aspectratio="f"/>
                <v:textbox>
                  <w:txbxContent>
                    <w:p w14:paraId="0C43209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约定缴纳一切税费</w:t>
                      </w:r>
                    </w:p>
                  </w:txbxContent>
                </v:textbox>
              </v:shape>
            </w:pict>
          </mc:Fallback>
        </mc:AlternateContent>
      </w:r>
      <w:r>
        <w:rPr>
          <w:rFonts w:hint="eastAsia" w:ascii="仿宋" w:hAnsi="仿宋" w:eastAsia="仿宋" w:cs="仿宋"/>
          <w:lang w:eastAsia="zh-CN"/>
        </w:rPr>
        <w:t>应按照国家现行税法和有关部门现行规定缴纳合同工程需缴的一切税费。</w:t>
      </w:r>
    </w:p>
    <w:p w14:paraId="285E7809">
      <w:pPr>
        <w:spacing w:line="400" w:lineRule="exact"/>
        <w:rPr>
          <w:rFonts w:ascii="仿宋" w:hAnsi="仿宋" w:eastAsia="仿宋"/>
          <w:b/>
          <w:bCs/>
          <w:lang w:eastAsia="zh-CN"/>
        </w:rPr>
      </w:pPr>
      <w:bookmarkStart w:id="765" w:name="_Toc29240"/>
      <w:r>
        <w:rPr>
          <w:rFonts w:ascii="仿宋" w:hAnsi="仿宋" w:eastAsia="仿宋" w:cs="仿宋"/>
          <w:b/>
          <w:bCs/>
          <w:lang w:eastAsia="zh-CN"/>
        </w:rPr>
        <w:t>9</w:t>
      </w:r>
      <w:r>
        <w:rPr>
          <w:rFonts w:hint="eastAsia" w:ascii="仿宋" w:hAnsi="仿宋" w:eastAsia="仿宋" w:cs="仿宋"/>
          <w:b/>
          <w:bCs/>
          <w:lang w:eastAsia="zh-CN"/>
        </w:rPr>
        <w:t>8</w:t>
      </w:r>
      <w:r>
        <w:rPr>
          <w:rFonts w:ascii="仿宋" w:hAnsi="仿宋" w:eastAsia="仿宋" w:cs="仿宋"/>
          <w:b/>
          <w:bCs/>
          <w:lang w:eastAsia="zh-CN"/>
        </w:rPr>
        <w:t>.2</w:t>
      </w:r>
      <w:bookmarkEnd w:id="765"/>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4C3217B0">
      <w:pPr>
        <w:widowControl w:val="0"/>
        <w:adjustRightInd w:val="0"/>
        <w:snapToGrid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957248" behindDoc="0" locked="0" layoutInCell="1" allowOverlap="1">
                <wp:simplePos x="0" y="0"/>
                <wp:positionH relativeFrom="column">
                  <wp:posOffset>-114300</wp:posOffset>
                </wp:positionH>
                <wp:positionV relativeFrom="paragraph">
                  <wp:posOffset>32385</wp:posOffset>
                </wp:positionV>
                <wp:extent cx="842645" cy="535305"/>
                <wp:effectExtent l="0" t="0" r="0" b="0"/>
                <wp:wrapNone/>
                <wp:docPr id="439" name="文本框 1093"/>
                <wp:cNvGraphicFramePr/>
                <a:graphic xmlns:a="http://schemas.openxmlformats.org/drawingml/2006/main">
                  <a:graphicData uri="http://schemas.microsoft.com/office/word/2010/wordprocessingShape">
                    <wps:wsp>
                      <wps:cNvSpPr txBox="1"/>
                      <wps:spPr>
                        <a:xfrm>
                          <a:off x="0" y="0"/>
                          <a:ext cx="842645" cy="535305"/>
                        </a:xfrm>
                        <a:prstGeom prst="rect">
                          <a:avLst/>
                        </a:prstGeom>
                        <a:noFill/>
                        <a:ln w="12700">
                          <a:noFill/>
                        </a:ln>
                      </wps:spPr>
                      <wps:txbx>
                        <w:txbxContent>
                          <w:p w14:paraId="78F86F5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txbxContent>
                      </wps:txbx>
                      <wps:bodyPr rot="0" vert="horz" wrap="square" lIns="91440" tIns="45720" rIns="91440" bIns="45720" anchor="t" anchorCtr="0"/>
                    </wps:wsp>
                  </a:graphicData>
                </a:graphic>
              </wp:anchor>
            </w:drawing>
          </mc:Choice>
          <mc:Fallback>
            <w:pict>
              <v:shape id="文本框 1093" o:spid="_x0000_s1026" o:spt="202" type="#_x0000_t202" style="position:absolute;left:0pt;margin-left:-9pt;margin-top:2.55pt;height:42.15pt;width:66.35pt;z-index:251957248;mso-width-relative:page;mso-height-relative:page;" filled="f" stroked="f" coordsize="21600,21600" o:gfxdata="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SbqhMNgAAAAIAQAADwAAAAAAAAABACAAAAAiAAAAZHJzL2Rvd25yZXYueG1sUEsBAhQAFAAAAAgA&#10;h07iQP63ddbsAQAAvwMAAA4AAAAAAAAAAQAgAAAAJwEAAGRycy9lMm9Eb2MueG1sUEsFBgAAAAAG&#10;AAYAWQEAAIUFAAAAAA==&#10;">
                <v:fill on="f" focussize="0,0"/>
                <v:stroke on="f" weight="1pt"/>
                <v:imagedata o:title=""/>
                <o:lock v:ext="edit" aspectratio="f"/>
                <v:textbox>
                  <w:txbxContent>
                    <w:p w14:paraId="78F86F5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txbxContent>
                </v:textbox>
              </v:shape>
            </w:pict>
          </mc:Fallback>
        </mc:AlternateContent>
      </w:r>
      <w:r>
        <w:rPr>
          <w:rFonts w:hint="eastAsia" w:ascii="仿宋" w:hAnsi="仿宋" w:eastAsia="仿宋" w:cs="仿宋"/>
          <w:lang w:eastAsia="zh-CN"/>
        </w:rPr>
        <w:t>合同任何一方当事人没交或少交合同工程需缴税费的，违法方应足额补交，并承担相应的法律责任；给另一方当事人造成损失的，违法方应赔偿损失。</w:t>
      </w:r>
    </w:p>
    <w:p w14:paraId="7237EA4F">
      <w:pPr>
        <w:pStyle w:val="22"/>
        <w:adjustRightInd w:val="0"/>
        <w:snapToGrid w:val="0"/>
        <w:spacing w:line="400" w:lineRule="exact"/>
        <w:rPr>
          <w:rFonts w:ascii="仿宋" w:hAnsi="仿宋" w:eastAsia="仿宋" w:cs="仿宋"/>
          <w:b/>
          <w:bCs/>
          <w:sz w:val="24"/>
          <w:szCs w:val="24"/>
          <w:u w:val="single"/>
          <w:lang w:eastAsia="zh-CN"/>
        </w:rPr>
      </w:pPr>
      <w:r>
        <w:rPr>
          <w:rFonts w:ascii="仿宋" w:hAnsi="仿宋" w:eastAsia="仿宋" w:cs="仿宋"/>
          <w:b/>
          <w:bCs/>
          <w:sz w:val="24"/>
          <w:szCs w:val="24"/>
          <w:u w:val="single"/>
          <w:lang w:eastAsia="zh-CN"/>
        </w:rPr>
        <w:t xml:space="preserve">                                                                                     </w:t>
      </w:r>
    </w:p>
    <w:p w14:paraId="34011849">
      <w:pPr>
        <w:pStyle w:val="4"/>
        <w:tabs>
          <w:tab w:val="left" w:pos="420"/>
        </w:tabs>
        <w:spacing w:before="0" w:after="0" w:line="400" w:lineRule="exact"/>
        <w:rPr>
          <w:rFonts w:ascii="仿宋" w:hAnsi="仿宋" w:eastAsia="仿宋" w:cs="仿宋"/>
          <w:bCs w:val="0"/>
          <w:sz w:val="24"/>
          <w:szCs w:val="24"/>
          <w:lang w:eastAsia="zh-CN"/>
        </w:rPr>
      </w:pPr>
      <w:bookmarkStart w:id="766" w:name="_Toc469384076"/>
      <w:bookmarkStart w:id="767" w:name="_Toc12342"/>
      <w:bookmarkStart w:id="768" w:name="_Toc24068"/>
      <w:bookmarkStart w:id="769" w:name="_Toc194073213"/>
      <w:bookmarkStart w:id="770" w:name="_Toc16670"/>
      <w:r>
        <w:rPr>
          <w:rFonts w:hint="eastAsia" w:ascii="仿宋" w:hAnsi="仿宋" w:eastAsia="仿宋" w:cs="仿宋"/>
          <w:bCs w:val="0"/>
          <w:sz w:val="24"/>
          <w:szCs w:val="24"/>
          <w:lang w:eastAsia="zh-CN"/>
        </w:rPr>
        <w:t>99</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保密要求</w:t>
      </w:r>
      <w:bookmarkEnd w:id="766"/>
      <w:bookmarkEnd w:id="767"/>
      <w:bookmarkEnd w:id="768"/>
      <w:bookmarkEnd w:id="769"/>
      <w:bookmarkEnd w:id="770"/>
    </w:p>
    <w:p w14:paraId="567FA522">
      <w:pPr>
        <w:pStyle w:val="22"/>
        <w:adjustRightInd w:val="0"/>
        <w:snapToGrid w:val="0"/>
        <w:spacing w:line="400" w:lineRule="exact"/>
        <w:rPr>
          <w:rFonts w:ascii="仿宋" w:hAnsi="仿宋" w:eastAsia="仿宋" w:cs="仿宋"/>
          <w:b/>
          <w:bCs/>
          <w:sz w:val="24"/>
          <w:szCs w:val="24"/>
          <w:lang w:eastAsia="zh-CN"/>
        </w:rPr>
      </w:pPr>
      <w:r>
        <w:rPr>
          <w:rFonts w:hint="eastAsia" w:ascii="仿宋" w:hAnsi="仿宋" w:eastAsia="仿宋" w:cs="仿宋"/>
          <w:b/>
          <w:bCs/>
          <w:sz w:val="24"/>
          <w:szCs w:val="24"/>
          <w:lang w:eastAsia="zh-CN"/>
        </w:rPr>
        <w:t>99</w:t>
      </w:r>
      <w:r>
        <w:rPr>
          <w:rFonts w:ascii="仿宋" w:hAnsi="仿宋" w:eastAsia="仿宋" w:cs="仿宋"/>
          <w:b/>
          <w:bCs/>
          <w:sz w:val="24"/>
          <w:szCs w:val="24"/>
          <w:lang w:eastAsia="zh-CN"/>
        </w:rPr>
        <w:t>.1</w:t>
      </w:r>
    </w:p>
    <w:p w14:paraId="008EFEC3">
      <w:pPr>
        <w:widowControl w:val="0"/>
        <w:adjustRightInd w:val="0"/>
        <w:snapToGrid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958272" behindDoc="0" locked="0" layoutInCell="1" allowOverlap="1">
                <wp:simplePos x="0" y="0"/>
                <wp:positionH relativeFrom="column">
                  <wp:posOffset>-114300</wp:posOffset>
                </wp:positionH>
                <wp:positionV relativeFrom="paragraph">
                  <wp:posOffset>34290</wp:posOffset>
                </wp:positionV>
                <wp:extent cx="813435" cy="592455"/>
                <wp:effectExtent l="0" t="0" r="0" b="0"/>
                <wp:wrapNone/>
                <wp:docPr id="440" name="文本框 1094"/>
                <wp:cNvGraphicFramePr/>
                <a:graphic xmlns:a="http://schemas.openxmlformats.org/drawingml/2006/main">
                  <a:graphicData uri="http://schemas.microsoft.com/office/word/2010/wordprocessingShape">
                    <wps:wsp>
                      <wps:cNvSpPr txBox="1"/>
                      <wps:spPr>
                        <a:xfrm>
                          <a:off x="0" y="0"/>
                          <a:ext cx="813435" cy="592455"/>
                        </a:xfrm>
                        <a:prstGeom prst="rect">
                          <a:avLst/>
                        </a:prstGeom>
                        <a:noFill/>
                        <a:ln w="12700">
                          <a:noFill/>
                        </a:ln>
                      </wps:spPr>
                      <wps:txbx>
                        <w:txbxContent>
                          <w:p w14:paraId="2B30EF29">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提供保密信息和履行保密义务</w:t>
                            </w:r>
                          </w:p>
                        </w:txbxContent>
                      </wps:txbx>
                      <wps:bodyPr rot="0" vert="horz" wrap="square" lIns="91440" tIns="45720" rIns="91440" bIns="45720" anchor="t" anchorCtr="0"/>
                    </wps:wsp>
                  </a:graphicData>
                </a:graphic>
              </wp:anchor>
            </w:drawing>
          </mc:Choice>
          <mc:Fallback>
            <w:pict>
              <v:shape id="文本框 1094" o:spid="_x0000_s1026" o:spt="202" type="#_x0000_t202" style="position:absolute;left:0pt;margin-left:-9pt;margin-top:2.7pt;height:46.65pt;width:64.05pt;z-index:251958272;mso-width-relative:page;mso-height-relative:page;" filled="f" stroked="f" coordsize="21600,21600" o:gfxdata="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mh&#10;5H7XAAAACAEAAA8AAAAAAAAAAQAgAAAAIgAAAGRycy9kb3ducmV2LnhtbFBLAQIUABQAAAAIAIdO&#10;4kANsKPA6wEAAL8DAAAOAAAAAAAAAAEAIAAAACYBAABkcnMvZTJvRG9jLnhtbFBLBQYAAAAABgAG&#10;AFkBAACDBQAAAAA=&#10;">
                <v:fill on="f" focussize="0,0"/>
                <v:stroke on="f" weight="1pt"/>
                <v:imagedata o:title=""/>
                <o:lock v:ext="edit" aspectratio="f"/>
                <v:textbox>
                  <w:txbxContent>
                    <w:p w14:paraId="2B30EF29">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提供保密信息和履行保密义务</w:t>
                      </w:r>
                    </w:p>
                  </w:txbxContent>
                </v:textbox>
              </v:shape>
            </w:pict>
          </mc:Fallback>
        </mc:AlternateContent>
      </w:r>
      <w:r>
        <w:rPr>
          <w:rFonts w:hint="eastAsia" w:ascii="仿宋" w:hAnsi="仿宋" w:eastAsia="仿宋" w:cs="仿宋"/>
          <w:lang w:eastAsia="zh-CN"/>
        </w:rPr>
        <w:t>合同双方当事人应在合同专用条款约定期限内提供保密信息。自收到对方当事人提供的保密信息之日起，应履行保密义务。合同双方当事人履行保密义务，并不因本合同终止而结束。</w:t>
      </w:r>
    </w:p>
    <w:p w14:paraId="2364274D">
      <w:pPr>
        <w:spacing w:line="400" w:lineRule="exact"/>
        <w:rPr>
          <w:rFonts w:ascii="仿宋" w:hAnsi="仿宋" w:eastAsia="仿宋" w:cs="仿宋"/>
          <w:b/>
          <w:bCs/>
          <w:u w:val="dotted"/>
          <w:lang w:eastAsia="zh-CN"/>
        </w:rPr>
      </w:pPr>
      <w:bookmarkStart w:id="771" w:name="_Toc3105"/>
      <w:r>
        <w:rPr>
          <w:rFonts w:hint="eastAsia" w:ascii="仿宋" w:hAnsi="仿宋" w:eastAsia="仿宋" w:cs="仿宋"/>
          <w:b/>
          <w:bCs/>
          <w:lang w:eastAsia="zh-CN"/>
        </w:rPr>
        <w:t>99</w:t>
      </w:r>
      <w:r>
        <w:rPr>
          <w:rFonts w:ascii="仿宋" w:hAnsi="仿宋" w:eastAsia="仿宋" w:cs="仿宋"/>
          <w:b/>
          <w:bCs/>
          <w:lang w:eastAsia="zh-CN"/>
        </w:rPr>
        <w:t>.2</w:t>
      </w:r>
      <w:bookmarkEnd w:id="771"/>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69FBB33B">
      <w:pPr>
        <w:widowControl w:val="0"/>
        <w:adjustRightInd w:val="0"/>
        <w:snapToGrid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959296" behindDoc="0" locked="0" layoutInCell="1" allowOverlap="1">
                <wp:simplePos x="0" y="0"/>
                <wp:positionH relativeFrom="column">
                  <wp:posOffset>-114300</wp:posOffset>
                </wp:positionH>
                <wp:positionV relativeFrom="paragraph">
                  <wp:posOffset>68580</wp:posOffset>
                </wp:positionV>
                <wp:extent cx="785495" cy="594360"/>
                <wp:effectExtent l="0" t="0" r="0" b="0"/>
                <wp:wrapNone/>
                <wp:docPr id="441" name="文本框 1095"/>
                <wp:cNvGraphicFramePr/>
                <a:graphic xmlns:a="http://schemas.openxmlformats.org/drawingml/2006/main">
                  <a:graphicData uri="http://schemas.microsoft.com/office/word/2010/wordprocessingShape">
                    <wps:wsp>
                      <wps:cNvSpPr txBox="1"/>
                      <wps:spPr>
                        <a:xfrm>
                          <a:off x="0" y="0"/>
                          <a:ext cx="785495" cy="594360"/>
                        </a:xfrm>
                        <a:prstGeom prst="rect">
                          <a:avLst/>
                        </a:prstGeom>
                        <a:noFill/>
                        <a:ln w="12700">
                          <a:noFill/>
                        </a:ln>
                      </wps:spPr>
                      <wps:txbx>
                        <w:txbxContent>
                          <w:p w14:paraId="497CC74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保密信息知悉权限</w:t>
                            </w:r>
                          </w:p>
                        </w:txbxContent>
                      </wps:txbx>
                      <wps:bodyPr rot="0" vert="horz" wrap="square" lIns="91440" tIns="45720" rIns="91440" bIns="45720" anchor="t" anchorCtr="0"/>
                    </wps:wsp>
                  </a:graphicData>
                </a:graphic>
              </wp:anchor>
            </w:drawing>
          </mc:Choice>
          <mc:Fallback>
            <w:pict>
              <v:shape id="文本框 1095" o:spid="_x0000_s1026" o:spt="202" type="#_x0000_t202" style="position:absolute;left:0pt;margin-left:-9pt;margin-top:5.4pt;height:46.8pt;width:61.85pt;z-index:251959296;mso-width-relative:page;mso-height-relative:page;" filled="f" stroked="f" coordsize="21600,21600" o:gfxdata="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f&#10;yVIq1wAAAAoBAAAPAAAAAAAAAAEAIAAAACIAAABkcnMvZG93bnJldi54bWxQSwECFAAUAAAACACH&#10;TuJARAnlCuwBAAC/AwAADgAAAAAAAAABACAAAAAmAQAAZHJzL2Uyb0RvYy54bWxQSwUGAAAAAAYA&#10;BgBZAQAAhAUAAAAA&#10;">
                <v:fill on="f" focussize="0,0"/>
                <v:stroke on="f" weight="1pt"/>
                <v:imagedata o:title=""/>
                <o:lock v:ext="edit" aspectratio="f"/>
                <v:textbox>
                  <w:txbxContent>
                    <w:p w14:paraId="497CC74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保密信息知悉权限</w:t>
                      </w:r>
                    </w:p>
                  </w:txbxContent>
                </v:textbox>
              </v:shape>
            </w:pict>
          </mc:Fallback>
        </mc:AlternateContent>
      </w:r>
      <w:r>
        <w:rPr>
          <w:rFonts w:hint="eastAsia" w:ascii="仿宋" w:hAnsi="仿宋" w:eastAsia="仿宋" w:cs="仿宋"/>
          <w:lang w:eastAsia="zh-CN"/>
        </w:rPr>
        <w:t>合同双方当事人仅允许因履行本合同而使用另一方当事人提供的保密信息。除合同双方当事人书面委派履行本合同应知悉保密信息的人员外，合同任何一方当事人不得将另一方当事人相关的或属于另一方当事人所有的保密信息泄露或提供给第三方，也不得超出允许范围从另一方当事人复制、摘录或转移任何保密信息。任何保密信息的公布，均应事先征得提供方的书面同意。</w:t>
      </w:r>
    </w:p>
    <w:p w14:paraId="118B5910">
      <w:pPr>
        <w:pStyle w:val="22"/>
        <w:adjustRightInd w:val="0"/>
        <w:snapToGrid w:val="0"/>
        <w:spacing w:line="400" w:lineRule="exact"/>
        <w:rPr>
          <w:rFonts w:ascii="仿宋" w:hAnsi="仿宋" w:eastAsia="仿宋"/>
          <w:b/>
          <w:bCs/>
          <w:sz w:val="24"/>
          <w:szCs w:val="24"/>
          <w:lang w:eastAsia="zh-CN"/>
        </w:rPr>
      </w:pPr>
      <w:r>
        <mc:AlternateContent>
          <mc:Choice Requires="wps">
            <w:drawing>
              <wp:anchor distT="0" distB="0" distL="114300" distR="114300" simplePos="0" relativeHeight="251960320" behindDoc="0" locked="0" layoutInCell="1" allowOverlap="1">
                <wp:simplePos x="0" y="0"/>
                <wp:positionH relativeFrom="column">
                  <wp:posOffset>-114300</wp:posOffset>
                </wp:positionH>
                <wp:positionV relativeFrom="paragraph">
                  <wp:posOffset>299720</wp:posOffset>
                </wp:positionV>
                <wp:extent cx="790575" cy="525780"/>
                <wp:effectExtent l="0" t="0" r="0" b="0"/>
                <wp:wrapNone/>
                <wp:docPr id="442" name="文本框 1096"/>
                <wp:cNvGraphicFramePr/>
                <a:graphic xmlns:a="http://schemas.openxmlformats.org/drawingml/2006/main">
                  <a:graphicData uri="http://schemas.microsoft.com/office/word/2010/wordprocessingShape">
                    <wps:wsp>
                      <wps:cNvSpPr txBox="1"/>
                      <wps:spPr>
                        <a:xfrm>
                          <a:off x="0" y="0"/>
                          <a:ext cx="790575" cy="525780"/>
                        </a:xfrm>
                        <a:prstGeom prst="rect">
                          <a:avLst/>
                        </a:prstGeom>
                        <a:noFill/>
                        <a:ln w="12700">
                          <a:noFill/>
                        </a:ln>
                      </wps:spPr>
                      <wps:txbx>
                        <w:txbxContent>
                          <w:p w14:paraId="351935C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签订保密协议</w:t>
                            </w:r>
                          </w:p>
                        </w:txbxContent>
                      </wps:txbx>
                      <wps:bodyPr rot="0" vert="horz" wrap="square" lIns="91440" tIns="45720" rIns="91440" bIns="45720" anchor="t" anchorCtr="0"/>
                    </wps:wsp>
                  </a:graphicData>
                </a:graphic>
              </wp:anchor>
            </w:drawing>
          </mc:Choice>
          <mc:Fallback>
            <w:pict>
              <v:shape id="文本框 1096" o:spid="_x0000_s1026" o:spt="202" type="#_x0000_t202" style="position:absolute;left:0pt;margin-left:-9pt;margin-top:23.6pt;height:41.4pt;width:62.25pt;z-index:251960320;mso-width-relative:page;mso-height-relative:page;" filled="f" stroked="f" coordsize="21600,21600" o:gfxdata="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BnGe/YAAAACgEAAA8AAAAAAAAAAQAgAAAAIgAAAGRycy9kb3ducmV2LnhtbFBLAQIUABQAAAAI&#10;AIdO4kA0DoZv7QEAAL8DAAAOAAAAAAAAAAEAIAAAACcBAABkcnMvZTJvRG9jLnhtbFBLBQYAAAAA&#10;BgAGAFkBAACGBQAAAAA=&#10;">
                <v:fill on="f" focussize="0,0"/>
                <v:stroke on="f" weight="1pt"/>
                <v:imagedata o:title=""/>
                <o:lock v:ext="edit" aspectratio="f"/>
                <v:textbox>
                  <w:txbxContent>
                    <w:p w14:paraId="351935C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签订保密协议</w:t>
                      </w:r>
                    </w:p>
                  </w:txbxContent>
                </v:textbox>
              </v:shape>
            </w:pict>
          </mc:Fallback>
        </mc:AlternateContent>
      </w:r>
      <w:r>
        <w:rPr>
          <w:rFonts w:hint="eastAsia" w:ascii="仿宋" w:hAnsi="仿宋" w:eastAsia="仿宋" w:cs="仿宋"/>
          <w:b/>
          <w:bCs/>
          <w:sz w:val="24"/>
          <w:szCs w:val="24"/>
          <w:lang w:eastAsia="zh-CN"/>
        </w:rPr>
        <w:t>99</w:t>
      </w:r>
      <w:r>
        <w:rPr>
          <w:rFonts w:ascii="仿宋" w:hAnsi="仿宋" w:eastAsia="仿宋" w:cs="仿宋"/>
          <w:b/>
          <w:bCs/>
          <w:sz w:val="24"/>
          <w:szCs w:val="24"/>
          <w:lang w:eastAsia="zh-CN"/>
        </w:rPr>
        <w:t xml:space="preserve">.3  </w:t>
      </w:r>
      <w:r>
        <w:rPr>
          <w:rFonts w:ascii="仿宋" w:hAnsi="仿宋" w:eastAsia="仿宋" w:cs="仿宋"/>
          <w:b/>
          <w:bCs/>
          <w:sz w:val="24"/>
          <w:szCs w:val="24"/>
          <w:u w:val="dotted"/>
          <w:lang w:eastAsia="zh-CN"/>
        </w:rPr>
        <w:t xml:space="preserve">                                                                               </w:t>
      </w:r>
    </w:p>
    <w:p w14:paraId="52AE7284">
      <w:pPr>
        <w:widowControl w:val="0"/>
        <w:adjustRightInd w:val="0"/>
        <w:snapToGrid w:val="0"/>
        <w:spacing w:line="400" w:lineRule="exact"/>
        <w:ind w:left="1850" w:leftChars="771"/>
        <w:jc w:val="both"/>
        <w:rPr>
          <w:rFonts w:ascii="仿宋" w:hAnsi="仿宋" w:eastAsia="仿宋"/>
          <w:lang w:eastAsia="zh-CN"/>
        </w:rPr>
      </w:pPr>
      <w:r>
        <w:rPr>
          <w:rFonts w:hint="eastAsia" w:ascii="仿宋" w:hAnsi="仿宋" w:eastAsia="仿宋" w:cs="仿宋"/>
          <w:lang w:eastAsia="zh-CN"/>
        </w:rPr>
        <w:t>合同双方当事人应与履行本合同知悉保密信息的人员签订保密协议，并将其中一份及时提交给另一方当事人。合同双方当事人应以保护自身秘密的谨慎态度采取有效措施保护另一方当事人的保密信息，避免保密信息被不当公开或使用。合同任何一方当事人发现有第三方盗用或滥用另一方当事人保密信息的，应及时通知另一方当事人。</w:t>
      </w:r>
    </w:p>
    <w:p w14:paraId="38565A78">
      <w:pPr>
        <w:spacing w:line="400" w:lineRule="exact"/>
        <w:rPr>
          <w:rFonts w:ascii="仿宋" w:hAnsi="仿宋" w:eastAsia="仿宋"/>
          <w:b/>
          <w:bCs/>
          <w:lang w:eastAsia="zh-CN"/>
        </w:rPr>
      </w:pPr>
      <w:bookmarkStart w:id="772" w:name="_Toc7344"/>
      <w:r>
        <w:rPr>
          <w:rFonts w:hint="eastAsia" w:ascii="仿宋" w:hAnsi="仿宋" w:eastAsia="仿宋" w:cs="仿宋"/>
          <w:b/>
          <w:bCs/>
          <w:lang w:eastAsia="zh-CN"/>
        </w:rPr>
        <w:t>99</w:t>
      </w:r>
      <w:r>
        <w:rPr>
          <w:rFonts w:ascii="仿宋" w:hAnsi="仿宋" w:eastAsia="仿宋" w:cs="仿宋"/>
          <w:b/>
          <w:bCs/>
          <w:lang w:eastAsia="zh-CN"/>
        </w:rPr>
        <w:t>.4</w:t>
      </w:r>
      <w:bookmarkEnd w:id="772"/>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520C1E90">
      <w:pPr>
        <w:widowControl w:val="0"/>
        <w:adjustRightInd w:val="0"/>
        <w:snapToGrid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961344" behindDoc="0" locked="0" layoutInCell="1" allowOverlap="1">
                <wp:simplePos x="0" y="0"/>
                <wp:positionH relativeFrom="column">
                  <wp:posOffset>-114300</wp:posOffset>
                </wp:positionH>
                <wp:positionV relativeFrom="paragraph">
                  <wp:posOffset>65405</wp:posOffset>
                </wp:positionV>
                <wp:extent cx="803910" cy="777875"/>
                <wp:effectExtent l="0" t="0" r="0" b="0"/>
                <wp:wrapNone/>
                <wp:docPr id="443" name="文本框 1097"/>
                <wp:cNvGraphicFramePr/>
                <a:graphic xmlns:a="http://schemas.openxmlformats.org/drawingml/2006/main">
                  <a:graphicData uri="http://schemas.microsoft.com/office/word/2010/wordprocessingShape">
                    <wps:wsp>
                      <wps:cNvSpPr txBox="1"/>
                      <wps:spPr>
                        <a:xfrm>
                          <a:off x="0" y="0"/>
                          <a:ext cx="803910" cy="777875"/>
                        </a:xfrm>
                        <a:prstGeom prst="rect">
                          <a:avLst/>
                        </a:prstGeom>
                        <a:noFill/>
                        <a:ln w="12700">
                          <a:noFill/>
                        </a:ln>
                      </wps:spPr>
                      <wps:txbx>
                        <w:txbxContent>
                          <w:p w14:paraId="7C3A2B6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txbxContent>
                      </wps:txbx>
                      <wps:bodyPr rot="0" vert="horz" wrap="square" lIns="91440" tIns="45720" rIns="91440" bIns="45720" anchor="t" anchorCtr="0"/>
                    </wps:wsp>
                  </a:graphicData>
                </a:graphic>
              </wp:anchor>
            </w:drawing>
          </mc:Choice>
          <mc:Fallback>
            <w:pict>
              <v:shape id="文本框 1097" o:spid="_x0000_s1026" o:spt="202" type="#_x0000_t202" style="position:absolute;left:0pt;margin-left:-9pt;margin-top:5.15pt;height:61.25pt;width:63.3pt;z-index:251961344;mso-width-relative:page;mso-height-relative:page;" filled="f" stroked="f" coordsize="21600,21600" o:gfxdata="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a&#10;12Eo2AAAAAoBAAAPAAAAAAAAAAEAIAAAACIAAABkcnMvZG93bnJldi54bWxQSwECFAAUAAAACACH&#10;TuJA1SsrEesBAAC/AwAADgAAAAAAAAABACAAAAAnAQAAZHJzL2Uyb0RvYy54bWxQSwUGAAAAAAYA&#10;BgBZAQAAhAUAAAAA&#10;">
                <v:fill on="f" focussize="0,0"/>
                <v:stroke on="f" weight="1pt"/>
                <v:imagedata o:title=""/>
                <o:lock v:ext="edit" aspectratio="f"/>
                <v:textbox>
                  <w:txbxContent>
                    <w:p w14:paraId="7C3A2B6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txbxContent>
                </v:textbox>
              </v:shape>
            </w:pict>
          </mc:Fallback>
        </mc:AlternateContent>
      </w:r>
      <w:r>
        <w:rPr>
          <w:rFonts w:hint="eastAsia" w:ascii="仿宋" w:hAnsi="仿宋" w:eastAsia="仿宋" w:cs="仿宋"/>
          <w:lang w:eastAsia="zh-CN"/>
        </w:rPr>
        <w:t>如果法律或政府执法、监督管理等有要求，合同双方当事人应予配合和支持，并提供需要的保密信息。需提供另一方当事人保密信息的，应立即书面通知另一方当事人，以便另一方当事人及时履行义务。若另一方当事人未能及时作出回应的，除依法应提供另一方当事人信息外，应积极维护另一方当事人合法权益。</w:t>
      </w:r>
    </w:p>
    <w:p w14:paraId="0CF58B83">
      <w:pPr>
        <w:pStyle w:val="22"/>
        <w:adjustRightInd w:val="0"/>
        <w:snapToGrid w:val="0"/>
        <w:spacing w:line="400" w:lineRule="exact"/>
        <w:rPr>
          <w:rFonts w:ascii="仿宋" w:hAnsi="仿宋" w:eastAsia="仿宋"/>
          <w:b/>
          <w:bCs/>
          <w:sz w:val="24"/>
          <w:szCs w:val="24"/>
          <w:lang w:eastAsia="zh-CN"/>
        </w:rPr>
      </w:pPr>
      <w:r>
        <w:rPr>
          <w:rFonts w:hint="eastAsia" w:ascii="仿宋" w:hAnsi="仿宋" w:eastAsia="仿宋" w:cs="仿宋"/>
          <w:b/>
          <w:bCs/>
          <w:sz w:val="24"/>
          <w:szCs w:val="24"/>
          <w:lang w:eastAsia="zh-CN"/>
        </w:rPr>
        <w:t>99</w:t>
      </w:r>
      <w:r>
        <w:rPr>
          <w:rFonts w:ascii="仿宋" w:hAnsi="仿宋" w:eastAsia="仿宋" w:cs="仿宋"/>
          <w:b/>
          <w:bCs/>
          <w:sz w:val="24"/>
          <w:szCs w:val="24"/>
          <w:lang w:eastAsia="zh-CN"/>
        </w:rPr>
        <w:t xml:space="preserve">.5  </w:t>
      </w:r>
      <w:r>
        <w:rPr>
          <w:rFonts w:ascii="仿宋" w:hAnsi="仿宋" w:eastAsia="仿宋" w:cs="仿宋"/>
          <w:b/>
          <w:bCs/>
          <w:sz w:val="24"/>
          <w:szCs w:val="24"/>
          <w:u w:val="dotted"/>
          <w:lang w:eastAsia="zh-CN"/>
        </w:rPr>
        <w:t xml:space="preserve">                                                                               </w:t>
      </w:r>
    </w:p>
    <w:p w14:paraId="4F5CC292">
      <w:pPr>
        <w:widowControl w:val="0"/>
        <w:adjustRightInd w:val="0"/>
        <w:snapToGrid w:val="0"/>
        <w:spacing w:line="400" w:lineRule="exact"/>
        <w:ind w:left="1850" w:leftChars="771"/>
        <w:jc w:val="both"/>
        <w:rPr>
          <w:rFonts w:ascii="仿宋" w:hAnsi="仿宋" w:eastAsia="仿宋"/>
        </w:rPr>
      </w:pPr>
      <w:r>
        <mc:AlternateContent>
          <mc:Choice Requires="wps">
            <w:drawing>
              <wp:anchor distT="0" distB="0" distL="114300" distR="114300" simplePos="0" relativeHeight="251962368" behindDoc="0" locked="0" layoutInCell="1" allowOverlap="1">
                <wp:simplePos x="0" y="0"/>
                <wp:positionH relativeFrom="column">
                  <wp:posOffset>-114300</wp:posOffset>
                </wp:positionH>
                <wp:positionV relativeFrom="paragraph">
                  <wp:posOffset>22225</wp:posOffset>
                </wp:positionV>
                <wp:extent cx="804545" cy="663575"/>
                <wp:effectExtent l="0" t="0" r="0" b="0"/>
                <wp:wrapNone/>
                <wp:docPr id="444" name="文本框 1098"/>
                <wp:cNvGraphicFramePr/>
                <a:graphic xmlns:a="http://schemas.openxmlformats.org/drawingml/2006/main">
                  <a:graphicData uri="http://schemas.microsoft.com/office/word/2010/wordprocessingShape">
                    <wps:wsp>
                      <wps:cNvSpPr txBox="1"/>
                      <wps:spPr>
                        <a:xfrm>
                          <a:off x="0" y="0"/>
                          <a:ext cx="804545" cy="663575"/>
                        </a:xfrm>
                        <a:prstGeom prst="rect">
                          <a:avLst/>
                        </a:prstGeom>
                        <a:noFill/>
                        <a:ln w="12700">
                          <a:noFill/>
                        </a:ln>
                      </wps:spPr>
                      <wps:txbx>
                        <w:txbxContent>
                          <w:p w14:paraId="0E8E0CB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书面说明保密程度</w:t>
                            </w:r>
                          </w:p>
                        </w:txbxContent>
                      </wps:txbx>
                      <wps:bodyPr rot="0" vert="horz" wrap="square" lIns="91440" tIns="45720" rIns="91440" bIns="45720" anchor="t" anchorCtr="0"/>
                    </wps:wsp>
                  </a:graphicData>
                </a:graphic>
              </wp:anchor>
            </w:drawing>
          </mc:Choice>
          <mc:Fallback>
            <w:pict>
              <v:shape id="文本框 1098" o:spid="_x0000_s1026" o:spt="202" type="#_x0000_t202" style="position:absolute;left:0pt;margin-left:-9pt;margin-top:1.75pt;height:52.25pt;width:63.35pt;z-index:251962368;mso-width-relative:page;mso-height-relative:page;" filled="f" stroked="f" coordsize="21600,21600" o:gfxdata="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F&#10;TUvg1wAAAAkBAAAPAAAAAAAAAAEAIAAAACIAAABkcnMvZG93bnJldi54bWxQSwECFAAUAAAACACH&#10;TuJAW3R2POwBAAC/AwAADgAAAAAAAAABACAAAAAmAQAAZHJzL2Uyb0RvYy54bWxQSwUGAAAAAAYA&#10;BgBZAQAAhAUAAAAA&#10;">
                <v:fill on="f" focussize="0,0"/>
                <v:stroke on="f" weight="1pt"/>
                <v:imagedata o:title=""/>
                <o:lock v:ext="edit" aspectratio="f"/>
                <v:textbox>
                  <w:txbxContent>
                    <w:p w14:paraId="0E8E0CB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书面说明保密程度</w:t>
                      </w:r>
                    </w:p>
                  </w:txbxContent>
                </v:textbox>
              </v:shape>
            </w:pict>
          </mc:Fallback>
        </mc:AlternateContent>
      </w:r>
      <w:r>
        <w:rPr>
          <w:rFonts w:hint="eastAsia" w:ascii="仿宋" w:hAnsi="仿宋" w:eastAsia="仿宋" w:cs="仿宋"/>
          <w:lang w:eastAsia="zh-CN"/>
        </w:rPr>
        <w:t>保密信息应由提供方以书面形式说明保密程度；以口头形式提供的，则提供方应在提供后</w:t>
      </w:r>
      <w:r>
        <w:rPr>
          <w:rFonts w:ascii="仿宋" w:hAnsi="仿宋" w:eastAsia="仿宋" w:cs="仿宋"/>
          <w:lang w:eastAsia="zh-CN"/>
        </w:rPr>
        <w:t>28</w:t>
      </w:r>
      <w:r>
        <w:rPr>
          <w:rFonts w:hint="eastAsia" w:ascii="仿宋" w:hAnsi="仿宋" w:eastAsia="仿宋" w:cs="仿宋"/>
          <w:lang w:eastAsia="zh-CN"/>
        </w:rPr>
        <w:t>天内以书面形式予以确认。保密信息不但包括合同双方当事人确认的信息，还包括与工程材料和工程设备、价格、工程设计、图纸、技术、工艺和财务等相关信息。</w:t>
      </w:r>
      <w:r>
        <w:rPr>
          <w:rFonts w:hint="eastAsia" w:ascii="仿宋" w:hAnsi="仿宋" w:eastAsia="仿宋" w:cs="仿宋"/>
        </w:rPr>
        <w:t>但不包括下述信息：</w:t>
      </w:r>
    </w:p>
    <w:p w14:paraId="7DCDB18C">
      <w:pPr>
        <w:pStyle w:val="22"/>
        <w:widowControl w:val="0"/>
        <w:numPr>
          <w:ilvl w:val="0"/>
          <w:numId w:val="38"/>
        </w:numPr>
        <w:snapToGrid w:val="0"/>
        <w:spacing w:line="400" w:lineRule="exact"/>
        <w:ind w:left="1850" w:leftChars="771" w:firstLine="0"/>
        <w:jc w:val="both"/>
        <w:rPr>
          <w:rFonts w:ascii="仿宋" w:hAnsi="仿宋" w:eastAsia="仿宋"/>
          <w:sz w:val="24"/>
          <w:szCs w:val="24"/>
          <w:lang w:eastAsia="zh-CN"/>
        </w:rPr>
      </w:pPr>
      <w:bookmarkStart w:id="773" w:name="_Toc3104"/>
      <w:r>
        <w:rPr>
          <w:rFonts w:hint="eastAsia" w:ascii="仿宋" w:hAnsi="仿宋" w:eastAsia="仿宋" w:cs="仿宋"/>
          <w:sz w:val="24"/>
          <w:szCs w:val="24"/>
          <w:lang w:eastAsia="zh-CN"/>
        </w:rPr>
        <w:t>提供前已由合同双方当事人所持有的；</w:t>
      </w:r>
      <w:bookmarkEnd w:id="773"/>
    </w:p>
    <w:p w14:paraId="4337CA43">
      <w:pPr>
        <w:pStyle w:val="22"/>
        <w:widowControl w:val="0"/>
        <w:numPr>
          <w:ilvl w:val="0"/>
          <w:numId w:val="38"/>
        </w:numPr>
        <w:snapToGrid w:val="0"/>
        <w:spacing w:line="400" w:lineRule="exact"/>
        <w:ind w:left="1850" w:leftChars="771" w:firstLine="0"/>
        <w:jc w:val="both"/>
        <w:rPr>
          <w:rFonts w:ascii="仿宋" w:hAnsi="仿宋" w:eastAsia="仿宋" w:cs="仿宋"/>
          <w:sz w:val="24"/>
          <w:szCs w:val="24"/>
          <w:lang w:eastAsia="zh-CN"/>
        </w:rPr>
      </w:pPr>
      <w:bookmarkStart w:id="774" w:name="_Toc11051"/>
      <w:r>
        <w:rPr>
          <w:rFonts w:hint="eastAsia" w:ascii="仿宋" w:hAnsi="仿宋" w:eastAsia="仿宋" w:cs="仿宋"/>
          <w:sz w:val="24"/>
          <w:szCs w:val="24"/>
          <w:lang w:eastAsia="zh-CN"/>
        </w:rPr>
        <w:t>已公开发表或非对方当事人原因向公众公开的；</w:t>
      </w:r>
      <w:bookmarkEnd w:id="774"/>
    </w:p>
    <w:p w14:paraId="2C6F749F">
      <w:pPr>
        <w:pStyle w:val="22"/>
        <w:widowControl w:val="0"/>
        <w:numPr>
          <w:ilvl w:val="0"/>
          <w:numId w:val="38"/>
        </w:numPr>
        <w:snapToGrid w:val="0"/>
        <w:spacing w:line="400" w:lineRule="exact"/>
        <w:ind w:left="1850" w:leftChars="771" w:firstLine="0"/>
        <w:jc w:val="both"/>
        <w:rPr>
          <w:rFonts w:ascii="仿宋" w:hAnsi="仿宋" w:eastAsia="仿宋" w:cs="仿宋"/>
          <w:sz w:val="24"/>
          <w:szCs w:val="24"/>
          <w:lang w:eastAsia="zh-CN"/>
        </w:rPr>
      </w:pPr>
      <w:bookmarkStart w:id="775" w:name="_Toc21480"/>
      <w:r>
        <w:rPr>
          <w:rFonts w:hint="eastAsia" w:ascii="仿宋" w:hAnsi="仿宋" w:eastAsia="仿宋" w:cs="仿宋"/>
          <w:sz w:val="24"/>
          <w:szCs w:val="24"/>
          <w:lang w:eastAsia="zh-CN"/>
        </w:rPr>
        <w:t>已由各相关方书面同意其公开的；</w:t>
      </w:r>
      <w:bookmarkEnd w:id="775"/>
    </w:p>
    <w:p w14:paraId="045E9A88">
      <w:pPr>
        <w:pStyle w:val="22"/>
        <w:widowControl w:val="0"/>
        <w:numPr>
          <w:ilvl w:val="0"/>
          <w:numId w:val="38"/>
        </w:numPr>
        <w:snapToGrid w:val="0"/>
        <w:spacing w:line="400" w:lineRule="exact"/>
        <w:ind w:left="1850" w:leftChars="771" w:firstLine="0"/>
        <w:jc w:val="both"/>
        <w:rPr>
          <w:rFonts w:ascii="仿宋" w:hAnsi="仿宋" w:eastAsia="仿宋" w:cs="仿宋"/>
          <w:sz w:val="24"/>
          <w:szCs w:val="24"/>
          <w:lang w:eastAsia="zh-CN"/>
        </w:rPr>
      </w:pPr>
      <w:r>
        <w:rPr>
          <w:rFonts w:hint="eastAsia" w:ascii="仿宋" w:hAnsi="仿宋" w:eastAsia="仿宋" w:cs="仿宋"/>
          <w:sz w:val="24"/>
          <w:szCs w:val="24"/>
          <w:lang w:eastAsia="zh-CN"/>
        </w:rPr>
        <w:t>在未获取保密信息前由对方当事人独立开发的；</w:t>
      </w:r>
    </w:p>
    <w:p w14:paraId="66DB087E">
      <w:pPr>
        <w:pStyle w:val="22"/>
        <w:widowControl w:val="0"/>
        <w:numPr>
          <w:ilvl w:val="0"/>
          <w:numId w:val="38"/>
        </w:numPr>
        <w:snapToGrid w:val="0"/>
        <w:spacing w:line="400" w:lineRule="exact"/>
        <w:ind w:left="1850" w:leftChars="771" w:firstLine="0"/>
        <w:jc w:val="both"/>
        <w:rPr>
          <w:rFonts w:ascii="仿宋" w:hAnsi="仿宋" w:eastAsia="仿宋"/>
          <w:sz w:val="24"/>
          <w:szCs w:val="24"/>
          <w:lang w:eastAsia="zh-CN"/>
        </w:rPr>
      </w:pPr>
      <w:bookmarkStart w:id="776" w:name="_Toc7745"/>
      <w:r>
        <w:rPr>
          <w:rFonts w:hint="eastAsia" w:ascii="仿宋" w:hAnsi="仿宋" w:eastAsia="仿宋" w:cs="仿宋"/>
          <w:sz w:val="24"/>
          <w:szCs w:val="24"/>
          <w:lang w:eastAsia="zh-CN"/>
        </w:rPr>
        <w:t>对方当事人从对保密信息不承担保密义务的第三方处合法获得的。</w:t>
      </w:r>
      <w:bookmarkEnd w:id="776"/>
    </w:p>
    <w:p w14:paraId="0CBF5836">
      <w:pPr>
        <w:pStyle w:val="22"/>
        <w:tabs>
          <w:tab w:val="left" w:pos="1620"/>
        </w:tabs>
        <w:adjustRightInd w:val="0"/>
        <w:snapToGrid w:val="0"/>
        <w:spacing w:line="400" w:lineRule="exact"/>
        <w:rPr>
          <w:rFonts w:ascii="仿宋" w:hAnsi="仿宋" w:eastAsia="仿宋" w:cs="仿宋"/>
          <w:b/>
          <w:bCs/>
          <w:sz w:val="24"/>
          <w:szCs w:val="24"/>
          <w:u w:val="single"/>
          <w:lang w:eastAsia="zh-CN"/>
        </w:rPr>
      </w:pPr>
      <w:r>
        <w:rPr>
          <w:rFonts w:ascii="仿宋" w:hAnsi="仿宋" w:eastAsia="仿宋" w:cs="仿宋"/>
          <w:b/>
          <w:bCs/>
          <w:sz w:val="24"/>
          <w:szCs w:val="24"/>
          <w:u w:val="single"/>
          <w:lang w:eastAsia="zh-CN"/>
        </w:rPr>
        <w:t xml:space="preserve">                                                                                     </w:t>
      </w:r>
    </w:p>
    <w:p w14:paraId="0FF0E35A">
      <w:pPr>
        <w:pStyle w:val="4"/>
        <w:tabs>
          <w:tab w:val="left" w:pos="420"/>
        </w:tabs>
        <w:spacing w:before="0" w:after="0" w:line="400" w:lineRule="exact"/>
        <w:rPr>
          <w:rFonts w:ascii="仿宋" w:hAnsi="仿宋" w:eastAsia="仿宋" w:cs="仿宋"/>
          <w:bCs w:val="0"/>
          <w:sz w:val="24"/>
          <w:szCs w:val="24"/>
          <w:lang w:eastAsia="zh-CN"/>
        </w:rPr>
      </w:pPr>
      <w:bookmarkStart w:id="777" w:name="_Toc24206"/>
      <w:bookmarkStart w:id="778" w:name="_Toc469384077"/>
      <w:bookmarkStart w:id="779" w:name="_Toc194073214"/>
      <w:bookmarkStart w:id="780" w:name="_Toc7945"/>
      <w:bookmarkStart w:id="781" w:name="_Toc6672"/>
      <w:r>
        <w:rPr>
          <w:rFonts w:hint="eastAsia" w:ascii="仿宋" w:hAnsi="仿宋" w:eastAsia="仿宋" w:cs="仿宋"/>
          <w:bCs w:val="0"/>
          <w:sz w:val="24"/>
          <w:szCs w:val="24"/>
          <w:lang w:eastAsia="zh-CN"/>
        </w:rPr>
        <w:t>100</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 xml:space="preserve"> 廉政建设</w:t>
      </w:r>
      <w:bookmarkEnd w:id="777"/>
      <w:bookmarkEnd w:id="778"/>
      <w:bookmarkEnd w:id="779"/>
      <w:bookmarkEnd w:id="780"/>
      <w:bookmarkEnd w:id="781"/>
    </w:p>
    <w:p w14:paraId="0F0F5D39">
      <w:pPr>
        <w:spacing w:line="400" w:lineRule="exact"/>
        <w:rPr>
          <w:rFonts w:ascii="仿宋" w:hAnsi="仿宋" w:eastAsia="仿宋" w:cs="仿宋"/>
          <w:b/>
          <w:bCs/>
          <w:lang w:eastAsia="zh-CN"/>
        </w:rPr>
      </w:pPr>
      <w:bookmarkStart w:id="782" w:name="_Toc13646"/>
      <w:r>
        <w:rPr>
          <w:rFonts w:hint="eastAsia" w:ascii="仿宋" w:hAnsi="仿宋" w:eastAsia="仿宋" w:cs="仿宋"/>
          <w:b/>
          <w:bCs/>
          <w:lang w:eastAsia="zh-CN"/>
        </w:rPr>
        <w:t>100</w:t>
      </w:r>
      <w:r>
        <w:rPr>
          <w:rFonts w:ascii="仿宋" w:hAnsi="仿宋" w:eastAsia="仿宋" w:cs="仿宋"/>
          <w:b/>
          <w:bCs/>
          <w:lang w:eastAsia="zh-CN"/>
        </w:rPr>
        <w:t>.1</w:t>
      </w:r>
      <w:bookmarkEnd w:id="782"/>
    </w:p>
    <w:p w14:paraId="2BDE19D1">
      <w:pPr>
        <w:widowControl w:val="0"/>
        <w:adjustRightInd w:val="0"/>
        <w:snapToGrid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963392" behindDoc="0" locked="0" layoutInCell="1" allowOverlap="1">
                <wp:simplePos x="0" y="0"/>
                <wp:positionH relativeFrom="column">
                  <wp:posOffset>-114300</wp:posOffset>
                </wp:positionH>
                <wp:positionV relativeFrom="paragraph">
                  <wp:posOffset>15875</wp:posOffset>
                </wp:positionV>
                <wp:extent cx="894080" cy="396240"/>
                <wp:effectExtent l="0" t="0" r="0" b="0"/>
                <wp:wrapNone/>
                <wp:docPr id="445" name="文本框 1099"/>
                <wp:cNvGraphicFramePr/>
                <a:graphic xmlns:a="http://schemas.openxmlformats.org/drawingml/2006/main">
                  <a:graphicData uri="http://schemas.microsoft.com/office/word/2010/wordprocessingShape">
                    <wps:wsp>
                      <wps:cNvSpPr txBox="1"/>
                      <wps:spPr>
                        <a:xfrm>
                          <a:off x="0" y="0"/>
                          <a:ext cx="894080" cy="396240"/>
                        </a:xfrm>
                        <a:prstGeom prst="rect">
                          <a:avLst/>
                        </a:prstGeom>
                        <a:noFill/>
                        <a:ln w="12700">
                          <a:noFill/>
                        </a:ln>
                      </wps:spPr>
                      <wps:txbx>
                        <w:txbxContent>
                          <w:p w14:paraId="4F4CD3E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廉政建设</w:t>
                            </w:r>
                          </w:p>
                        </w:txbxContent>
                      </wps:txbx>
                      <wps:bodyPr rot="0" vert="horz" wrap="square" lIns="91440" tIns="45720" rIns="91440" bIns="45720" anchor="t" anchorCtr="0"/>
                    </wps:wsp>
                  </a:graphicData>
                </a:graphic>
              </wp:anchor>
            </w:drawing>
          </mc:Choice>
          <mc:Fallback>
            <w:pict>
              <v:shape id="文本框 1099" o:spid="_x0000_s1026" o:spt="202" type="#_x0000_t202" style="position:absolute;left:0pt;margin-left:-9pt;margin-top:1.25pt;height:31.2pt;width:70.4pt;z-index:251963392;mso-width-relative:page;mso-height-relative:page;" filled="f" stroked="f" coordsize="21600,21600" o:gfxdata="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N&#10;5JXe1gAAAAgBAAAPAAAAAAAAAAEAIAAAACIAAABkcnMvZG93bnJldi54bWxQSwECFAAUAAAACACH&#10;TuJAoX0BB+0BAAC/AwAADgAAAAAAAAABACAAAAAlAQAAZHJzL2Uyb0RvYy54bWxQSwUGAAAAAAYA&#10;BgBZAQAAhAUAAAAA&#10;">
                <v:fill on="f" focussize="0,0"/>
                <v:stroke on="f" weight="1pt"/>
                <v:imagedata o:title=""/>
                <o:lock v:ext="edit" aspectratio="f"/>
                <v:textbox>
                  <w:txbxContent>
                    <w:p w14:paraId="4F4CD3E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廉政建设</w:t>
                      </w:r>
                    </w:p>
                  </w:txbxContent>
                </v:textbox>
              </v:shape>
            </w:pict>
          </mc:Fallback>
        </mc:AlternateContent>
      </w:r>
      <w:r>
        <w:rPr>
          <w:rFonts w:hint="eastAsia" w:ascii="仿宋" w:hAnsi="仿宋" w:eastAsia="仿宋" w:cs="仿宋"/>
          <w:lang w:eastAsia="zh-CN"/>
        </w:rPr>
        <w:t>合同双方当事人在签订本合同时，应同时签订廉政合同，作为本合同的附件。合同双方当事人在合同履行期间应遵守有关廉政方面的规定和要求，禁止任何腐败行为。</w:t>
      </w:r>
    </w:p>
    <w:p w14:paraId="269E0A49">
      <w:pPr>
        <w:pStyle w:val="22"/>
        <w:adjustRightInd w:val="0"/>
        <w:snapToGrid w:val="0"/>
        <w:spacing w:line="400" w:lineRule="exact"/>
        <w:rPr>
          <w:rFonts w:ascii="仿宋" w:hAnsi="仿宋" w:eastAsia="仿宋" w:cs="仿宋"/>
          <w:b/>
          <w:bCs/>
          <w:sz w:val="24"/>
          <w:szCs w:val="24"/>
          <w:u w:val="dotted"/>
          <w:lang w:eastAsia="zh-CN"/>
        </w:rPr>
      </w:pPr>
      <w:r>
        <w:rPr>
          <w:rFonts w:hint="eastAsia" w:ascii="仿宋" w:hAnsi="仿宋" w:eastAsia="仿宋" w:cs="仿宋"/>
          <w:b/>
          <w:bCs/>
          <w:sz w:val="24"/>
          <w:szCs w:val="24"/>
          <w:lang w:eastAsia="zh-CN"/>
        </w:rPr>
        <w:t>100</w:t>
      </w:r>
      <w:r>
        <w:rPr>
          <w:rFonts w:ascii="仿宋" w:hAnsi="仿宋" w:eastAsia="仿宋" w:cs="仿宋"/>
          <w:b/>
          <w:bCs/>
          <w:sz w:val="24"/>
          <w:szCs w:val="24"/>
          <w:lang w:eastAsia="zh-CN"/>
        </w:rPr>
        <w:t xml:space="preserve">.2  </w:t>
      </w:r>
      <w:r>
        <w:rPr>
          <w:rFonts w:ascii="仿宋" w:hAnsi="仿宋" w:eastAsia="仿宋" w:cs="仿宋"/>
          <w:b/>
          <w:bCs/>
          <w:sz w:val="24"/>
          <w:szCs w:val="24"/>
          <w:u w:val="dotted"/>
          <w:lang w:eastAsia="zh-CN"/>
        </w:rPr>
        <w:t xml:space="preserve">                                                                               </w:t>
      </w:r>
    </w:p>
    <w:p w14:paraId="7F00F237">
      <w:pPr>
        <w:widowControl w:val="0"/>
        <w:adjustRightInd w:val="0"/>
        <w:snapToGrid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964416" behindDoc="0" locked="0" layoutInCell="1" allowOverlap="1">
                <wp:simplePos x="0" y="0"/>
                <wp:positionH relativeFrom="column">
                  <wp:posOffset>-114300</wp:posOffset>
                </wp:positionH>
                <wp:positionV relativeFrom="paragraph">
                  <wp:posOffset>53975</wp:posOffset>
                </wp:positionV>
                <wp:extent cx="807720" cy="408940"/>
                <wp:effectExtent l="0" t="0" r="0" b="0"/>
                <wp:wrapNone/>
                <wp:docPr id="446" name="文本框 1100"/>
                <wp:cNvGraphicFramePr/>
                <a:graphic xmlns:a="http://schemas.openxmlformats.org/drawingml/2006/main">
                  <a:graphicData uri="http://schemas.microsoft.com/office/word/2010/wordprocessingShape">
                    <wps:wsp>
                      <wps:cNvSpPr txBox="1"/>
                      <wps:spPr>
                        <a:xfrm>
                          <a:off x="0" y="0"/>
                          <a:ext cx="807720" cy="408940"/>
                        </a:xfrm>
                        <a:prstGeom prst="rect">
                          <a:avLst/>
                        </a:prstGeom>
                        <a:noFill/>
                        <a:ln w="12700">
                          <a:noFill/>
                        </a:ln>
                      </wps:spPr>
                      <wps:txbx>
                        <w:txbxContent>
                          <w:p w14:paraId="0F175D7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违反责任</w:t>
                            </w:r>
                          </w:p>
                        </w:txbxContent>
                      </wps:txbx>
                      <wps:bodyPr rot="0" vert="horz" wrap="square" lIns="91440" tIns="45720" rIns="91440" bIns="45720" anchor="t" anchorCtr="0"/>
                    </wps:wsp>
                  </a:graphicData>
                </a:graphic>
              </wp:anchor>
            </w:drawing>
          </mc:Choice>
          <mc:Fallback>
            <w:pict>
              <v:shape id="文本框 1100" o:spid="_x0000_s1026" o:spt="202" type="#_x0000_t202" style="position:absolute;left:0pt;margin-left:-9pt;margin-top:4.25pt;height:32.2pt;width:63.6pt;z-index:251964416;mso-width-relative:page;mso-height-relative:page;" filled="f" stroked="f" coordsize="21600,21600" o:gfxdata="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jCvxXX&#10;AAAACAEAAA8AAAAAAAAAAQAgAAAAIgAAAGRycy9kb3ducmV2LnhtbFBLAQIUABQAAAAIAIdO4kCN&#10;+cdr6AEAAL8DAAAOAAAAAAAAAAEAIAAAACYBAABkcnMvZTJvRG9jLnhtbFBLBQYAAAAABgAGAFkB&#10;AACABQAAAAA=&#10;">
                <v:fill on="f" focussize="0,0"/>
                <v:stroke on="f" weight="1pt"/>
                <v:imagedata o:title=""/>
                <o:lock v:ext="edit" aspectratio="f"/>
                <v:textbox>
                  <w:txbxContent>
                    <w:p w14:paraId="0F175D7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违反责任</w:t>
                      </w:r>
                    </w:p>
                  </w:txbxContent>
                </v:textbox>
              </v:shape>
            </w:pict>
          </mc:Fallback>
        </mc:AlternateContent>
      </w:r>
      <w:r>
        <w:rPr>
          <w:rFonts w:hint="eastAsia" w:ascii="仿宋" w:hAnsi="仿宋" w:eastAsia="仿宋" w:cs="仿宋"/>
          <w:lang w:eastAsia="zh-CN"/>
        </w:rPr>
        <w:t>如果承包人违反廉政建设有关规定，采用不正当手段，贿赂或变相贿赂了包括监理工程师、造价工程师在内的发包人工作人员，以求获得或已获得不当利益的，则发包人除保留追究其工作人员责任外，因承包人上述行为造成发包人损失或工程损害的，承包人应予赔偿，并承担相应的法律责任。发包人有权按照第92</w:t>
      </w:r>
      <w:r>
        <w:rPr>
          <w:rFonts w:ascii="仿宋" w:hAnsi="仿宋" w:eastAsia="仿宋" w:cs="仿宋"/>
          <w:lang w:eastAsia="zh-CN"/>
        </w:rPr>
        <w:t>.3</w:t>
      </w:r>
      <w:r>
        <w:rPr>
          <w:rFonts w:hint="eastAsia" w:ascii="仿宋" w:hAnsi="仿宋" w:eastAsia="仿宋" w:cs="仿宋"/>
          <w:lang w:eastAsia="zh-CN"/>
        </w:rPr>
        <w:t>款约定解除合同，并按照第93</w:t>
      </w:r>
      <w:r>
        <w:rPr>
          <w:rFonts w:ascii="仿宋" w:hAnsi="仿宋" w:eastAsia="仿宋" w:cs="仿宋"/>
          <w:lang w:eastAsia="zh-CN"/>
        </w:rPr>
        <w:t>.3</w:t>
      </w:r>
      <w:r>
        <w:rPr>
          <w:rFonts w:hint="eastAsia" w:ascii="仿宋" w:hAnsi="仿宋" w:eastAsia="仿宋" w:cs="仿宋"/>
          <w:lang w:eastAsia="zh-CN"/>
        </w:rPr>
        <w:t>款约定办理合同解除的支付。</w:t>
      </w:r>
    </w:p>
    <w:p w14:paraId="5CA95264">
      <w:pPr>
        <w:pStyle w:val="22"/>
        <w:adjustRightInd w:val="0"/>
        <w:snapToGrid w:val="0"/>
        <w:spacing w:line="400" w:lineRule="exact"/>
        <w:rPr>
          <w:rFonts w:ascii="仿宋" w:hAnsi="仿宋" w:eastAsia="仿宋" w:cs="仿宋"/>
          <w:b/>
          <w:bCs/>
          <w:sz w:val="24"/>
          <w:szCs w:val="24"/>
          <w:u w:val="single"/>
          <w:lang w:eastAsia="zh-CN"/>
        </w:rPr>
      </w:pPr>
      <w:r>
        <w:rPr>
          <w:rFonts w:ascii="仿宋" w:hAnsi="仿宋" w:eastAsia="仿宋" w:cs="仿宋"/>
          <w:b/>
          <w:bCs/>
          <w:sz w:val="24"/>
          <w:szCs w:val="24"/>
          <w:u w:val="single"/>
          <w:lang w:eastAsia="zh-CN"/>
        </w:rPr>
        <w:t xml:space="preserve">                                                                                     </w:t>
      </w:r>
    </w:p>
    <w:p w14:paraId="64B5C539">
      <w:pPr>
        <w:pStyle w:val="4"/>
        <w:tabs>
          <w:tab w:val="left" w:pos="420"/>
        </w:tabs>
        <w:spacing w:before="0" w:after="0" w:line="400" w:lineRule="exact"/>
        <w:rPr>
          <w:rFonts w:ascii="仿宋" w:hAnsi="仿宋" w:eastAsia="仿宋" w:cs="仿宋"/>
          <w:bCs w:val="0"/>
          <w:sz w:val="24"/>
          <w:szCs w:val="24"/>
          <w:lang w:eastAsia="zh-CN"/>
        </w:rPr>
      </w:pPr>
      <w:bookmarkStart w:id="783" w:name="_Toc27042"/>
      <w:bookmarkStart w:id="784" w:name="_Toc194073215"/>
      <w:bookmarkStart w:id="785" w:name="_Toc445"/>
      <w:bookmarkStart w:id="786" w:name="_Toc469384078"/>
      <w:bookmarkStart w:id="787" w:name="_Toc27991"/>
      <w:r>
        <w:rPr>
          <w:rFonts w:hint="eastAsia" w:ascii="仿宋" w:hAnsi="仿宋" w:eastAsia="仿宋" w:cs="仿宋"/>
          <w:bCs w:val="0"/>
          <w:sz w:val="24"/>
          <w:szCs w:val="24"/>
          <w:lang w:eastAsia="zh-CN"/>
        </w:rPr>
        <w:t>101</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禁止转让</w:t>
      </w:r>
      <w:bookmarkEnd w:id="783"/>
      <w:bookmarkEnd w:id="784"/>
      <w:bookmarkEnd w:id="785"/>
      <w:bookmarkEnd w:id="786"/>
      <w:bookmarkEnd w:id="787"/>
    </w:p>
    <w:p w14:paraId="4807D7DB">
      <w:pPr>
        <w:pStyle w:val="22"/>
        <w:adjustRightInd w:val="0"/>
        <w:snapToGrid w:val="0"/>
        <w:spacing w:line="400" w:lineRule="exact"/>
        <w:rPr>
          <w:rFonts w:ascii="仿宋" w:hAnsi="仿宋" w:eastAsia="仿宋" w:cs="仿宋"/>
          <w:b/>
          <w:bCs/>
          <w:sz w:val="24"/>
          <w:szCs w:val="24"/>
          <w:lang w:eastAsia="zh-CN"/>
        </w:rPr>
      </w:pPr>
      <w:r>
        <w:rPr>
          <w:rFonts w:hint="eastAsia" w:ascii="仿宋" w:hAnsi="仿宋" w:eastAsia="仿宋" w:cs="仿宋"/>
          <w:b/>
          <w:bCs/>
          <w:sz w:val="24"/>
          <w:szCs w:val="24"/>
          <w:lang w:eastAsia="zh-CN"/>
        </w:rPr>
        <w:t>101</w:t>
      </w:r>
      <w:r>
        <w:rPr>
          <w:rFonts w:ascii="仿宋" w:hAnsi="仿宋" w:eastAsia="仿宋" w:cs="仿宋"/>
          <w:b/>
          <w:bCs/>
          <w:sz w:val="24"/>
          <w:szCs w:val="24"/>
          <w:lang w:eastAsia="zh-CN"/>
        </w:rPr>
        <w:t>.1</w:t>
      </w:r>
    </w:p>
    <w:p w14:paraId="2D494D9C">
      <w:pPr>
        <w:widowControl w:val="0"/>
        <w:adjustRightInd w:val="0"/>
        <w:snapToGrid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965440" behindDoc="0" locked="0" layoutInCell="1" allowOverlap="1">
                <wp:simplePos x="0" y="0"/>
                <wp:positionH relativeFrom="column">
                  <wp:posOffset>-114300</wp:posOffset>
                </wp:positionH>
                <wp:positionV relativeFrom="paragraph">
                  <wp:posOffset>15875</wp:posOffset>
                </wp:positionV>
                <wp:extent cx="883920" cy="357505"/>
                <wp:effectExtent l="0" t="0" r="0" b="0"/>
                <wp:wrapNone/>
                <wp:docPr id="447" name="文本框 1101"/>
                <wp:cNvGraphicFramePr/>
                <a:graphic xmlns:a="http://schemas.openxmlformats.org/drawingml/2006/main">
                  <a:graphicData uri="http://schemas.microsoft.com/office/word/2010/wordprocessingShape">
                    <wps:wsp>
                      <wps:cNvSpPr txBox="1"/>
                      <wps:spPr>
                        <a:xfrm>
                          <a:off x="0" y="0"/>
                          <a:ext cx="883920" cy="357505"/>
                        </a:xfrm>
                        <a:prstGeom prst="rect">
                          <a:avLst/>
                        </a:prstGeom>
                        <a:noFill/>
                        <a:ln w="12700">
                          <a:noFill/>
                        </a:ln>
                      </wps:spPr>
                      <wps:txbx>
                        <w:txbxContent>
                          <w:p w14:paraId="5AC94EB4">
                            <w:pPr>
                              <w:spacing w:line="240" w:lineRule="exact"/>
                              <w:rPr>
                                <w:rFonts w:ascii="宋体"/>
                                <w:b/>
                                <w:bCs/>
                                <w:sz w:val="18"/>
                                <w:szCs w:val="18"/>
                              </w:rPr>
                            </w:pPr>
                            <w:r>
                              <w:rPr>
                                <w:rFonts w:hint="eastAsia" w:ascii="楷体_GB2312" w:hAnsi="宋体" w:eastAsia="楷体_GB2312" w:cs="楷体_GB2312"/>
                                <w:b/>
                                <w:bCs/>
                                <w:sz w:val="18"/>
                                <w:szCs w:val="18"/>
                              </w:rPr>
                              <w:t>履行合同</w:t>
                            </w:r>
                          </w:p>
                        </w:txbxContent>
                      </wps:txbx>
                      <wps:bodyPr rot="0" vert="horz" wrap="square" lIns="91440" tIns="45720" rIns="91440" bIns="45720" anchor="t" anchorCtr="0"/>
                    </wps:wsp>
                  </a:graphicData>
                </a:graphic>
              </wp:anchor>
            </w:drawing>
          </mc:Choice>
          <mc:Fallback>
            <w:pict>
              <v:shape id="文本框 1101" o:spid="_x0000_s1026" o:spt="202" type="#_x0000_t202" style="position:absolute;left:0pt;margin-left:-9pt;margin-top:1.25pt;height:28.15pt;width:69.6pt;z-index:251965440;mso-width-relative:page;mso-height-relative:page;" filled="f" stroked="f" coordsize="21600,21600" o:gfxdata="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I8&#10;G7zXAAAACAEAAA8AAAAAAAAAAQAgAAAAIgAAAGRycy9kb3ducmV2LnhtbFBLAQIUABQAAAAIAIdO&#10;4kDLhJyQ6wEAAL8DAAAOAAAAAAAAAAEAIAAAACYBAABkcnMvZTJvRG9jLnhtbFBLBQYAAAAABgAG&#10;AFkBAACDBQAAAAA=&#10;">
                <v:fill on="f" focussize="0,0"/>
                <v:stroke on="f" weight="1pt"/>
                <v:imagedata o:title=""/>
                <o:lock v:ext="edit" aspectratio="f"/>
                <v:textbox>
                  <w:txbxContent>
                    <w:p w14:paraId="5AC94EB4">
                      <w:pPr>
                        <w:spacing w:line="240" w:lineRule="exact"/>
                        <w:rPr>
                          <w:rFonts w:ascii="宋体"/>
                          <w:b/>
                          <w:bCs/>
                          <w:sz w:val="18"/>
                          <w:szCs w:val="18"/>
                        </w:rPr>
                      </w:pPr>
                      <w:r>
                        <w:rPr>
                          <w:rFonts w:hint="eastAsia" w:ascii="楷体_GB2312" w:hAnsi="宋体" w:eastAsia="楷体_GB2312" w:cs="楷体_GB2312"/>
                          <w:b/>
                          <w:bCs/>
                          <w:sz w:val="18"/>
                          <w:szCs w:val="18"/>
                        </w:rPr>
                        <w:t>履行合同</w:t>
                      </w:r>
                    </w:p>
                  </w:txbxContent>
                </v:textbox>
              </v:shape>
            </w:pict>
          </mc:Fallback>
        </mc:AlternateContent>
      </w:r>
      <w:r>
        <w:rPr>
          <w:rFonts w:hint="eastAsia" w:ascii="仿宋" w:hAnsi="仿宋" w:eastAsia="仿宋" w:cs="仿宋"/>
          <w:lang w:eastAsia="zh-CN"/>
        </w:rPr>
        <w:t>本合同一经签署，合同双方当事人均应按照本合同约定行使各自的权利、履行各自的义务。</w:t>
      </w:r>
    </w:p>
    <w:p w14:paraId="4B1B98BC">
      <w:pPr>
        <w:spacing w:line="400" w:lineRule="exact"/>
        <w:rPr>
          <w:rFonts w:ascii="仿宋" w:hAnsi="仿宋" w:eastAsia="仿宋" w:cs="仿宋"/>
          <w:b/>
          <w:bCs/>
          <w:u w:val="dotted"/>
          <w:lang w:eastAsia="zh-CN"/>
        </w:rPr>
      </w:pPr>
      <w:bookmarkStart w:id="788" w:name="_Toc8900"/>
      <w:r>
        <w:rPr>
          <w:rFonts w:hint="eastAsia" w:ascii="仿宋" w:hAnsi="仿宋" w:eastAsia="仿宋" w:cs="仿宋"/>
          <w:b/>
          <w:bCs/>
          <w:lang w:eastAsia="zh-CN"/>
        </w:rPr>
        <w:t>101</w:t>
      </w:r>
      <w:r>
        <w:rPr>
          <w:rFonts w:ascii="仿宋" w:hAnsi="仿宋" w:eastAsia="仿宋" w:cs="仿宋"/>
          <w:b/>
          <w:bCs/>
          <w:lang w:eastAsia="zh-CN"/>
        </w:rPr>
        <w:t>.2</w:t>
      </w:r>
      <w:bookmarkEnd w:id="788"/>
      <w:r>
        <w:rPr>
          <w:rFonts w:ascii="仿宋" w:hAnsi="仿宋" w:eastAsia="仿宋" w:cs="仿宋"/>
          <w:b/>
          <w:bCs/>
          <w:lang w:eastAsia="zh-CN"/>
        </w:rPr>
        <w:t xml:space="preserve">  </w:t>
      </w:r>
      <w:r>
        <w:rPr>
          <w:rFonts w:ascii="仿宋" w:hAnsi="仿宋" w:eastAsia="仿宋" w:cs="仿宋"/>
          <w:b/>
          <w:bCs/>
          <w:u w:val="dotted"/>
          <w:lang w:eastAsia="zh-CN"/>
        </w:rPr>
        <w:t xml:space="preserve">                                                                               </w:t>
      </w:r>
    </w:p>
    <w:p w14:paraId="1069992B">
      <w:pPr>
        <w:widowControl w:val="0"/>
        <w:adjustRightInd w:val="0"/>
        <w:snapToGrid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966464" behindDoc="0" locked="0" layoutInCell="1" allowOverlap="1">
                <wp:simplePos x="0" y="0"/>
                <wp:positionH relativeFrom="column">
                  <wp:posOffset>-114300</wp:posOffset>
                </wp:positionH>
                <wp:positionV relativeFrom="paragraph">
                  <wp:posOffset>98425</wp:posOffset>
                </wp:positionV>
                <wp:extent cx="760095" cy="424180"/>
                <wp:effectExtent l="0" t="0" r="0" b="0"/>
                <wp:wrapNone/>
                <wp:docPr id="448" name="文本框 1102"/>
                <wp:cNvGraphicFramePr/>
                <a:graphic xmlns:a="http://schemas.openxmlformats.org/drawingml/2006/main">
                  <a:graphicData uri="http://schemas.microsoft.com/office/word/2010/wordprocessingShape">
                    <wps:wsp>
                      <wps:cNvSpPr txBox="1"/>
                      <wps:spPr>
                        <a:xfrm>
                          <a:off x="0" y="0"/>
                          <a:ext cx="760095" cy="424180"/>
                        </a:xfrm>
                        <a:prstGeom prst="rect">
                          <a:avLst/>
                        </a:prstGeom>
                        <a:noFill/>
                        <a:ln w="12700">
                          <a:noFill/>
                        </a:ln>
                      </wps:spPr>
                      <wps:txbx>
                        <w:txbxContent>
                          <w:p w14:paraId="08ACA5E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不得转让</w:t>
                            </w:r>
                          </w:p>
                        </w:txbxContent>
                      </wps:txbx>
                      <wps:bodyPr rot="0" vert="horz" wrap="square" lIns="91440" tIns="45720" rIns="91440" bIns="45720" anchor="t" anchorCtr="0"/>
                    </wps:wsp>
                  </a:graphicData>
                </a:graphic>
              </wp:anchor>
            </w:drawing>
          </mc:Choice>
          <mc:Fallback>
            <w:pict>
              <v:shape id="文本框 1102" o:spid="_x0000_s1026" o:spt="202" type="#_x0000_t202" style="position:absolute;left:0pt;margin-left:-9pt;margin-top:7.75pt;height:33.4pt;width:59.85pt;z-index:251966464;mso-width-relative:page;mso-height-relative:page;" filled="f" stroked="f" coordsize="21600,21600" o:gfxdata="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bT0dcAAAAJAQAADwAAAAAAAAABACAAAAAiAAAAZHJzL2Rvd25yZXYueG1sUEsBAhQAFAAAAAgA&#10;h07iQCBCMmTtAQAAvwMAAA4AAAAAAAAAAQAgAAAAJgEAAGRycy9lMm9Eb2MueG1sUEsFBgAAAAAG&#10;AAYAWQEAAIUFAAAAAA==&#10;">
                <v:fill on="f" focussize="0,0"/>
                <v:stroke on="f" weight="1pt"/>
                <v:imagedata o:title=""/>
                <o:lock v:ext="edit" aspectratio="f"/>
                <v:textbox>
                  <w:txbxContent>
                    <w:p w14:paraId="08ACA5E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不得转让</w:t>
                      </w:r>
                    </w:p>
                  </w:txbxContent>
                </v:textbox>
              </v:shape>
            </w:pict>
          </mc:Fallback>
        </mc:AlternateContent>
      </w:r>
      <w:r>
        <w:rPr>
          <w:rFonts w:hint="eastAsia" w:ascii="仿宋" w:hAnsi="仿宋" w:eastAsia="仿宋" w:cs="仿宋"/>
          <w:lang w:eastAsia="zh-CN"/>
        </w:rPr>
        <w:t>除合同另有约定外，未经另一方当事人同意，合同一方当事人不得将本合同的全部或部分权利、义务转让给第三方。</w:t>
      </w:r>
    </w:p>
    <w:p w14:paraId="193BBB24">
      <w:pPr>
        <w:pStyle w:val="22"/>
        <w:adjustRightInd w:val="0"/>
        <w:snapToGrid w:val="0"/>
        <w:spacing w:line="400" w:lineRule="exact"/>
        <w:rPr>
          <w:rFonts w:ascii="仿宋" w:hAnsi="仿宋" w:eastAsia="仿宋"/>
          <w:b/>
          <w:bCs/>
          <w:sz w:val="24"/>
          <w:szCs w:val="24"/>
          <w:lang w:eastAsia="zh-CN"/>
        </w:rPr>
      </w:pPr>
      <w:r>
        <w:rPr>
          <w:rFonts w:ascii="仿宋" w:hAnsi="仿宋" w:eastAsia="仿宋" w:cs="仿宋"/>
          <w:b/>
          <w:bCs/>
          <w:sz w:val="24"/>
          <w:szCs w:val="24"/>
          <w:u w:val="single"/>
          <w:lang w:eastAsia="zh-CN"/>
        </w:rPr>
        <w:t xml:space="preserve">                                                                     </w:t>
      </w:r>
      <w:r>
        <w:rPr>
          <w:rFonts w:hint="eastAsia" w:ascii="仿宋" w:hAnsi="仿宋" w:eastAsia="仿宋" w:cs="仿宋"/>
          <w:b/>
          <w:bCs/>
          <w:sz w:val="24"/>
          <w:szCs w:val="24"/>
          <w:u w:val="single"/>
          <w:lang w:eastAsia="zh-CN"/>
        </w:rPr>
        <w:t xml:space="preserve">    </w:t>
      </w:r>
      <w:r>
        <w:rPr>
          <w:rFonts w:ascii="仿宋" w:hAnsi="仿宋" w:eastAsia="仿宋" w:cs="仿宋"/>
          <w:b/>
          <w:bCs/>
          <w:sz w:val="24"/>
          <w:szCs w:val="24"/>
          <w:u w:val="single"/>
          <w:lang w:eastAsia="zh-CN"/>
        </w:rPr>
        <w:t xml:space="preserve">           </w:t>
      </w:r>
    </w:p>
    <w:p w14:paraId="0424D676">
      <w:pPr>
        <w:pStyle w:val="4"/>
        <w:tabs>
          <w:tab w:val="left" w:pos="420"/>
        </w:tabs>
        <w:spacing w:before="0" w:after="0" w:line="400" w:lineRule="exact"/>
        <w:rPr>
          <w:rFonts w:ascii="仿宋" w:hAnsi="仿宋" w:eastAsia="仿宋" w:cs="仿宋"/>
          <w:bCs w:val="0"/>
          <w:sz w:val="24"/>
          <w:szCs w:val="24"/>
          <w:lang w:eastAsia="zh-CN"/>
        </w:rPr>
      </w:pPr>
      <w:bookmarkStart w:id="789" w:name="_Toc15108"/>
      <w:bookmarkStart w:id="790" w:name="_Toc3135"/>
      <w:bookmarkStart w:id="791" w:name="_Toc469384079"/>
      <w:bookmarkStart w:id="792" w:name="_Toc194073216"/>
      <w:bookmarkStart w:id="793" w:name="_Toc28767"/>
      <w:r>
        <w:rPr>
          <w:rFonts w:hint="eastAsia" w:ascii="仿宋" w:hAnsi="仿宋" w:eastAsia="仿宋" w:cs="仿宋"/>
          <w:bCs w:val="0"/>
          <w:sz w:val="24"/>
          <w:szCs w:val="24"/>
          <w:lang w:eastAsia="zh-CN"/>
        </w:rPr>
        <w:t>102</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合同份数</w:t>
      </w:r>
      <w:bookmarkEnd w:id="789"/>
      <w:bookmarkEnd w:id="790"/>
      <w:bookmarkEnd w:id="791"/>
      <w:bookmarkEnd w:id="792"/>
      <w:bookmarkEnd w:id="793"/>
    </w:p>
    <w:p w14:paraId="1003E789">
      <w:pPr>
        <w:pStyle w:val="22"/>
        <w:adjustRightInd w:val="0"/>
        <w:snapToGrid w:val="0"/>
        <w:spacing w:line="400" w:lineRule="exact"/>
        <w:ind w:left="1312" w:hanging="1312" w:hangingChars="656"/>
        <w:rPr>
          <w:rFonts w:ascii="仿宋" w:hAnsi="仿宋" w:eastAsia="仿宋" w:cs="仿宋"/>
          <w:b/>
          <w:bCs/>
          <w:sz w:val="24"/>
          <w:szCs w:val="24"/>
          <w:lang w:eastAsia="zh-CN"/>
        </w:rPr>
      </w:pPr>
      <w:r>
        <mc:AlternateContent>
          <mc:Choice Requires="wps">
            <w:drawing>
              <wp:anchor distT="0" distB="0" distL="114300" distR="114300" simplePos="0" relativeHeight="252077056" behindDoc="0" locked="0" layoutInCell="1" allowOverlap="1">
                <wp:simplePos x="0" y="0"/>
                <wp:positionH relativeFrom="column">
                  <wp:posOffset>-66675</wp:posOffset>
                </wp:positionH>
                <wp:positionV relativeFrom="paragraph">
                  <wp:posOffset>273685</wp:posOffset>
                </wp:positionV>
                <wp:extent cx="775970" cy="439420"/>
                <wp:effectExtent l="0" t="0" r="0" b="0"/>
                <wp:wrapNone/>
                <wp:docPr id="449" name="文本框 1103"/>
                <wp:cNvGraphicFramePr/>
                <a:graphic xmlns:a="http://schemas.openxmlformats.org/drawingml/2006/main">
                  <a:graphicData uri="http://schemas.microsoft.com/office/word/2010/wordprocessingShape">
                    <wps:wsp>
                      <wps:cNvSpPr txBox="1"/>
                      <wps:spPr>
                        <a:xfrm>
                          <a:off x="0" y="0"/>
                          <a:ext cx="775970" cy="439420"/>
                        </a:xfrm>
                        <a:prstGeom prst="rect">
                          <a:avLst/>
                        </a:prstGeom>
                        <a:noFill/>
                        <a:ln w="12700">
                          <a:noFill/>
                        </a:ln>
                      </wps:spPr>
                      <wps:txbx>
                        <w:txbxContent>
                          <w:p w14:paraId="64010D2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约定提供合同文本</w:t>
                            </w:r>
                          </w:p>
                        </w:txbxContent>
                      </wps:txbx>
                      <wps:bodyPr rot="0" vert="horz" wrap="square" lIns="91440" tIns="45720" rIns="91440" bIns="45720" anchor="t" anchorCtr="0"/>
                    </wps:wsp>
                  </a:graphicData>
                </a:graphic>
              </wp:anchor>
            </w:drawing>
          </mc:Choice>
          <mc:Fallback>
            <w:pict>
              <v:shape id="文本框 1103" o:spid="_x0000_s1026" o:spt="202" type="#_x0000_t202" style="position:absolute;left:0pt;margin-left:-5.25pt;margin-top:21.55pt;height:34.6pt;width:61.1pt;z-index:252077056;mso-width-relative:page;mso-height-relative:page;" filled="f" stroked="f" coordsize="21600,21600" o:gfxdata="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p&#10;Fwqm1wAAAAoBAAAPAAAAAAAAAAEAIAAAACIAAABkcnMvZG93bnJldi54bWxQSwECFAAUAAAACACH&#10;TuJAh6U0JuwBAAC/AwAADgAAAAAAAAABACAAAAAmAQAAZHJzL2Uyb0RvYy54bWxQSwUGAAAAAAYA&#10;BgBZAQAAhAUAAAAA&#10;">
                <v:fill on="f" focussize="0,0"/>
                <v:stroke on="f" weight="1pt"/>
                <v:imagedata o:title=""/>
                <o:lock v:ext="edit" aspectratio="f"/>
                <v:textbox>
                  <w:txbxContent>
                    <w:p w14:paraId="64010D2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约定提供合同文本</w:t>
                      </w:r>
                    </w:p>
                  </w:txbxContent>
                </v:textbox>
              </v:shape>
            </w:pict>
          </mc:Fallback>
        </mc:AlternateContent>
      </w:r>
      <w:r>
        <w:rPr>
          <w:rFonts w:hint="eastAsia" w:ascii="仿宋" w:hAnsi="仿宋" w:eastAsia="仿宋" w:cs="仿宋"/>
          <w:b/>
          <w:bCs/>
          <w:sz w:val="24"/>
          <w:szCs w:val="24"/>
          <w:lang w:eastAsia="zh-CN"/>
        </w:rPr>
        <w:t>102</w:t>
      </w:r>
      <w:r>
        <w:rPr>
          <w:rFonts w:ascii="仿宋" w:hAnsi="仿宋" w:eastAsia="仿宋" w:cs="仿宋"/>
          <w:b/>
          <w:bCs/>
          <w:sz w:val="24"/>
          <w:szCs w:val="24"/>
          <w:lang w:eastAsia="zh-CN"/>
        </w:rPr>
        <w:t>.1</w:t>
      </w:r>
    </w:p>
    <w:p w14:paraId="0CD9693C">
      <w:pPr>
        <w:widowControl w:val="0"/>
        <w:adjustRightInd w:val="0"/>
        <w:snapToGrid w:val="0"/>
        <w:spacing w:line="400" w:lineRule="exact"/>
        <w:ind w:left="1850" w:leftChars="771"/>
        <w:jc w:val="both"/>
        <w:rPr>
          <w:rFonts w:ascii="仿宋" w:hAnsi="仿宋" w:eastAsia="仿宋"/>
          <w:lang w:eastAsia="zh-CN"/>
        </w:rPr>
      </w:pPr>
      <w:r>
        <w:rPr>
          <w:rFonts w:hint="eastAsia" w:ascii="仿宋" w:hAnsi="仿宋" w:eastAsia="仿宋" w:cs="仿宋"/>
          <w:lang w:eastAsia="zh-CN"/>
        </w:rPr>
        <w:t>除合同专用条款另有约定外，发包人应按照第102</w:t>
      </w:r>
      <w:r>
        <w:rPr>
          <w:rFonts w:ascii="仿宋" w:hAnsi="仿宋" w:eastAsia="仿宋" w:cs="仿宋"/>
          <w:lang w:eastAsia="zh-CN"/>
        </w:rPr>
        <w:t>.2</w:t>
      </w:r>
      <w:r>
        <w:rPr>
          <w:rFonts w:hint="eastAsia" w:ascii="仿宋" w:hAnsi="仿宋" w:eastAsia="仿宋" w:cs="仿宋"/>
          <w:lang w:eastAsia="zh-CN"/>
        </w:rPr>
        <w:t>款约定的份数免费为承包人提供合同文本。</w:t>
      </w:r>
    </w:p>
    <w:p w14:paraId="7D2EFE6B">
      <w:pPr>
        <w:spacing w:line="400" w:lineRule="exact"/>
        <w:rPr>
          <w:rFonts w:ascii="仿宋" w:hAnsi="仿宋" w:eastAsia="仿宋"/>
          <w:lang w:eastAsia="zh-CN"/>
        </w:rPr>
      </w:pPr>
      <w:bookmarkStart w:id="794" w:name="_Toc21966"/>
      <w:r>
        <w:rPr>
          <w:rFonts w:hint="eastAsia" w:ascii="仿宋" w:hAnsi="仿宋" w:eastAsia="仿宋" w:cs="仿宋"/>
          <w:b/>
          <w:bCs/>
          <w:lang w:eastAsia="zh-CN"/>
        </w:rPr>
        <w:t>102</w:t>
      </w:r>
      <w:r>
        <w:rPr>
          <w:rFonts w:ascii="仿宋" w:hAnsi="仿宋" w:eastAsia="仿宋" w:cs="仿宋"/>
          <w:b/>
          <w:bCs/>
          <w:lang w:eastAsia="zh-CN"/>
        </w:rPr>
        <w:t>.2</w:t>
      </w:r>
      <w:bookmarkEnd w:id="794"/>
      <w:r>
        <w:rPr>
          <w:rFonts w:ascii="仿宋" w:hAnsi="仿宋" w:eastAsia="仿宋" w:cs="仿宋"/>
          <w:b/>
          <w:bCs/>
          <w:lang w:eastAsia="zh-CN"/>
        </w:rPr>
        <w:t xml:space="preserve">  </w:t>
      </w:r>
      <w:r>
        <w:rPr>
          <w:rFonts w:ascii="仿宋" w:hAnsi="仿宋" w:eastAsia="仿宋" w:cs="仿宋"/>
          <w:b/>
          <w:bCs/>
          <w:u w:val="dotted"/>
          <w:lang w:eastAsia="zh-CN"/>
        </w:rPr>
        <w:t xml:space="preserve"> </w:t>
      </w:r>
      <w:r>
        <w:rPr>
          <w:rFonts w:ascii="仿宋" w:hAnsi="仿宋" w:eastAsia="仿宋" w:cs="仿宋"/>
          <w:u w:val="dotted"/>
          <w:lang w:eastAsia="zh-CN"/>
        </w:rPr>
        <w:t xml:space="preserve">                                                                              </w:t>
      </w:r>
    </w:p>
    <w:p w14:paraId="0168585E">
      <w:pPr>
        <w:widowControl w:val="0"/>
        <w:adjustRightInd w:val="0"/>
        <w:snapToGrid w:val="0"/>
        <w:spacing w:line="400" w:lineRule="exact"/>
        <w:ind w:left="1850" w:leftChars="771"/>
        <w:jc w:val="both"/>
        <w:rPr>
          <w:rFonts w:ascii="仿宋" w:hAnsi="仿宋" w:eastAsia="仿宋"/>
          <w:lang w:eastAsia="zh-CN"/>
        </w:rPr>
      </w:pPr>
      <w:r>
        <mc:AlternateContent>
          <mc:Choice Requires="wps">
            <w:drawing>
              <wp:anchor distT="0" distB="0" distL="114300" distR="114300" simplePos="0" relativeHeight="251967488" behindDoc="0" locked="0" layoutInCell="1" allowOverlap="1">
                <wp:simplePos x="0" y="0"/>
                <wp:positionH relativeFrom="column">
                  <wp:posOffset>-114300</wp:posOffset>
                </wp:positionH>
                <wp:positionV relativeFrom="paragraph">
                  <wp:posOffset>8255</wp:posOffset>
                </wp:positionV>
                <wp:extent cx="788670" cy="502285"/>
                <wp:effectExtent l="0" t="0" r="0" b="0"/>
                <wp:wrapNone/>
                <wp:docPr id="450" name="文本框 1104"/>
                <wp:cNvGraphicFramePr/>
                <a:graphic xmlns:a="http://schemas.openxmlformats.org/drawingml/2006/main">
                  <a:graphicData uri="http://schemas.microsoft.com/office/word/2010/wordprocessingShape">
                    <wps:wsp>
                      <wps:cNvSpPr txBox="1"/>
                      <wps:spPr>
                        <a:xfrm>
                          <a:off x="0" y="0"/>
                          <a:ext cx="788670" cy="502285"/>
                        </a:xfrm>
                        <a:prstGeom prst="rect">
                          <a:avLst/>
                        </a:prstGeom>
                        <a:noFill/>
                        <a:ln w="12700">
                          <a:noFill/>
                        </a:ln>
                      </wps:spPr>
                      <wps:txbx>
                        <w:txbxContent>
                          <w:p w14:paraId="61FDD39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正副本效力</w:t>
                            </w:r>
                          </w:p>
                        </w:txbxContent>
                      </wps:txbx>
                      <wps:bodyPr rot="0" vert="horz" wrap="square" lIns="91440" tIns="45720" rIns="91440" bIns="45720" anchor="t" anchorCtr="0"/>
                    </wps:wsp>
                  </a:graphicData>
                </a:graphic>
              </wp:anchor>
            </w:drawing>
          </mc:Choice>
          <mc:Fallback>
            <w:pict>
              <v:shape id="文本框 1104" o:spid="_x0000_s1026" o:spt="202" type="#_x0000_t202" style="position:absolute;left:0pt;margin-left:-9pt;margin-top:0.65pt;height:39.55pt;width:62.1pt;z-index:251967488;mso-width-relative:page;mso-height-relative:page;" filled="f" stroked="f" coordsize="21600,21600" o:gfxdata="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z/X84&#10;1gAAAAgBAAAPAAAAAAAAAAEAIAAAACIAAABkcnMvZG93bnJldi54bWxQSwECFAAUAAAACACHTuJA&#10;5HX+3OoBAAC/AwAADgAAAAAAAAABACAAAAAlAQAAZHJzL2Uyb0RvYy54bWxQSwUGAAAAAAYABgBZ&#10;AQAAgQUAAAAA&#10;">
                <v:fill on="f" focussize="0,0"/>
                <v:stroke on="f" weight="1pt"/>
                <v:imagedata o:title=""/>
                <o:lock v:ext="edit" aspectratio="f"/>
                <v:textbox>
                  <w:txbxContent>
                    <w:p w14:paraId="61FDD39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正副本效力</w:t>
                      </w:r>
                    </w:p>
                  </w:txbxContent>
                </v:textbox>
              </v:shape>
            </w:pict>
          </mc:Fallback>
        </mc:AlternateContent>
      </w:r>
      <w:r>
        <w:rPr>
          <w:rFonts w:hint="eastAsia" w:ascii="仿宋" w:hAnsi="仿宋" w:eastAsia="仿宋" w:cs="仿宋"/>
          <w:lang w:eastAsia="zh-CN"/>
        </w:rPr>
        <w:t>本合同正、副本份数，由合同双方当事人根据需要在专用条款中约定。正本与副本具有同等效力，当正本与副本不一致时，以正本为准。</w:t>
      </w:r>
    </w:p>
    <w:p w14:paraId="4DE33C45">
      <w:pPr>
        <w:pStyle w:val="22"/>
        <w:adjustRightInd w:val="0"/>
        <w:snapToGrid w:val="0"/>
        <w:spacing w:line="400" w:lineRule="exact"/>
        <w:rPr>
          <w:rFonts w:ascii="仿宋" w:hAnsi="仿宋" w:eastAsia="仿宋" w:cs="仿宋"/>
          <w:b/>
          <w:bCs/>
          <w:sz w:val="24"/>
          <w:szCs w:val="24"/>
          <w:u w:val="single"/>
          <w:lang w:eastAsia="zh-CN"/>
        </w:rPr>
      </w:pPr>
      <w:r>
        <w:rPr>
          <w:rFonts w:ascii="仿宋" w:hAnsi="仿宋" w:eastAsia="仿宋" w:cs="仿宋"/>
          <w:b/>
          <w:bCs/>
          <w:sz w:val="24"/>
          <w:szCs w:val="24"/>
          <w:u w:val="single"/>
          <w:lang w:eastAsia="zh-CN"/>
        </w:rPr>
        <w:t xml:space="preserve">                                                         </w:t>
      </w:r>
      <w:r>
        <w:rPr>
          <w:rFonts w:hint="eastAsia" w:ascii="仿宋" w:hAnsi="仿宋" w:eastAsia="仿宋" w:cs="仿宋"/>
          <w:b/>
          <w:bCs/>
          <w:sz w:val="24"/>
          <w:szCs w:val="24"/>
          <w:u w:val="single"/>
          <w:lang w:eastAsia="zh-CN"/>
        </w:rPr>
        <w:t xml:space="preserve">   </w:t>
      </w:r>
      <w:r>
        <w:rPr>
          <w:rFonts w:ascii="仿宋" w:hAnsi="仿宋" w:eastAsia="仿宋" w:cs="仿宋"/>
          <w:b/>
          <w:bCs/>
          <w:sz w:val="24"/>
          <w:szCs w:val="24"/>
          <w:u w:val="single"/>
          <w:lang w:eastAsia="zh-CN"/>
        </w:rPr>
        <w:t xml:space="preserve">                        </w:t>
      </w:r>
    </w:p>
    <w:p w14:paraId="17459EED">
      <w:pPr>
        <w:pStyle w:val="4"/>
        <w:tabs>
          <w:tab w:val="left" w:pos="420"/>
        </w:tabs>
        <w:spacing w:before="0" w:after="0" w:line="400" w:lineRule="exact"/>
        <w:rPr>
          <w:rFonts w:ascii="仿宋" w:hAnsi="仿宋" w:eastAsia="仿宋" w:cs="仿宋"/>
          <w:bCs w:val="0"/>
          <w:sz w:val="24"/>
          <w:szCs w:val="24"/>
          <w:lang w:eastAsia="zh-CN"/>
        </w:rPr>
      </w:pPr>
      <w:bookmarkStart w:id="795" w:name="_Toc469384080"/>
      <w:bookmarkStart w:id="796" w:name="_Toc194073217"/>
      <w:bookmarkStart w:id="797" w:name="_Toc23305"/>
      <w:bookmarkStart w:id="798" w:name="_Toc24118"/>
      <w:bookmarkStart w:id="799" w:name="_Toc27426"/>
      <w:r>
        <w:rPr>
          <w:rFonts w:hint="eastAsia" w:ascii="仿宋" w:hAnsi="仿宋" w:eastAsia="仿宋" w:cs="仿宋"/>
          <w:bCs w:val="0"/>
          <w:sz w:val="24"/>
          <w:szCs w:val="24"/>
          <w:lang w:eastAsia="zh-CN"/>
        </w:rPr>
        <w:t>103</w:t>
      </w:r>
      <w:r>
        <w:rPr>
          <w:rFonts w:ascii="仿宋" w:hAnsi="仿宋" w:eastAsia="仿宋" w:cs="仿宋"/>
          <w:bCs w:val="0"/>
          <w:sz w:val="24"/>
          <w:szCs w:val="24"/>
          <w:lang w:eastAsia="zh-CN"/>
        </w:rPr>
        <w:t xml:space="preserve">  </w:t>
      </w:r>
      <w:r>
        <w:rPr>
          <w:rFonts w:hint="eastAsia" w:ascii="仿宋" w:hAnsi="仿宋" w:eastAsia="仿宋" w:cs="仿宋"/>
          <w:bCs w:val="0"/>
          <w:sz w:val="24"/>
          <w:szCs w:val="24"/>
          <w:lang w:eastAsia="zh-CN"/>
        </w:rPr>
        <w:t>合同</w:t>
      </w:r>
      <w:bookmarkEnd w:id="795"/>
      <w:r>
        <w:rPr>
          <w:rFonts w:hint="eastAsia" w:ascii="仿宋" w:hAnsi="仿宋" w:eastAsia="仿宋" w:cs="仿宋"/>
          <w:bCs w:val="0"/>
          <w:sz w:val="24"/>
          <w:szCs w:val="24"/>
          <w:lang w:eastAsia="zh-CN"/>
        </w:rPr>
        <w:t>管理</w:t>
      </w:r>
      <w:bookmarkEnd w:id="796"/>
      <w:bookmarkEnd w:id="797"/>
      <w:bookmarkEnd w:id="798"/>
      <w:bookmarkEnd w:id="799"/>
    </w:p>
    <w:p w14:paraId="302E7F48">
      <w:pPr>
        <w:pStyle w:val="22"/>
        <w:adjustRightInd w:val="0"/>
        <w:snapToGrid w:val="0"/>
        <w:spacing w:line="400" w:lineRule="exact"/>
        <w:rPr>
          <w:rFonts w:ascii="仿宋" w:hAnsi="仿宋" w:eastAsia="仿宋"/>
          <w:b/>
          <w:bCs/>
          <w:sz w:val="24"/>
          <w:szCs w:val="24"/>
          <w:lang w:eastAsia="zh-CN"/>
        </w:rPr>
      </w:pPr>
      <w:r>
        <mc:AlternateContent>
          <mc:Choice Requires="wps">
            <w:drawing>
              <wp:anchor distT="0" distB="0" distL="114300" distR="114300" simplePos="0" relativeHeight="252078080" behindDoc="0" locked="0" layoutInCell="1" allowOverlap="1">
                <wp:simplePos x="0" y="0"/>
                <wp:positionH relativeFrom="column">
                  <wp:posOffset>-114300</wp:posOffset>
                </wp:positionH>
                <wp:positionV relativeFrom="paragraph">
                  <wp:posOffset>208915</wp:posOffset>
                </wp:positionV>
                <wp:extent cx="796925" cy="361950"/>
                <wp:effectExtent l="0" t="0" r="0" b="0"/>
                <wp:wrapNone/>
                <wp:docPr id="451" name="文本框 1105"/>
                <wp:cNvGraphicFramePr/>
                <a:graphic xmlns:a="http://schemas.openxmlformats.org/drawingml/2006/main">
                  <a:graphicData uri="http://schemas.microsoft.com/office/word/2010/wordprocessingShape">
                    <wps:wsp>
                      <wps:cNvSpPr txBox="1"/>
                      <wps:spPr>
                        <a:xfrm>
                          <a:off x="0" y="0"/>
                          <a:ext cx="796925" cy="361950"/>
                        </a:xfrm>
                        <a:prstGeom prst="rect">
                          <a:avLst/>
                        </a:prstGeom>
                        <a:noFill/>
                        <a:ln w="12700">
                          <a:noFill/>
                        </a:ln>
                      </wps:spPr>
                      <wps:txbx>
                        <w:txbxContent>
                          <w:p w14:paraId="59A0AEE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合同管理</w:t>
                            </w:r>
                          </w:p>
                        </w:txbxContent>
                      </wps:txbx>
                      <wps:bodyPr rot="0" vert="horz" wrap="square" lIns="91440" tIns="45720" rIns="91440" bIns="45720" anchor="t" anchorCtr="0"/>
                    </wps:wsp>
                  </a:graphicData>
                </a:graphic>
              </wp:anchor>
            </w:drawing>
          </mc:Choice>
          <mc:Fallback>
            <w:pict>
              <v:shape id="文本框 1105" o:spid="_x0000_s1026" o:spt="202" type="#_x0000_t202" style="position:absolute;left:0pt;margin-left:-9pt;margin-top:16.45pt;height:28.5pt;width:62.75pt;z-index:252078080;mso-width-relative:page;mso-height-relative:page;" filled="f" stroked="f" coordsize="21600,21600" o:gfxdata="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N5TsvrYAAAACQEAAA8AAAAAAAAAAQAgAAAAIgAAAGRycy9kb3ducmV2LnhtbFBLAQIUABQAAAAI&#10;AIdO4kDM3LLR7QEAAL8DAAAOAAAAAAAAAAEAIAAAACcBAABkcnMvZTJvRG9jLnhtbFBLBQYAAAAA&#10;BgAGAFkBAACGBQAAAAA=&#10;">
                <v:fill on="f" focussize="0,0"/>
                <v:stroke on="f" weight="1pt"/>
                <v:imagedata o:title=""/>
                <o:lock v:ext="edit" aspectratio="f"/>
                <v:textbox>
                  <w:txbxContent>
                    <w:p w14:paraId="59A0AEE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合同管理</w:t>
                      </w:r>
                    </w:p>
                  </w:txbxContent>
                </v:textbox>
              </v:shape>
            </w:pict>
          </mc:Fallback>
        </mc:AlternateContent>
      </w:r>
      <w:r>
        <w:rPr>
          <w:rFonts w:hint="eastAsia" w:ascii="仿宋" w:hAnsi="仿宋" w:eastAsia="仿宋" w:cs="仿宋"/>
          <w:b/>
          <w:bCs/>
          <w:sz w:val="24"/>
          <w:szCs w:val="24"/>
          <w:lang w:eastAsia="zh-CN"/>
        </w:rPr>
        <w:t>103</w:t>
      </w:r>
      <w:r>
        <w:rPr>
          <w:rFonts w:ascii="仿宋" w:hAnsi="仿宋" w:eastAsia="仿宋" w:cs="仿宋"/>
          <w:b/>
          <w:bCs/>
          <w:sz w:val="24"/>
          <w:szCs w:val="24"/>
          <w:lang w:eastAsia="zh-CN"/>
        </w:rPr>
        <w:t>.1</w:t>
      </w:r>
    </w:p>
    <w:p w14:paraId="5A810B6C">
      <w:pPr>
        <w:widowControl w:val="0"/>
        <w:adjustRightInd w:val="0"/>
        <w:snapToGrid w:val="0"/>
        <w:spacing w:line="400" w:lineRule="exact"/>
        <w:ind w:left="1850" w:leftChars="771"/>
        <w:jc w:val="both"/>
        <w:rPr>
          <w:rFonts w:ascii="仿宋" w:hAnsi="仿宋" w:eastAsia="仿宋"/>
          <w:lang w:eastAsia="zh-CN"/>
        </w:rPr>
      </w:pPr>
      <w:r>
        <w:rPr>
          <w:rFonts w:hint="eastAsia" w:ascii="仿宋" w:hAnsi="仿宋" w:eastAsia="仿宋" w:cs="仿宋"/>
          <w:lang w:eastAsia="zh-CN"/>
        </w:rPr>
        <w:t>合同双方当事人应按照第</w:t>
      </w:r>
      <w:r>
        <w:rPr>
          <w:rFonts w:ascii="仿宋" w:hAnsi="仿宋" w:eastAsia="仿宋" w:cs="仿宋"/>
          <w:lang w:eastAsia="zh-CN"/>
        </w:rPr>
        <w:t>2</w:t>
      </w:r>
      <w:r>
        <w:rPr>
          <w:rFonts w:hint="eastAsia" w:ascii="仿宋" w:hAnsi="仿宋" w:eastAsia="仿宋" w:cs="仿宋"/>
          <w:lang w:eastAsia="zh-CN"/>
        </w:rPr>
        <w:t>5条至第</w:t>
      </w:r>
      <w:r>
        <w:rPr>
          <w:rFonts w:ascii="仿宋" w:hAnsi="仿宋" w:eastAsia="仿宋" w:cs="仿宋"/>
          <w:lang w:eastAsia="zh-CN"/>
        </w:rPr>
        <w:t>2</w:t>
      </w:r>
      <w:r>
        <w:rPr>
          <w:rFonts w:hint="eastAsia" w:ascii="仿宋" w:hAnsi="仿宋" w:eastAsia="仿宋" w:cs="仿宋"/>
          <w:lang w:eastAsia="zh-CN"/>
        </w:rPr>
        <w:t>9条的职责划分，督促各自人员认真履行合同管理职责，加强合同管理。</w:t>
      </w:r>
    </w:p>
    <w:p w14:paraId="60F44857">
      <w:pPr>
        <w:widowControl w:val="0"/>
        <w:spacing w:line="400" w:lineRule="exact"/>
        <w:ind w:left="1850" w:leftChars="771"/>
        <w:jc w:val="both"/>
        <w:rPr>
          <w:rFonts w:ascii="仿宋" w:hAnsi="仿宋" w:eastAsia="仿宋" w:cs="仿宋"/>
          <w:b/>
          <w:bCs/>
          <w:u w:val="single"/>
          <w:lang w:eastAsia="zh-CN"/>
        </w:rPr>
      </w:pPr>
      <w:r>
        <w:rPr>
          <w:rFonts w:hint="eastAsia" w:ascii="仿宋" w:hAnsi="仿宋" w:eastAsia="仿宋" w:cs="仿宋"/>
          <w:lang w:eastAsia="zh-CN"/>
        </w:rPr>
        <w:t>涉及国有资金</w:t>
      </w:r>
      <w:r>
        <w:rPr>
          <w:rFonts w:hint="eastAsia" w:ascii="仿宋" w:hAnsi="仿宋" w:eastAsia="仿宋"/>
          <w:lang w:eastAsia="zh-CN"/>
        </w:rPr>
        <w:t>投资</w:t>
      </w:r>
      <w:r>
        <w:rPr>
          <w:rFonts w:hint="eastAsia" w:ascii="仿宋" w:hAnsi="仿宋" w:eastAsia="仿宋" w:cs="仿宋"/>
          <w:lang w:eastAsia="zh-CN"/>
        </w:rPr>
        <w:t>的工程，建设行政主管部门应依据建设行政主管部门存档合同实施合同监督管理；合同双方当事人应随时接受执法人员对本合同的监督管理，并为监督管理活动提供配合和协助。</w:t>
      </w:r>
      <w:r>
        <w:rPr>
          <w:rFonts w:ascii="仿宋" w:hAnsi="仿宋" w:eastAsia="仿宋" w:cs="仿宋"/>
          <w:b/>
          <w:bCs/>
          <w:u w:val="single"/>
          <w:lang w:eastAsia="zh-CN"/>
        </w:rPr>
        <w:t xml:space="preserve">                                                </w:t>
      </w:r>
      <w:r>
        <w:rPr>
          <w:rFonts w:hint="eastAsia" w:ascii="仿宋" w:hAnsi="仿宋" w:eastAsia="仿宋" w:cs="仿宋"/>
          <w:b/>
          <w:bCs/>
          <w:u w:val="single"/>
          <w:lang w:eastAsia="zh-CN"/>
        </w:rPr>
        <w:t xml:space="preserve">   </w:t>
      </w:r>
      <w:r>
        <w:rPr>
          <w:rFonts w:ascii="仿宋" w:hAnsi="仿宋" w:eastAsia="仿宋" w:cs="仿宋"/>
          <w:b/>
          <w:bCs/>
          <w:u w:val="single"/>
          <w:lang w:eastAsia="zh-CN"/>
        </w:rPr>
        <w:t xml:space="preserve">                        </w:t>
      </w:r>
    </w:p>
    <w:p w14:paraId="47416455">
      <w:pPr>
        <w:pStyle w:val="2"/>
        <w:tabs>
          <w:tab w:val="left" w:pos="420"/>
        </w:tabs>
        <w:ind w:left="494" w:leftChars="206" w:firstLine="176" w:firstLineChars="49"/>
        <w:jc w:val="center"/>
        <w:rPr>
          <w:rFonts w:hAnsi="宋体"/>
          <w:b w:val="0"/>
          <w:bCs w:val="0"/>
          <w:sz w:val="36"/>
          <w:szCs w:val="36"/>
          <w:lang w:eastAsia="zh-CN"/>
        </w:rPr>
      </w:pPr>
      <w:bookmarkStart w:id="800" w:name="_Toc28156"/>
      <w:r>
        <w:rPr>
          <w:rFonts w:hint="eastAsia" w:hAnsi="宋体"/>
          <w:b w:val="0"/>
          <w:bCs w:val="0"/>
          <w:sz w:val="36"/>
          <w:szCs w:val="36"/>
          <w:lang w:eastAsia="zh-CN"/>
        </w:rPr>
        <w:br w:type="page"/>
      </w:r>
      <w:bookmarkStart w:id="801" w:name="_Toc1084"/>
      <w:bookmarkStart w:id="802" w:name="_Toc194073218"/>
      <w:bookmarkStart w:id="803" w:name="_Toc16372"/>
      <w:r>
        <w:rPr>
          <w:rFonts w:hint="eastAsia" w:hAnsi="宋体"/>
          <w:b w:val="0"/>
          <w:bCs w:val="0"/>
          <w:sz w:val="36"/>
          <w:szCs w:val="36"/>
          <w:lang w:eastAsia="zh-CN"/>
        </w:rPr>
        <w:t>第三部分  专用条款</w:t>
      </w:r>
      <w:bookmarkEnd w:id="800"/>
      <w:bookmarkEnd w:id="801"/>
      <w:bookmarkEnd w:id="802"/>
      <w:bookmarkEnd w:id="803"/>
    </w:p>
    <w:p w14:paraId="26C4F4D5">
      <w:pPr>
        <w:jc w:val="center"/>
        <w:rPr>
          <w:rFonts w:ascii="宋体"/>
          <w:b/>
          <w:bCs/>
          <w:lang w:eastAsia="zh-CN"/>
        </w:rPr>
      </w:pPr>
    </w:p>
    <w:p w14:paraId="0FF29BE7">
      <w:pPr>
        <w:pStyle w:val="3"/>
        <w:tabs>
          <w:tab w:val="left" w:pos="420"/>
        </w:tabs>
        <w:spacing w:before="0" w:after="0" w:line="360" w:lineRule="auto"/>
        <w:rPr>
          <w:rFonts w:ascii="仿宋" w:hAnsi="仿宋" w:eastAsia="仿宋"/>
          <w:b w:val="0"/>
          <w:bCs w:val="0"/>
          <w:i w:val="0"/>
          <w:sz w:val="24"/>
          <w:szCs w:val="24"/>
          <w:lang w:eastAsia="zh-CN"/>
        </w:rPr>
      </w:pPr>
      <w:bookmarkStart w:id="804" w:name="_Toc194073219"/>
      <w:bookmarkStart w:id="805" w:name="_Toc24392"/>
      <w:bookmarkStart w:id="806" w:name="_Toc23455"/>
      <w:bookmarkStart w:id="807" w:name="_Toc16412"/>
      <w:r>
        <w:rPr>
          <w:rFonts w:hint="eastAsia" w:ascii="仿宋" w:hAnsi="仿宋" w:eastAsia="仿宋" w:cs="仿宋"/>
          <w:b w:val="0"/>
          <w:bCs w:val="0"/>
          <w:i w:val="0"/>
          <w:sz w:val="24"/>
          <w:szCs w:val="24"/>
          <w:lang w:eastAsia="zh-CN"/>
        </w:rPr>
        <w:t>1．定义</w:t>
      </w:r>
      <w:bookmarkEnd w:id="804"/>
      <w:bookmarkEnd w:id="805"/>
      <w:bookmarkEnd w:id="806"/>
      <w:bookmarkEnd w:id="807"/>
    </w:p>
    <w:p w14:paraId="03C1FEF5">
      <w:pPr>
        <w:autoSpaceDE w:val="0"/>
        <w:autoSpaceDN w:val="0"/>
        <w:adjustRightInd w:val="0"/>
        <w:spacing w:line="400" w:lineRule="exact"/>
        <w:ind w:firstLine="480" w:firstLineChars="200"/>
        <w:rPr>
          <w:rFonts w:ascii="仿宋" w:hAnsi="仿宋" w:eastAsia="仿宋" w:cs="仿宋"/>
          <w:lang w:eastAsia="zh-CN"/>
        </w:rPr>
      </w:pPr>
      <w:r>
        <w:rPr>
          <w:rFonts w:hint="eastAsia" w:ascii="仿宋" w:hAnsi="仿宋" w:eastAsia="仿宋" w:cs="仿宋"/>
          <w:lang w:eastAsia="zh-CN"/>
        </w:rPr>
        <w:t>1.1合同文件</w:t>
      </w:r>
    </w:p>
    <w:p w14:paraId="0D9B3516">
      <w:pPr>
        <w:autoSpaceDE w:val="0"/>
        <w:autoSpaceDN w:val="0"/>
        <w:adjustRightInd w:val="0"/>
        <w:spacing w:line="400" w:lineRule="exact"/>
        <w:ind w:firstLine="480" w:firstLineChars="200"/>
        <w:rPr>
          <w:rFonts w:ascii="仿宋" w:hAnsi="仿宋" w:eastAsia="仿宋" w:cs="仿宋"/>
          <w:lang w:eastAsia="zh-CN"/>
        </w:rPr>
      </w:pPr>
      <w:r>
        <w:rPr>
          <w:rFonts w:hint="eastAsia" w:ascii="仿宋" w:hAnsi="仿宋" w:eastAsia="仿宋" w:cs="仿宋"/>
          <w:lang w:eastAsia="zh-CN"/>
        </w:rPr>
        <w:t>此款补充以下内容：</w:t>
      </w:r>
    </w:p>
    <w:p w14:paraId="1896EF69">
      <w:pPr>
        <w:autoSpaceDE w:val="0"/>
        <w:autoSpaceDN w:val="0"/>
        <w:adjustRightInd w:val="0"/>
        <w:spacing w:line="400" w:lineRule="exact"/>
        <w:ind w:firstLine="480" w:firstLineChars="200"/>
        <w:rPr>
          <w:rFonts w:ascii="仿宋" w:hAnsi="仿宋" w:eastAsia="仿宋" w:cs="仿宋"/>
          <w:lang w:eastAsia="zh-CN"/>
        </w:rPr>
      </w:pPr>
      <w:r>
        <w:rPr>
          <w:rFonts w:hint="eastAsia" w:ascii="仿宋" w:hAnsi="仿宋" w:eastAsia="仿宋" w:cs="仿宋"/>
          <w:lang w:eastAsia="zh-CN"/>
        </w:rPr>
        <w:t>合同文件所述的“合同条款”，均包括专用条款和通用条款，但通用条款与专用条款不符时，以专用条款约定为准。</w:t>
      </w:r>
    </w:p>
    <w:p w14:paraId="51BF51C3">
      <w:pPr>
        <w:autoSpaceDE w:val="0"/>
        <w:autoSpaceDN w:val="0"/>
        <w:adjustRightInd w:val="0"/>
        <w:spacing w:line="400" w:lineRule="exact"/>
        <w:ind w:firstLine="480" w:firstLineChars="200"/>
        <w:rPr>
          <w:rFonts w:ascii="仿宋" w:hAnsi="仿宋" w:eastAsia="仿宋" w:cs="仿宋"/>
          <w:lang w:eastAsia="zh-CN"/>
        </w:rPr>
      </w:pPr>
      <w:r>
        <w:rPr>
          <w:rFonts w:hint="eastAsia" w:ascii="仿宋" w:hAnsi="仿宋" w:eastAsia="仿宋" w:cs="仿宋"/>
          <w:lang w:eastAsia="zh-CN"/>
        </w:rPr>
        <w:t>通用条款：指根据法律法规和规章的规定以及建设工程施工的需要所订立的，适用于建设工程设计施工的条款。</w:t>
      </w:r>
    </w:p>
    <w:p w14:paraId="2BB75175">
      <w:pPr>
        <w:autoSpaceDE w:val="0"/>
        <w:autoSpaceDN w:val="0"/>
        <w:adjustRightInd w:val="0"/>
        <w:spacing w:line="400" w:lineRule="exact"/>
        <w:ind w:firstLine="480" w:firstLineChars="200"/>
        <w:rPr>
          <w:rFonts w:ascii="仿宋" w:hAnsi="仿宋" w:eastAsia="仿宋" w:cs="仿宋"/>
          <w:lang w:eastAsia="zh-CN"/>
        </w:rPr>
      </w:pPr>
      <w:r>
        <w:rPr>
          <w:rFonts w:hint="eastAsia" w:ascii="仿宋" w:hAnsi="仿宋" w:eastAsia="仿宋" w:cs="仿宋"/>
          <w:lang w:eastAsia="zh-CN"/>
        </w:rPr>
        <w:t>专用条款：指合同双方当事人根据法律法规和规章的规定，结合本合同工程实际，经协商达成一致意见的，专用于本合同工程设计施工的条款。它是对通用条款的具体化，也是对通用条款的补充和完善。</w:t>
      </w:r>
    </w:p>
    <w:p w14:paraId="74687C57">
      <w:pPr>
        <w:autoSpaceDE w:val="0"/>
        <w:autoSpaceDN w:val="0"/>
        <w:adjustRightInd w:val="0"/>
        <w:spacing w:line="400" w:lineRule="exact"/>
        <w:ind w:firstLine="482" w:firstLineChars="200"/>
        <w:rPr>
          <w:rFonts w:ascii="仿宋" w:hAnsi="仿宋" w:eastAsia="仿宋" w:cs="仿宋"/>
          <w:b/>
          <w:bCs/>
          <w:lang w:eastAsia="zh-CN"/>
        </w:rPr>
      </w:pPr>
      <w:r>
        <w:rPr>
          <w:rFonts w:hint="eastAsia" w:ascii="仿宋" w:hAnsi="仿宋" w:eastAsia="仿宋" w:cs="仿宋"/>
          <w:b/>
          <w:bCs/>
          <w:lang w:eastAsia="zh-CN"/>
        </w:rPr>
        <w:t>1.6.9 造价咨询人 增加以下条款：</w:t>
      </w:r>
    </w:p>
    <w:p w14:paraId="05D0CE1C">
      <w:pPr>
        <w:autoSpaceDE w:val="0"/>
        <w:autoSpaceDN w:val="0"/>
        <w:adjustRightInd w:val="0"/>
        <w:spacing w:line="400" w:lineRule="exact"/>
        <w:ind w:firstLine="480" w:firstLineChars="200"/>
        <w:rPr>
          <w:rFonts w:ascii="仿宋" w:hAnsi="仿宋" w:eastAsia="仿宋" w:cs="仿宋"/>
          <w:lang w:eastAsia="zh-CN"/>
        </w:rPr>
      </w:pPr>
      <w:r>
        <w:rPr>
          <w:rFonts w:hint="eastAsia" w:ascii="仿宋" w:hAnsi="仿宋" w:eastAsia="仿宋" w:cs="仿宋"/>
          <w:lang w:eastAsia="zh-CN"/>
        </w:rPr>
        <w:t>造价工程师：指造价咨询单位委派负责合同工程造价专业技术的专业人员。造价工程师由造价咨询单位委派，经发包人任命并书面通知承包人。</w:t>
      </w:r>
    </w:p>
    <w:p w14:paraId="5E044859">
      <w:pPr>
        <w:autoSpaceDE w:val="0"/>
        <w:autoSpaceDN w:val="0"/>
        <w:adjustRightInd w:val="0"/>
        <w:spacing w:line="400" w:lineRule="exact"/>
        <w:ind w:firstLine="480" w:firstLineChars="200"/>
        <w:rPr>
          <w:rFonts w:ascii="仿宋" w:hAnsi="仿宋" w:eastAsia="仿宋" w:cs="仿宋"/>
          <w:lang w:eastAsia="zh-CN"/>
        </w:rPr>
      </w:pPr>
    </w:p>
    <w:p w14:paraId="6173EC25">
      <w:pPr>
        <w:pStyle w:val="3"/>
        <w:tabs>
          <w:tab w:val="left" w:pos="420"/>
        </w:tabs>
        <w:spacing w:before="0" w:after="0" w:line="360" w:lineRule="auto"/>
        <w:rPr>
          <w:rFonts w:ascii="仿宋" w:hAnsi="仿宋" w:eastAsia="仿宋" w:cs="仿宋"/>
          <w:b w:val="0"/>
          <w:bCs w:val="0"/>
          <w:i w:val="0"/>
          <w:sz w:val="24"/>
          <w:szCs w:val="24"/>
          <w:lang w:eastAsia="zh-CN"/>
        </w:rPr>
      </w:pPr>
      <w:bookmarkStart w:id="808" w:name="_Toc17273"/>
      <w:bookmarkStart w:id="809" w:name="_Toc194073220"/>
      <w:bookmarkStart w:id="810" w:name="_Toc24945"/>
      <w:bookmarkStart w:id="811" w:name="_Toc6646"/>
      <w:r>
        <w:rPr>
          <w:rFonts w:hint="eastAsia" w:ascii="仿宋" w:hAnsi="仿宋" w:eastAsia="仿宋" w:cs="仿宋"/>
          <w:b w:val="0"/>
          <w:bCs w:val="0"/>
          <w:i w:val="0"/>
          <w:sz w:val="24"/>
          <w:szCs w:val="24"/>
          <w:lang w:eastAsia="zh-CN"/>
        </w:rPr>
        <w:t>2．合同文件及解释</w:t>
      </w:r>
      <w:bookmarkEnd w:id="808"/>
      <w:bookmarkEnd w:id="809"/>
      <w:bookmarkEnd w:id="810"/>
      <w:bookmarkEnd w:id="811"/>
    </w:p>
    <w:p w14:paraId="37346FE5">
      <w:pPr>
        <w:spacing w:line="400" w:lineRule="exact"/>
        <w:ind w:firstLine="480" w:firstLineChars="200"/>
        <w:rPr>
          <w:rFonts w:ascii="仿宋" w:hAnsi="仿宋" w:eastAsia="仿宋" w:cs="仿宋"/>
          <w:b/>
          <w:bCs/>
          <w:lang w:eastAsia="zh-CN"/>
        </w:rPr>
      </w:pPr>
      <w:bookmarkStart w:id="812" w:name="_Toc20134"/>
      <w:r>
        <w:rPr>
          <w:rFonts w:hint="eastAsia" w:ascii="仿宋" w:hAnsi="仿宋" w:eastAsia="仿宋" w:cs="仿宋"/>
          <w:lang w:eastAsia="zh-CN"/>
        </w:rPr>
        <w:t xml:space="preserve">2.2 </w:t>
      </w:r>
      <w:r>
        <w:rPr>
          <w:rFonts w:hint="eastAsia" w:ascii="仿宋" w:hAnsi="仿宋" w:eastAsia="仿宋" w:cs="仿宋"/>
          <w:b/>
          <w:bCs/>
          <w:lang w:eastAsia="zh-CN"/>
        </w:rPr>
        <w:t>合同文件组成及优先顺序</w:t>
      </w:r>
      <w:bookmarkEnd w:id="812"/>
    </w:p>
    <w:p w14:paraId="59A3A680">
      <w:pPr>
        <w:spacing w:line="400" w:lineRule="exact"/>
        <w:ind w:firstLine="480" w:firstLineChars="200"/>
        <w:rPr>
          <w:rFonts w:ascii="仿宋" w:hAnsi="仿宋" w:eastAsia="仿宋" w:cs="仿宋"/>
          <w:u w:val="single"/>
          <w:lang w:eastAsia="zh-CN"/>
        </w:rPr>
      </w:pPr>
      <w:r>
        <w:rPr>
          <w:rFonts w:hint="eastAsia" w:ascii="仿宋" w:hAnsi="仿宋" w:eastAsia="仿宋" w:cs="仿宋"/>
          <w:lang w:eastAsia="zh-CN"/>
        </w:rPr>
        <w:t>合同文件组成及优先顺序为：</w:t>
      </w:r>
      <w:r>
        <w:rPr>
          <w:rFonts w:hint="eastAsia" w:ascii="仿宋" w:hAnsi="仿宋" w:eastAsia="仿宋" w:cs="仿宋"/>
          <w:u w:val="single"/>
          <w:lang w:eastAsia="zh-CN"/>
        </w:rPr>
        <w:t xml:space="preserve">  按协议书</w:t>
      </w:r>
      <w:r>
        <w:rPr>
          <w:rFonts w:ascii="仿宋" w:hAnsi="仿宋" w:eastAsia="仿宋" w:cs="仿宋"/>
          <w:u w:val="single"/>
          <w:lang w:eastAsia="zh-CN"/>
        </w:rPr>
        <w:t xml:space="preserve">   </w:t>
      </w:r>
      <w:r>
        <w:rPr>
          <w:rFonts w:hint="eastAsia" w:ascii="仿宋" w:hAnsi="仿宋" w:eastAsia="仿宋" w:cs="仿宋"/>
          <w:u w:val="single"/>
          <w:lang w:eastAsia="zh-CN"/>
        </w:rPr>
        <w:t xml:space="preserve">  。</w:t>
      </w:r>
    </w:p>
    <w:p w14:paraId="39C71833">
      <w:pPr>
        <w:spacing w:line="400" w:lineRule="exact"/>
        <w:ind w:firstLine="480" w:firstLineChars="200"/>
        <w:rPr>
          <w:rFonts w:ascii="仿宋" w:hAnsi="仿宋" w:eastAsia="仿宋" w:cs="仿宋"/>
          <w:u w:val="single"/>
          <w:lang w:eastAsia="zh-CN"/>
        </w:rPr>
      </w:pPr>
    </w:p>
    <w:p w14:paraId="62316997">
      <w:pPr>
        <w:pStyle w:val="3"/>
        <w:tabs>
          <w:tab w:val="left" w:pos="420"/>
        </w:tabs>
        <w:spacing w:before="0" w:after="0" w:line="360" w:lineRule="auto"/>
        <w:rPr>
          <w:rFonts w:ascii="仿宋" w:hAnsi="仿宋" w:eastAsia="仿宋"/>
          <w:b w:val="0"/>
          <w:bCs w:val="0"/>
          <w:i w:val="0"/>
          <w:sz w:val="24"/>
          <w:szCs w:val="24"/>
          <w:lang w:eastAsia="zh-CN"/>
        </w:rPr>
      </w:pPr>
      <w:bookmarkStart w:id="813" w:name="_Toc194073221"/>
      <w:bookmarkStart w:id="814" w:name="_Toc23867"/>
      <w:bookmarkStart w:id="815" w:name="_Toc24786"/>
      <w:bookmarkStart w:id="816" w:name="_Toc15080"/>
      <w:r>
        <w:rPr>
          <w:rFonts w:hint="eastAsia" w:ascii="仿宋" w:hAnsi="仿宋" w:eastAsia="仿宋" w:cs="仿宋"/>
          <w:b w:val="0"/>
          <w:bCs w:val="0"/>
          <w:i w:val="0"/>
          <w:sz w:val="24"/>
          <w:szCs w:val="24"/>
          <w:lang w:eastAsia="zh-CN"/>
        </w:rPr>
        <w:t>4．语言及适用的法律、标准与</w:t>
      </w:r>
      <w:r>
        <w:rPr>
          <w:rFonts w:hint="eastAsia" w:ascii="仿宋" w:hAnsi="仿宋" w:eastAsia="仿宋"/>
          <w:b w:val="0"/>
          <w:bCs w:val="0"/>
          <w:i w:val="0"/>
          <w:sz w:val="24"/>
          <w:szCs w:val="24"/>
          <w:lang w:eastAsia="zh-CN"/>
        </w:rPr>
        <w:t>规范</w:t>
      </w:r>
      <w:bookmarkEnd w:id="813"/>
      <w:bookmarkEnd w:id="814"/>
      <w:bookmarkEnd w:id="815"/>
      <w:bookmarkEnd w:id="816"/>
      <w:r>
        <w:rPr>
          <w:rFonts w:hint="eastAsia" w:ascii="仿宋" w:hAnsi="仿宋" w:eastAsia="仿宋"/>
          <w:b w:val="0"/>
          <w:bCs w:val="0"/>
          <w:i w:val="0"/>
          <w:sz w:val="24"/>
          <w:szCs w:val="24"/>
          <w:lang w:eastAsia="zh-CN"/>
        </w:rPr>
        <w:t xml:space="preserve"> </w:t>
      </w:r>
    </w:p>
    <w:p w14:paraId="68EE33FC">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t>4.1 语言文字</w:t>
      </w:r>
    </w:p>
    <w:p w14:paraId="1120CBEB">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t>与合同有关的联络应使用的语言：</w:t>
      </w:r>
      <w:r>
        <w:rPr>
          <w:rFonts w:hint="eastAsia" w:ascii="仿宋" w:hAnsi="仿宋" w:eastAsia="仿宋" w:cs="仿宋"/>
          <w:u w:val="single"/>
          <w:lang w:eastAsia="zh-CN"/>
        </w:rPr>
        <w:t xml:space="preserve">  汉语    。</w:t>
      </w:r>
    </w:p>
    <w:p w14:paraId="163E997B">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t>4.2适用法律</w:t>
      </w:r>
    </w:p>
    <w:p w14:paraId="12A2A8F9">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t>合同适用的其他规范性文件：</w:t>
      </w:r>
      <w:r>
        <w:rPr>
          <w:rFonts w:hint="eastAsia" w:ascii="仿宋" w:hAnsi="仿宋" w:eastAsia="仿宋" w:cs="仿宋"/>
          <w:u w:val="single"/>
          <w:lang w:eastAsia="zh-CN"/>
        </w:rPr>
        <w:t xml:space="preserve"> 《中华人民共和国建筑法》、《中华人民共和国民法典》、《建设工程质量管理条例》等国家、省、市、区有关建设工程相关规定。</w:t>
      </w:r>
    </w:p>
    <w:p w14:paraId="01D8017A">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t>4.3 适用标准与规范</w:t>
      </w:r>
    </w:p>
    <w:p w14:paraId="58F7739B">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t>约定适用的标准、规范的名称：</w:t>
      </w:r>
    </w:p>
    <w:p w14:paraId="59E9DCEA">
      <w:pPr>
        <w:numPr>
          <w:ilvl w:val="0"/>
          <w:numId w:val="39"/>
        </w:numPr>
        <w:spacing w:line="400" w:lineRule="exact"/>
        <w:ind w:left="0" w:firstLine="480" w:firstLineChars="200"/>
        <w:rPr>
          <w:rFonts w:ascii="仿宋" w:hAnsi="仿宋" w:eastAsia="仿宋" w:cs="仿宋"/>
          <w:u w:val="single"/>
          <w:lang w:eastAsia="zh-CN"/>
        </w:rPr>
      </w:pPr>
      <w:r>
        <w:rPr>
          <w:rFonts w:hint="eastAsia" w:ascii="仿宋" w:hAnsi="仿宋" w:eastAsia="仿宋" w:cs="仿宋"/>
          <w:u w:val="single"/>
          <w:lang w:eastAsia="zh-CN"/>
        </w:rPr>
        <w:t>中华人民共和国现行有效的建筑设计和施工标准、规范、建设项目管理、验收标准；</w:t>
      </w:r>
    </w:p>
    <w:p w14:paraId="1BACF86D">
      <w:pPr>
        <w:numPr>
          <w:ilvl w:val="0"/>
          <w:numId w:val="39"/>
        </w:numPr>
        <w:spacing w:line="400" w:lineRule="exact"/>
        <w:ind w:left="0" w:firstLine="480" w:firstLineChars="200"/>
        <w:rPr>
          <w:rFonts w:ascii="仿宋" w:hAnsi="仿宋" w:eastAsia="仿宋" w:cs="仿宋"/>
          <w:u w:val="single"/>
          <w:lang w:eastAsia="zh-CN"/>
        </w:rPr>
      </w:pPr>
      <w:r>
        <w:rPr>
          <w:rFonts w:hint="eastAsia" w:ascii="仿宋" w:hAnsi="仿宋" w:eastAsia="仿宋" w:cs="仿宋"/>
          <w:u w:val="single"/>
          <w:lang w:eastAsia="zh-CN"/>
        </w:rPr>
        <w:t>建筑行业的相关设计和施工标准、规范；</w:t>
      </w:r>
    </w:p>
    <w:p w14:paraId="5DEF121A">
      <w:pPr>
        <w:numPr>
          <w:ilvl w:val="0"/>
          <w:numId w:val="39"/>
        </w:numPr>
        <w:spacing w:line="400" w:lineRule="exact"/>
        <w:ind w:left="0" w:firstLine="480" w:firstLineChars="200"/>
        <w:rPr>
          <w:rFonts w:ascii="仿宋" w:hAnsi="仿宋" w:eastAsia="仿宋" w:cs="仿宋"/>
          <w:u w:val="single"/>
          <w:lang w:eastAsia="zh-CN"/>
        </w:rPr>
      </w:pPr>
      <w:r>
        <w:rPr>
          <w:rFonts w:hint="eastAsia" w:ascii="仿宋" w:hAnsi="仿宋" w:eastAsia="仿宋" w:cs="仿宋"/>
          <w:u w:val="single"/>
          <w:lang w:eastAsia="zh-CN"/>
        </w:rPr>
        <w:t>省级政府及省建委的有关标准、规范及有关规定；</w:t>
      </w:r>
    </w:p>
    <w:p w14:paraId="53D4BDCE">
      <w:pPr>
        <w:numPr>
          <w:ilvl w:val="0"/>
          <w:numId w:val="39"/>
        </w:numPr>
        <w:spacing w:line="400" w:lineRule="exact"/>
        <w:ind w:left="0" w:firstLine="480" w:firstLineChars="200"/>
        <w:rPr>
          <w:rFonts w:ascii="仿宋" w:hAnsi="仿宋" w:eastAsia="仿宋" w:cs="仿宋"/>
          <w:u w:val="single"/>
          <w:lang w:eastAsia="zh-CN"/>
        </w:rPr>
      </w:pPr>
      <w:r>
        <w:rPr>
          <w:rFonts w:hint="eastAsia" w:ascii="仿宋" w:hAnsi="仿宋" w:eastAsia="仿宋" w:cs="仿宋"/>
          <w:u w:val="single"/>
          <w:lang w:eastAsia="zh-CN"/>
        </w:rPr>
        <w:t>当地市政府及市住建局的有关标准、规范及有关规定；</w:t>
      </w:r>
    </w:p>
    <w:p w14:paraId="16C7C233">
      <w:pPr>
        <w:numPr>
          <w:ilvl w:val="0"/>
          <w:numId w:val="39"/>
        </w:numPr>
        <w:spacing w:line="400" w:lineRule="exact"/>
        <w:ind w:left="0" w:firstLine="480" w:firstLineChars="200"/>
        <w:rPr>
          <w:rFonts w:ascii="仿宋" w:hAnsi="仿宋" w:eastAsia="仿宋" w:cs="仿宋"/>
          <w:u w:val="single"/>
          <w:lang w:eastAsia="zh-CN"/>
        </w:rPr>
      </w:pPr>
      <w:r>
        <w:rPr>
          <w:rFonts w:hint="eastAsia" w:ascii="仿宋" w:hAnsi="仿宋" w:eastAsia="仿宋" w:cs="仿宋"/>
          <w:u w:val="single"/>
          <w:lang w:eastAsia="zh-CN"/>
        </w:rPr>
        <w:t>若现行标准、规范不能完全满足本工程施工需要，根据本工程具体情况，发包人将参照近期同类项目制定标准、规范，或将由发包人组织专家论证制定标准、规范经批准后执行。承包人须承担由此导致的一切风险和费用损失；</w:t>
      </w:r>
    </w:p>
    <w:p w14:paraId="4E90E429">
      <w:pPr>
        <w:numPr>
          <w:ilvl w:val="0"/>
          <w:numId w:val="39"/>
        </w:numPr>
        <w:spacing w:line="400" w:lineRule="exact"/>
        <w:ind w:left="0" w:firstLine="480" w:firstLineChars="200"/>
        <w:rPr>
          <w:rFonts w:ascii="仿宋" w:hAnsi="仿宋" w:eastAsia="仿宋" w:cs="仿宋"/>
          <w:u w:val="single"/>
          <w:lang w:eastAsia="zh-CN"/>
        </w:rPr>
      </w:pPr>
      <w:r>
        <w:rPr>
          <w:rFonts w:hint="eastAsia" w:ascii="仿宋" w:hAnsi="仿宋" w:eastAsia="仿宋" w:cs="仿宋"/>
          <w:u w:val="single"/>
          <w:lang w:eastAsia="zh-CN"/>
        </w:rPr>
        <w:t>具体规范包括但不限于本合同附件的内容；</w:t>
      </w:r>
    </w:p>
    <w:p w14:paraId="38AAE388">
      <w:pPr>
        <w:numPr>
          <w:ilvl w:val="0"/>
          <w:numId w:val="39"/>
        </w:numPr>
        <w:spacing w:line="400" w:lineRule="exact"/>
        <w:ind w:left="0" w:firstLine="480" w:firstLineChars="200"/>
        <w:rPr>
          <w:rFonts w:ascii="仿宋" w:hAnsi="仿宋" w:eastAsia="仿宋" w:cs="仿宋"/>
          <w:u w:val="single"/>
          <w:lang w:eastAsia="zh-CN"/>
        </w:rPr>
      </w:pPr>
      <w:r>
        <w:rPr>
          <w:rFonts w:hint="eastAsia" w:ascii="仿宋" w:hAnsi="仿宋" w:eastAsia="仿宋" w:cs="仿宋"/>
          <w:u w:val="single"/>
          <w:lang w:eastAsia="zh-CN"/>
        </w:rPr>
        <w:t>若在合同履行期内，国家出台新的验收规范，以新出台的验收规范为准。</w:t>
      </w:r>
    </w:p>
    <w:p w14:paraId="297483ED">
      <w:pPr>
        <w:spacing w:line="400" w:lineRule="exact"/>
        <w:rPr>
          <w:rFonts w:ascii="仿宋" w:hAnsi="仿宋" w:eastAsia="仿宋" w:cs="仿宋"/>
          <w:u w:val="single"/>
          <w:lang w:eastAsia="zh-CN"/>
        </w:rPr>
      </w:pPr>
    </w:p>
    <w:p w14:paraId="2D1A5900">
      <w:pPr>
        <w:pStyle w:val="3"/>
        <w:tabs>
          <w:tab w:val="left" w:pos="420"/>
        </w:tabs>
        <w:spacing w:before="0" w:after="0" w:line="360" w:lineRule="auto"/>
        <w:rPr>
          <w:rFonts w:ascii="仿宋" w:hAnsi="仿宋" w:eastAsia="仿宋"/>
          <w:b w:val="0"/>
          <w:bCs w:val="0"/>
          <w:i w:val="0"/>
          <w:sz w:val="24"/>
          <w:szCs w:val="24"/>
          <w:lang w:eastAsia="zh-CN"/>
        </w:rPr>
      </w:pPr>
      <w:bookmarkStart w:id="817" w:name="_Toc5237"/>
      <w:bookmarkStart w:id="818" w:name="_Toc194073222"/>
      <w:bookmarkStart w:id="819" w:name="_Toc28301"/>
      <w:bookmarkStart w:id="820" w:name="_Toc21575"/>
      <w:r>
        <w:rPr>
          <w:rFonts w:hint="eastAsia" w:ascii="仿宋" w:hAnsi="仿宋" w:eastAsia="仿宋" w:cs="仿宋"/>
          <w:b w:val="0"/>
          <w:bCs w:val="0"/>
          <w:i w:val="0"/>
          <w:sz w:val="24"/>
          <w:szCs w:val="24"/>
          <w:lang w:eastAsia="zh-CN"/>
        </w:rPr>
        <w:t>5.  发包人要求</w:t>
      </w:r>
      <w:bookmarkEnd w:id="817"/>
      <w:bookmarkEnd w:id="818"/>
      <w:bookmarkEnd w:id="819"/>
      <w:bookmarkEnd w:id="820"/>
    </w:p>
    <w:p w14:paraId="594F85B3">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t>5.1 发包人要求的提供</w:t>
      </w:r>
    </w:p>
    <w:p w14:paraId="72D592B4">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（1）招标文件；</w:t>
      </w:r>
    </w:p>
    <w:p w14:paraId="5186A24E">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（2）根据项目进度实际情况向承包人提供相关要求。</w:t>
      </w:r>
    </w:p>
    <w:p w14:paraId="7D784374">
      <w:pPr>
        <w:spacing w:line="400" w:lineRule="exact"/>
        <w:ind w:firstLine="480" w:firstLineChars="200"/>
        <w:rPr>
          <w:rFonts w:ascii="仿宋" w:hAnsi="仿宋" w:eastAsia="仿宋" w:cs="仿宋"/>
          <w:u w:val="single"/>
          <w:lang w:eastAsia="zh-CN"/>
        </w:rPr>
      </w:pPr>
    </w:p>
    <w:p w14:paraId="2DD3E1BB">
      <w:pPr>
        <w:pStyle w:val="3"/>
        <w:tabs>
          <w:tab w:val="left" w:pos="420"/>
        </w:tabs>
        <w:spacing w:before="0" w:after="0" w:line="360" w:lineRule="auto"/>
        <w:rPr>
          <w:rFonts w:ascii="仿宋" w:hAnsi="仿宋" w:eastAsia="仿宋"/>
          <w:b w:val="0"/>
          <w:bCs w:val="0"/>
          <w:i w:val="0"/>
          <w:sz w:val="24"/>
          <w:szCs w:val="24"/>
          <w:lang w:eastAsia="zh-CN"/>
        </w:rPr>
      </w:pPr>
      <w:bookmarkStart w:id="821" w:name="_Toc194073223"/>
      <w:bookmarkStart w:id="822" w:name="_Toc26426"/>
      <w:bookmarkStart w:id="823" w:name="_Toc15482"/>
      <w:r>
        <w:rPr>
          <w:rFonts w:hint="eastAsia" w:ascii="仿宋" w:hAnsi="仿宋" w:eastAsia="仿宋" w:cs="仿宋"/>
          <w:b w:val="0"/>
          <w:bCs w:val="0"/>
          <w:i w:val="0"/>
          <w:sz w:val="24"/>
          <w:szCs w:val="24"/>
          <w:lang w:eastAsia="zh-CN"/>
        </w:rPr>
        <w:t xml:space="preserve">6. </w:t>
      </w:r>
      <w:bookmarkStart w:id="824" w:name="_Toc23093"/>
      <w:r>
        <w:rPr>
          <w:rFonts w:hint="eastAsia" w:ascii="仿宋" w:hAnsi="仿宋" w:eastAsia="仿宋" w:cs="仿宋"/>
          <w:b w:val="0"/>
          <w:bCs w:val="0"/>
          <w:i w:val="0"/>
          <w:sz w:val="24"/>
          <w:szCs w:val="24"/>
          <w:lang w:eastAsia="zh-CN"/>
        </w:rPr>
        <w:t>项目基础资料的提供</w:t>
      </w:r>
      <w:bookmarkEnd w:id="821"/>
      <w:bookmarkEnd w:id="822"/>
      <w:bookmarkEnd w:id="823"/>
      <w:bookmarkEnd w:id="824"/>
    </w:p>
    <w:p w14:paraId="2CB44292">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关于发包人应提供的基础资料的范围和期限：</w:t>
      </w:r>
    </w:p>
    <w:p w14:paraId="175EFDC1">
      <w:pPr>
        <w:spacing w:line="400" w:lineRule="exact"/>
        <w:ind w:firstLine="480" w:firstLineChars="200"/>
        <w:rPr>
          <w:rFonts w:ascii="仿宋" w:hAnsi="仿宋" w:eastAsia="仿宋" w:cs="仿宋"/>
          <w:u w:val="single"/>
          <w:lang w:eastAsia="zh-CN"/>
        </w:rPr>
      </w:pPr>
      <w:r>
        <w:rPr>
          <w:rFonts w:hint="eastAsia" w:ascii="仿宋" w:hAnsi="仿宋" w:eastAsia="仿宋" w:cs="仿宋"/>
          <w:u w:val="single"/>
          <w:lang w:eastAsia="zh-CN"/>
        </w:rPr>
        <w:t>（1）发包人应按合同约定书面形式移交项目红线图及平面图（如有）给承包人，但承包人须自行复核该等资料的真实性、完整性和准确性。</w:t>
      </w:r>
    </w:p>
    <w:p w14:paraId="33F6405D">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2）承包人不得以上述资料不齐全、不真实、不准确等向发包人提出索赔。发包人向承包人提供的有关现场的所有基础资料和数据，是发包人现有的能供承包人利用的资料，发包人对承包人由此而做出的理解、推论、结论和决策等概不负责 。</w:t>
      </w:r>
    </w:p>
    <w:p w14:paraId="14CB0E82">
      <w:pPr>
        <w:spacing w:line="360" w:lineRule="auto"/>
        <w:ind w:firstLine="480" w:firstLineChars="200"/>
        <w:rPr>
          <w:rFonts w:ascii="仿宋" w:hAnsi="仿宋" w:eastAsia="仿宋" w:cs="仿宋"/>
          <w:u w:val="single"/>
          <w:lang w:eastAsia="zh-CN"/>
        </w:rPr>
      </w:pPr>
    </w:p>
    <w:p w14:paraId="3B66FEE8">
      <w:pPr>
        <w:pStyle w:val="3"/>
        <w:tabs>
          <w:tab w:val="left" w:pos="420"/>
        </w:tabs>
        <w:spacing w:before="0" w:after="0" w:line="360" w:lineRule="auto"/>
        <w:rPr>
          <w:rFonts w:ascii="仿宋" w:hAnsi="仿宋" w:eastAsia="仿宋" w:cs="仿宋"/>
          <w:u w:val="single"/>
          <w:lang w:eastAsia="zh-CN"/>
        </w:rPr>
      </w:pPr>
      <w:bookmarkStart w:id="825" w:name="_Toc7147"/>
      <w:bookmarkStart w:id="826" w:name="_Toc194073224"/>
      <w:bookmarkStart w:id="827" w:name="_Toc1848"/>
      <w:bookmarkStart w:id="828" w:name="_Toc11298"/>
      <w:r>
        <w:rPr>
          <w:rFonts w:hint="eastAsia" w:ascii="仿宋" w:hAnsi="仿宋" w:eastAsia="仿宋" w:cs="仿宋"/>
          <w:b w:val="0"/>
          <w:bCs w:val="0"/>
          <w:i w:val="0"/>
          <w:sz w:val="24"/>
          <w:szCs w:val="24"/>
          <w:lang w:eastAsia="zh-CN"/>
        </w:rPr>
        <w:t>7.  勘察报告、设计文件</w:t>
      </w:r>
      <w:bookmarkEnd w:id="825"/>
      <w:r>
        <w:rPr>
          <w:rFonts w:hint="eastAsia" w:ascii="仿宋" w:hAnsi="仿宋" w:eastAsia="仿宋" w:cs="仿宋"/>
          <w:b w:val="0"/>
          <w:bCs w:val="0"/>
          <w:i w:val="0"/>
          <w:sz w:val="24"/>
          <w:szCs w:val="24"/>
          <w:lang w:eastAsia="zh-CN"/>
        </w:rPr>
        <w:t>、建筑信息模型（BIM）</w:t>
      </w:r>
      <w:bookmarkEnd w:id="826"/>
      <w:bookmarkEnd w:id="827"/>
      <w:bookmarkEnd w:id="828"/>
    </w:p>
    <w:p w14:paraId="15D4A1B2">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7.1 承包人提供勘察报告</w:t>
      </w:r>
    </w:p>
    <w:p w14:paraId="3E33A766">
      <w:pPr>
        <w:spacing w:line="360" w:lineRule="auto"/>
        <w:ind w:firstLine="600" w:firstLineChars="250"/>
        <w:rPr>
          <w:rFonts w:ascii="仿宋" w:hAnsi="仿宋" w:eastAsia="仿宋"/>
          <w:u w:val="single"/>
          <w:lang w:eastAsia="zh-CN"/>
        </w:rPr>
      </w:pPr>
      <w:r>
        <w:rPr>
          <w:rFonts w:hint="eastAsia" w:ascii="仿宋" w:hAnsi="仿宋" w:eastAsia="仿宋" w:cs="仿宋"/>
          <w:lang w:eastAsia="zh-CN"/>
        </w:rPr>
        <w:t xml:space="preserve">1、提供的时间：  </w:t>
      </w:r>
      <w:r>
        <w:rPr>
          <w:rFonts w:hint="eastAsia" w:ascii="仿宋" w:hAnsi="仿宋" w:eastAsia="仿宋" w:cs="仿宋"/>
          <w:u w:val="single"/>
          <w:lang w:eastAsia="zh-CN"/>
        </w:rPr>
        <w:t xml:space="preserve">/  </w:t>
      </w:r>
    </w:p>
    <w:p w14:paraId="3F3C5F40">
      <w:pPr>
        <w:spacing w:line="360" w:lineRule="auto"/>
        <w:ind w:firstLine="600" w:firstLineChars="250"/>
        <w:rPr>
          <w:rFonts w:ascii="仿宋" w:hAnsi="仿宋" w:eastAsia="仿宋" w:cs="仿宋"/>
          <w:u w:val="single"/>
          <w:lang w:eastAsia="zh-CN"/>
        </w:rPr>
      </w:pPr>
      <w:r>
        <w:rPr>
          <w:rFonts w:hint="eastAsia" w:ascii="仿宋" w:hAnsi="仿宋" w:eastAsia="仿宋" w:cs="仿宋"/>
          <w:lang w:eastAsia="zh-CN"/>
        </w:rPr>
        <w:t xml:space="preserve">2、提供的数量：  </w:t>
      </w:r>
      <w:r>
        <w:rPr>
          <w:rFonts w:hint="eastAsia" w:ascii="仿宋" w:hAnsi="仿宋" w:eastAsia="仿宋" w:cs="仿宋"/>
          <w:u w:val="single"/>
          <w:lang w:eastAsia="zh-CN"/>
        </w:rPr>
        <w:t xml:space="preserve">/  </w:t>
      </w:r>
    </w:p>
    <w:p w14:paraId="5FCF0A83">
      <w:pPr>
        <w:spacing w:line="360" w:lineRule="auto"/>
        <w:ind w:firstLine="600" w:firstLineChars="250"/>
        <w:rPr>
          <w:rFonts w:ascii="仿宋" w:hAnsi="仿宋" w:eastAsia="仿宋" w:cs="仿宋"/>
          <w:lang w:eastAsia="zh-CN"/>
        </w:rPr>
      </w:pPr>
      <w:r>
        <w:rPr>
          <w:rFonts w:hint="eastAsia" w:ascii="仿宋" w:hAnsi="仿宋" w:eastAsia="仿宋" w:cs="仿宋"/>
          <w:lang w:eastAsia="zh-CN"/>
        </w:rPr>
        <w:t>3、发包人或设计顾问人答复的时间：</w:t>
      </w:r>
      <w:r>
        <w:rPr>
          <w:rFonts w:hint="eastAsia" w:ascii="仿宋" w:hAnsi="仿宋" w:eastAsia="仿宋" w:cs="仿宋"/>
          <w:u w:val="single"/>
          <w:lang w:eastAsia="zh-CN"/>
        </w:rPr>
        <w:t xml:space="preserve">                 /                     </w:t>
      </w:r>
    </w:p>
    <w:p w14:paraId="5BB307DA">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t>7.2承包人提供设计文件</w:t>
      </w:r>
    </w:p>
    <w:p w14:paraId="5C86C816">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t>☑  设计阶段</w:t>
      </w:r>
    </w:p>
    <w:p w14:paraId="7AE7522B">
      <w:pPr>
        <w:spacing w:line="400" w:lineRule="exact"/>
        <w:ind w:firstLine="480" w:firstLineChars="200"/>
        <w:rPr>
          <w:rFonts w:ascii="仿宋" w:hAnsi="仿宋" w:eastAsia="仿宋" w:cs="仿宋"/>
          <w:u w:val="single"/>
          <w:lang w:eastAsia="zh-CN"/>
        </w:rPr>
      </w:pPr>
      <w:r>
        <w:rPr>
          <w:rFonts w:hint="eastAsia" w:ascii="仿宋" w:hAnsi="仿宋" w:eastAsia="仿宋" w:cs="仿宋"/>
          <w:lang w:eastAsia="zh-CN"/>
        </w:rPr>
        <w:t>□  初步设计提供的时间：</w:t>
      </w:r>
      <w:r>
        <w:rPr>
          <w:rFonts w:hint="eastAsia" w:ascii="仿宋" w:hAnsi="仿宋" w:eastAsia="仿宋" w:cs="仿宋"/>
          <w:u w:val="single"/>
          <w:lang w:eastAsia="zh-CN"/>
        </w:rPr>
        <w:t xml:space="preserve">     /   。</w:t>
      </w:r>
    </w:p>
    <w:p w14:paraId="1467039B">
      <w:pPr>
        <w:spacing w:line="400" w:lineRule="exact"/>
        <w:ind w:firstLine="480" w:firstLineChars="200"/>
        <w:rPr>
          <w:rFonts w:ascii="仿宋" w:hAnsi="仿宋" w:eastAsia="仿宋" w:cs="仿宋"/>
          <w:u w:val="single"/>
          <w:lang w:eastAsia="zh-CN"/>
        </w:rPr>
      </w:pPr>
      <w:r>
        <w:rPr>
          <w:rFonts w:hint="eastAsia" w:ascii="仿宋" w:hAnsi="仿宋" w:eastAsia="仿宋" w:cs="仿宋"/>
          <w:lang w:eastAsia="zh-CN"/>
        </w:rPr>
        <w:t>☑  施工图设计提供的时间：</w:t>
      </w:r>
      <w:r>
        <w:rPr>
          <w:rFonts w:hint="eastAsia" w:ascii="仿宋" w:hAnsi="仿宋" w:eastAsia="仿宋" w:cs="仿宋"/>
          <w:u w:val="single"/>
          <w:lang w:eastAsia="zh-CN"/>
        </w:rPr>
        <w:t>具体数量按发包人要求提供。</w:t>
      </w:r>
    </w:p>
    <w:p w14:paraId="3C7BC193">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t>☑  施工阶段</w:t>
      </w:r>
    </w:p>
    <w:p w14:paraId="0EFA85A1">
      <w:pPr>
        <w:spacing w:line="400" w:lineRule="exact"/>
        <w:ind w:firstLine="480" w:firstLineChars="200"/>
        <w:rPr>
          <w:rFonts w:ascii="仿宋" w:hAnsi="仿宋" w:eastAsia="仿宋" w:cs="仿宋"/>
          <w:u w:val="single"/>
          <w:lang w:eastAsia="zh-CN"/>
        </w:rPr>
      </w:pPr>
      <w:r>
        <w:rPr>
          <w:rFonts w:hint="eastAsia" w:ascii="仿宋" w:hAnsi="仿宋" w:eastAsia="仿宋" w:cs="仿宋"/>
          <w:lang w:eastAsia="zh-CN"/>
        </w:rPr>
        <w:t>☑  深化设计提供的时间：</w:t>
      </w:r>
      <w:r>
        <w:rPr>
          <w:rFonts w:hint="eastAsia" w:ascii="仿宋" w:hAnsi="仿宋" w:eastAsia="仿宋" w:cs="仿宋"/>
          <w:u w:val="single"/>
          <w:lang w:eastAsia="zh-CN"/>
        </w:rPr>
        <w:t>根据实际情况，按发包人要求为准。</w:t>
      </w:r>
    </w:p>
    <w:p w14:paraId="23F4A0A2">
      <w:pPr>
        <w:spacing w:line="400" w:lineRule="exact"/>
        <w:ind w:firstLine="480" w:firstLineChars="200"/>
        <w:rPr>
          <w:rFonts w:ascii="仿宋" w:hAnsi="仿宋" w:eastAsia="仿宋" w:cs="仿宋"/>
          <w:u w:val="single"/>
          <w:lang w:eastAsia="zh-CN"/>
        </w:rPr>
      </w:pPr>
      <w:r>
        <w:rPr>
          <w:rFonts w:hint="eastAsia" w:ascii="仿宋" w:hAnsi="仿宋" w:eastAsia="仿宋" w:cs="仿宋"/>
          <w:lang w:eastAsia="zh-CN"/>
        </w:rPr>
        <w:t>☑  施工方案提供的时间：</w:t>
      </w:r>
      <w:r>
        <w:rPr>
          <w:rFonts w:hint="eastAsia" w:ascii="仿宋" w:hAnsi="仿宋" w:eastAsia="仿宋" w:cs="仿宋"/>
          <w:u w:val="single"/>
          <w:lang w:eastAsia="zh-CN"/>
        </w:rPr>
        <w:t>根据实际情况，按发包人要求为准。</w:t>
      </w:r>
    </w:p>
    <w:p w14:paraId="65B4B060">
      <w:pPr>
        <w:spacing w:line="400" w:lineRule="exact"/>
        <w:ind w:firstLine="480" w:firstLineChars="200"/>
        <w:rPr>
          <w:rFonts w:ascii="仿宋" w:hAnsi="仿宋" w:eastAsia="仿宋" w:cs="仿宋"/>
          <w:u w:val="single"/>
          <w:lang w:eastAsia="zh-CN"/>
        </w:rPr>
      </w:pPr>
      <w:r>
        <w:rPr>
          <w:rFonts w:hint="eastAsia" w:ascii="仿宋" w:hAnsi="仿宋" w:eastAsia="仿宋" w:cs="仿宋"/>
          <w:lang w:eastAsia="zh-CN"/>
        </w:rPr>
        <w:t>☑  进度管理提供的时间：</w:t>
      </w:r>
      <w:r>
        <w:rPr>
          <w:rFonts w:hint="eastAsia" w:ascii="仿宋" w:hAnsi="仿宋" w:eastAsia="仿宋" w:cs="仿宋"/>
          <w:u w:val="single"/>
          <w:lang w:eastAsia="zh-CN"/>
        </w:rPr>
        <w:t>根据实际情况，按发包人要求为准。</w:t>
      </w:r>
    </w:p>
    <w:p w14:paraId="3015E527">
      <w:pPr>
        <w:spacing w:line="400" w:lineRule="exact"/>
        <w:ind w:firstLine="480" w:firstLineChars="200"/>
        <w:rPr>
          <w:rFonts w:ascii="仿宋" w:hAnsi="仿宋" w:eastAsia="仿宋" w:cs="仿宋"/>
          <w:u w:val="single"/>
          <w:lang w:eastAsia="zh-CN"/>
        </w:rPr>
      </w:pPr>
      <w:r>
        <w:rPr>
          <w:rFonts w:hint="eastAsia" w:ascii="仿宋" w:hAnsi="仿宋" w:eastAsia="仿宋" w:cs="仿宋"/>
          <w:lang w:eastAsia="zh-CN"/>
        </w:rPr>
        <w:t>☑  造价管理提供的时间：</w:t>
      </w:r>
      <w:r>
        <w:rPr>
          <w:rFonts w:hint="eastAsia" w:ascii="仿宋" w:hAnsi="仿宋" w:eastAsia="仿宋" w:cs="仿宋"/>
          <w:u w:val="single"/>
          <w:lang w:eastAsia="zh-CN"/>
        </w:rPr>
        <w:t>根据实际情况，按发包人要求为准。</w:t>
      </w:r>
    </w:p>
    <w:p w14:paraId="694BAB96">
      <w:pPr>
        <w:spacing w:line="400" w:lineRule="exact"/>
        <w:ind w:firstLine="480" w:firstLineChars="200"/>
        <w:rPr>
          <w:rFonts w:ascii="仿宋" w:hAnsi="仿宋" w:eastAsia="仿宋" w:cs="仿宋"/>
          <w:u w:val="single"/>
          <w:lang w:eastAsia="zh-CN"/>
        </w:rPr>
      </w:pPr>
      <w:r>
        <w:rPr>
          <w:rFonts w:hint="eastAsia" w:ascii="仿宋" w:hAnsi="仿宋" w:eastAsia="仿宋" w:cs="仿宋"/>
          <w:lang w:eastAsia="zh-CN"/>
        </w:rPr>
        <w:t>☑  质量与安全管理提供的时间：</w:t>
      </w:r>
      <w:r>
        <w:rPr>
          <w:rFonts w:hint="eastAsia" w:ascii="仿宋" w:hAnsi="仿宋" w:eastAsia="仿宋" w:cs="仿宋"/>
          <w:u w:val="single"/>
          <w:lang w:eastAsia="zh-CN"/>
        </w:rPr>
        <w:t>根据实际情况，按发包人要求为准。</w:t>
      </w:r>
    </w:p>
    <w:p w14:paraId="70D0E430">
      <w:pPr>
        <w:spacing w:line="400" w:lineRule="exact"/>
        <w:ind w:firstLine="480" w:firstLineChars="200"/>
        <w:rPr>
          <w:rFonts w:ascii="仿宋" w:hAnsi="仿宋" w:eastAsia="仿宋" w:cs="仿宋"/>
          <w:u w:val="single"/>
          <w:lang w:eastAsia="zh-CN"/>
        </w:rPr>
      </w:pPr>
      <w:r>
        <w:rPr>
          <w:rFonts w:hint="eastAsia" w:ascii="仿宋" w:hAnsi="仿宋" w:eastAsia="仿宋" w:cs="仿宋"/>
          <w:lang w:eastAsia="zh-CN"/>
        </w:rPr>
        <w:t>☑  装配式建筑生产与施工工艺提供的时间：</w:t>
      </w:r>
      <w:r>
        <w:rPr>
          <w:rFonts w:hint="eastAsia" w:ascii="仿宋" w:hAnsi="仿宋" w:eastAsia="仿宋" w:cs="仿宋"/>
          <w:u w:val="single"/>
          <w:lang w:eastAsia="zh-CN"/>
        </w:rPr>
        <w:t xml:space="preserve">根据实际情况，按发包人要求为准。 </w:t>
      </w:r>
    </w:p>
    <w:p w14:paraId="532A32CB">
      <w:pPr>
        <w:spacing w:line="400" w:lineRule="exact"/>
        <w:ind w:firstLine="480" w:firstLineChars="200"/>
        <w:rPr>
          <w:rFonts w:ascii="仿宋" w:hAnsi="仿宋" w:eastAsia="仿宋" w:cs="仿宋"/>
          <w:u w:val="single"/>
          <w:lang w:eastAsia="zh-CN"/>
        </w:rPr>
      </w:pPr>
      <w:r>
        <w:rPr>
          <w:rFonts w:hint="eastAsia" w:ascii="仿宋" w:hAnsi="仿宋" w:eastAsia="仿宋" w:cs="仿宋"/>
          <w:lang w:eastAsia="zh-CN"/>
        </w:rPr>
        <w:t>☑  其他应用内容及要求：</w:t>
      </w:r>
      <w:r>
        <w:rPr>
          <w:rFonts w:hint="eastAsia" w:ascii="仿宋" w:hAnsi="仿宋" w:eastAsia="仿宋" w:cs="仿宋"/>
          <w:u w:val="single"/>
          <w:lang w:eastAsia="zh-CN"/>
        </w:rPr>
        <w:t>根据实际情况，按发包人要求为准。</w:t>
      </w:r>
    </w:p>
    <w:p w14:paraId="0724A807">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t>☑ 发包人的其他要求：</w:t>
      </w:r>
    </w:p>
    <w:p w14:paraId="57526F60">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t>由承包人负责提供的图纸，承包人应在施工前或发包人书面要求后5天内提交5套供监理人代表及发包人审批。若任何图纸退回给承包人修改，承包人应不迟于退回后的3天内再次提交图纸供审批，直到其获得认可为止。发包人的批准不会免除或减轻承包人按合同文件所承担的义务和责任。无论如何，承包人在本工程中使用的图纸都必须经过发包人的确认。</w:t>
      </w:r>
    </w:p>
    <w:p w14:paraId="260160CA">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t>由承包人承担设计的设计质量安全责任，因详图设计造成制作工程量增加的费用和工期延长由承包人自行承担。发包人的批准不会免除或减轻承包人按合同文件所承担的义务和责任。</w:t>
      </w:r>
    </w:p>
    <w:p w14:paraId="7F1659F2">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t>在展开任何工作或订购任何材料设备前，承包人须核实图纸上及现场所有尺寸，及审核现场、图纸、标准、规范之间有否不符，若发现有任何错漏、疏忽或偏差，必须立即以书面形式通知发包人和监理人代表，由发包人给予指示。发包人的任何指示皆不会免除或减轻承包人按合同所承担的义务和责任。发包人不负责承包人未有充分审核而引致的虚耗材料设备、工作或进度拖延。凡是因图纸错漏、疏忽、偏差或设计不合理造成的设计变更费用，均由承包人自行承担。</w:t>
      </w:r>
    </w:p>
    <w:p w14:paraId="43B7EFF0">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t>文件的照管：关于现场文件准备的约定：承包人应把一整套的合同文件（包括合同图纸、本合同约定的标准/规范/规程等）连同本工程开始施工后由发包人签发的任何指示、附加图纸、补充标准/规范/规程、其他类似文件存放在施工场地，以便发包人、监理人及其授权代表可随时查阅参考。承包人应将全部图纸、图表固定在硬板上或用其他适宜的方式整齐及有条理地存放起来。因非发包人原因导致上述文件的毁损或缺失，责任由承包人承担。</w:t>
      </w:r>
    </w:p>
    <w:p w14:paraId="54D18475">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t>承包人未经发包人同意，不得将本工程图纸转给第三人。工程质量保修期满后，除承包人存档需要的图纸外，应将全部图纸退还给发包人 。</w:t>
      </w:r>
    </w:p>
    <w:p w14:paraId="58522E16">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t>7.3 BIM信息模型的提供及一般要求</w:t>
      </w:r>
    </w:p>
    <w:p w14:paraId="0538C7B4">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t>承包人搭建项目全生命期数字化管理平台，促进数据自由流动，实现设计、生产、施工的一站式管理，对项目建造全过程的关键数据收集、筛选、分析和应用。同时统一数据标准，可以满足其他安置区等项目接入管理平台的需求，工程竣工时同时交付实体建筑与“数字建筑”，对接广州市CIM平台，为数字城市提供底层数据。</w:t>
      </w:r>
    </w:p>
    <w:p w14:paraId="34F108C8">
      <w:pPr>
        <w:spacing w:line="400" w:lineRule="exact"/>
        <w:ind w:firstLine="480" w:firstLineChars="200"/>
        <w:rPr>
          <w:rFonts w:ascii="仿宋" w:hAnsi="仿宋" w:eastAsia="仿宋" w:cs="仿宋"/>
          <w:lang w:eastAsia="zh-CN"/>
        </w:rPr>
      </w:pPr>
    </w:p>
    <w:p w14:paraId="01ABC7F8">
      <w:pPr>
        <w:pStyle w:val="3"/>
        <w:spacing w:line="360" w:lineRule="auto"/>
        <w:rPr>
          <w:rFonts w:ascii="仿宋" w:hAnsi="仿宋" w:eastAsia="仿宋" w:cs="仿宋"/>
          <w:b w:val="0"/>
          <w:bCs w:val="0"/>
          <w:i w:val="0"/>
          <w:iCs w:val="0"/>
          <w:sz w:val="24"/>
          <w:szCs w:val="24"/>
          <w:lang w:eastAsia="zh-CN"/>
        </w:rPr>
      </w:pPr>
      <w:bookmarkStart w:id="829" w:name="_Toc6491"/>
      <w:bookmarkStart w:id="830" w:name="_Toc194073225"/>
      <w:bookmarkStart w:id="831" w:name="_Toc16151"/>
      <w:bookmarkStart w:id="832" w:name="_Toc21717"/>
      <w:r>
        <w:rPr>
          <w:rFonts w:hint="eastAsia" w:ascii="仿宋" w:hAnsi="仿宋" w:eastAsia="仿宋" w:cs="仿宋"/>
          <w:b w:val="0"/>
          <w:bCs w:val="0"/>
          <w:i w:val="0"/>
          <w:iCs w:val="0"/>
          <w:sz w:val="24"/>
          <w:szCs w:val="24"/>
          <w:lang w:eastAsia="zh-CN"/>
        </w:rPr>
        <w:t>8.  合同价格的控制原则</w:t>
      </w:r>
      <w:bookmarkEnd w:id="829"/>
      <w:bookmarkEnd w:id="830"/>
      <w:bookmarkEnd w:id="831"/>
      <w:bookmarkEnd w:id="832"/>
    </w:p>
    <w:p w14:paraId="698334B6">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8.2工程勘察费的控制（含测量、测绘）</w:t>
      </w:r>
    </w:p>
    <w:p w14:paraId="2EA1F053">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①计价方式：</w:t>
      </w:r>
      <w:r>
        <w:rPr>
          <w:rFonts w:hint="eastAsia" w:ascii="仿宋" w:hAnsi="仿宋" w:eastAsia="仿宋" w:cs="仿宋"/>
          <w:u w:val="single"/>
          <w:lang w:eastAsia="zh-CN"/>
        </w:rPr>
        <w:t xml:space="preserve">  /  </w:t>
      </w:r>
      <w:r>
        <w:rPr>
          <w:rFonts w:hint="eastAsia" w:ascii="仿宋" w:hAnsi="仿宋" w:eastAsia="仿宋" w:cs="仿宋"/>
          <w:lang w:eastAsia="zh-CN"/>
        </w:rPr>
        <w:t>。</w:t>
      </w:r>
    </w:p>
    <w:p w14:paraId="3A92ED3C">
      <w:pPr>
        <w:spacing w:line="360" w:lineRule="auto"/>
        <w:ind w:firstLine="480"/>
        <w:rPr>
          <w:rFonts w:ascii="仿宋" w:hAnsi="仿宋" w:eastAsia="仿宋" w:cs="仿宋"/>
          <w:lang w:eastAsia="zh-CN"/>
        </w:rPr>
      </w:pPr>
      <w:r>
        <w:rPr>
          <w:rFonts w:hint="eastAsia" w:ascii="仿宋" w:hAnsi="仿宋" w:eastAsia="仿宋" w:cs="仿宋"/>
          <w:lang w:eastAsia="zh-CN"/>
        </w:rPr>
        <w:t>②价格控制：</w:t>
      </w:r>
    </w:p>
    <w:p w14:paraId="25694C6D">
      <w:pPr>
        <w:spacing w:line="360" w:lineRule="auto"/>
        <w:ind w:firstLine="480"/>
        <w:rPr>
          <w:rFonts w:ascii="仿宋" w:hAnsi="仿宋" w:eastAsia="仿宋" w:cs="仿宋"/>
          <w:lang w:eastAsia="zh-CN"/>
        </w:rPr>
      </w:pPr>
      <w:r>
        <w:rPr>
          <w:rFonts w:ascii="仿宋" w:hAnsi="仿宋" w:eastAsia="仿宋" w:cs="仿宋"/>
          <w:lang w:eastAsia="zh-CN"/>
        </w:rPr>
        <w:t>□不允许超过合同约定的相应价格，相应合同价格即为结算额。</w:t>
      </w:r>
    </w:p>
    <w:p w14:paraId="04C29A42">
      <w:pPr>
        <w:spacing w:line="360" w:lineRule="auto"/>
        <w:ind w:firstLine="480"/>
        <w:rPr>
          <w:rFonts w:ascii="仿宋" w:hAnsi="仿宋" w:eastAsia="仿宋" w:cs="仿宋"/>
          <w:lang w:eastAsia="zh-CN"/>
        </w:rPr>
      </w:pPr>
      <w:r>
        <w:rPr>
          <w:rFonts w:ascii="仿宋" w:hAnsi="仿宋" w:eastAsia="仿宋" w:cs="仿宋"/>
          <w:lang w:eastAsia="zh-CN"/>
        </w:rPr>
        <w:t>□不允许超过合同约定的相应合同价格及调整事项。其中，调整事项约定为：</w:t>
      </w:r>
      <w:r>
        <w:rPr>
          <w:rFonts w:ascii="仿宋" w:hAnsi="仿宋" w:eastAsia="仿宋" w:cs="仿宋"/>
          <w:u w:val="single"/>
          <w:lang w:eastAsia="zh-CN"/>
        </w:rPr>
        <w:t xml:space="preserve"> / </w:t>
      </w:r>
      <w:r>
        <w:rPr>
          <w:rFonts w:ascii="仿宋" w:hAnsi="仿宋" w:eastAsia="仿宋" w:cs="仿宋"/>
          <w:lang w:eastAsia="zh-CN"/>
        </w:rPr>
        <w:t>。</w:t>
      </w:r>
    </w:p>
    <w:p w14:paraId="643267CD">
      <w:pPr>
        <w:spacing w:line="360" w:lineRule="auto"/>
        <w:ind w:firstLine="480"/>
        <w:rPr>
          <w:rFonts w:ascii="仿宋" w:hAnsi="仿宋" w:eastAsia="仿宋" w:cs="仿宋"/>
          <w:lang w:eastAsia="zh-CN"/>
        </w:rPr>
      </w:pPr>
      <w:r>
        <w:rPr>
          <w:rFonts w:hint="eastAsia" w:ascii="仿宋" w:hAnsi="仿宋" w:eastAsia="仿宋" w:cs="仿宋"/>
          <w:lang w:eastAsia="zh-CN"/>
        </w:rPr>
        <w:t>□</w:t>
      </w:r>
      <w:r>
        <w:rPr>
          <w:rFonts w:ascii="仿宋" w:hAnsi="仿宋" w:eastAsia="仿宋" w:cs="仿宋"/>
          <w:lang w:eastAsia="zh-CN"/>
        </w:rPr>
        <w:t>另作约定：</w:t>
      </w:r>
      <w:r>
        <w:rPr>
          <w:rFonts w:hint="eastAsia" w:ascii="仿宋" w:hAnsi="仿宋" w:eastAsia="仿宋" w:cs="仿宋"/>
          <w:u w:val="single"/>
          <w:lang w:eastAsia="zh-CN"/>
        </w:rPr>
        <w:t xml:space="preserve">  /  </w:t>
      </w:r>
      <w:r>
        <w:rPr>
          <w:rFonts w:hint="eastAsia" w:ascii="仿宋" w:hAnsi="仿宋" w:eastAsia="仿宋" w:cs="仿宋"/>
          <w:lang w:eastAsia="zh-CN"/>
        </w:rPr>
        <w:t>。</w:t>
      </w:r>
    </w:p>
    <w:p w14:paraId="1463C369">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8.3工程设计费的控制</w:t>
      </w:r>
    </w:p>
    <w:p w14:paraId="0DF3031A">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①计价方式：</w:t>
      </w:r>
      <w:r>
        <w:rPr>
          <w:rFonts w:hint="eastAsia" w:ascii="仿宋" w:hAnsi="仿宋" w:eastAsia="仿宋" w:cs="仿宋"/>
          <w:u w:val="single"/>
          <w:lang w:eastAsia="zh-CN"/>
        </w:rPr>
        <w:t xml:space="preserve">  （ 同72.1.2款 ）</w:t>
      </w:r>
    </w:p>
    <w:p w14:paraId="19CADB5E">
      <w:pPr>
        <w:spacing w:line="360" w:lineRule="auto"/>
        <w:ind w:firstLine="480"/>
        <w:rPr>
          <w:rFonts w:ascii="仿宋" w:hAnsi="仿宋" w:eastAsia="仿宋" w:cs="仿宋"/>
          <w:lang w:eastAsia="zh-CN"/>
        </w:rPr>
      </w:pPr>
      <w:r>
        <w:rPr>
          <w:rFonts w:hint="eastAsia" w:ascii="仿宋" w:hAnsi="仿宋" w:eastAsia="仿宋" w:cs="仿宋"/>
          <w:lang w:eastAsia="zh-CN"/>
        </w:rPr>
        <w:t>②价格控制：</w:t>
      </w:r>
    </w:p>
    <w:p w14:paraId="49CC9949">
      <w:pPr>
        <w:spacing w:line="360" w:lineRule="auto"/>
        <w:ind w:firstLine="480"/>
        <w:rPr>
          <w:rFonts w:ascii="仿宋" w:hAnsi="仿宋" w:eastAsia="仿宋" w:cs="仿宋"/>
          <w:lang w:eastAsia="zh-CN"/>
        </w:rPr>
      </w:pPr>
      <w:r>
        <w:rPr>
          <w:rFonts w:hint="eastAsia" w:ascii="仿宋" w:hAnsi="仿宋" w:eastAsia="仿宋" w:cs="仿宋"/>
          <w:lang w:eastAsia="zh-CN"/>
        </w:rPr>
        <w:t>☑不允许超过合同约定的相应价格，结算额以</w:t>
      </w:r>
      <w:r>
        <w:rPr>
          <w:rFonts w:hint="eastAsia" w:ascii="仿宋" w:hAnsi="仿宋" w:eastAsia="仿宋" w:cs="仿宋"/>
          <w:szCs w:val="21"/>
          <w:lang w:val="en-US" w:eastAsia="zh-CN"/>
        </w:rPr>
        <w:t>发包人确认的</w:t>
      </w:r>
      <w:r>
        <w:rPr>
          <w:rFonts w:hint="eastAsia" w:ascii="仿宋" w:hAnsi="仿宋" w:eastAsia="仿宋" w:cs="仿宋"/>
          <w:lang w:eastAsia="zh-CN"/>
        </w:rPr>
        <w:t>有权审核部门结算终审金额为准。</w:t>
      </w:r>
    </w:p>
    <w:p w14:paraId="28E43C1E">
      <w:pPr>
        <w:spacing w:line="360" w:lineRule="auto"/>
        <w:ind w:firstLine="480"/>
        <w:rPr>
          <w:rFonts w:ascii="仿宋" w:hAnsi="仿宋" w:eastAsia="仿宋" w:cs="仿宋"/>
          <w:lang w:eastAsia="zh-CN"/>
        </w:rPr>
      </w:pPr>
      <w:r>
        <w:rPr>
          <w:rFonts w:hint="eastAsia" w:ascii="仿宋" w:hAnsi="仿宋" w:eastAsia="仿宋" w:cs="仿宋"/>
          <w:lang w:eastAsia="zh-CN"/>
        </w:rPr>
        <w:t>□不允许超过合同约定的相应合同价格及调整事项。其中，调整事项约定为：如设计工作减少（包括但不限于承包人未开展设计工作的专业工程，发包人发出取消该部分工作设计指令的），则按减少建安费占合同建安工程费总额比例相应扣减设计费；如设计工作增加的，不额外增加费用（除发包人批准增加外）。</w:t>
      </w:r>
    </w:p>
    <w:p w14:paraId="238F8233">
      <w:pPr>
        <w:spacing w:line="360" w:lineRule="auto"/>
        <w:ind w:firstLine="480"/>
        <w:rPr>
          <w:rFonts w:ascii="仿宋" w:hAnsi="仿宋" w:eastAsia="仿宋" w:cs="仿宋"/>
          <w:lang w:eastAsia="zh-CN"/>
        </w:rPr>
      </w:pPr>
      <w:r>
        <w:rPr>
          <w:rFonts w:hint="eastAsia" w:ascii="仿宋" w:hAnsi="仿宋" w:eastAsia="仿宋" w:cs="仿宋"/>
          <w:lang w:eastAsia="zh-CN"/>
        </w:rPr>
        <w:t>8.4 BIM 技术应用费的控制</w:t>
      </w:r>
    </w:p>
    <w:p w14:paraId="4C12DA6E">
      <w:pPr>
        <w:spacing w:line="360" w:lineRule="auto"/>
        <w:ind w:firstLine="480"/>
        <w:rPr>
          <w:rFonts w:ascii="仿宋" w:hAnsi="仿宋" w:eastAsia="仿宋" w:cs="仿宋"/>
          <w:lang w:eastAsia="zh-CN"/>
        </w:rPr>
      </w:pPr>
      <w:r>
        <w:rPr>
          <w:rFonts w:hint="eastAsia" w:ascii="仿宋" w:hAnsi="仿宋" w:eastAsia="仿宋" w:cs="仿宋"/>
          <w:lang w:eastAsia="zh-CN"/>
        </w:rPr>
        <w:t>①计价方式：</w:t>
      </w:r>
      <w:r>
        <w:rPr>
          <w:rFonts w:hint="eastAsia" w:ascii="仿宋" w:hAnsi="仿宋" w:eastAsia="仿宋" w:cs="仿宋"/>
          <w:u w:val="single"/>
          <w:lang w:eastAsia="zh-CN"/>
        </w:rPr>
        <w:t xml:space="preserve"> （同 72.1.3 款）</w:t>
      </w:r>
    </w:p>
    <w:p w14:paraId="30D54CA6">
      <w:pPr>
        <w:spacing w:line="360" w:lineRule="auto"/>
        <w:ind w:firstLine="480"/>
        <w:rPr>
          <w:rFonts w:ascii="仿宋" w:hAnsi="仿宋" w:eastAsia="仿宋" w:cs="仿宋"/>
          <w:lang w:eastAsia="zh-CN"/>
        </w:rPr>
      </w:pPr>
      <w:r>
        <w:rPr>
          <w:rFonts w:hint="eastAsia" w:ascii="仿宋" w:hAnsi="仿宋" w:eastAsia="仿宋" w:cs="仿宋"/>
          <w:lang w:eastAsia="zh-CN"/>
        </w:rPr>
        <w:t>②价格控制：</w:t>
      </w:r>
    </w:p>
    <w:p w14:paraId="7C0FBA77">
      <w:pPr>
        <w:spacing w:line="360" w:lineRule="auto"/>
        <w:ind w:firstLine="480"/>
        <w:rPr>
          <w:rFonts w:ascii="仿宋" w:hAnsi="仿宋" w:eastAsia="仿宋" w:cs="仿宋"/>
          <w:lang w:eastAsia="zh-CN"/>
        </w:rPr>
      </w:pPr>
      <w:r>
        <w:rPr>
          <w:rFonts w:hint="eastAsia" w:ascii="仿宋" w:hAnsi="仿宋" w:eastAsia="仿宋" w:cs="仿宋"/>
          <w:lang w:eastAsia="zh-CN"/>
        </w:rPr>
        <w:t>☑不允许超过合同约定的相应价格，结算额以</w:t>
      </w:r>
      <w:r>
        <w:rPr>
          <w:rFonts w:hint="eastAsia" w:ascii="仿宋" w:hAnsi="仿宋" w:eastAsia="仿宋" w:cs="仿宋"/>
          <w:szCs w:val="21"/>
          <w:lang w:val="en-US" w:eastAsia="zh-CN"/>
        </w:rPr>
        <w:t>发包人确认的</w:t>
      </w:r>
      <w:r>
        <w:rPr>
          <w:rFonts w:hint="eastAsia" w:ascii="仿宋" w:hAnsi="仿宋" w:eastAsia="仿宋" w:cs="仿宋"/>
          <w:lang w:eastAsia="zh-CN"/>
        </w:rPr>
        <w:t>有权审核部门结算终审金额为准。</w:t>
      </w:r>
    </w:p>
    <w:p w14:paraId="75289685">
      <w:pPr>
        <w:spacing w:line="360" w:lineRule="auto"/>
        <w:ind w:firstLine="480"/>
        <w:rPr>
          <w:rFonts w:ascii="仿宋" w:hAnsi="仿宋" w:eastAsia="仿宋" w:cs="仿宋"/>
          <w:lang w:eastAsia="zh-CN"/>
        </w:rPr>
      </w:pPr>
      <w:r>
        <w:rPr>
          <w:rFonts w:hint="eastAsia" w:ascii="仿宋" w:hAnsi="仿宋" w:eastAsia="仿宋" w:cs="仿宋"/>
          <w:lang w:eastAsia="zh-CN"/>
        </w:rPr>
        <w:t>□不允许超过合同约定的相应合同价格及调整事项。其中，调整事项约定为：如BIM技术运用工作减少（包括但不限于承包人未开展某项BIM技术工作，发包人发出取消该部分工作设计指令的），则按减少工作量比例相应扣减BIM技术运用费；如BIM技术工作增加的，不额外增加费用。</w:t>
      </w:r>
    </w:p>
    <w:p w14:paraId="1EFF4221">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8.5建筑安装工程费的控制</w:t>
      </w:r>
    </w:p>
    <w:p w14:paraId="0EE3D0A8">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8.5.1 限额设计：</w:t>
      </w:r>
      <w:r>
        <w:rPr>
          <w:rFonts w:hint="eastAsia" w:ascii="仿宋" w:hAnsi="仿宋" w:eastAsia="仿宋" w:cs="仿宋"/>
          <w:u w:val="single"/>
          <w:lang w:eastAsia="zh-CN"/>
        </w:rPr>
        <w:t>按照协议书第二条第4款“投资控制”条款执行。</w:t>
      </w:r>
    </w:p>
    <w:p w14:paraId="0085DE90">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8.5.2初步设计概算控制（适用于可行性研究批准立项或备案后发包的）</w:t>
      </w:r>
    </w:p>
    <w:p w14:paraId="20D9A154">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（1）编制规则：</w:t>
      </w:r>
      <w:r>
        <w:rPr>
          <w:rFonts w:ascii="仿宋" w:hAnsi="仿宋" w:eastAsia="仿宋" w:cs="仿宋"/>
          <w:lang w:eastAsia="zh-CN"/>
        </w:rPr>
        <w:t xml:space="preserve">  /</w:t>
      </w:r>
      <w:r>
        <w:rPr>
          <w:rFonts w:hint="eastAsia" w:ascii="仿宋" w:hAnsi="仿宋" w:eastAsia="仿宋" w:cs="仿宋"/>
          <w:u w:val="single"/>
          <w:lang w:eastAsia="zh-CN"/>
        </w:rPr>
        <w:t xml:space="preserve">。 </w:t>
      </w:r>
    </w:p>
    <w:p w14:paraId="11346D68">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（2）价格控制：</w:t>
      </w:r>
    </w:p>
    <w:p w14:paraId="576E0BCB">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□不允许超过合同约定的相应价格，相应合同价格即为概算批准或备案的控制金额，以有权审核部门审定为准。</w:t>
      </w:r>
    </w:p>
    <w:p w14:paraId="43F0A991">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□按有权审定部门审批的价格为概算批准或备案金额，</w:t>
      </w:r>
    </w:p>
    <w:p w14:paraId="0BCBB81B">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 xml:space="preserve">□另作约定：   /   </w:t>
      </w:r>
    </w:p>
    <w:p w14:paraId="69B46DBE">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8.5.3施工图预算控制</w:t>
      </w:r>
    </w:p>
    <w:p w14:paraId="56B3C186">
      <w:pPr>
        <w:spacing w:line="360" w:lineRule="auto"/>
        <w:ind w:firstLine="480" w:firstLineChars="200"/>
        <w:rPr>
          <w:rFonts w:ascii="仿宋" w:hAnsi="仿宋" w:eastAsia="仿宋" w:cs="仿宋"/>
          <w:u w:val="single"/>
          <w:lang w:eastAsia="zh-CN"/>
        </w:rPr>
      </w:pPr>
      <w:bookmarkStart w:id="833" w:name="_Toc12610"/>
      <w:r>
        <w:rPr>
          <w:rFonts w:hint="eastAsia" w:ascii="仿宋" w:hAnsi="仿宋" w:eastAsia="仿宋" w:cs="仿宋"/>
          <w:u w:val="single"/>
          <w:lang w:eastAsia="zh-CN"/>
        </w:rPr>
        <w:t>（1）编制规则：按专用条款72条款要求执行。</w:t>
      </w:r>
      <w:bookmarkEnd w:id="833"/>
    </w:p>
    <w:p w14:paraId="1BA48BEB">
      <w:pPr>
        <w:spacing w:line="360" w:lineRule="auto"/>
        <w:ind w:firstLine="480" w:firstLineChars="200"/>
        <w:rPr>
          <w:rFonts w:ascii="仿宋" w:hAnsi="仿宋" w:eastAsia="仿宋" w:cs="仿宋"/>
          <w:u w:val="single"/>
          <w:lang w:eastAsia="zh-CN"/>
        </w:rPr>
      </w:pPr>
      <w:bookmarkStart w:id="834" w:name="_Toc12006"/>
      <w:r>
        <w:rPr>
          <w:rFonts w:hint="eastAsia" w:ascii="仿宋" w:hAnsi="仿宋" w:eastAsia="仿宋" w:cs="仿宋"/>
          <w:u w:val="single"/>
          <w:lang w:eastAsia="zh-CN"/>
        </w:rPr>
        <w:t>（2）价格控制：</w:t>
      </w:r>
      <w:bookmarkEnd w:id="834"/>
    </w:p>
    <w:p w14:paraId="28D88923">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 xml:space="preserve"> </w:t>
      </w:r>
      <w:bookmarkStart w:id="835" w:name="_Toc16511"/>
      <w:r>
        <w:rPr>
          <w:rFonts w:ascii="Segoe UI Symbol" w:hAnsi="Segoe UI Symbol" w:eastAsia="仿宋" w:cs="Segoe UI Symbol"/>
          <w:u w:val="single"/>
          <w:lang w:eastAsia="zh-CN"/>
        </w:rPr>
        <w:t>☑</w:t>
      </w:r>
      <w:r>
        <w:rPr>
          <w:rFonts w:hint="eastAsia" w:ascii="仿宋" w:hAnsi="仿宋" w:eastAsia="仿宋" w:cs="仿宋"/>
          <w:u w:val="single"/>
          <w:lang w:eastAsia="zh-CN"/>
        </w:rPr>
        <w:t>不允许超过审定概算中的建安费及相应预备费，以发包人或有权审核部门（如需）审定为准。</w:t>
      </w:r>
      <w:bookmarkEnd w:id="835"/>
    </w:p>
    <w:p w14:paraId="740D4721">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 xml:space="preserve"> </w:t>
      </w:r>
      <w:bookmarkStart w:id="836" w:name="_Toc15764"/>
      <w:r>
        <w:rPr>
          <w:rFonts w:hint="eastAsia" w:ascii="仿宋" w:hAnsi="仿宋" w:eastAsia="仿宋" w:cs="仿宋"/>
          <w:u w:val="single"/>
          <w:lang w:eastAsia="zh-CN"/>
        </w:rPr>
        <w:t>□按有权审定部门审批的价格为预算批准或备案金额。</w:t>
      </w:r>
      <w:bookmarkEnd w:id="836"/>
    </w:p>
    <w:p w14:paraId="48153CFF">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8.6设备及工器具购置费的控制</w:t>
      </w:r>
    </w:p>
    <w:p w14:paraId="73A259A3">
      <w:pPr>
        <w:spacing w:line="360" w:lineRule="auto"/>
        <w:ind w:firstLine="480" w:firstLineChars="200"/>
        <w:rPr>
          <w:rFonts w:ascii="仿宋" w:hAnsi="仿宋" w:eastAsia="仿宋" w:cs="仿宋"/>
          <w:u w:val="single"/>
          <w:lang w:eastAsia="zh-CN"/>
        </w:rPr>
      </w:pPr>
      <w:bookmarkStart w:id="837" w:name="_Toc31398"/>
      <w:r>
        <w:rPr>
          <w:rFonts w:hint="eastAsia" w:ascii="仿宋" w:hAnsi="仿宋" w:eastAsia="仿宋" w:cs="仿宋"/>
          <w:u w:val="single"/>
          <w:lang w:eastAsia="zh-CN"/>
        </w:rPr>
        <w:t>（1）计价方式：  /  。</w:t>
      </w:r>
      <w:bookmarkEnd w:id="837"/>
    </w:p>
    <w:p w14:paraId="5AEBA765">
      <w:pPr>
        <w:spacing w:line="360" w:lineRule="auto"/>
        <w:ind w:firstLine="480" w:firstLineChars="200"/>
        <w:rPr>
          <w:rFonts w:ascii="仿宋" w:hAnsi="仿宋" w:eastAsia="仿宋" w:cs="仿宋"/>
          <w:u w:val="single"/>
          <w:lang w:eastAsia="zh-CN"/>
        </w:rPr>
      </w:pPr>
      <w:bookmarkStart w:id="838" w:name="_Toc30961"/>
      <w:r>
        <w:rPr>
          <w:rFonts w:hint="eastAsia" w:ascii="仿宋" w:hAnsi="仿宋" w:eastAsia="仿宋" w:cs="仿宋"/>
          <w:u w:val="single"/>
          <w:lang w:eastAsia="zh-CN"/>
        </w:rPr>
        <w:t>（2）价格控制：</w:t>
      </w:r>
      <w:bookmarkEnd w:id="838"/>
    </w:p>
    <w:p w14:paraId="29418D65">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 xml:space="preserve"> </w:t>
      </w:r>
      <w:bookmarkStart w:id="839" w:name="_Toc22381"/>
      <w:r>
        <w:rPr>
          <w:rFonts w:hint="eastAsia" w:ascii="仿宋" w:hAnsi="仿宋" w:eastAsia="仿宋" w:cs="仿宋"/>
          <w:u w:val="single"/>
          <w:lang w:eastAsia="zh-CN"/>
        </w:rPr>
        <w:t>□不允许超过合同约定的相应价格，相应合同价格即为结算额。</w:t>
      </w:r>
      <w:bookmarkEnd w:id="839"/>
    </w:p>
    <w:p w14:paraId="46121887">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 xml:space="preserve"> </w:t>
      </w:r>
      <w:bookmarkStart w:id="840" w:name="_Toc8850"/>
      <w:r>
        <w:rPr>
          <w:rFonts w:hint="eastAsia" w:ascii="仿宋" w:hAnsi="仿宋" w:eastAsia="仿宋" w:cs="仿宋"/>
          <w:u w:val="single"/>
          <w:lang w:eastAsia="zh-CN"/>
        </w:rPr>
        <w:t>□不允许超过合同约定的相应合同价格及调整事项。其中，调整事项约定为：  /  。</w:t>
      </w:r>
      <w:bookmarkEnd w:id="840"/>
    </w:p>
    <w:p w14:paraId="347EB2E6">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 xml:space="preserve"> □另作约定：  /  。</w:t>
      </w:r>
    </w:p>
    <w:p w14:paraId="0393D318">
      <w:pPr>
        <w:pStyle w:val="3"/>
        <w:tabs>
          <w:tab w:val="left" w:pos="420"/>
        </w:tabs>
        <w:spacing w:before="0" w:after="0" w:line="360" w:lineRule="auto"/>
        <w:rPr>
          <w:rFonts w:ascii="仿宋" w:hAnsi="仿宋" w:eastAsia="仿宋"/>
          <w:b w:val="0"/>
          <w:bCs w:val="0"/>
          <w:i w:val="0"/>
          <w:sz w:val="24"/>
          <w:szCs w:val="24"/>
          <w:lang w:eastAsia="zh-CN"/>
        </w:rPr>
      </w:pPr>
      <w:bookmarkStart w:id="841" w:name="_Toc194073226"/>
      <w:bookmarkStart w:id="842" w:name="_Toc7181"/>
      <w:bookmarkStart w:id="843" w:name="_Toc25192"/>
      <w:r>
        <w:rPr>
          <w:rFonts w:hint="eastAsia" w:ascii="仿宋" w:hAnsi="仿宋" w:eastAsia="仿宋" w:cs="仿宋"/>
          <w:b w:val="0"/>
          <w:bCs w:val="0"/>
          <w:i w:val="0"/>
          <w:sz w:val="24"/>
          <w:szCs w:val="24"/>
          <w:lang w:eastAsia="zh-CN"/>
        </w:rPr>
        <w:t>9.  通信联络</w:t>
      </w:r>
      <w:bookmarkEnd w:id="841"/>
      <w:bookmarkEnd w:id="842"/>
      <w:bookmarkEnd w:id="843"/>
    </w:p>
    <w:p w14:paraId="6908E878">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9.2 发送通讯</w:t>
      </w:r>
    </w:p>
    <w:p w14:paraId="7D9FC9B8">
      <w:pPr>
        <w:spacing w:line="360" w:lineRule="auto"/>
        <w:ind w:firstLine="480" w:firstLineChars="200"/>
        <w:rPr>
          <w:rFonts w:ascii="仿宋" w:hAnsi="仿宋" w:eastAsia="仿宋"/>
          <w:lang w:eastAsia="zh-CN"/>
        </w:rPr>
      </w:pPr>
      <w:r>
        <w:rPr>
          <w:rFonts w:hint="eastAsia" w:ascii="仿宋" w:hAnsi="仿宋" w:eastAsia="仿宋" w:cs="仿宋"/>
          <w:lang w:eastAsia="zh-CN"/>
        </w:rPr>
        <w:t>各方通讯地址、收件人及其他送达方式</w:t>
      </w:r>
    </w:p>
    <w:p w14:paraId="73620BAF">
      <w:pPr>
        <w:numPr>
          <w:ilvl w:val="0"/>
          <w:numId w:val="40"/>
        </w:numPr>
        <w:spacing w:line="360" w:lineRule="auto"/>
        <w:ind w:left="0" w:firstLine="480" w:firstLineChars="200"/>
        <w:rPr>
          <w:rFonts w:ascii="仿宋" w:hAnsi="仿宋" w:eastAsia="仿宋"/>
          <w:lang w:eastAsia="zh-CN"/>
        </w:rPr>
      </w:pPr>
      <w:r>
        <w:rPr>
          <w:rFonts w:hint="eastAsia" w:ascii="仿宋" w:hAnsi="仿宋" w:eastAsia="仿宋" w:cs="仿宋"/>
          <w:lang w:eastAsia="zh-CN"/>
        </w:rPr>
        <w:t>各方通讯地址和收件人：</w:t>
      </w:r>
    </w:p>
    <w:p w14:paraId="207EB808">
      <w:pPr>
        <w:spacing w:line="400" w:lineRule="exact"/>
        <w:ind w:firstLine="480" w:firstLineChars="200"/>
        <w:rPr>
          <w:rFonts w:ascii="仿宋" w:hAnsi="仿宋" w:eastAsia="仿宋"/>
          <w:lang w:eastAsia="zh-CN"/>
        </w:rPr>
      </w:pPr>
      <w:r>
        <w:rPr>
          <w:rFonts w:hint="eastAsia" w:ascii="仿宋" w:hAnsi="仿宋" w:eastAsia="仿宋" w:cs="仿宋"/>
          <w:lang w:eastAsia="zh-CN"/>
        </w:rPr>
        <w:t>发包人：</w:t>
      </w:r>
      <w:r>
        <w:rPr>
          <w:rFonts w:hint="eastAsia" w:ascii="仿宋" w:hAnsi="仿宋" w:eastAsia="仿宋" w:cs="仿宋"/>
          <w:u w:val="single"/>
          <w:lang w:eastAsia="zh-CN"/>
        </w:rPr>
        <w:t xml:space="preserve">                                                   </w:t>
      </w:r>
    </w:p>
    <w:p w14:paraId="2413742E">
      <w:pPr>
        <w:spacing w:line="400" w:lineRule="exact"/>
        <w:ind w:firstLine="480" w:firstLineChars="200"/>
        <w:rPr>
          <w:rFonts w:ascii="仿宋" w:hAnsi="仿宋" w:eastAsia="仿宋"/>
          <w:lang w:eastAsia="zh-CN"/>
        </w:rPr>
      </w:pPr>
      <w:r>
        <w:rPr>
          <w:rFonts w:hint="eastAsia" w:ascii="仿宋" w:hAnsi="仿宋" w:eastAsia="仿宋" w:cs="仿宋"/>
          <w:lang w:eastAsia="zh-CN"/>
        </w:rPr>
        <w:t>通讯地址：</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收件人：</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邮政编码：</w:t>
      </w:r>
      <w:r>
        <w:rPr>
          <w:rFonts w:hint="eastAsia" w:ascii="仿宋" w:hAnsi="仿宋" w:eastAsia="仿宋" w:cs="仿宋"/>
          <w:u w:val="single"/>
          <w:lang w:eastAsia="zh-CN"/>
        </w:rPr>
        <w:t xml:space="preserve">                </w:t>
      </w:r>
    </w:p>
    <w:p w14:paraId="39A441DB">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t xml:space="preserve">承包人（单一主体或联合体牵头人）： </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w:t>
      </w:r>
    </w:p>
    <w:p w14:paraId="71026203">
      <w:pPr>
        <w:spacing w:line="400" w:lineRule="exact"/>
        <w:ind w:firstLine="480" w:firstLineChars="200"/>
        <w:rPr>
          <w:rFonts w:ascii="仿宋" w:hAnsi="仿宋" w:eastAsia="仿宋" w:cs="仿宋"/>
          <w:u w:val="single"/>
          <w:lang w:eastAsia="zh-CN"/>
        </w:rPr>
      </w:pPr>
      <w:r>
        <w:rPr>
          <w:rFonts w:hint="eastAsia" w:ascii="仿宋" w:hAnsi="仿宋" w:eastAsia="仿宋" w:cs="仿宋"/>
          <w:lang w:eastAsia="zh-CN"/>
        </w:rPr>
        <w:t>通讯地址：</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收件人：</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邮政编码：</w:t>
      </w:r>
      <w:r>
        <w:rPr>
          <w:rFonts w:hint="eastAsia" w:ascii="仿宋" w:hAnsi="仿宋" w:eastAsia="仿宋" w:cs="仿宋"/>
          <w:u w:val="single"/>
          <w:lang w:eastAsia="zh-CN"/>
        </w:rPr>
        <w:t xml:space="preserve">                   </w:t>
      </w:r>
    </w:p>
    <w:p w14:paraId="7F508497">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t xml:space="preserve">承包人（联合体成员单位）： </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w:t>
      </w:r>
    </w:p>
    <w:p w14:paraId="3D93CD91">
      <w:pPr>
        <w:spacing w:line="400" w:lineRule="exact"/>
        <w:ind w:firstLine="480" w:firstLineChars="200"/>
        <w:rPr>
          <w:rFonts w:ascii="仿宋" w:hAnsi="仿宋" w:eastAsia="仿宋" w:cs="仿宋"/>
          <w:u w:val="single"/>
          <w:lang w:eastAsia="zh-CN"/>
        </w:rPr>
      </w:pPr>
      <w:r>
        <w:rPr>
          <w:rFonts w:hint="eastAsia" w:ascii="仿宋" w:hAnsi="仿宋" w:eastAsia="仿宋" w:cs="仿宋"/>
          <w:lang w:eastAsia="zh-CN"/>
        </w:rPr>
        <w:t>通讯地址：</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收件人：</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邮政编码：</w:t>
      </w:r>
      <w:r>
        <w:rPr>
          <w:rFonts w:hint="eastAsia" w:ascii="仿宋" w:hAnsi="仿宋" w:eastAsia="仿宋" w:cs="仿宋"/>
          <w:u w:val="single"/>
          <w:lang w:eastAsia="zh-CN"/>
        </w:rPr>
        <w:t xml:space="preserve">                   </w:t>
      </w:r>
    </w:p>
    <w:p w14:paraId="111231CD">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t>监理人：</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w:t>
      </w:r>
    </w:p>
    <w:p w14:paraId="58205737">
      <w:pPr>
        <w:spacing w:line="400" w:lineRule="exact"/>
        <w:ind w:firstLine="480" w:firstLineChars="200"/>
        <w:rPr>
          <w:rFonts w:ascii="仿宋" w:hAnsi="仿宋" w:eastAsia="仿宋" w:cs="仿宋"/>
          <w:u w:val="single"/>
          <w:lang w:eastAsia="zh-CN"/>
        </w:rPr>
      </w:pPr>
      <w:r>
        <w:rPr>
          <w:rFonts w:hint="eastAsia" w:ascii="仿宋" w:hAnsi="仿宋" w:eastAsia="仿宋" w:cs="仿宋"/>
          <w:lang w:eastAsia="zh-CN"/>
        </w:rPr>
        <w:t>通讯地址：</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收件人：</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邮政编码：</w:t>
      </w:r>
      <w:r>
        <w:rPr>
          <w:rFonts w:hint="eastAsia" w:ascii="仿宋" w:hAnsi="仿宋" w:eastAsia="仿宋" w:cs="仿宋"/>
          <w:u w:val="single"/>
          <w:lang w:eastAsia="zh-CN"/>
        </w:rPr>
        <w:t xml:space="preserve">                   </w:t>
      </w:r>
    </w:p>
    <w:p w14:paraId="4B00FA37">
      <w:pPr>
        <w:spacing w:line="400" w:lineRule="exact"/>
        <w:ind w:firstLine="480" w:firstLineChars="200"/>
        <w:rPr>
          <w:rFonts w:ascii="仿宋" w:hAnsi="仿宋" w:eastAsia="仿宋" w:cs="仿宋"/>
          <w:lang w:eastAsia="zh-CN"/>
        </w:rPr>
      </w:pPr>
      <w:r>
        <w:rPr>
          <w:rFonts w:hint="eastAsia" w:ascii="仿宋" w:hAnsi="仿宋" w:eastAsia="仿宋" w:cs="仿宋"/>
          <w:lang w:eastAsia="zh-CN"/>
        </w:rPr>
        <w:t xml:space="preserve">工程造价咨询人： </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w:t>
      </w:r>
    </w:p>
    <w:p w14:paraId="1E0F09AE">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通讯地址：</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收件人：</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邮政编码：</w:t>
      </w:r>
      <w:r>
        <w:rPr>
          <w:rFonts w:hint="eastAsia" w:ascii="仿宋" w:hAnsi="仿宋" w:eastAsia="仿宋" w:cs="仿宋"/>
          <w:u w:val="single"/>
          <w:lang w:eastAsia="zh-CN"/>
        </w:rPr>
        <w:t xml:space="preserve">                   </w:t>
      </w:r>
    </w:p>
    <w:p w14:paraId="46513E38">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②视为送达的其他方式：</w:t>
      </w:r>
      <w:r>
        <w:rPr>
          <w:rFonts w:hint="eastAsia" w:ascii="仿宋" w:hAnsi="仿宋" w:eastAsia="仿宋" w:cs="仿宋"/>
          <w:u w:val="single"/>
          <w:lang w:eastAsia="zh-CN"/>
        </w:rPr>
        <w:t xml:space="preserve">                /                    </w:t>
      </w:r>
    </w:p>
    <w:p w14:paraId="6EDCDE41">
      <w:pPr>
        <w:spacing w:line="360" w:lineRule="auto"/>
        <w:ind w:firstLine="480" w:firstLineChars="200"/>
        <w:rPr>
          <w:rFonts w:ascii="仿宋" w:hAnsi="仿宋" w:eastAsia="仿宋" w:cs="仿宋"/>
          <w:u w:val="single"/>
          <w:lang w:eastAsia="zh-CN"/>
        </w:rPr>
      </w:pPr>
    </w:p>
    <w:p w14:paraId="280C1EEA">
      <w:pPr>
        <w:pStyle w:val="3"/>
        <w:tabs>
          <w:tab w:val="left" w:pos="420"/>
        </w:tabs>
        <w:spacing w:before="0" w:after="0" w:line="360" w:lineRule="auto"/>
        <w:rPr>
          <w:rFonts w:ascii="仿宋" w:hAnsi="仿宋" w:eastAsia="仿宋" w:cs="仿宋"/>
          <w:i w:val="0"/>
          <w:sz w:val="24"/>
          <w:szCs w:val="24"/>
          <w:lang w:eastAsia="zh-CN"/>
        </w:rPr>
      </w:pPr>
      <w:bookmarkStart w:id="844" w:name="_Toc21746"/>
      <w:bookmarkStart w:id="845" w:name="_Toc194073228"/>
      <w:bookmarkStart w:id="846" w:name="_Toc31324"/>
      <w:bookmarkStart w:id="847" w:name="_Toc5787"/>
      <w:r>
        <w:rPr>
          <w:rFonts w:hint="eastAsia" w:ascii="仿宋" w:hAnsi="仿宋" w:eastAsia="仿宋" w:cs="仿宋"/>
          <w:b w:val="0"/>
          <w:bCs w:val="0"/>
          <w:i w:val="0"/>
          <w:sz w:val="24"/>
          <w:szCs w:val="24"/>
          <w:lang w:eastAsia="zh-CN"/>
        </w:rPr>
        <w:t>16.  交通运输</w:t>
      </w:r>
      <w:bookmarkEnd w:id="844"/>
      <w:bookmarkEnd w:id="845"/>
      <w:bookmarkEnd w:id="846"/>
      <w:bookmarkEnd w:id="847"/>
    </w:p>
    <w:p w14:paraId="27755CF0">
      <w:pPr>
        <w:spacing w:line="360" w:lineRule="auto"/>
        <w:ind w:firstLine="480" w:firstLineChars="200"/>
        <w:rPr>
          <w:rFonts w:ascii="仿宋" w:hAnsi="仿宋" w:eastAsia="仿宋" w:cs="仿宋"/>
          <w:lang w:eastAsia="zh-CN"/>
        </w:rPr>
      </w:pPr>
      <w:bookmarkStart w:id="848" w:name="_Toc15287"/>
      <w:r>
        <w:rPr>
          <w:rFonts w:hint="eastAsia" w:ascii="仿宋" w:hAnsi="仿宋" w:eastAsia="仿宋" w:cs="仿宋"/>
          <w:lang w:eastAsia="zh-CN"/>
        </w:rPr>
        <w:t>16.1 道路通行权和场外设施</w:t>
      </w:r>
      <w:bookmarkEnd w:id="848"/>
    </w:p>
    <w:p w14:paraId="07E4CE6C">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关于出入现场的权利的约定：承包人在签订合同前已详尽查勘出入施工现场的条件和交通环境。因实施合同工程的需要，须占用场地外的道路及修建场外用地、设施等，均由承包人自行负责。承包人自行办理所需的申请手续，并承担一切所需的费用 。</w:t>
      </w:r>
    </w:p>
    <w:p w14:paraId="689F00BB">
      <w:pPr>
        <w:spacing w:line="360" w:lineRule="auto"/>
        <w:ind w:firstLine="480" w:firstLineChars="200"/>
        <w:rPr>
          <w:rFonts w:ascii="仿宋" w:hAnsi="仿宋" w:eastAsia="仿宋" w:cs="仿宋"/>
          <w:lang w:eastAsia="zh-CN"/>
        </w:rPr>
      </w:pPr>
      <w:bookmarkStart w:id="849" w:name="_Toc10888"/>
      <w:r>
        <w:rPr>
          <w:rFonts w:hint="eastAsia" w:ascii="仿宋" w:hAnsi="仿宋" w:eastAsia="仿宋" w:cs="仿宋"/>
          <w:lang w:eastAsia="zh-CN"/>
        </w:rPr>
        <w:t>16.2 场内临时道路和交通设施</w:t>
      </w:r>
      <w:bookmarkEnd w:id="849"/>
    </w:p>
    <w:p w14:paraId="1BB05558">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关于场内交通的特别约定：</w:t>
      </w:r>
    </w:p>
    <w:p w14:paraId="2A1B989F">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承包人应负责修建、维修、养护和管理施工场地内所需的临时道路和交通设施，包括维修、养护和管理发包人提供的道路和交通设施，并承担相应费用。</w:t>
      </w:r>
    </w:p>
    <w:p w14:paraId="53E65075">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承包人修建的临时道路和交通设施应免费提供发包人使用。</w:t>
      </w:r>
    </w:p>
    <w:p w14:paraId="3A050BAF">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承包人须负责保持场内外的临时道路畅通，提供指示牌、警告告示、灯号及所需之交通指导员等一切安全措施以保障行人安全及车辆安全行驶，并承担因其失责引起之所有索偿。</w:t>
      </w:r>
    </w:p>
    <w:p w14:paraId="6B8BC2D9">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基坑开挖期间，承包人须于基坑至工地出入口设置挖运土（石）方的专用便道，便道须做填硬质渣土或浇混凝土路面等加硬处理，以确保雨天仍能安全施工用。</w:t>
      </w:r>
    </w:p>
    <w:p w14:paraId="02A880FB">
      <w:pPr>
        <w:spacing w:line="360" w:lineRule="auto"/>
        <w:ind w:firstLine="480" w:firstLineChars="200"/>
        <w:rPr>
          <w:lang w:eastAsia="zh-CN"/>
        </w:rPr>
      </w:pPr>
      <w:r>
        <w:rPr>
          <w:rFonts w:hint="eastAsia" w:ascii="仿宋" w:hAnsi="仿宋" w:eastAsia="仿宋" w:cs="仿宋"/>
          <w:u w:val="single"/>
          <w:lang w:eastAsia="zh-CN"/>
        </w:rPr>
        <w:t>16.3关于场外交通的特别约定： 承包人应遵守有关交通法规，严格按照道路和桥梁的限制荷载行驶，执行有关道路限速、限行、禁止超载的规定，并配合交通管理部门的监督和检查。场内外交通设施无法满足工程施工需要的，由承包人负责完善并承担相关费用 。</w:t>
      </w:r>
    </w:p>
    <w:p w14:paraId="7DC84DEC">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16.4 超大件和超重件的运输</w:t>
      </w:r>
    </w:p>
    <w:p w14:paraId="580BB70C">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运输超大件或超重件所需的道路和桥梁临时加固改造费用和其他有关费用由承包人承担。</w:t>
      </w:r>
    </w:p>
    <w:p w14:paraId="1142C57D">
      <w:pPr>
        <w:spacing w:line="360" w:lineRule="auto"/>
        <w:ind w:firstLine="480" w:firstLineChars="200"/>
        <w:rPr>
          <w:rFonts w:ascii="仿宋" w:hAnsi="仿宋" w:eastAsia="仿宋" w:cs="仿宋"/>
          <w:u w:val="single"/>
          <w:lang w:eastAsia="zh-CN"/>
        </w:rPr>
      </w:pPr>
    </w:p>
    <w:p w14:paraId="77B32F7B">
      <w:pPr>
        <w:pStyle w:val="3"/>
        <w:tabs>
          <w:tab w:val="left" w:pos="420"/>
        </w:tabs>
        <w:spacing w:before="0" w:after="0" w:line="360" w:lineRule="auto"/>
        <w:rPr>
          <w:rFonts w:ascii="仿宋" w:hAnsi="仿宋" w:eastAsia="仿宋"/>
          <w:i w:val="0"/>
          <w:sz w:val="24"/>
          <w:szCs w:val="24"/>
          <w:lang w:eastAsia="zh-CN"/>
        </w:rPr>
      </w:pPr>
      <w:bookmarkStart w:id="850" w:name="_Toc30792"/>
      <w:bookmarkStart w:id="851" w:name="_Toc194073229"/>
      <w:bookmarkStart w:id="852" w:name="_Toc14123"/>
      <w:bookmarkStart w:id="853" w:name="_Toc18288"/>
      <w:r>
        <w:rPr>
          <w:rFonts w:hint="eastAsia" w:ascii="仿宋" w:hAnsi="仿宋" w:eastAsia="仿宋" w:cs="仿宋"/>
          <w:b w:val="0"/>
          <w:bCs w:val="0"/>
          <w:i w:val="0"/>
          <w:sz w:val="24"/>
          <w:szCs w:val="24"/>
          <w:lang w:eastAsia="zh-CN"/>
        </w:rPr>
        <w:t>17.  专项批准事项的签认</w:t>
      </w:r>
      <w:bookmarkEnd w:id="850"/>
      <w:bookmarkEnd w:id="851"/>
      <w:bookmarkEnd w:id="852"/>
      <w:bookmarkEnd w:id="853"/>
    </w:p>
    <w:p w14:paraId="0AB7D585">
      <w:pPr>
        <w:spacing w:line="360" w:lineRule="auto"/>
        <w:ind w:firstLine="480" w:firstLineChars="200"/>
        <w:rPr>
          <w:rFonts w:ascii="仿宋" w:hAnsi="仿宋" w:eastAsia="仿宋" w:cs="仿宋"/>
          <w:lang w:eastAsia="zh-CN"/>
        </w:rPr>
      </w:pPr>
      <w:bookmarkStart w:id="854" w:name="_Toc25987"/>
      <w:r>
        <w:rPr>
          <w:rFonts w:hint="eastAsia" w:ascii="仿宋" w:hAnsi="仿宋" w:eastAsia="仿宋" w:cs="仿宋"/>
          <w:lang w:eastAsia="zh-CN"/>
        </w:rPr>
        <w:t>17.2 专项批准事项签认人的要求</w:t>
      </w:r>
      <w:bookmarkEnd w:id="854"/>
    </w:p>
    <w:p w14:paraId="28BF2F39">
      <w:pPr>
        <w:spacing w:line="360" w:lineRule="auto"/>
        <w:ind w:firstLine="480" w:firstLineChars="200"/>
        <w:rPr>
          <w:rFonts w:ascii="仿宋" w:hAnsi="仿宋" w:eastAsia="仿宋"/>
          <w:lang w:eastAsia="zh-CN"/>
        </w:rPr>
      </w:pPr>
      <w:r>
        <w:rPr>
          <w:rFonts w:hint="eastAsia" w:ascii="仿宋" w:hAnsi="仿宋" w:eastAsia="仿宋" w:cs="仿宋"/>
          <w:lang w:eastAsia="zh-CN"/>
        </w:rPr>
        <w:t>专项批准事项的签认人选</w:t>
      </w:r>
      <w:r>
        <w:rPr>
          <w:rFonts w:hint="eastAsia" w:ascii="仿宋" w:hAnsi="仿宋" w:eastAsia="仿宋"/>
          <w:lang w:eastAsia="zh-CN"/>
        </w:rPr>
        <w:t>：</w:t>
      </w:r>
    </w:p>
    <w:p w14:paraId="04E329D6">
      <w:pPr>
        <w:spacing w:line="360" w:lineRule="auto"/>
        <w:ind w:firstLine="480" w:firstLineChars="200"/>
        <w:rPr>
          <w:rFonts w:ascii="仿宋" w:hAnsi="仿宋" w:eastAsia="仿宋"/>
          <w:lang w:eastAsia="zh-CN"/>
        </w:rPr>
      </w:pPr>
      <w:r>
        <w:rPr>
          <w:rFonts w:hint="eastAsia" w:ascii="仿宋" w:hAnsi="仿宋" w:eastAsia="仿宋" w:cs="仿宋"/>
          <w:lang w:eastAsia="zh-CN"/>
        </w:rPr>
        <w:t>①设计顾问人代表：</w:t>
      </w:r>
    </w:p>
    <w:p w14:paraId="2E660A5B">
      <w:pPr>
        <w:snapToGrid w:val="0"/>
        <w:spacing w:line="360" w:lineRule="auto"/>
        <w:ind w:firstLine="480" w:firstLineChars="200"/>
        <w:rPr>
          <w:rFonts w:ascii="仿宋" w:hAnsi="仿宋" w:eastAsia="仿宋"/>
          <w:lang w:eastAsia="zh-CN"/>
        </w:rPr>
      </w:pPr>
      <w:r>
        <w:rPr>
          <w:rFonts w:hint="eastAsia" w:ascii="仿宋" w:hAnsi="仿宋" w:eastAsia="仿宋" w:cs="仿宋"/>
          <w:lang w:eastAsia="zh-CN"/>
        </w:rPr>
        <w:t>姓名：</w:t>
      </w:r>
      <w:r>
        <w:rPr>
          <w:rFonts w:hint="eastAsia" w:ascii="仿宋" w:hAnsi="仿宋" w:eastAsia="仿宋" w:cs="仿宋"/>
          <w:u w:val="single"/>
          <w:lang w:eastAsia="zh-CN"/>
        </w:rPr>
        <w:t xml:space="preserve">        /        </w:t>
      </w:r>
      <w:r>
        <w:rPr>
          <w:rFonts w:hint="eastAsia" w:ascii="仿宋" w:hAnsi="仿宋" w:eastAsia="仿宋" w:cs="仿宋"/>
          <w:lang w:eastAsia="zh-CN"/>
        </w:rPr>
        <w:t xml:space="preserve">  印章样式：                签字样式：</w:t>
      </w:r>
      <w:r>
        <w:rPr>
          <w:rFonts w:hint="eastAsia" w:ascii="仿宋" w:hAnsi="仿宋" w:eastAsia="仿宋" w:cs="仿宋"/>
          <w:u w:val="single"/>
          <w:lang w:eastAsia="zh-CN"/>
        </w:rPr>
        <w:t xml:space="preserve">                </w:t>
      </w:r>
    </w:p>
    <w:p w14:paraId="705F8895">
      <w:pPr>
        <w:spacing w:line="360" w:lineRule="auto"/>
        <w:ind w:firstLine="480" w:firstLineChars="200"/>
        <w:rPr>
          <w:rFonts w:ascii="仿宋" w:hAnsi="仿宋" w:eastAsia="仿宋"/>
          <w:lang w:eastAsia="zh-CN"/>
        </w:rPr>
      </w:pPr>
      <w:r>
        <w:rPr>
          <w:rFonts w:hint="eastAsia" w:ascii="仿宋" w:hAnsi="仿宋" w:eastAsia="仿宋" w:cs="仿宋"/>
          <w:lang w:eastAsia="zh-CN"/>
        </w:rPr>
        <w:t>②监理人代表：</w:t>
      </w:r>
    </w:p>
    <w:p w14:paraId="0D75A991">
      <w:pPr>
        <w:snapToGrid w:val="0"/>
        <w:spacing w:line="360" w:lineRule="auto"/>
        <w:ind w:firstLine="480" w:firstLineChars="200"/>
        <w:rPr>
          <w:rFonts w:ascii="仿宋" w:hAnsi="仿宋" w:eastAsia="仿宋"/>
          <w:lang w:eastAsia="zh-CN"/>
        </w:rPr>
      </w:pPr>
      <w:r>
        <w:rPr>
          <w:rFonts w:hint="eastAsia" w:ascii="仿宋" w:hAnsi="仿宋" w:eastAsia="仿宋" w:cs="仿宋"/>
          <w:lang w:eastAsia="zh-CN"/>
        </w:rPr>
        <w:t>姓名：</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印章样式：                签字样式：</w:t>
      </w:r>
      <w:r>
        <w:rPr>
          <w:rFonts w:hint="eastAsia" w:ascii="仿宋" w:hAnsi="仿宋" w:eastAsia="仿宋" w:cs="仿宋"/>
          <w:u w:val="single"/>
          <w:lang w:eastAsia="zh-CN"/>
        </w:rPr>
        <w:t xml:space="preserve">                </w:t>
      </w:r>
    </w:p>
    <w:p w14:paraId="2DB11B31">
      <w:pPr>
        <w:spacing w:line="360" w:lineRule="auto"/>
        <w:ind w:firstLine="480" w:firstLineChars="200"/>
        <w:rPr>
          <w:rFonts w:ascii="仿宋" w:hAnsi="仿宋" w:eastAsia="仿宋"/>
          <w:lang w:eastAsia="zh-CN"/>
        </w:rPr>
      </w:pPr>
      <w:r>
        <w:rPr>
          <w:rFonts w:hint="eastAsia" w:ascii="仿宋" w:hAnsi="仿宋" w:eastAsia="仿宋" w:cs="仿宋"/>
          <w:lang w:eastAsia="zh-CN"/>
        </w:rPr>
        <w:t>③造价咨询人代表：</w:t>
      </w:r>
    </w:p>
    <w:p w14:paraId="602158FA">
      <w:pPr>
        <w:snapToGrid w:val="0"/>
        <w:spacing w:line="360" w:lineRule="auto"/>
        <w:ind w:firstLine="480" w:firstLineChars="200"/>
        <w:rPr>
          <w:rFonts w:ascii="仿宋" w:hAnsi="仿宋" w:eastAsia="仿宋"/>
          <w:lang w:eastAsia="zh-CN"/>
        </w:rPr>
      </w:pPr>
      <w:r>
        <w:rPr>
          <w:rFonts w:hint="eastAsia" w:ascii="仿宋" w:hAnsi="仿宋" w:eastAsia="仿宋" w:cs="仿宋"/>
          <w:lang w:eastAsia="zh-CN"/>
        </w:rPr>
        <w:t>姓名：</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印章样式：                签字样式：</w:t>
      </w:r>
      <w:r>
        <w:rPr>
          <w:rFonts w:hint="eastAsia" w:ascii="仿宋" w:hAnsi="仿宋" w:eastAsia="仿宋" w:cs="仿宋"/>
          <w:u w:val="single"/>
          <w:lang w:eastAsia="zh-CN"/>
        </w:rPr>
        <w:t xml:space="preserve">                </w:t>
      </w:r>
    </w:p>
    <w:p w14:paraId="132610CB">
      <w:pPr>
        <w:spacing w:line="360" w:lineRule="auto"/>
        <w:ind w:firstLine="480" w:firstLineChars="200"/>
        <w:rPr>
          <w:rFonts w:ascii="仿宋" w:hAnsi="仿宋" w:eastAsia="仿宋"/>
          <w:lang w:eastAsia="zh-CN"/>
        </w:rPr>
      </w:pPr>
      <w:r>
        <w:rPr>
          <w:rFonts w:hint="eastAsia" w:ascii="仿宋" w:hAnsi="仿宋" w:eastAsia="仿宋" w:cs="仿宋"/>
          <w:lang w:eastAsia="zh-CN"/>
        </w:rPr>
        <w:t>④承包人代表：</w:t>
      </w:r>
    </w:p>
    <w:p w14:paraId="4338D94B">
      <w:pPr>
        <w:snapToGrid w:val="0"/>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姓名：</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印章样式：                签字样式：</w:t>
      </w:r>
      <w:r>
        <w:rPr>
          <w:rFonts w:hint="eastAsia" w:ascii="仿宋" w:hAnsi="仿宋" w:eastAsia="仿宋" w:cs="仿宋"/>
          <w:u w:val="single"/>
          <w:lang w:eastAsia="zh-CN"/>
        </w:rPr>
        <w:t xml:space="preserve">                </w:t>
      </w:r>
    </w:p>
    <w:p w14:paraId="5900B764">
      <w:pPr>
        <w:snapToGrid w:val="0"/>
        <w:spacing w:line="360" w:lineRule="auto"/>
        <w:ind w:firstLine="480" w:firstLineChars="200"/>
        <w:rPr>
          <w:rFonts w:ascii="仿宋" w:hAnsi="仿宋" w:eastAsia="仿宋" w:cs="仿宋"/>
          <w:lang w:eastAsia="zh-CN"/>
        </w:rPr>
      </w:pPr>
    </w:p>
    <w:p w14:paraId="40C0E579">
      <w:pPr>
        <w:pStyle w:val="3"/>
        <w:tabs>
          <w:tab w:val="left" w:pos="420"/>
        </w:tabs>
        <w:spacing w:before="0" w:after="0" w:line="360" w:lineRule="auto"/>
        <w:rPr>
          <w:rFonts w:ascii="仿宋" w:hAnsi="仿宋" w:eastAsia="仿宋" w:cs="仿宋"/>
          <w:b w:val="0"/>
          <w:bCs w:val="0"/>
          <w:i w:val="0"/>
          <w:iCs w:val="0"/>
          <w:sz w:val="24"/>
          <w:szCs w:val="24"/>
          <w:lang w:eastAsia="zh-CN"/>
        </w:rPr>
      </w:pPr>
      <w:bookmarkStart w:id="855" w:name="_Toc194073230"/>
      <w:bookmarkStart w:id="856" w:name="_Toc6326"/>
      <w:bookmarkStart w:id="857" w:name="_Toc24598"/>
      <w:r>
        <w:rPr>
          <w:rFonts w:hint="eastAsia" w:ascii="仿宋" w:hAnsi="仿宋" w:eastAsia="仿宋" w:cs="仿宋"/>
          <w:b w:val="0"/>
          <w:bCs w:val="0"/>
          <w:i w:val="0"/>
          <w:sz w:val="24"/>
          <w:szCs w:val="24"/>
          <w:lang w:eastAsia="zh-CN"/>
        </w:rPr>
        <w:t xml:space="preserve">18. </w:t>
      </w:r>
      <w:r>
        <w:rPr>
          <w:rFonts w:hint="eastAsia" w:ascii="仿宋" w:hAnsi="仿宋" w:eastAsia="仿宋" w:cs="仿宋"/>
          <w:b w:val="0"/>
          <w:bCs w:val="0"/>
          <w:i w:val="0"/>
          <w:iCs w:val="0"/>
          <w:sz w:val="24"/>
          <w:szCs w:val="24"/>
          <w:lang w:eastAsia="zh-CN"/>
        </w:rPr>
        <w:t xml:space="preserve"> 专利技术和知识产权</w:t>
      </w:r>
      <w:bookmarkEnd w:id="855"/>
      <w:bookmarkEnd w:id="856"/>
      <w:bookmarkEnd w:id="857"/>
    </w:p>
    <w:p w14:paraId="04132FB5">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增加以下条款:</w:t>
      </w:r>
    </w:p>
    <w:p w14:paraId="4B5C1730">
      <w:pPr>
        <w:spacing w:line="360" w:lineRule="auto"/>
        <w:ind w:firstLine="480" w:firstLineChars="200"/>
        <w:rPr>
          <w:rFonts w:ascii="仿宋" w:hAnsi="仿宋" w:eastAsia="仿宋" w:cs="仿宋"/>
          <w:lang w:eastAsia="zh-CN"/>
        </w:rPr>
      </w:pPr>
      <w:bookmarkStart w:id="858" w:name="_Toc30832"/>
      <w:r>
        <w:rPr>
          <w:rFonts w:hint="eastAsia" w:ascii="仿宋" w:hAnsi="仿宋" w:eastAsia="仿宋" w:cs="仿宋"/>
          <w:lang w:eastAsia="zh-CN"/>
        </w:rPr>
        <w:t>承包人在实施、完成并保修合同工程过程中所采用的施工工艺、施工机具和自身供应的材料设备等，如因其商标、图案、工艺、材料的使用等发生侵犯知识产权的行为，并引起索赔或诉讼的，则一切与此有关的损害、赔偿、诉讼费和其他开支，均由承包人承担。但因遵守发包人提供的设计图纸、标准与规范而造成的侵权，则属例外，但承包人应及时书面通知发包人，否则仍应承担由此导致扩大的损失。</w:t>
      </w:r>
      <w:bookmarkEnd w:id="858"/>
    </w:p>
    <w:p w14:paraId="769ECEDE">
      <w:pPr>
        <w:spacing w:line="360" w:lineRule="auto"/>
        <w:ind w:firstLine="480" w:firstLineChars="200"/>
        <w:rPr>
          <w:rFonts w:ascii="仿宋" w:hAnsi="仿宋" w:eastAsia="仿宋" w:cs="仿宋"/>
          <w:lang w:eastAsia="zh-CN"/>
        </w:rPr>
      </w:pPr>
      <w:bookmarkStart w:id="859" w:name="_Toc17410"/>
      <w:r>
        <w:rPr>
          <w:rFonts w:hint="eastAsia" w:ascii="仿宋" w:hAnsi="仿宋" w:eastAsia="仿宋" w:cs="仿宋"/>
          <w:lang w:eastAsia="zh-CN"/>
        </w:rPr>
        <w:t>承包人在投标文件中采用的专利、专有技术、技术秘密的使用费的承担方式：承包人在施工中使用专利技术和特殊工艺，应报发包人批准，所发生的费用由承包人承担。承包人为履行本合同而使用或交付发包人的任何含有知识产权的物品、程序或资料，所有与该知识产权相关的费用(含但不限于使用费)视为已包含在承包人中标下浮率中，如需向第三方支付，均由承包人负责支付。承包人侵犯或涉嫌侵犯任何物品、程序或资料的知识产权，及由此导致发包人持有或使用该类物品、程序或资料构成侵犯或涉嫌侵犯他人的知识产权，因此发生经济纠纷或法律纠纷，一切责任及后果由承包人负责和承担，承包人须全额赔偿给发包人造成的所有损失。</w:t>
      </w:r>
      <w:bookmarkEnd w:id="859"/>
    </w:p>
    <w:p w14:paraId="751A04F3">
      <w:pPr>
        <w:spacing w:line="360" w:lineRule="auto"/>
        <w:ind w:firstLine="480" w:firstLineChars="200"/>
        <w:rPr>
          <w:rFonts w:ascii="仿宋" w:hAnsi="仿宋" w:eastAsia="仿宋" w:cs="仿宋"/>
          <w:lang w:eastAsia="zh-CN"/>
        </w:rPr>
      </w:pPr>
      <w:bookmarkStart w:id="860" w:name="_Toc26173"/>
      <w:r>
        <w:rPr>
          <w:rFonts w:hint="eastAsia" w:ascii="仿宋" w:hAnsi="仿宋" w:eastAsia="仿宋" w:cs="仿宋"/>
          <w:lang w:eastAsia="zh-CN"/>
        </w:rPr>
        <w:t>发包人要求使用专利技术或特殊工艺，应负责办理相应的申报手续，承担申报、试验、使用等费用；承包人提出使用专利技术或特殊工艺，应取得发包人代表及监理人代表认可，承包人负责办理申报手续并承担有关费用；承包人提出使用专利技术或特殊工艺，应取得发包人代表及监理人代表认可，承包人负责办理申报手续并承担有关费用。</w:t>
      </w:r>
      <w:bookmarkEnd w:id="860"/>
    </w:p>
    <w:p w14:paraId="51C185B6">
      <w:pPr>
        <w:spacing w:line="360" w:lineRule="auto"/>
        <w:ind w:firstLine="480" w:firstLineChars="200"/>
        <w:rPr>
          <w:rFonts w:ascii="仿宋" w:hAnsi="仿宋" w:eastAsia="仿宋" w:cs="仿宋"/>
          <w:lang w:eastAsia="zh-CN"/>
        </w:rPr>
      </w:pPr>
      <w:bookmarkStart w:id="861" w:name="_Toc11818"/>
      <w:r>
        <w:rPr>
          <w:rFonts w:hint="eastAsia" w:ascii="仿宋" w:hAnsi="仿宋" w:eastAsia="仿宋" w:cs="仿宋"/>
          <w:lang w:eastAsia="zh-CN"/>
        </w:rPr>
        <w:t>发包人要求使用专利技术或特殊工艺，应负责办理相应的申报手续，承担申报、试验、使用等费用；承包人提出使用专利技术或特殊工艺，应取得发包人代表及监理人代表认可，承包人负责办理申报手续并承担有关费用。</w:t>
      </w:r>
      <w:bookmarkEnd w:id="861"/>
    </w:p>
    <w:p w14:paraId="5DF8EDD0">
      <w:pPr>
        <w:spacing w:line="360" w:lineRule="auto"/>
        <w:ind w:firstLine="480" w:firstLineChars="200"/>
        <w:rPr>
          <w:rFonts w:ascii="仿宋" w:hAnsi="仿宋" w:eastAsia="仿宋" w:cs="仿宋"/>
          <w:lang w:eastAsia="zh-CN"/>
        </w:rPr>
      </w:pPr>
      <w:bookmarkStart w:id="862" w:name="_Toc21047"/>
      <w:r>
        <w:rPr>
          <w:rFonts w:hint="eastAsia" w:ascii="仿宋" w:hAnsi="仿宋" w:eastAsia="仿宋" w:cs="仿宋"/>
          <w:lang w:eastAsia="zh-CN"/>
        </w:rPr>
        <w:t>关于发包人提供给承包人的图纸、发包人为实施工程自行编制或委托编制的技术规格以及反映发包人关于合同要求或其他类似性质的文件的著作权的归属：发包人。</w:t>
      </w:r>
      <w:bookmarkEnd w:id="862"/>
    </w:p>
    <w:p w14:paraId="7EB1CD54">
      <w:pPr>
        <w:spacing w:line="360" w:lineRule="auto"/>
        <w:ind w:firstLine="480" w:firstLineChars="200"/>
        <w:rPr>
          <w:rFonts w:ascii="仿宋" w:hAnsi="仿宋" w:eastAsia="仿宋" w:cs="仿宋"/>
          <w:lang w:eastAsia="zh-CN"/>
        </w:rPr>
      </w:pPr>
      <w:bookmarkStart w:id="863" w:name="_Toc7041"/>
      <w:r>
        <w:rPr>
          <w:rFonts w:hint="eastAsia" w:ascii="仿宋" w:hAnsi="仿宋" w:eastAsia="仿宋" w:cs="仿宋"/>
          <w:lang w:eastAsia="zh-CN"/>
        </w:rPr>
        <w:t>关于发包人提供的上述文件的使用限制的要求：与本合同期限一致。</w:t>
      </w:r>
      <w:bookmarkEnd w:id="863"/>
    </w:p>
    <w:p w14:paraId="28824227">
      <w:pPr>
        <w:spacing w:line="360" w:lineRule="auto"/>
        <w:ind w:firstLine="480" w:firstLineChars="200"/>
        <w:rPr>
          <w:rFonts w:ascii="仿宋" w:hAnsi="仿宋" w:eastAsia="仿宋" w:cs="仿宋"/>
          <w:lang w:eastAsia="zh-CN"/>
        </w:rPr>
      </w:pPr>
      <w:bookmarkStart w:id="864" w:name="_Toc25733"/>
      <w:r>
        <w:rPr>
          <w:rFonts w:hint="eastAsia" w:ascii="仿宋" w:hAnsi="仿宋" w:eastAsia="仿宋" w:cs="仿宋"/>
          <w:lang w:eastAsia="zh-CN"/>
        </w:rPr>
        <w:t>关于承包人为实施工程所编制文件的著作权的归属：发包人。</w:t>
      </w:r>
      <w:bookmarkEnd w:id="864"/>
    </w:p>
    <w:p w14:paraId="3C753A97">
      <w:pPr>
        <w:spacing w:line="360" w:lineRule="auto"/>
        <w:ind w:firstLine="480" w:firstLineChars="200"/>
        <w:rPr>
          <w:rFonts w:ascii="仿宋" w:hAnsi="仿宋" w:eastAsia="仿宋" w:cs="仿宋"/>
          <w:lang w:eastAsia="zh-CN"/>
        </w:rPr>
      </w:pPr>
      <w:bookmarkStart w:id="865" w:name="_Toc2884"/>
      <w:r>
        <w:rPr>
          <w:rFonts w:hint="eastAsia" w:ascii="仿宋" w:hAnsi="仿宋" w:eastAsia="仿宋" w:cs="仿宋"/>
          <w:lang w:eastAsia="zh-CN"/>
        </w:rPr>
        <w:t>关于承包人提供的上述文件的使用限制的要求：长期有效。</w:t>
      </w:r>
      <w:bookmarkEnd w:id="865"/>
    </w:p>
    <w:p w14:paraId="29E5FFA0">
      <w:pPr>
        <w:spacing w:line="360" w:lineRule="auto"/>
        <w:ind w:firstLine="480" w:firstLineChars="200"/>
        <w:rPr>
          <w:rFonts w:ascii="仿宋" w:hAnsi="仿宋" w:eastAsia="仿宋" w:cs="仿宋"/>
          <w:lang w:eastAsia="zh-CN"/>
        </w:rPr>
      </w:pPr>
      <w:bookmarkStart w:id="866" w:name="_Toc83"/>
      <w:r>
        <w:rPr>
          <w:rFonts w:hint="eastAsia" w:ascii="仿宋" w:hAnsi="仿宋" w:eastAsia="仿宋" w:cs="仿宋"/>
          <w:lang w:eastAsia="zh-CN"/>
        </w:rPr>
        <w:t>承包人在设计过程中所采用的专利、专有技术的使用费的承担方式：承包人自行解决。</w:t>
      </w:r>
      <w:bookmarkEnd w:id="866"/>
    </w:p>
    <w:p w14:paraId="0D7C2F9B">
      <w:pPr>
        <w:spacing w:line="360" w:lineRule="auto"/>
        <w:ind w:firstLine="480" w:firstLineChars="200"/>
        <w:rPr>
          <w:rFonts w:ascii="仿宋" w:hAnsi="仿宋" w:eastAsia="仿宋" w:cs="仿宋"/>
          <w:lang w:eastAsia="zh-CN"/>
        </w:rPr>
      </w:pPr>
    </w:p>
    <w:p w14:paraId="1E227437">
      <w:pPr>
        <w:pStyle w:val="3"/>
        <w:tabs>
          <w:tab w:val="left" w:pos="420"/>
        </w:tabs>
        <w:spacing w:before="0" w:after="0" w:line="360" w:lineRule="auto"/>
        <w:rPr>
          <w:rFonts w:ascii="仿宋" w:hAnsi="仿宋" w:eastAsia="仿宋"/>
          <w:i w:val="0"/>
          <w:sz w:val="24"/>
          <w:szCs w:val="24"/>
          <w:lang w:eastAsia="zh-CN"/>
        </w:rPr>
      </w:pPr>
      <w:bookmarkStart w:id="867" w:name="_Toc3748"/>
      <w:bookmarkStart w:id="868" w:name="_Toc194073231"/>
      <w:bookmarkStart w:id="869" w:name="_Toc6756"/>
      <w:r>
        <w:rPr>
          <w:rFonts w:hint="eastAsia" w:ascii="仿宋" w:hAnsi="仿宋" w:eastAsia="仿宋" w:cs="仿宋"/>
          <w:b w:val="0"/>
          <w:bCs w:val="0"/>
          <w:i w:val="0"/>
          <w:sz w:val="24"/>
          <w:szCs w:val="24"/>
          <w:lang w:eastAsia="zh-CN"/>
        </w:rPr>
        <w:t>19.  联合体的责任</w:t>
      </w:r>
      <w:bookmarkEnd w:id="867"/>
      <w:bookmarkEnd w:id="868"/>
      <w:bookmarkEnd w:id="869"/>
    </w:p>
    <w:p w14:paraId="1036C2F4">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19.1联合体的组成及责任</w:t>
      </w:r>
    </w:p>
    <w:p w14:paraId="6FC27921">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19.1.2联合牵头人的管理责任</w:t>
      </w:r>
    </w:p>
    <w:p w14:paraId="4EF47C89">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□设计单位为联合体牵头人时的管理责任：</w:t>
      </w:r>
      <w:r>
        <w:rPr>
          <w:rFonts w:hint="eastAsia" w:ascii="仿宋" w:hAnsi="仿宋" w:eastAsia="仿宋" w:cs="仿宋"/>
          <w:u w:val="single"/>
          <w:lang w:eastAsia="zh-CN"/>
        </w:rPr>
        <w:t xml:space="preserve">               /                  </w:t>
      </w:r>
    </w:p>
    <w:p w14:paraId="29DDC820">
      <w:pPr>
        <w:snapToGrid w:val="0"/>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☑施工单位为联合体牵头人时的管理责任：</w:t>
      </w:r>
      <w:r>
        <w:rPr>
          <w:rFonts w:hint="eastAsia" w:ascii="仿宋" w:hAnsi="仿宋" w:eastAsia="仿宋" w:cs="仿宋"/>
          <w:u w:val="single"/>
          <w:lang w:eastAsia="zh-CN"/>
        </w:rPr>
        <w:t xml:space="preserve">按照《联合体承包协议书》约定执行               </w:t>
      </w:r>
    </w:p>
    <w:p w14:paraId="458D701F">
      <w:pPr>
        <w:snapToGrid w:val="0"/>
        <w:spacing w:line="360" w:lineRule="auto"/>
        <w:ind w:firstLine="480" w:firstLineChars="200"/>
        <w:rPr>
          <w:rFonts w:ascii="仿宋" w:hAnsi="仿宋" w:eastAsia="仿宋" w:cs="仿宋"/>
          <w:lang w:eastAsia="zh-CN"/>
        </w:rPr>
      </w:pPr>
      <w:r>
        <w:rPr>
          <w:rFonts w:hint="eastAsia" w:ascii="仿宋" w:hAnsi="仿宋" w:eastAsia="仿宋" w:cs="仿宋"/>
          <w:lang w:eastAsia="zh-CN"/>
        </w:rPr>
        <w:t>19.3 联合体的内部管理</w:t>
      </w:r>
    </w:p>
    <w:p w14:paraId="2BED50BB">
      <w:pPr>
        <w:snapToGrid w:val="0"/>
        <w:spacing w:line="360" w:lineRule="auto"/>
        <w:ind w:firstLine="480" w:firstLineChars="200"/>
        <w:rPr>
          <w:rFonts w:ascii="仿宋" w:hAnsi="仿宋" w:eastAsia="仿宋" w:cs="仿宋"/>
          <w:lang w:eastAsia="zh-CN"/>
        </w:rPr>
      </w:pPr>
      <w:r>
        <w:rPr>
          <w:rFonts w:hint="eastAsia" w:ascii="仿宋" w:hAnsi="仿宋" w:eastAsia="仿宋" w:cs="仿宋"/>
          <w:lang w:eastAsia="zh-CN"/>
        </w:rPr>
        <w:t>19.3.6 联合体牵头人因反对成员单位提出的优化建议而不报送发包人审核，发包人有权对牵头人进行经济处罚，其处罚方式的约定：</w:t>
      </w:r>
      <w:r>
        <w:rPr>
          <w:rFonts w:hint="eastAsia" w:ascii="仿宋" w:hAnsi="仿宋" w:eastAsia="仿宋" w:cs="仿宋"/>
          <w:u w:val="single"/>
          <w:lang w:eastAsia="zh-CN"/>
        </w:rPr>
        <w:t xml:space="preserve">  处罚金额为人民币1万元/次。  </w:t>
      </w:r>
    </w:p>
    <w:p w14:paraId="5A64F99E">
      <w:pPr>
        <w:spacing w:line="360" w:lineRule="auto"/>
        <w:ind w:firstLine="480" w:firstLineChars="200"/>
        <w:rPr>
          <w:rFonts w:ascii="仿宋" w:hAnsi="仿宋" w:eastAsia="仿宋" w:cs="仿宋"/>
          <w:lang w:eastAsia="zh-CN"/>
        </w:rPr>
      </w:pPr>
    </w:p>
    <w:p w14:paraId="486C4CC4">
      <w:pPr>
        <w:pStyle w:val="3"/>
        <w:tabs>
          <w:tab w:val="left" w:pos="420"/>
        </w:tabs>
        <w:spacing w:before="0" w:after="0" w:line="360" w:lineRule="auto"/>
        <w:rPr>
          <w:rFonts w:ascii="仿宋" w:hAnsi="仿宋" w:eastAsia="仿宋"/>
          <w:i w:val="0"/>
          <w:sz w:val="24"/>
          <w:szCs w:val="24"/>
          <w:lang w:eastAsia="zh-CN"/>
        </w:rPr>
      </w:pPr>
      <w:bookmarkStart w:id="870" w:name="_Toc30173"/>
      <w:bookmarkStart w:id="871" w:name="_Toc194073232"/>
      <w:bookmarkStart w:id="872" w:name="_Toc3501"/>
      <w:r>
        <w:rPr>
          <w:rFonts w:hint="eastAsia" w:ascii="仿宋" w:hAnsi="仿宋" w:eastAsia="仿宋" w:cs="仿宋"/>
          <w:b w:val="0"/>
          <w:bCs w:val="0"/>
          <w:i w:val="0"/>
          <w:sz w:val="24"/>
          <w:szCs w:val="24"/>
          <w:lang w:eastAsia="zh-CN"/>
        </w:rPr>
        <w:t>22.  发包人</w:t>
      </w:r>
      <w:bookmarkEnd w:id="870"/>
      <w:bookmarkEnd w:id="871"/>
      <w:bookmarkEnd w:id="872"/>
    </w:p>
    <w:p w14:paraId="057CA9DB">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22.2 发包人工作</w:t>
      </w:r>
    </w:p>
    <w:p w14:paraId="2238BD26">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发包人完成下列工作的约定：</w:t>
      </w:r>
    </w:p>
    <w:p w14:paraId="01C39ADE">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发包人不提供临时排污接驳点，该工作由承包人负责，承包人须自行办理施工临时排水许可及施工临时排污许可证。</w:t>
      </w:r>
    </w:p>
    <w:p w14:paraId="4EA26C2C">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承包人须负责将水、电接至场内以满足正常施工要求，发包人不另行承担费用；其他以施工场地已具备的现状为准，若施工场地不满足正常施工要求，由承包人自行承担相关费用。包括但不限于市政管网供水压力、电线路负荷等不能满足承包人施工所需，相关费用含在承包人中标下浮率中，发包人不另行计列。</w:t>
      </w:r>
    </w:p>
    <w:p w14:paraId="37BD8315">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发包人承担本项目施工部分中政府文件明确需由发包人承担的费用。</w:t>
      </w:r>
    </w:p>
    <w:p w14:paraId="1F220030">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发包人承担由发包人委托的第三方服务单位的服务费用。</w:t>
      </w:r>
    </w:p>
    <w:p w14:paraId="249E28B0">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发包人须严格要求其平行发包的专业工程承包单位服从承包人的总包管理，因专业承包单位未服从承包人的总包管理导致承包人可能难以履行合同中约定的条款时，由此产生的责任由专业工程承包单位承担，总包单位负连带责任。</w:t>
      </w:r>
    </w:p>
    <w:p w14:paraId="0A723347">
      <w:pPr>
        <w:spacing w:line="360" w:lineRule="auto"/>
        <w:ind w:firstLine="480" w:firstLineChars="200"/>
        <w:rPr>
          <w:rFonts w:ascii="仿宋" w:hAnsi="仿宋" w:eastAsia="仿宋" w:cs="仿宋"/>
          <w:u w:val="single"/>
          <w:lang w:eastAsia="zh-CN"/>
        </w:rPr>
      </w:pPr>
      <w:r>
        <w:rPr>
          <w:rFonts w:ascii="仿宋" w:hAnsi="仿宋" w:eastAsia="仿宋" w:cs="仿宋"/>
          <w:u w:val="single"/>
          <w:lang w:eastAsia="zh-CN"/>
        </w:rPr>
        <w:t>在项目实施过程中因客观原因导致发包人或承包人可能难以履行合同中约定的条款时，双方可根据实际情况考虑是否与对方重新协商该条款</w:t>
      </w:r>
      <w:r>
        <w:rPr>
          <w:rFonts w:hint="eastAsia" w:ascii="仿宋" w:hAnsi="仿宋" w:eastAsia="仿宋" w:cs="仿宋"/>
          <w:u w:val="single"/>
          <w:lang w:eastAsia="zh-CN"/>
        </w:rPr>
        <w:t>，并签订补充协议。</w:t>
      </w:r>
    </w:p>
    <w:p w14:paraId="66D3CE00">
      <w:pPr>
        <w:spacing w:line="400" w:lineRule="exact"/>
        <w:ind w:firstLine="480" w:firstLineChars="200"/>
        <w:rPr>
          <w:rFonts w:ascii="仿宋" w:hAnsi="仿宋" w:eastAsia="仿宋" w:cs="仿宋"/>
          <w:lang w:eastAsia="zh-CN"/>
        </w:rPr>
      </w:pPr>
      <w:bookmarkStart w:id="873" w:name="_Toc15645"/>
      <w:r>
        <w:rPr>
          <w:rFonts w:hint="eastAsia" w:ascii="仿宋" w:hAnsi="仿宋" w:eastAsia="仿宋" w:cs="仿宋"/>
          <w:lang w:eastAsia="zh-CN"/>
        </w:rPr>
        <w:t>22.3 发包人提供施工场地</w:t>
      </w:r>
      <w:bookmarkEnd w:id="873"/>
    </w:p>
    <w:p w14:paraId="4E58E390">
      <w:pPr>
        <w:spacing w:line="400" w:lineRule="exact"/>
        <w:ind w:firstLine="480" w:firstLineChars="200"/>
        <w:rPr>
          <w:rFonts w:ascii="仿宋" w:hAnsi="仿宋" w:eastAsia="仿宋" w:cs="仿宋"/>
          <w:u w:val="single"/>
          <w:lang w:eastAsia="zh-CN"/>
        </w:rPr>
      </w:pPr>
      <w:r>
        <w:rPr>
          <w:rFonts w:hint="eastAsia" w:ascii="仿宋" w:hAnsi="仿宋" w:eastAsia="仿宋" w:cs="仿宋"/>
          <w:lang w:eastAsia="zh-CN"/>
        </w:rPr>
        <w:t>提供施工场地的时间：</w:t>
      </w:r>
      <w:r>
        <w:rPr>
          <w:rFonts w:hint="eastAsia" w:ascii="仿宋" w:hAnsi="仿宋" w:eastAsia="仿宋" w:cs="仿宋"/>
          <w:u w:val="single"/>
          <w:lang w:eastAsia="zh-CN"/>
        </w:rPr>
        <w:t>发包人应最迟于实际开工日期前一天向承包人移交施工场地。发包人需在确保承包人按照计划进度顺利开工的时间内给予承包人进入和使用施工场地的权利。</w:t>
      </w:r>
    </w:p>
    <w:p w14:paraId="425BF78E">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发包人保留其工作人员、雇员和相关执法人员进入和使用施工场地的权利。发包人有权按照项目的实际进度和计划分批移交工作面，承包人应考虑到场地不能一次性移交而产生的相关费用及对工期的影响，相关费用含在承包人中标下浮率中，发包人不另行计列。</w:t>
      </w:r>
    </w:p>
    <w:p w14:paraId="31B2A3E4">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22.4.批准不免除责任</w:t>
      </w:r>
    </w:p>
    <w:p w14:paraId="239E82D8">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22.4.1 在合同履行过程中，发包人或监理人代表对承包人所提交图纸、施工方案、进度计划、材料采购与进场计划、资金使用计划及其他文件等的任何批准与认可，不免除承包人依据合同与法律所应向发包人或第三人承担的任何义务和责任。</w:t>
      </w:r>
    </w:p>
    <w:p w14:paraId="72156C18">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22.4.2 除非发包人给予承包人顺延工期签证，否则，发包人或监理人代表无论以何种形式对承包人在履行合同上的时间宽限，或对承包人所提出的延期完工、竣工方案的认可等，不影响或限制发包人所享有的依据合同追究承包人延误工期或进度滞后违约责任的权利。</w:t>
      </w:r>
    </w:p>
    <w:p w14:paraId="05501CF3">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22.4.3 发包人或承包人一方对另一方违反合同所享有的索赔权利的放弃，不意味着对其将来违约所产生的索赔权利的放弃。</w:t>
      </w:r>
    </w:p>
    <w:p w14:paraId="38C03B97">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22.4.4 发包人或监理人代表对工程的批准、认可和验收不免除承包人对工程质量、施工安全等的责任承担。因承包人施工质量、施工安全或延期整改等问题导致第三方受到损失，全部责任由承包人承担。</w:t>
      </w:r>
    </w:p>
    <w:p w14:paraId="606FA346">
      <w:pPr>
        <w:spacing w:line="360" w:lineRule="auto"/>
        <w:ind w:firstLine="480" w:firstLineChars="200"/>
        <w:rPr>
          <w:rFonts w:ascii="仿宋" w:hAnsi="仿宋" w:eastAsia="仿宋" w:cs="仿宋"/>
          <w:u w:val="single"/>
          <w:lang w:eastAsia="zh-CN"/>
        </w:rPr>
      </w:pPr>
    </w:p>
    <w:p w14:paraId="0CD0FB36">
      <w:pPr>
        <w:pStyle w:val="3"/>
        <w:tabs>
          <w:tab w:val="left" w:pos="420"/>
        </w:tabs>
        <w:spacing w:before="0" w:after="0" w:line="360" w:lineRule="auto"/>
        <w:rPr>
          <w:rFonts w:ascii="仿宋" w:hAnsi="仿宋" w:eastAsia="仿宋"/>
          <w:i w:val="0"/>
          <w:sz w:val="24"/>
          <w:szCs w:val="24"/>
          <w:lang w:eastAsia="zh-CN"/>
        </w:rPr>
      </w:pPr>
      <w:bookmarkStart w:id="874" w:name="_Toc23316"/>
      <w:bookmarkStart w:id="875" w:name="_Toc194073233"/>
      <w:bookmarkStart w:id="876" w:name="_Toc27000"/>
      <w:bookmarkStart w:id="877" w:name="_Toc104"/>
      <w:r>
        <w:rPr>
          <w:rFonts w:hint="eastAsia" w:ascii="仿宋" w:hAnsi="仿宋" w:eastAsia="仿宋" w:cs="仿宋"/>
          <w:b w:val="0"/>
          <w:bCs w:val="0"/>
          <w:i w:val="0"/>
          <w:sz w:val="24"/>
          <w:szCs w:val="24"/>
          <w:lang w:eastAsia="zh-CN"/>
        </w:rPr>
        <w:t>23.  承包人</w:t>
      </w:r>
      <w:bookmarkEnd w:id="874"/>
      <w:bookmarkEnd w:id="875"/>
      <w:bookmarkEnd w:id="876"/>
      <w:bookmarkEnd w:id="877"/>
    </w:p>
    <w:p w14:paraId="7C27E118">
      <w:pPr>
        <w:spacing w:line="360" w:lineRule="auto"/>
        <w:ind w:firstLine="480" w:firstLineChars="200"/>
        <w:rPr>
          <w:rFonts w:ascii="仿宋" w:hAnsi="仿宋" w:eastAsia="仿宋"/>
          <w:b/>
          <w:bCs/>
          <w:lang w:eastAsia="zh-CN"/>
        </w:rPr>
      </w:pPr>
      <w:r>
        <w:rPr>
          <w:rFonts w:hint="eastAsia" w:ascii="仿宋" w:hAnsi="仿宋" w:eastAsia="仿宋" w:cs="仿宋"/>
          <w:lang w:eastAsia="zh-CN"/>
        </w:rPr>
        <w:t>23.1 遵守法律</w:t>
      </w:r>
    </w:p>
    <w:p w14:paraId="7A3F1EB7">
      <w:pPr>
        <w:spacing w:line="360" w:lineRule="auto"/>
        <w:ind w:firstLine="480" w:firstLineChars="200"/>
        <w:rPr>
          <w:rFonts w:ascii="仿宋" w:hAnsi="仿宋" w:eastAsia="仿宋"/>
          <w:b/>
          <w:bCs/>
          <w:lang w:eastAsia="zh-CN"/>
        </w:rPr>
      </w:pPr>
      <w:r>
        <w:rPr>
          <w:rFonts w:hint="eastAsia" w:ascii="仿宋" w:hAnsi="仿宋" w:eastAsia="仿宋" w:cs="仿宋"/>
          <w:lang w:eastAsia="zh-CN"/>
        </w:rPr>
        <w:t>承包人在本项目中存在通用条款23.1所列行为的，将被拒绝参与发包人后续工程投标。拒绝投标时限：</w:t>
      </w:r>
      <w:r>
        <w:rPr>
          <w:rFonts w:hint="eastAsia" w:ascii="仿宋" w:hAnsi="仿宋" w:eastAsia="仿宋" w:cs="仿宋"/>
          <w:u w:val="single"/>
          <w:lang w:eastAsia="zh-CN"/>
        </w:rPr>
        <w:t xml:space="preserve"> 不低于6个月   </w:t>
      </w:r>
      <w:r>
        <w:rPr>
          <w:rFonts w:hint="eastAsia" w:ascii="仿宋" w:hAnsi="仿宋" w:eastAsia="仿宋" w:cs="仿宋"/>
          <w:lang w:eastAsia="zh-CN"/>
        </w:rPr>
        <w:t xml:space="preserve"> 。</w:t>
      </w:r>
    </w:p>
    <w:p w14:paraId="1E5B870E">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23.2 承包人工作</w:t>
      </w:r>
    </w:p>
    <w:p w14:paraId="6B840D87">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承包人完成下列工作的约定：</w:t>
      </w:r>
    </w:p>
    <w:p w14:paraId="6CC8B872">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承包人在履行合同期间应遵守法律，并保证发包人免于承担因承包人违反法律而引起的任何责任。承包人未能正确完成本合同约定的全部义务，导致费用的增加和（或）延误的工期，由承包人承担；给发包人造成损失的，承包人应予赔偿。</w:t>
      </w:r>
    </w:p>
    <w:p w14:paraId="3A5425F1">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（1）除法律另有规定外，由承包人办理的许可、批准或备案并需要完成以下工作：</w:t>
      </w:r>
    </w:p>
    <w:p w14:paraId="5584CD43">
      <w:pPr>
        <w:adjustRightInd w:val="0"/>
        <w:snapToGrid w:val="0"/>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1）按项目实施计划规定的时间提供项目施工进度计划及施工组织设计，相关费用含在承包人中标下浮率中，发包人不另行计列；</w:t>
      </w:r>
    </w:p>
    <w:p w14:paraId="778FCC38">
      <w:pPr>
        <w:adjustRightInd w:val="0"/>
        <w:snapToGrid w:val="0"/>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2）按规定的时间及发包人要求提交施工技术方案予监理人代表，相关费用含在承包人中标下浮率中，发包人不另行计列；</w:t>
      </w:r>
    </w:p>
    <w:p w14:paraId="34DFEC12">
      <w:pPr>
        <w:adjustRightInd w:val="0"/>
        <w:snapToGrid w:val="0"/>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3）于中标通知书发出后在发包人限定时间内提供办理施工许可证所需由承包人负责的全部文件资料。并协助发包人取得施工许可证，相关费用含在承包人中标下浮率中，发包人不另行计列；</w:t>
      </w:r>
    </w:p>
    <w:p w14:paraId="466CE65D">
      <w:pPr>
        <w:adjustRightInd w:val="0"/>
        <w:snapToGrid w:val="0"/>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4）在整个施工期间承包人须按监理人代表要求的格式每周提交一式三份周报告，详细说明工程的进度、工期延误并提供工程进度照片；在进度节点施工期间或发包人有要求时，承包人须按监理人代表要求的格式每天提供一式三份日报告。周报告和日报告均须详细记录施工现场每日的工程进度、主要开展的工作项目、各项目雇用工人的数目、运到施工现场的材料数量、施工现场的机具和设备投入情况，以及天气状况等内容，相关费用含在承包人中标下浮率中，发包人不另行计列；</w:t>
      </w:r>
    </w:p>
    <w:p w14:paraId="6AFD0512">
      <w:pPr>
        <w:adjustRightInd w:val="0"/>
        <w:snapToGrid w:val="0"/>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5）按合同约定和造价工程师要求的格式提交工程价款报告和支付申请，包括安全文明施工费、进度款和调整合同价款等；</w:t>
      </w:r>
    </w:p>
    <w:p w14:paraId="324C7653">
      <w:pPr>
        <w:adjustRightInd w:val="0"/>
        <w:snapToGrid w:val="0"/>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6）负责施工场地安全保卫工作，防止因工程施工造成的人身伤害和财产损失，提供和维修施工照明、围栏设施及要约标志以满足现场实际需要，相关费用含</w:t>
      </w:r>
      <w:bookmarkStart w:id="878" w:name="_Hlk194570276"/>
      <w:r>
        <w:rPr>
          <w:rFonts w:hint="eastAsia" w:ascii="仿宋" w:hAnsi="仿宋" w:eastAsia="仿宋" w:cs="仿宋"/>
          <w:u w:val="single"/>
          <w:lang w:eastAsia="zh-CN"/>
        </w:rPr>
        <w:t>在安全防护、文明施工措施费/绿色施工安全防护措施费</w:t>
      </w:r>
      <w:bookmarkEnd w:id="878"/>
      <w:r>
        <w:rPr>
          <w:rFonts w:hint="eastAsia" w:ascii="仿宋" w:hAnsi="仿宋" w:eastAsia="仿宋" w:cs="仿宋"/>
          <w:u w:val="single"/>
          <w:lang w:eastAsia="zh-CN"/>
        </w:rPr>
        <w:t>中，发包人不另行计列；</w:t>
      </w:r>
    </w:p>
    <w:p w14:paraId="20F1EB75">
      <w:pPr>
        <w:adjustRightInd w:val="0"/>
        <w:snapToGrid w:val="0"/>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7）保证合同工程所有部位准确定位，并对工程的位置、标高、尺寸的任何偏差及时进行纠正，相关费用含在承包人中标下浮率中，发包人不另行计列；</w:t>
      </w:r>
    </w:p>
    <w:p w14:paraId="6F493A0C">
      <w:pPr>
        <w:adjustRightInd w:val="0"/>
        <w:snapToGrid w:val="0"/>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8）承包人应按合同约定或监理人代表的指令，为下述人员从事其他工作提供配合和协助，承包人因上述指令引起的一切费用，相关费用含在承包人中标下浮率中，发包人不另行计列：</w:t>
      </w:r>
    </w:p>
    <w:p w14:paraId="5BBF41A7">
      <w:pPr>
        <w:adjustRightInd w:val="0"/>
        <w:snapToGrid w:val="0"/>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A.发包人的工作人员；</w:t>
      </w:r>
    </w:p>
    <w:p w14:paraId="16C3D7A0">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B.发包人的雇员；</w:t>
      </w:r>
    </w:p>
    <w:p w14:paraId="0B3D4B24">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C.任何监督管理机构的执法人员。</w:t>
      </w:r>
    </w:p>
    <w:p w14:paraId="4B177289">
      <w:pPr>
        <w:adjustRightInd w:val="0"/>
        <w:snapToGrid w:val="0"/>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9)需满足发包人要求，向发包人、监理人及造价咨询人提供与承包人分开且独立的临时办公室和办公设备，相关费用含在承包人中标下浮率中，发包人不另行计列。</w:t>
      </w:r>
    </w:p>
    <w:p w14:paraId="3CF870FF">
      <w:pPr>
        <w:adjustRightInd w:val="0"/>
        <w:snapToGrid w:val="0"/>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10)遵守国家、当地省及市现行的法律、条例、规定和通知，并办理所需的申请和支付有关的法定费用和税项（包括但不限于增值税及其附加税、环境保护税或其他任何因履行合同需由承包商承担的相关税金）。包括但不限于施工场地交通、余泥排放、环境保护、安全防护、文明施工、施工噪音管理、夜间施工、排水许可等的申请及支付有关费用；相关费用含在承包人中标下浮率中，发包人不另行计列。</w:t>
      </w:r>
    </w:p>
    <w:p w14:paraId="2FAFB2B2">
      <w:pPr>
        <w:adjustRightInd w:val="0"/>
        <w:snapToGrid w:val="0"/>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11)从开工之日起，直至工程施工竣工验收后将工程移交给发包人止，工地现场须设置24小时视频监控系统，并负责管理和维护，现场视频监控系统应符合项目所在地安全文明施工管理规定要求，每台塔吊、工地大门、场地内主要通道须设置视频监控摄像头，塔吊拆除后须在建筑物主要出入口设置视频监控摄像头，现场须配置专门视频监控系统设备间，视频监控系统设备间应有通信网络，并有专人管理；现场视频监控系统未经发包人同意，不得随意拆除停用，可供发包人随时调阅查看视频信号；视频监控系统完成安装投入使用后，承包人须及时将现场视频设备位置、监控点分布图等资料送一份至发包人以作安全生产管理备案。相关费用含在安全防护、文明施工措施费/绿色施工安全防护措施费中，发包人不另行计列。</w:t>
      </w:r>
    </w:p>
    <w:p w14:paraId="65191859">
      <w:pPr>
        <w:adjustRightInd w:val="0"/>
        <w:snapToGrid w:val="0"/>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12)配合发包人工地远程视频监控系统的安装与信号接入，相关费用含在安全防护、文明施工措施费/绿色施工安全防护措施费中，发包人不另行计列，具体要求如下：</w:t>
      </w:r>
    </w:p>
    <w:p w14:paraId="2E198AC0">
      <w:pPr>
        <w:adjustRightInd w:val="0"/>
        <w:snapToGrid w:val="0"/>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A.向发包人开放现场视频监控设备信号，确保工地大门、塔吊、主要通道等重点部位摄像头信号可接入发包人工地远程视频监控系统，并预留不少于6M带宽的宽带网络予发包人工地远程视频监控系统，确保视频稳定及流畅；</w:t>
      </w:r>
    </w:p>
    <w:p w14:paraId="131759FF">
      <w:pPr>
        <w:adjustRightInd w:val="0"/>
        <w:snapToGrid w:val="0"/>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B.本工程视频监控数据信息应无偿提供发包人使用（含人脸识别相关数据）。</w:t>
      </w:r>
    </w:p>
    <w:p w14:paraId="74DA8580">
      <w:pPr>
        <w:adjustRightInd w:val="0"/>
        <w:snapToGrid w:val="0"/>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13)从开工之日起，直至工程施工竣工验收后将工程移交给发包人止，承包人对合同内容所有有关工程的材料、半成品、成品和配套设备装置的照管负全责，承包人须配备专门机构和满足发包人最低要求的保卫人员做好工地防盗和保卫的工作，相关费用含在承包人中标下浮率中，发包人不另行计列；如施工期间因承包人未履行其责任及义务而发生盗窃、火灾等事故，一切损失均由承包人负责；但对已办理中间接收手续并交付发包人的部分工程，从办理完毕接收手续之日起，此照管责任相应地移交给了发包人。</w:t>
      </w:r>
    </w:p>
    <w:p w14:paraId="605B21B6">
      <w:pPr>
        <w:adjustRightInd w:val="0"/>
        <w:snapToGrid w:val="0"/>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14)负责现场范围以内的公共设备、邻近建筑物、构筑物（含文物保护建筑）、古树名木等的保护及监测，并承担相应的费用。如果引致任何损坏，承包人需负责所有修复的费用，并应使发包人免受索赔、诉讼或费用的损失；</w:t>
      </w:r>
    </w:p>
    <w:p w14:paraId="048019C9">
      <w:pPr>
        <w:adjustRightInd w:val="0"/>
        <w:snapToGrid w:val="0"/>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15)遵守政府有关部门关于环境卫生的管理规定，保证施工场地的清洁和交工前施工现场的清理，并承担因自身责任造成的损失和罚款；</w:t>
      </w:r>
    </w:p>
    <w:p w14:paraId="47B81882">
      <w:pPr>
        <w:adjustRightInd w:val="0"/>
        <w:snapToGrid w:val="0"/>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16)工程完工后，应按照合同约定提交竣工验收申请报告、竣工图纸和资料及竣工结算文件。本项目的工程竣工图亦须由承包人负责编制及提交</w:t>
      </w:r>
      <w:bookmarkStart w:id="879" w:name="_Hlk66311312"/>
      <w:r>
        <w:rPr>
          <w:rFonts w:hint="eastAsia" w:ascii="仿宋" w:hAnsi="仿宋" w:eastAsia="仿宋" w:cs="仿宋"/>
          <w:u w:val="single"/>
          <w:lang w:eastAsia="zh-CN"/>
        </w:rPr>
        <w:t>，</w:t>
      </w:r>
      <w:bookmarkEnd w:id="879"/>
      <w:r>
        <w:rPr>
          <w:rFonts w:hint="eastAsia" w:ascii="仿宋" w:hAnsi="仿宋" w:eastAsia="仿宋" w:cs="仿宋"/>
          <w:u w:val="single"/>
          <w:lang w:eastAsia="zh-CN"/>
        </w:rPr>
        <w:t>相关费用含在承包人中标下浮率中，发包人不另行计列；</w:t>
      </w:r>
    </w:p>
    <w:p w14:paraId="5FDBD95D">
      <w:pPr>
        <w:adjustRightInd w:val="0"/>
        <w:snapToGrid w:val="0"/>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17)自行办理本工程施工所需的道路占用手续，负责有关申请及维持占用道路所需的一切费用，并负责本工程的红线外的一切场地使用费用，相关费用含在承包人中标下浮率中，发包人不另行计列。</w:t>
      </w:r>
    </w:p>
    <w:p w14:paraId="2CE76917">
      <w:pPr>
        <w:adjustRightInd w:val="0"/>
        <w:snapToGrid w:val="0"/>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18)承包人应严格按照合同实施并完成工程，并修复其中的缺陷。在监理人代表被授权的范围内，涉及工程或与工程有关的事项，承包人都应依照并严格遵守监理人代表的指示，否则承担违约责任；</w:t>
      </w:r>
    </w:p>
    <w:p w14:paraId="4D7F5E11">
      <w:pPr>
        <w:adjustRightInd w:val="0"/>
        <w:snapToGrid w:val="0"/>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19)承包人应按照合同约定和监理人代表指令实施、完成并保修合同工程。除专用条款另有约定外，承包人应提供为完成合同工程所需的劳务、材料、工程设备、施工设备和其他物品。如果承包人不按照合同约定或监理人代表依据合同发出的指令组织施工，且在监理人代表书面要求改正后的7天内仍未采取补救措施的，则发包人可自行或委托第三方进行补救，由此发生的费用和造成的损失由承包人承担。该笔款项经造价工程师核实后，由发包人从应支付或将支付给承包人的工程进度款或结算款中扣除。</w:t>
      </w:r>
    </w:p>
    <w:p w14:paraId="63228BA3">
      <w:pPr>
        <w:adjustRightInd w:val="0"/>
        <w:snapToGrid w:val="0"/>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20)承包人所有发给监理人代表或造价工程师的函件均应符合监理人代表或造价工程师要求的表格或形式，该表格的形式和要求由监理人代表或造价工程师给予说明。</w:t>
      </w:r>
    </w:p>
    <w:p w14:paraId="53008F4E">
      <w:pPr>
        <w:adjustRightInd w:val="0"/>
        <w:snapToGrid w:val="0"/>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21)承包人必须建立并健全全面质量管理体系、施工质量检验制度和综合施工质量水平评定考核制度，相关制度应符合发包人的相关要求,严格按照操作工艺流程、技术要求施工，设置具备资格的各级技术管理和质量检查人员。</w:t>
      </w:r>
    </w:p>
    <w:p w14:paraId="6B852619">
      <w:pPr>
        <w:adjustRightInd w:val="0"/>
        <w:snapToGrid w:val="0"/>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22)承包人应完成任何为本工程正常使用功能和设计使用寿命所必须的或为本工程适用的任何规范、规程或标准所要求的工作，相关费用含在承包人中标下浮率中，发包人不另行计列。</w:t>
      </w:r>
    </w:p>
    <w:p w14:paraId="4327E9B3">
      <w:pPr>
        <w:adjustRightInd w:val="0"/>
        <w:snapToGrid w:val="0"/>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23)对于承包人或其分包人所雇用的工人或任何其他人员的伤亡或赔偿，承包人应保证发包人免负该等责任，且保证发包人不负担涉及这类伤亡与赔偿或与此有关的索赔和诉讼，损害赔偿、诉讼费、赔偿费及其他费用均由承包人自行负责，另承包人由于伤亡事故而造成本工程停工的，发包人将不予顺延工期，其所有损失由承包人自负。但由于发包人或监理人的行为失误所造成的伤亡除外。</w:t>
      </w:r>
    </w:p>
    <w:p w14:paraId="5A9F1787">
      <w:pPr>
        <w:adjustRightInd w:val="0"/>
        <w:snapToGrid w:val="0"/>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24)临时水电开通后，承包人负责架设（含所需材料）临时供水、临时用电的管线、进行施工期间的维护及在不需要时拆除。其中：</w:t>
      </w:r>
    </w:p>
    <w:p w14:paraId="3117A31A">
      <w:pPr>
        <w:adjustRightInd w:val="0"/>
        <w:snapToGrid w:val="0"/>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A.施工用水的管线布置需满足现场施工用水及消防用水的需要；</w:t>
      </w:r>
    </w:p>
    <w:p w14:paraId="3C1CCC68">
      <w:pPr>
        <w:adjustRightInd w:val="0"/>
        <w:snapToGrid w:val="0"/>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B.施工用电的管线布置需满足现场施工用电的需要；</w:t>
      </w:r>
    </w:p>
    <w:p w14:paraId="0DBA5E89">
      <w:pPr>
        <w:adjustRightInd w:val="0"/>
        <w:snapToGrid w:val="0"/>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C.设备安装调试所产生的水电费用由承包人负责承担；</w:t>
      </w:r>
    </w:p>
    <w:p w14:paraId="58E99B32">
      <w:pPr>
        <w:adjustRightInd w:val="0"/>
        <w:snapToGrid w:val="0"/>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25)承包人须承担因场地不足引起的工作内容的增加，相关费用含在承包人中标下浮率中，发包人不另行计列，包括但不限于：</w:t>
      </w:r>
    </w:p>
    <w:p w14:paraId="27E85499">
      <w:pPr>
        <w:numPr>
          <w:ilvl w:val="0"/>
          <w:numId w:val="41"/>
        </w:numPr>
        <w:adjustRightInd w:val="0"/>
        <w:snapToGrid w:val="0"/>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因场地不足所需增加的额外场地租用、材料转运；</w:t>
      </w:r>
    </w:p>
    <w:p w14:paraId="2148C1C6">
      <w:pPr>
        <w:numPr>
          <w:ilvl w:val="0"/>
          <w:numId w:val="41"/>
        </w:num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办公用房等临设场地的相关费用，工人于工地外的住宿安排及交通安排措施。（发包人不提供生活区及办公区场地，相关费用含在承包人中标下浮率中，发包人不另行计列）。</w:t>
      </w:r>
    </w:p>
    <w:p w14:paraId="141D6D73">
      <w:pPr>
        <w:adjustRightInd w:val="0"/>
        <w:snapToGrid w:val="0"/>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26)承包人自行安排本工程及材料设备所需之运输，特别是施工条件的限制。</w:t>
      </w:r>
    </w:p>
    <w:p w14:paraId="137CAA63">
      <w:pPr>
        <w:adjustRightInd w:val="0"/>
        <w:snapToGrid w:val="0"/>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27)承包人须对施工现场的安全生产负总责，须执行国务院“安全第一，预防为主”的安全生产方针，落实安全生产责任制，保障人民群众生命财产的安全，为施工生产活动创造安全的作业环境。同时需执行项目所在地的相关安全生产规定，并按相关要求进行安全文明施工。</w:t>
      </w:r>
    </w:p>
    <w:p w14:paraId="5CEF4F91">
      <w:pPr>
        <w:adjustRightInd w:val="0"/>
        <w:snapToGrid w:val="0"/>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28）承包人须响应发包人要求对所有隐蔽工程施工进行录像并刻录成光盘，于工程验收时一并提交，相关费用含在承包人中标下浮率中，发包人不另行计列。</w:t>
      </w:r>
    </w:p>
    <w:p w14:paraId="4A2F5970">
      <w:pPr>
        <w:adjustRightInd w:val="0"/>
        <w:snapToGrid w:val="0"/>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29)承包人须配合发包人聘用的符合资格的第三方检测单位进行合同协议书规定的各项专业检测，负责提供检测所需且承包人必须提供的相关辅助工具，相关费用含在承包人中标下浮率中，发包人不另行计列。</w:t>
      </w:r>
    </w:p>
    <w:p w14:paraId="7564DE00">
      <w:pPr>
        <w:adjustRightInd w:val="0"/>
        <w:snapToGrid w:val="0"/>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30)承包人须负责整个施工区域内的消防备案、验收工作，相关费用含在承包人中标下浮率中，发包人不另行计列；</w:t>
      </w:r>
    </w:p>
    <w:p w14:paraId="72A91B14">
      <w:pPr>
        <w:adjustRightInd w:val="0"/>
        <w:snapToGrid w:val="0"/>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31)承包人项目经理在开始交楼的两个月内必须在场协调交楼维护工作。需在发包人集中交楼期组建“快修队”以配合发包人交楼工作，“快修队”需配备足够的各工种维修人员及备品备件，须在发包人发出指令后30分钟内到场并按发包人要求及时进行整改，相关费用含在承包人中标下浮率中，发包人不另行计列。</w:t>
      </w:r>
    </w:p>
    <w:p w14:paraId="5A8EC559">
      <w:pPr>
        <w:adjustRightInd w:val="0"/>
        <w:snapToGrid w:val="0"/>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32)承包人须提供符合建筑节能验收要求的相关资料（如：发票、材料送检成果等相关满足验收的材料等）以便发包人办理相关的验收手续；</w:t>
      </w:r>
    </w:p>
    <w:p w14:paraId="74E7E980">
      <w:pPr>
        <w:adjustRightInd w:val="0"/>
        <w:snapToGrid w:val="0"/>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33)承包人须负责整个施工区域内基础的验收及备案工作，并负责收集、整理必要的资料，准备验收记录；</w:t>
      </w:r>
    </w:p>
    <w:p w14:paraId="7616C4B3">
      <w:pPr>
        <w:adjustRightInd w:val="0"/>
        <w:snapToGrid w:val="0"/>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34)承包人需积极配合发包人进行交楼工作，包括但不限于：移交钥匙、积极维修等，相关费用含在承包人中标下浮率中，发包人不另行计列。</w:t>
      </w:r>
    </w:p>
    <w:p w14:paraId="2376A376">
      <w:pPr>
        <w:adjustRightInd w:val="0"/>
        <w:snapToGrid w:val="0"/>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35)在电梯验收后如承包人需要使用，应提前一周向发包人提出书面申请，内容包括但不限于安全管理人员配置、使用数量及时间、永久电梯轿厢和外护板等成品保护、散装物品运输要求、损坏赔偿标准等内容。取得发包人同意后方可使用。</w:t>
      </w:r>
    </w:p>
    <w:p w14:paraId="5B820188">
      <w:pPr>
        <w:adjustRightInd w:val="0"/>
        <w:snapToGrid w:val="0"/>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36)承包人负责施工范围区域的每天的清洁打扫，相关费用含在安全防护、文明施工措施费/绿色施工安全防护措施费中，发包人不另行计列。</w:t>
      </w:r>
    </w:p>
    <w:p w14:paraId="25B9C285">
      <w:pPr>
        <w:adjustRightInd w:val="0"/>
        <w:snapToGrid w:val="0"/>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37)承包人负责对所有进出场地车辆进行冲洗，包括其他分包单位车辆且不得向其收取任何费用，负责整个施工区域、生活及办公区内的清洁卫生，同时负责施工范围周边市政道路的清扫工作，相关费用含在安全防护、文明施工措施费/绿色施工安全防护措施费中，发包人不另行计列。</w:t>
      </w:r>
    </w:p>
    <w:p w14:paraId="6365F704">
      <w:pPr>
        <w:adjustRightInd w:val="0"/>
        <w:snapToGrid w:val="0"/>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38)承包人负责整个场地维护责任，包括安保及在场内的各分包单位的管理协调，相关费用含在承包人中标下浮率中，发包人不另行计列。</w:t>
      </w:r>
    </w:p>
    <w:p w14:paraId="1F20FF67">
      <w:pPr>
        <w:adjustRightInd w:val="0"/>
        <w:snapToGrid w:val="0"/>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39)承包人负责处理施工过程中的居民投诉，以及协调解决附近村民干扰施工的相关工作，相关费用含在承包人中标下浮率中，发包人不另行计列。</w:t>
      </w:r>
    </w:p>
    <w:p w14:paraId="4D40741B">
      <w:pPr>
        <w:adjustRightInd w:val="0"/>
        <w:snapToGrid w:val="0"/>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40)承包人需对发包人平行发包的专业分包工程提供包括但不限于运输、堆放场地安排等管理配合服务工作；</w:t>
      </w:r>
    </w:p>
    <w:p w14:paraId="0841629F">
      <w:pPr>
        <w:adjustRightInd w:val="0"/>
        <w:snapToGrid w:val="0"/>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41)投标文件中的施工组织设计和施工进度计划是本工程的初步施工组织设计，承包人应在按合同约定的时间提交对该施工组织设计进行修改完善以及更为详细的施工进度计划(网络计划)。监理人代表提出修改意见后,承包人应按监理人代表的要求进行修改和完善，并在3天内提交修改后的施工组织设计。</w:t>
      </w:r>
    </w:p>
    <w:p w14:paraId="54287E6A">
      <w:pPr>
        <w:adjustRightInd w:val="0"/>
        <w:snapToGrid w:val="0"/>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42)承包人保证其投入不少于投标文件所承诺的施工组织设计中的资源投入计划，将工程施工所需的机具设备、人员、材料等资源，根据工程进度计划按时、按标准、足额投入。承包人实时统计场内的自有工人、专业分包单位及直接承包单位不同工种人员、管理人员数量及名单，否则按规定承担一般违约责任。如果足额投入了仍不能满足监理人代表要求的，监理人代表有权要求承包人对资源状况进行调整以达到监理人代表满意的程度为止。各分项工程开工前，承包人必须在施工组织设计中编制资源投入计划，报监理人代表和发包人批准后实施，否则按规定承担一般违约责任。特别是施工所需的机具设备(包括自有和租赁)，应等于或优于投标文件填报的品牌、数量、质量、规格、性能且具备正常施工功能，并配有明显的承包人单位标志，及可证明为合法使用设备(如具备年检证、使用证等)。施工过程中，承包人因特殊原因需变更资源投入计划或者对已投入的资源进行调整的，应当提前7天提出申请，报监理人代表和发包人批准。允许机具、设备调整的原则为：所调整机具、设备，规格、标准只能比原计划提高，不能降低；数量原则上不允许减少，如确因更换先进设备提高了工效，可考虑在总工作能力不降低的前提下同意调整。未经发包人许可，承包人开工后已进场的机具设备在任何情况下都不得在计划使用期间撤出现场。若施工机具、设备在施工过程中发生损坏的情况，承包人必须在3天内修复或更换。因设计变更、施工现场情况变化造成工程内容、工程量变化，须调整机具、设备的规格、数量的，承包人须在变更或变化确定后3天内，提出完整的更新施工方案和资源投入计划，报监理人代表和发包人批准后实施。因机具设备、人员、材料等资源配备不足，导致工期滞后的，承包人按规定承担严重违约责任；</w:t>
      </w:r>
    </w:p>
    <w:p w14:paraId="03754DFA">
      <w:pPr>
        <w:adjustRightInd w:val="0"/>
        <w:snapToGrid w:val="0"/>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43)工程项目移交前按发包人及监理人代表要求，提供所承包工程的相关资料并整理汇编成移交手册，协助接收单位尽快熟悉工程项目各部分(建筑单体、小区市政、周边管线等)、各系统(电梯、消防、空调、供水、供电、智能化等)的情况，相关费用含在承包人中标下浮率中，发包人不另行计列。移交手册内容包括但不限于以下内容：</w:t>
      </w:r>
    </w:p>
    <w:p w14:paraId="5511392E">
      <w:pPr>
        <w:numPr>
          <w:ilvl w:val="0"/>
          <w:numId w:val="42"/>
        </w:numPr>
        <w:adjustRightInd w:val="0"/>
        <w:snapToGrid w:val="0"/>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工程项目各部分、各系统的工程概况；</w:t>
      </w:r>
    </w:p>
    <w:p w14:paraId="6AE3E4BE">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b、工程项目全部的竣工图纸清单；</w:t>
      </w:r>
    </w:p>
    <w:p w14:paraId="139CBD07">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c、工程项目的主要材料设备供货商清单、联系人、电话、传真号码、地址及邮编；</w:t>
      </w:r>
    </w:p>
    <w:p w14:paraId="4993BDF3">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d、各系统的设计功能、使用功能或使用说明以及各主要设备的运行参数；</w:t>
      </w:r>
    </w:p>
    <w:p w14:paraId="30C47C16">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e、主要材料设备的数量清单；</w:t>
      </w:r>
    </w:p>
    <w:p w14:paraId="4F34B43F">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f、工程、材料、设备的保修书（包括保修内容、期限、联系人、电话等）。</w:t>
      </w:r>
    </w:p>
    <w:p w14:paraId="78738B96">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44)承包人在“无渗漏”工程中必须承担的义务：</w:t>
      </w:r>
    </w:p>
    <w:p w14:paraId="65577AF3">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a、对专业管线穿过楼地面或墙体等结构后留下的孔隙按要求进行填补，并达到防水的要求；</w:t>
      </w:r>
    </w:p>
    <w:p w14:paraId="1F4942CD">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b、对铝合金门窗及幕墙框边补洞、塞缝、面层补贴，并达到防水要求。施工时，要严格按图纸及规范要求做好门窗洞口的防水施工和收边填塞，禁止使用氯离子等腐蚀物质含量超标的海沙材料进行铝合金门窗的填塞；</w:t>
      </w:r>
    </w:p>
    <w:p w14:paraId="4854D908">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c、铝合金门窗及幕墙用的密封材料填必须密实、连续、饱满、粘结牢固、无气泡、开裂、脱落等缺陷；</w:t>
      </w:r>
    </w:p>
    <w:p w14:paraId="12729824">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d、阳台、厨房、卫生间的试水（每次浸水试验不少于48小时）：</w:t>
      </w:r>
    </w:p>
    <w:p w14:paraId="519BB09F">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i)</w:t>
      </w:r>
      <w:r>
        <w:rPr>
          <w:rFonts w:hint="eastAsia" w:ascii="仿宋" w:hAnsi="仿宋" w:eastAsia="仿宋" w:cs="仿宋"/>
          <w:u w:val="single"/>
          <w:lang w:eastAsia="zh-CN"/>
        </w:rPr>
        <w:tab/>
      </w:r>
      <w:r>
        <w:rPr>
          <w:rFonts w:hint="eastAsia" w:ascii="仿宋" w:hAnsi="仿宋" w:eastAsia="仿宋" w:cs="仿宋"/>
          <w:u w:val="single"/>
          <w:lang w:eastAsia="zh-CN"/>
        </w:rPr>
        <w:t>结构施工完成后做一次浸水试验；</w:t>
      </w:r>
    </w:p>
    <w:p w14:paraId="2FE114C9">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ii)</w:t>
      </w:r>
      <w:r>
        <w:rPr>
          <w:rFonts w:hint="eastAsia" w:ascii="仿宋" w:hAnsi="仿宋" w:eastAsia="仿宋" w:cs="仿宋"/>
          <w:u w:val="single"/>
          <w:lang w:eastAsia="zh-CN"/>
        </w:rPr>
        <w:tab/>
      </w:r>
      <w:r>
        <w:rPr>
          <w:rFonts w:hint="eastAsia" w:ascii="仿宋" w:hAnsi="仿宋" w:eastAsia="仿宋" w:cs="仿宋"/>
          <w:u w:val="single"/>
          <w:lang w:eastAsia="zh-CN"/>
        </w:rPr>
        <w:t>防水层施工完成后做一次浸水试验；</w:t>
      </w:r>
    </w:p>
    <w:p w14:paraId="1BEAB888">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iii)</w:t>
      </w:r>
      <w:r>
        <w:rPr>
          <w:rFonts w:hint="eastAsia" w:ascii="仿宋" w:hAnsi="仿宋" w:eastAsia="仿宋" w:cs="仿宋"/>
          <w:u w:val="single"/>
          <w:lang w:eastAsia="zh-CN"/>
        </w:rPr>
        <w:tab/>
      </w:r>
      <w:r>
        <w:rPr>
          <w:rFonts w:hint="eastAsia" w:ascii="仿宋" w:hAnsi="仿宋" w:eastAsia="仿宋" w:cs="仿宋"/>
          <w:u w:val="single"/>
          <w:lang w:eastAsia="zh-CN"/>
        </w:rPr>
        <w:t>管道安装完成后做一次浸水试验；</w:t>
      </w:r>
    </w:p>
    <w:p w14:paraId="79396B84">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iv)</w:t>
      </w:r>
      <w:r>
        <w:rPr>
          <w:rFonts w:hint="eastAsia" w:ascii="仿宋" w:hAnsi="仿宋" w:eastAsia="仿宋" w:cs="仿宋"/>
          <w:u w:val="single"/>
          <w:lang w:eastAsia="zh-CN"/>
        </w:rPr>
        <w:tab/>
      </w:r>
      <w:r>
        <w:rPr>
          <w:rFonts w:hint="eastAsia" w:ascii="仿宋" w:hAnsi="仿宋" w:eastAsia="仿宋" w:cs="仿宋"/>
          <w:u w:val="single"/>
          <w:lang w:eastAsia="zh-CN"/>
        </w:rPr>
        <w:t>装饰面层完成后做一次浸水试验；</w:t>
      </w:r>
    </w:p>
    <w:p w14:paraId="55738881">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v)</w:t>
      </w:r>
      <w:r>
        <w:rPr>
          <w:rFonts w:hint="eastAsia" w:ascii="仿宋" w:hAnsi="仿宋" w:eastAsia="仿宋" w:cs="仿宋"/>
          <w:u w:val="single"/>
          <w:lang w:eastAsia="zh-CN"/>
        </w:rPr>
        <w:tab/>
      </w:r>
      <w:r>
        <w:rPr>
          <w:rFonts w:hint="eastAsia" w:ascii="仿宋" w:hAnsi="仿宋" w:eastAsia="仿宋" w:cs="仿宋"/>
          <w:u w:val="single"/>
          <w:lang w:eastAsia="zh-CN"/>
        </w:rPr>
        <w:t>竣工验收前做一次浸水试验；</w:t>
      </w:r>
    </w:p>
    <w:p w14:paraId="74FFA44B">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vi)</w:t>
      </w:r>
      <w:r>
        <w:rPr>
          <w:rFonts w:hint="eastAsia" w:ascii="仿宋" w:hAnsi="仿宋" w:eastAsia="仿宋" w:cs="仿宋"/>
          <w:u w:val="single"/>
          <w:lang w:eastAsia="zh-CN"/>
        </w:rPr>
        <w:tab/>
      </w:r>
      <w:r>
        <w:rPr>
          <w:rFonts w:hint="eastAsia" w:ascii="仿宋" w:hAnsi="仿宋" w:eastAsia="仿宋" w:cs="仿宋"/>
          <w:u w:val="single"/>
          <w:lang w:eastAsia="zh-CN"/>
        </w:rPr>
        <w:t>移交前做一次浸水试验。</w:t>
      </w:r>
    </w:p>
    <w:p w14:paraId="5CAAA5D4">
      <w:pPr>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e、外墙、幕墙及铝合金门窗：外脚手架拆除前根据广州市住房和城乡建设局2019年9月30日发布的《关于印发广州市住宅工程外墙淋水试验技术指引（试行）的通知》（索引号11440100007482612P/2019-00067）规定执行。若出现渗漏情况，在修补后需再次按标准要求要求做喷淋试验，直至不出现渗漏情况才能拆除外脚手架。若发生渗漏情况较多（每层出现渗漏点超过5点）时，发包人有权要求承包人增加对天面、侧墙、幕墙及铝合金门窗等部位进行高压喷水试验，承包人须提供相应工作，因此而增加的费用，由承包人自行承担；</w:t>
      </w:r>
    </w:p>
    <w:p w14:paraId="02C73E9C">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f、屋面淋水试验：按《屋面工程质量验收规范》（GB50207）的要求做泼水、淋水、蓄水试验；</w:t>
      </w:r>
    </w:p>
    <w:p w14:paraId="0F246D1B">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h、承包人须制定创“无渗漏”工程的针对性方案及具体措施，确保本工程在竣工验收后5年（具体按当地规定）内出现渗漏情况的总体数量不超过以下各项总量之和的2%：</w:t>
      </w:r>
    </w:p>
    <w:p w14:paraId="222F151A">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i)</w:t>
      </w:r>
      <w:r>
        <w:rPr>
          <w:rFonts w:hint="eastAsia" w:ascii="仿宋" w:hAnsi="仿宋" w:eastAsia="仿宋" w:cs="仿宋"/>
          <w:u w:val="single"/>
          <w:lang w:eastAsia="zh-CN"/>
        </w:rPr>
        <w:tab/>
      </w:r>
      <w:r>
        <w:rPr>
          <w:rFonts w:hint="eastAsia" w:ascii="仿宋" w:hAnsi="仿宋" w:eastAsia="仿宋" w:cs="仿宋"/>
          <w:u w:val="single"/>
          <w:lang w:eastAsia="zh-CN"/>
        </w:rPr>
        <w:t>外墙及窗渗漏总量为下列数量之和: 按每层每跨外墙为单位统计的数量；</w:t>
      </w:r>
    </w:p>
    <w:p w14:paraId="30D4585F">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ii)</w:t>
      </w:r>
      <w:r>
        <w:rPr>
          <w:rFonts w:hint="eastAsia" w:ascii="仿宋" w:hAnsi="仿宋" w:eastAsia="仿宋" w:cs="仿宋"/>
          <w:u w:val="single"/>
          <w:lang w:eastAsia="zh-CN"/>
        </w:rPr>
        <w:tab/>
      </w:r>
      <w:r>
        <w:rPr>
          <w:rFonts w:hint="eastAsia" w:ascii="仿宋" w:hAnsi="仿宋" w:eastAsia="仿宋" w:cs="仿宋"/>
          <w:u w:val="single"/>
          <w:lang w:eastAsia="zh-CN"/>
        </w:rPr>
        <w:t xml:space="preserve">楼板渗漏总量按下列数量之和: 按每个厨房（如设计有防水要求的）、卫生间及顶层，每单元套间砼屋面为单位统计的数量，确保本工程在竣工验收后2年内出现渗漏情况的总体数量不超过以下总量之和的2%； </w:t>
      </w:r>
    </w:p>
    <w:p w14:paraId="4EC20139">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iii)</w:t>
      </w:r>
      <w:r>
        <w:rPr>
          <w:rFonts w:hint="eastAsia" w:ascii="仿宋" w:hAnsi="仿宋" w:eastAsia="仿宋" w:cs="仿宋"/>
          <w:u w:val="single"/>
          <w:lang w:eastAsia="zh-CN"/>
        </w:rPr>
        <w:tab/>
      </w:r>
      <w:r>
        <w:rPr>
          <w:rFonts w:hint="eastAsia" w:ascii="仿宋" w:hAnsi="仿宋" w:eastAsia="仿宋" w:cs="仿宋"/>
          <w:u w:val="single"/>
          <w:lang w:eastAsia="zh-CN"/>
        </w:rPr>
        <w:t>所有生活给水管及排水管（含暗埋管道）：按单元套间为单位统计的数量。</w:t>
      </w:r>
    </w:p>
    <w:p w14:paraId="1E2E99EF">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i、经发包人或监理人代表对有防渗漏要求的部位（如卫生间沉箱、屋面、穿梁板横立管、窗边、外墙、有防水要求的厨房等）验收检查，发现渗漏并属承包人责任，承包人需在7天内完成整改，并按约定违约责任进行处罚；累计渗漏部位超过该楼栋相同部位总量5%(含5%）时，或未按时完成整改，发包人将依据违约责任进行处罚。渗漏计取单位及总量统计原则如下：</w:t>
      </w:r>
    </w:p>
    <w:p w14:paraId="19ACA39A">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①外墙渗漏：以该楼栋每层每一独立空间的外墙为单位统计总量；</w:t>
      </w:r>
    </w:p>
    <w:p w14:paraId="35A5475A">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②窗渗漏：以每个窗为单位统计总量；</w:t>
      </w:r>
    </w:p>
    <w:p w14:paraId="7D0745F2">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③楼板渗漏：分别按每个厨房（设计如有防水要求的）、卫生间及顶层每单位套间砼屋面为计取单位统计总量；</w:t>
      </w:r>
    </w:p>
    <w:p w14:paraId="18C09138">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④横立管：每个阳台、入户花园、卫生间、厨房及顶屋每个单元套间分别为计取单位统计总量。</w:t>
      </w:r>
    </w:p>
    <w:p w14:paraId="710B6195">
      <w:pPr>
        <w:tabs>
          <w:tab w:val="left" w:pos="1260"/>
        </w:tabs>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45)承包人应按国家及项目所在地有关规定按时支付民工工资，否则，视为严重违约，并赔偿由此对发包人造成的一切损失。</w:t>
      </w:r>
    </w:p>
    <w:p w14:paraId="12F656D7">
      <w:pPr>
        <w:adjustRightInd w:val="0"/>
        <w:snapToGrid w:val="0"/>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46)承包人需负责协调施工所在地街道、村委、城管、交警、派出所、水务局、土地和建设管理等部门的关系，确保施工过程不受外来因素的影响导致停工或行政处罚，如有任何罚款和处罚均由承包人负责，相关费用含在承包人中标下浮率中，发包人不另行计列；</w:t>
      </w:r>
    </w:p>
    <w:p w14:paraId="1C0EE1BD">
      <w:pPr>
        <w:adjustRightInd w:val="0"/>
        <w:snapToGrid w:val="0"/>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47)承包人需满足本项目管理模式的需求，负责做好纳入合同内关于机电部分资料的归档工作，包含机电部分资料的签名、盖章等。承包人需负责做好纳入总承包范围的各专业分包工程资料以及承包人提供承包人管理配合服务的发包人直接发包工程资料的归档工作，包含该部分资料的签名、盖章、检查、督促、修改等，相关费用含在承包人中标下浮率中，发包人不另行计列；</w:t>
      </w:r>
    </w:p>
    <w:p w14:paraId="7F8CDEDE">
      <w:pPr>
        <w:adjustRightInd w:val="0"/>
        <w:snapToGrid w:val="0"/>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48）施工图纸、标准或规范之间如有差异，承包人应在该部分施工前以正式书面文件提出，经发包人明确后方可实施，如施工前未经发包人书面确认实施的，承包人需承担一般违约责任且按费用总和最低标准结算（不延长工期）。发包人有权指示承包人无条件执行较高标准权利。</w:t>
      </w:r>
    </w:p>
    <w:p w14:paraId="23493A0E">
      <w:pPr>
        <w:adjustRightInd w:val="0"/>
        <w:snapToGrid w:val="0"/>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49）为确保承包人所提供产品和服务的质量符合合同要求，发包人将对项目进行定期与不定期的巡检，以评价各项目质量管理状况，承包人需配合发包人上述评估检查工作，对检查中发现的问题须限期整改，相关费用含在承包人中标下浮率中，发包人不另行计列。</w:t>
      </w:r>
    </w:p>
    <w:p w14:paraId="40C87F7F">
      <w:pPr>
        <w:adjustRightInd w:val="0"/>
        <w:snapToGrid w:val="0"/>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50）承包人为“实测实量”工程中必须承担相应的义务。</w:t>
      </w:r>
    </w:p>
    <w:p w14:paraId="55007E23">
      <w:pPr>
        <w:adjustRightInd w:val="0"/>
        <w:snapToGrid w:val="0"/>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51）承包人需承担在施工条件及技术要求、施工组织设计及专项方案要求、承包人技术文件中提出的承包人责任；</w:t>
      </w:r>
    </w:p>
    <w:p w14:paraId="2C0539BC">
      <w:pPr>
        <w:adjustRightInd w:val="0"/>
        <w:snapToGrid w:val="0"/>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52）承包人需实施工程款、工资分账管理：</w:t>
      </w:r>
    </w:p>
    <w:p w14:paraId="20BB48D9">
      <w:pPr>
        <w:numPr>
          <w:ilvl w:val="0"/>
          <w:numId w:val="43"/>
        </w:numPr>
        <w:adjustRightInd w:val="0"/>
        <w:snapToGrid w:val="0"/>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承包人必须在开工日期前，在项目所在地设立工人工资支付专用账户，并在用工之日起15天内为每个工人办理工资个人账户，工资支付专用账户和其他款项支付账户详见合同，每期工程款中的工人工资由发包人支付至工资支付专用账户，且该账户内资金除发放工人工资外不得用于其他用途；</w:t>
      </w:r>
    </w:p>
    <w:p w14:paraId="24DC17DE">
      <w:pPr>
        <w:numPr>
          <w:ilvl w:val="0"/>
          <w:numId w:val="43"/>
        </w:numPr>
        <w:adjustRightInd w:val="0"/>
        <w:snapToGrid w:val="0"/>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拨付工资款方式。承包人申报每期工程款时应分列工人工资数额和其他款项数额，报监理人代表和造价工程师审核合格后，由发包人按照其审核通过后的金额在收到承包人合规发票后分别将工人工资和其他款项支付至对应账户；</w:t>
      </w:r>
    </w:p>
    <w:p w14:paraId="11954060">
      <w:pPr>
        <w:numPr>
          <w:ilvl w:val="0"/>
          <w:numId w:val="43"/>
        </w:numPr>
        <w:adjustRightInd w:val="0"/>
        <w:snapToGrid w:val="0"/>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建立劳务用工管理台账。承包人必须建立用工管理台账，真实、准确记录本工程的工人名册、劳动（服务）合同、工程进度、工时、劳务承包款和工人工资支付情况等，并保存两年以上备查。同时承包人按月将工人工资支付明细表进行现场公示。</w:t>
      </w:r>
    </w:p>
    <w:p w14:paraId="5997C0D9">
      <w:pPr>
        <w:adjustRightInd w:val="0"/>
        <w:snapToGrid w:val="0"/>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53)发包人对承包人支付工人工资情况进行监督以及及时协调解决工人工资发放问题，承包人若出现欠付工人工资情况时，需承担相应的违约责任。</w:t>
      </w:r>
    </w:p>
    <w:p w14:paraId="05BEF2F4">
      <w:pPr>
        <w:adjustRightInd w:val="0"/>
        <w:snapToGrid w:val="0"/>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54)承包人应积极配合发包人内部检查评估工作，包括但不限于：工程巡检、第三方材料检测、材料飞行检查、实测实量、安全文明施工等，并对检查评估中存在的问题进行整改落实，相关费用含在承包人中标下浮率中，发包人不另行计列；</w:t>
      </w:r>
    </w:p>
    <w:p w14:paraId="7C903673">
      <w:pPr>
        <w:adjustRightInd w:val="0"/>
        <w:snapToGrid w:val="0"/>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55)承包人须全面复核供本工程施工用的所有图纸、合同规范，包括施工期间发出的补充图纸和规范，以查找该等文件相互间之矛盾，并确保其绘述之工程符合（a）中华人民共和国和当地现行最新适用的施工及验收规范，及（b）对本工程有管辖权的政府当局/公用事业单位的法律、条例、附例、通知等(此等施工及验收规范、法律、条例、附例、通知等以后统称为“法规”)，不论该等图纸或规范是否已获任何政府部门/公用事业单位的批复。在执行复核工作后，若发现图纸(特别是结构图及建筑图)或规范有任何相互矛盾或不符法规的情况，须立刻书面通报有关成果予各有关单位，包括发包人、设计单位、监理人等以寻求指示。前述的复核工作及成果通报必须在有关工程施工之前完成。若承包人未有履行上述复核或通报责任，又或复核缺漏，导致未能及时发现图纸(特别是结构图及建筑图)和规范相互之间矛盾或不符合法规的工程，承包人须无偿按发包人的指示执行一切因此而发生的工程拆除、修复、返工等工作至发包人满意，并符合所有法规。其引致的费用和工期延误一概由承包人负责。承包人不会因此而获得任何经济补偿或工期延长；</w:t>
      </w:r>
    </w:p>
    <w:p w14:paraId="267C617A">
      <w:pPr>
        <w:adjustRightInd w:val="0"/>
        <w:snapToGrid w:val="0"/>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56)承包人须对自行施工范围内及专业分包人的现场签证及工程变更按合同管理要求执行，由承包人原因引起的现场签证及工程变更滞后确认的，其损失由承包人承担；</w:t>
      </w:r>
    </w:p>
    <w:p w14:paraId="08A13305">
      <w:pPr>
        <w:adjustRightInd w:val="0"/>
        <w:snapToGrid w:val="0"/>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57)承包人应承担本合同约定应由承包人承担的风险，包括其对专业承包人所承担的一切风险。</w:t>
      </w:r>
    </w:p>
    <w:p w14:paraId="6503B461">
      <w:pPr>
        <w:adjustRightInd w:val="0"/>
        <w:snapToGrid w:val="0"/>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58)承包人应依据国家现行的政府相关文件，对危大工程编制专项施工方案、组织专家论证会、修改完善专项施工方案、进行现场安全管理、组织验收、建立安全管理档案等，相关费用含在承包人中标下浮率中，发包人不另行计列。</w:t>
      </w:r>
    </w:p>
    <w:p w14:paraId="27710EA9">
      <w:pPr>
        <w:adjustRightInd w:val="0"/>
        <w:snapToGrid w:val="0"/>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59)承包人需按照要求对承包范围内进场材料进行管理配合工作，相关费用含在承包人中标下浮率中，发包人不另行计列。</w:t>
      </w:r>
    </w:p>
    <w:p w14:paraId="43362B04">
      <w:pPr>
        <w:adjustRightInd w:val="0"/>
        <w:snapToGrid w:val="0"/>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60)承包人需按合同的约定，对整个项目实施过程中的资料进行归档和移交，相关费用含在承包人中标下浮率中，发包人不另行计列。</w:t>
      </w:r>
    </w:p>
    <w:p w14:paraId="5E20EBCE">
      <w:pPr>
        <w:adjustRightInd w:val="0"/>
        <w:snapToGrid w:val="0"/>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61)承包人应按国家、项目所在地验收规范、规定的要求向发包人提供定型产品的型式检验报告，相关费用含在承包人中标下浮率中，发包人不另行计列。</w:t>
      </w:r>
    </w:p>
    <w:p w14:paraId="1B6EE949">
      <w:pPr>
        <w:adjustRightInd w:val="0"/>
        <w:snapToGrid w:val="0"/>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62)承包人应遵守住房和城乡建设部、人力资源和社会保障部发布的《住房和城乡建设部人力资源社会保障部关于印发建筑工人实名制管理办法（试行）的通知》（建市〔2019〕18号），具体实施细则按项目所在地的行政主管部门的相关约定执行。</w:t>
      </w:r>
    </w:p>
    <w:p w14:paraId="17717B41">
      <w:pPr>
        <w:adjustRightInd w:val="0"/>
        <w:snapToGrid w:val="0"/>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63)承包人为“实测实量”工程中必须承担的义务：</w:t>
      </w:r>
    </w:p>
    <w:p w14:paraId="14F1D7BD">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a、实测实量评估表格</w:t>
      </w:r>
    </w:p>
    <w:p w14:paraId="4D983FA7">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按发包人提供的实测实量操作指引和其他实测实量操作文件所附的表格在现场把测量数据填写在表格中，并对照评估打分标准进行自评，寻找差距，做到扬长补短。</w:t>
      </w:r>
    </w:p>
    <w:p w14:paraId="4811B849">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b、现场标注</w:t>
      </w:r>
    </w:p>
    <w:p w14:paraId="3B6BC242">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所测量出来的数据，直接标注在墙面上，对不合格点直接圈出来，并注明测量日期，便于监督整改。并在每栋楼首层人货梯口通道侧面张贴实测实量成绩汇总表，并根据实际情况实时补充更新数据。</w:t>
      </w:r>
    </w:p>
    <w:p w14:paraId="0A5CD14B">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c、汇报制度</w:t>
      </w:r>
    </w:p>
    <w:p w14:paraId="4823BA0E">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将实测实量数据资料和自评成绩，在每周的工作周报中向发包人与总监理工程师汇报，并同时把相关信息向班组、工人传递，以利于监理工程师督促承包人的工程质量改进。</w:t>
      </w:r>
    </w:p>
    <w:p w14:paraId="28EE4D55">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d、承包人提交的实测实量数据，若出现实测实量数据经监理工程师或发包人抽查，存在数据失实的情况（实测数据比承包人提供数据偏差大于10%），每出现一次，发包人有权按合同违约条款的一般违约责任对承包人处以一般违约处罚。</w:t>
      </w:r>
    </w:p>
    <w:p w14:paraId="5AF086EE">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64)地上主体施工木模板，周转次数不多于6次，模板达到周转次数时不论是否仍可使用，强制要求整体全部更换，如发现超期使用，每发现１次承包人需承担一般违约责任１次；承包人用于楼层放线测量的轴线控制线必须进行保护，以便实测实量时使用，如发现每损坏一处，承包人承担相应违约金1000元；楼板厚度必须满足设计及规范要求，现场实测或政府部门的实体检测楼板厚度不符合规范要求时，承包人每栋每楼层承担违约金1000元；砼表面有质量问题时不得随意封闭，必须向监理工程师、发包人申报检查后才能申请缺陷处理，随意私自封闭时，承包人承担相应违约金2000至10000元；</w:t>
      </w:r>
    </w:p>
    <w:p w14:paraId="7EF1150E">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65）承包人负责发包人平行分包单位的资料收集及整理归档工作，相关费用含在承包人中标下浮率中，发包人不另行计列。</w:t>
      </w:r>
    </w:p>
    <w:p w14:paraId="593F50EF">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9）向发包人提供施工场地办公和生活的房屋及设施的数量和时间等要求：现场提供满足要求的办公场地和生活房屋及办公设备供发包人管理使用。为确保本工程按计划顺利完成，从进场开始，承包人应负责派驻1辆5～7座的小型客车在现场值班，主要用于施工现场项目突发事件应急保障等工作交通需求，使用期限至本项目实体完工。相关费用含在承包人中标下浮率中，发包人不另行计列。</w:t>
      </w:r>
    </w:p>
    <w:p w14:paraId="4CC89632">
      <w:pPr>
        <w:spacing w:line="360" w:lineRule="auto"/>
        <w:ind w:firstLine="480" w:firstLineChars="200"/>
        <w:rPr>
          <w:rFonts w:ascii="仿宋" w:hAnsi="仿宋" w:eastAsia="仿宋"/>
          <w:lang w:eastAsia="zh-CN"/>
        </w:rPr>
      </w:pPr>
      <w:r>
        <w:rPr>
          <w:rFonts w:hint="eastAsia" w:ascii="仿宋" w:hAnsi="仿宋" w:eastAsia="仿宋" w:cs="仿宋"/>
          <w:lang w:eastAsia="zh-CN"/>
        </w:rPr>
        <w:t>（10）办完施工场地交通、环境保护、施工噪声、绿色施工安全防护等手续的时间：</w:t>
      </w:r>
      <w:r>
        <w:rPr>
          <w:rFonts w:hint="eastAsia" w:ascii="仿宋" w:hAnsi="仿宋" w:eastAsia="仿宋" w:cs="仿宋"/>
          <w:u w:val="single"/>
          <w:lang w:eastAsia="zh-CN"/>
        </w:rPr>
        <w:t xml:space="preserve"> 按照发包人要求    </w:t>
      </w:r>
    </w:p>
    <w:p w14:paraId="242C3866">
      <w:pPr>
        <w:spacing w:line="360" w:lineRule="auto"/>
        <w:ind w:firstLine="480" w:firstLineChars="200"/>
        <w:rPr>
          <w:rFonts w:ascii="仿宋" w:hAnsi="仿宋" w:eastAsia="仿宋"/>
          <w:lang w:eastAsia="zh-CN"/>
        </w:rPr>
      </w:pPr>
      <w:r>
        <w:rPr>
          <w:rFonts w:hint="eastAsia" w:ascii="仿宋" w:hAnsi="仿宋" w:eastAsia="仿宋" w:cs="仿宋"/>
          <w:lang w:eastAsia="zh-CN"/>
        </w:rPr>
        <w:t>（11）做好施工场地地下管线和邻近建筑物、构筑物（包括文物保护建筑）、古树名木保护工作的约定：</w:t>
      </w:r>
      <w:r>
        <w:rPr>
          <w:rFonts w:hint="eastAsia" w:ascii="仿宋" w:hAnsi="仿宋" w:eastAsia="仿宋" w:cs="仿宋"/>
          <w:u w:val="single"/>
          <w:lang w:eastAsia="zh-CN"/>
        </w:rPr>
        <w:t xml:space="preserve">     按照上述条款要求    </w:t>
      </w:r>
    </w:p>
    <w:p w14:paraId="18D4BE68">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（12）保证施工场地的清洁和做好交工前施工现场清理工作的约定：</w:t>
      </w:r>
      <w:r>
        <w:rPr>
          <w:rFonts w:hint="eastAsia" w:ascii="仿宋" w:hAnsi="仿宋" w:eastAsia="仿宋" w:cs="仿宋"/>
          <w:u w:val="single"/>
          <w:lang w:eastAsia="zh-CN"/>
        </w:rPr>
        <w:t xml:space="preserve">      按照上述条款要求      </w:t>
      </w:r>
    </w:p>
    <w:p w14:paraId="2E41BBB8">
      <w:pPr>
        <w:spacing w:line="360" w:lineRule="auto"/>
        <w:ind w:firstLine="480" w:firstLineChars="200"/>
        <w:rPr>
          <w:rFonts w:ascii="仿宋" w:hAnsi="仿宋" w:eastAsia="仿宋"/>
          <w:lang w:eastAsia="zh-CN"/>
        </w:rPr>
      </w:pPr>
      <w:r>
        <w:rPr>
          <w:rFonts w:hint="eastAsia" w:ascii="仿宋" w:hAnsi="仿宋" w:eastAsia="仿宋" w:cs="仿宋"/>
          <w:lang w:eastAsia="zh-CN"/>
        </w:rPr>
        <w:t>（13）提交竣工验收申请报告和竣工结算文件</w:t>
      </w:r>
    </w:p>
    <w:p w14:paraId="009BC86D">
      <w:pPr>
        <w:spacing w:line="360" w:lineRule="auto"/>
        <w:ind w:firstLine="480" w:firstLineChars="200"/>
        <w:rPr>
          <w:rFonts w:ascii="仿宋" w:hAnsi="仿宋" w:eastAsia="仿宋"/>
          <w:lang w:eastAsia="zh-CN"/>
        </w:rPr>
      </w:pPr>
      <w:r>
        <w:rPr>
          <w:rFonts w:hint="eastAsia" w:ascii="仿宋" w:hAnsi="仿宋" w:eastAsia="仿宋" w:cs="仿宋"/>
          <w:lang w:eastAsia="zh-CN"/>
        </w:rPr>
        <w:t>☑ 按通用条款第87.2款约定提交。</w:t>
      </w:r>
    </w:p>
    <w:p w14:paraId="7C85EE91">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另作约定：</w:t>
      </w:r>
      <w:r>
        <w:rPr>
          <w:rFonts w:hint="eastAsia" w:ascii="仿宋" w:hAnsi="仿宋" w:eastAsia="仿宋" w:cs="仿宋"/>
          <w:u w:val="single"/>
          <w:lang w:eastAsia="zh-CN"/>
        </w:rPr>
        <w:t xml:space="preserve">                                                                      </w:t>
      </w:r>
    </w:p>
    <w:p w14:paraId="467C7F13">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23.3 承包人实施工作</w:t>
      </w:r>
    </w:p>
    <w:p w14:paraId="5F04917D">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承包人提供施工所需、设计文件、劳务、工程材料、工程设备、施工设备和其他物品的约定：</w:t>
      </w:r>
      <w:r>
        <w:rPr>
          <w:rFonts w:hint="eastAsia" w:ascii="仿宋" w:hAnsi="仿宋" w:eastAsia="仿宋" w:cs="仿宋"/>
          <w:u w:val="single"/>
          <w:lang w:eastAsia="zh-CN"/>
        </w:rPr>
        <w:t xml:space="preserve">    按照上述条款要求    </w:t>
      </w:r>
    </w:p>
    <w:p w14:paraId="6E949E91">
      <w:pPr>
        <w:pStyle w:val="3"/>
        <w:tabs>
          <w:tab w:val="left" w:pos="420"/>
        </w:tabs>
        <w:spacing w:before="0" w:after="0" w:line="360" w:lineRule="auto"/>
        <w:rPr>
          <w:rFonts w:ascii="仿宋" w:hAnsi="仿宋" w:eastAsia="仿宋"/>
          <w:i w:val="0"/>
          <w:sz w:val="24"/>
          <w:szCs w:val="24"/>
          <w:lang w:eastAsia="zh-CN"/>
        </w:rPr>
      </w:pPr>
      <w:bookmarkStart w:id="880" w:name="_Toc8354"/>
      <w:bookmarkStart w:id="881" w:name="_Toc14585"/>
      <w:bookmarkStart w:id="882" w:name="_Toc194073234"/>
      <w:bookmarkStart w:id="883" w:name="_Toc26849"/>
      <w:r>
        <w:rPr>
          <w:rFonts w:hint="eastAsia" w:ascii="仿宋" w:hAnsi="仿宋" w:eastAsia="仿宋" w:cs="仿宋"/>
          <w:b w:val="0"/>
          <w:bCs w:val="0"/>
          <w:i w:val="0"/>
          <w:sz w:val="24"/>
          <w:szCs w:val="24"/>
          <w:lang w:eastAsia="zh-CN"/>
        </w:rPr>
        <w:t>25.  发包人代表</w:t>
      </w:r>
      <w:bookmarkEnd w:id="880"/>
      <w:bookmarkEnd w:id="881"/>
      <w:bookmarkEnd w:id="882"/>
      <w:bookmarkEnd w:id="883"/>
    </w:p>
    <w:p w14:paraId="44E9F948">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25.1 发包人对其代表授权</w:t>
      </w:r>
    </w:p>
    <w:p w14:paraId="795FCE4D">
      <w:pPr>
        <w:spacing w:line="360" w:lineRule="auto"/>
        <w:ind w:firstLine="480" w:firstLineChars="200"/>
        <w:rPr>
          <w:rFonts w:ascii="仿宋" w:hAnsi="仿宋" w:eastAsia="仿宋"/>
          <w:lang w:eastAsia="zh-CN"/>
        </w:rPr>
      </w:pPr>
      <w:r>
        <w:rPr>
          <w:rFonts w:hint="eastAsia" w:ascii="仿宋" w:hAnsi="仿宋" w:eastAsia="仿宋" w:cs="仿宋"/>
          <w:lang w:eastAsia="zh-CN"/>
        </w:rPr>
        <w:t>发包人代表及其权力的限制</w:t>
      </w:r>
    </w:p>
    <w:p w14:paraId="402215CA">
      <w:pPr>
        <w:spacing w:line="360" w:lineRule="auto"/>
        <w:ind w:firstLine="480" w:firstLineChars="200"/>
        <w:rPr>
          <w:rFonts w:ascii="仿宋" w:hAnsi="仿宋" w:eastAsia="仿宋"/>
          <w:lang w:eastAsia="zh-CN"/>
        </w:rPr>
      </w:pPr>
      <w:r>
        <w:rPr>
          <w:rFonts w:hint="eastAsia" w:ascii="仿宋" w:hAnsi="仿宋" w:eastAsia="仿宋" w:cs="仿宋"/>
          <w:lang w:eastAsia="zh-CN"/>
        </w:rPr>
        <w:t>①发包人任命（              ）为发包人代表，其通讯方式为</w:t>
      </w:r>
    </w:p>
    <w:p w14:paraId="351F3866">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通讯地址：</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邮政编码：</w:t>
      </w:r>
      <w:r>
        <w:rPr>
          <w:rFonts w:hint="eastAsia" w:ascii="仿宋" w:hAnsi="仿宋" w:eastAsia="仿宋" w:cs="仿宋"/>
          <w:u w:val="single"/>
          <w:lang w:eastAsia="zh-CN"/>
        </w:rPr>
        <w:t xml:space="preserve">                </w:t>
      </w:r>
    </w:p>
    <w:p w14:paraId="418ADE74">
      <w:pPr>
        <w:spacing w:line="360" w:lineRule="auto"/>
        <w:ind w:firstLine="480" w:firstLineChars="200"/>
        <w:rPr>
          <w:rFonts w:ascii="仿宋" w:hAnsi="仿宋" w:eastAsia="仿宋"/>
          <w:lang w:eastAsia="zh-CN"/>
        </w:rPr>
      </w:pPr>
      <w:r>
        <w:rPr>
          <w:rFonts w:hint="eastAsia" w:ascii="仿宋" w:hAnsi="仿宋" w:eastAsia="仿宋" w:cs="仿宋"/>
          <w:lang w:eastAsia="zh-CN"/>
        </w:rPr>
        <w:t>联系电话：</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传真号码：</w:t>
      </w:r>
      <w:r>
        <w:rPr>
          <w:rFonts w:hint="eastAsia" w:ascii="仿宋" w:hAnsi="仿宋" w:eastAsia="仿宋" w:cs="仿宋"/>
          <w:u w:val="single"/>
          <w:lang w:eastAsia="zh-CN"/>
        </w:rPr>
        <w:t xml:space="preserve">                </w:t>
      </w:r>
    </w:p>
    <w:p w14:paraId="1AB34F3D">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②发包人对发包人代表权力做如下限制：</w:t>
      </w:r>
      <w:r>
        <w:rPr>
          <w:rFonts w:hint="eastAsia" w:ascii="仿宋" w:hAnsi="仿宋" w:eastAsia="仿宋" w:cs="仿宋"/>
          <w:u w:val="single"/>
          <w:lang w:eastAsia="zh-CN"/>
        </w:rPr>
        <w:t xml:space="preserve">                                 </w:t>
      </w:r>
    </w:p>
    <w:p w14:paraId="24B14A06">
      <w:pPr>
        <w:spacing w:line="360" w:lineRule="auto"/>
        <w:ind w:firstLine="480" w:firstLineChars="200"/>
        <w:rPr>
          <w:rFonts w:ascii="仿宋" w:hAnsi="仿宋" w:eastAsia="仿宋" w:cs="仿宋"/>
          <w:u w:val="single"/>
          <w:lang w:eastAsia="zh-CN"/>
        </w:rPr>
      </w:pPr>
    </w:p>
    <w:p w14:paraId="477EC953">
      <w:pPr>
        <w:pStyle w:val="3"/>
        <w:tabs>
          <w:tab w:val="left" w:pos="420"/>
        </w:tabs>
        <w:spacing w:before="0" w:after="0" w:line="360" w:lineRule="auto"/>
        <w:rPr>
          <w:rFonts w:ascii="仿宋" w:hAnsi="仿宋" w:eastAsia="仿宋"/>
          <w:i w:val="0"/>
          <w:sz w:val="24"/>
          <w:szCs w:val="24"/>
          <w:lang w:eastAsia="zh-CN"/>
        </w:rPr>
      </w:pPr>
      <w:bookmarkStart w:id="884" w:name="_Toc194073235"/>
      <w:bookmarkStart w:id="885" w:name="_Toc1812"/>
      <w:bookmarkStart w:id="886" w:name="_Toc7195"/>
      <w:bookmarkStart w:id="887" w:name="_Toc14884"/>
      <w:r>
        <w:rPr>
          <w:rFonts w:hint="eastAsia" w:ascii="仿宋" w:hAnsi="仿宋" w:eastAsia="仿宋" w:cs="仿宋"/>
          <w:b w:val="0"/>
          <w:bCs w:val="0"/>
          <w:i w:val="0"/>
          <w:iCs w:val="0"/>
          <w:sz w:val="24"/>
          <w:szCs w:val="24"/>
          <w:lang w:eastAsia="zh-CN"/>
        </w:rPr>
        <w:t xml:space="preserve">27.  </w:t>
      </w:r>
      <w:r>
        <w:rPr>
          <w:rFonts w:hint="eastAsia" w:ascii="仿宋" w:hAnsi="仿宋" w:eastAsia="仿宋" w:cs="仿宋"/>
          <w:b w:val="0"/>
          <w:bCs w:val="0"/>
          <w:i w:val="0"/>
          <w:sz w:val="24"/>
          <w:szCs w:val="24"/>
          <w:lang w:eastAsia="zh-CN"/>
        </w:rPr>
        <w:t>监理人</w:t>
      </w:r>
      <w:bookmarkEnd w:id="884"/>
      <w:bookmarkEnd w:id="885"/>
      <w:bookmarkEnd w:id="886"/>
      <w:bookmarkEnd w:id="887"/>
    </w:p>
    <w:p w14:paraId="77F07F4A">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27.1 发包人对监理人授权</w:t>
      </w:r>
    </w:p>
    <w:p w14:paraId="15ED5DF4">
      <w:pPr>
        <w:spacing w:line="360" w:lineRule="auto"/>
        <w:ind w:firstLine="480" w:firstLineChars="200"/>
        <w:rPr>
          <w:rFonts w:ascii="仿宋" w:hAnsi="仿宋" w:eastAsia="仿宋"/>
          <w:lang w:eastAsia="zh-CN"/>
        </w:rPr>
      </w:pPr>
      <w:r>
        <w:rPr>
          <w:rFonts w:hint="eastAsia" w:ascii="仿宋" w:hAnsi="仿宋" w:eastAsia="仿宋" w:cs="仿宋"/>
          <w:lang w:eastAsia="zh-CN"/>
        </w:rPr>
        <w:t>负责合同工程的监理人及任命的监理人代表</w:t>
      </w:r>
    </w:p>
    <w:p w14:paraId="15489207">
      <w:pPr>
        <w:spacing w:line="360" w:lineRule="auto"/>
        <w:ind w:firstLine="480" w:firstLineChars="200"/>
        <w:rPr>
          <w:rFonts w:ascii="仿宋" w:hAnsi="仿宋" w:eastAsia="仿宋"/>
          <w:lang w:eastAsia="zh-CN"/>
        </w:rPr>
      </w:pPr>
      <w:r>
        <w:rPr>
          <w:rFonts w:hint="eastAsia" w:ascii="仿宋" w:hAnsi="仿宋" w:eastAsia="仿宋" w:cs="仿宋"/>
          <w:lang w:eastAsia="zh-CN"/>
        </w:rPr>
        <w:t>①监理人：</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法定代表人：</w:t>
      </w:r>
      <w:r>
        <w:rPr>
          <w:rFonts w:hint="eastAsia" w:ascii="仿宋" w:hAnsi="仿宋" w:eastAsia="仿宋" w:cs="仿宋"/>
          <w:u w:val="single"/>
          <w:lang w:eastAsia="zh-CN"/>
        </w:rPr>
        <w:t xml:space="preserve">               </w:t>
      </w:r>
    </w:p>
    <w:p w14:paraId="428B5C78">
      <w:pPr>
        <w:spacing w:line="360" w:lineRule="auto"/>
        <w:ind w:firstLine="480" w:firstLineChars="200"/>
        <w:rPr>
          <w:rFonts w:ascii="仿宋" w:hAnsi="仿宋" w:eastAsia="仿宋"/>
          <w:lang w:eastAsia="zh-CN"/>
        </w:rPr>
      </w:pPr>
      <w:r>
        <w:rPr>
          <w:rFonts w:hint="eastAsia" w:ascii="仿宋" w:hAnsi="仿宋" w:eastAsia="仿宋" w:cs="仿宋"/>
          <w:lang w:eastAsia="zh-CN"/>
        </w:rPr>
        <w:t>②任命（               ）为监理人代表（总监理工程师），其通讯方式为</w:t>
      </w:r>
    </w:p>
    <w:p w14:paraId="4369E8C3">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通讯地址：</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邮政编码：</w:t>
      </w:r>
      <w:r>
        <w:rPr>
          <w:rFonts w:hint="eastAsia" w:ascii="仿宋" w:hAnsi="仿宋" w:eastAsia="仿宋" w:cs="仿宋"/>
          <w:u w:val="single"/>
          <w:lang w:eastAsia="zh-CN"/>
        </w:rPr>
        <w:t xml:space="preserve">               </w:t>
      </w:r>
    </w:p>
    <w:p w14:paraId="3F07F66A">
      <w:pPr>
        <w:spacing w:line="360" w:lineRule="auto"/>
        <w:ind w:firstLine="480" w:firstLineChars="200"/>
        <w:rPr>
          <w:rFonts w:ascii="仿宋" w:hAnsi="仿宋" w:eastAsia="仿宋"/>
          <w:lang w:eastAsia="zh-CN"/>
        </w:rPr>
      </w:pPr>
      <w:r>
        <w:rPr>
          <w:rFonts w:hint="eastAsia" w:ascii="仿宋" w:hAnsi="仿宋" w:eastAsia="仿宋" w:cs="仿宋"/>
          <w:lang w:eastAsia="zh-CN"/>
        </w:rPr>
        <w:t>联系电话：</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传真号码：</w:t>
      </w:r>
      <w:r>
        <w:rPr>
          <w:rFonts w:hint="eastAsia" w:ascii="仿宋" w:hAnsi="仿宋" w:eastAsia="仿宋" w:cs="仿宋"/>
          <w:u w:val="single"/>
          <w:lang w:eastAsia="zh-CN"/>
        </w:rPr>
        <w:t xml:space="preserve">               </w:t>
      </w:r>
    </w:p>
    <w:p w14:paraId="250A8F6A">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27.2 监理人权限：</w:t>
      </w:r>
    </w:p>
    <w:p w14:paraId="2BB582FF">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除属于规定的争议外，监理人代表在职权范围内的工作，发包人应予认可，但下列事项应事先取得发包人的专项批准：</w:t>
      </w:r>
    </w:p>
    <w:p w14:paraId="3A72B292">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（1）根据合同约定批准承包人提供的配合施工设计图纸；</w:t>
      </w:r>
    </w:p>
    <w:p w14:paraId="3D9601A2">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（2）根据合同约定同意承包人分包工程；</w:t>
      </w:r>
    </w:p>
    <w:p w14:paraId="725A0197">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（3）根据合同约定批准承包人将材料和工程设备、施工设备移出施工场地；</w:t>
      </w:r>
    </w:p>
    <w:p w14:paraId="71957007">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（4）根据合同约定批准承包人的施工组织设计和工程进度计划；</w:t>
      </w:r>
    </w:p>
    <w:p w14:paraId="0A9C5879">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（5）根据合同约定发出加快进度的变更指令；</w:t>
      </w:r>
    </w:p>
    <w:p w14:paraId="5D5DD3BA">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（6）根据合同约定使用替换材料；</w:t>
      </w:r>
    </w:p>
    <w:p w14:paraId="174AA65E">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（7）根据合同约定发出使用暂列金额的工作指令；</w:t>
      </w:r>
    </w:p>
    <w:p w14:paraId="18AF25F4">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（8）根据合同约定发出使用计日工的工作指令；</w:t>
      </w:r>
    </w:p>
    <w:p w14:paraId="0B0A71F6">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（9）根据合同约定指令或批准的工程变更；</w:t>
      </w:r>
    </w:p>
    <w:p w14:paraId="30F97841">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（10）根据合同约定指令或确认的现场签证；</w:t>
      </w:r>
    </w:p>
    <w:p w14:paraId="27B69E5B">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（11）专用条款约定需要发包人批准的其他事项。</w:t>
      </w:r>
    </w:p>
    <w:p w14:paraId="6E77C8DD">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补充以下内容：</w:t>
      </w:r>
    </w:p>
    <w:p w14:paraId="7BCBC1F9">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监理人代表行使合同明文规定和必然隐含的职权，代表发包人负责监督、检查合同工程的进度、质量和安全，试验和检验承包人使用的与合同工程有关的材料、工程设备、施工设备和施工工艺，及时向承包人提供工作所需的批准、确认和通知等指令。监理人代表无权免除或变更合同约定的合同任何一方当事人在合同履行期间的权利、义务和责任。</w:t>
      </w:r>
    </w:p>
    <w:p w14:paraId="028600E6">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监理人和发包人代表之间的授权/职权若存在交叉或冲突，以发包人代表的授权/职权为准。</w:t>
      </w:r>
    </w:p>
    <w:p w14:paraId="4334F609">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监理人应按照发包人的授权发出指示。监理人的指示应采用书面形式，并经其授权的监理人代表签字。紧急情况下，为了保证施工人员的安全或避免工程受损，监理人代表可以口头形式发出指示，该指示与书面形式的指示具有同等法律效力，但必须在发出口头指示后24小时内补发书面监理人指示，补发的书面监理人指示应与口头指示一致。</w:t>
      </w:r>
    </w:p>
    <w:p w14:paraId="6D652946">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监理人发出的指示应送达承包人项目经理或经项目经理授权接收的人员。</w:t>
      </w:r>
    </w:p>
    <w:p w14:paraId="29ADDC22">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承包人对监理人发出的指示有疑问的，应向监理人提出书面异议，监理人应在48小时内对该指示予以确认、更改或撤销。</w:t>
      </w:r>
    </w:p>
    <w:p w14:paraId="6E9358BC">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监理人对承包人的任何工作、工程或其采用的材料和工程设备的批准，不免除或减轻承包人对该工作、工程、材料、工程设备等应承担的责任和义务。</w:t>
      </w:r>
    </w:p>
    <w:p w14:paraId="7326C71A">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27.3 监理人职权限制</w:t>
      </w:r>
    </w:p>
    <w:p w14:paraId="4227C9A9">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监理人监督管理范围、内容：</w:t>
      </w:r>
    </w:p>
    <w:p w14:paraId="2C13AB41">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（1）监理人监督管理范围是本工程的所有工程内容，包括但不限于承包人、专业承包人、分包人等本工程全部参建单位承包的工程，具体应当以监理人合同的约定为准。</w:t>
      </w:r>
    </w:p>
    <w:p w14:paraId="465B6BA1">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（2）监理人代表在监督管理范围内，完成的工作：</w:t>
      </w:r>
    </w:p>
    <w:p w14:paraId="3D7FCC7E">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1）审批工程施工组织设计和技术方案，按照保质量、保工期和降低成本的原则，向承包人提出建议，并向发包人提出书面报告；</w:t>
      </w:r>
    </w:p>
    <w:p w14:paraId="118A1845">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2）主持工程建设有关协作单位的组织协调，重要协调事项应当事先向发包人报告；</w:t>
      </w:r>
    </w:p>
    <w:p w14:paraId="145F1A00">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3）在向发包人报告及征得发包人同意后，监理人代表有权发布开工通知、停工令、复工令。如在紧急情况下未能事先报告时，则应在24小时内向发包人做出书面报告；</w:t>
      </w:r>
    </w:p>
    <w:p w14:paraId="68897DCE">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4）工程使用的材料和施工质量的检验权。对于不符合设计要求、合同约定及/或国家质量标准的材料、设备及构配件，有权通知承包人停止使用。对于不符合规范和质量标准的工序、分部、分项工程和不安全施工作业，有权通知承包人停工整改、返工。承包人得到监理人代表复工令后才能复工。监理人代表对工程的检验认可不免除承包人对工程质量和安全应承担的任何责任，承包人仍然要对工程质量和施工安全承担全部责任；</w:t>
      </w:r>
    </w:p>
    <w:p w14:paraId="49EBF9B2">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5）工程施工进度的检查、监督权，以及工程实际竣工日期提前或超过工程施工合同约定的竣工期限的签认权；</w:t>
      </w:r>
    </w:p>
    <w:p w14:paraId="4AE55BF5">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6）国家、省、市及建设行政主管部门颁布的法律法规所赋予的监理人代表的权力。</w:t>
      </w:r>
    </w:p>
    <w:p w14:paraId="5E05D40F">
      <w:pPr>
        <w:spacing w:line="360" w:lineRule="auto"/>
        <w:ind w:firstLine="480" w:firstLineChars="200"/>
        <w:rPr>
          <w:rFonts w:ascii="仿宋" w:hAnsi="仿宋" w:eastAsia="仿宋" w:cs="仿宋"/>
          <w:lang w:eastAsia="zh-CN"/>
        </w:rPr>
      </w:pPr>
    </w:p>
    <w:p w14:paraId="2E2C4878">
      <w:pPr>
        <w:pStyle w:val="3"/>
        <w:tabs>
          <w:tab w:val="left" w:pos="420"/>
        </w:tabs>
        <w:spacing w:before="0" w:after="0" w:line="360" w:lineRule="auto"/>
        <w:rPr>
          <w:rFonts w:ascii="仿宋" w:hAnsi="仿宋" w:eastAsia="仿宋"/>
          <w:i w:val="0"/>
          <w:sz w:val="24"/>
          <w:szCs w:val="24"/>
          <w:lang w:eastAsia="zh-CN"/>
        </w:rPr>
      </w:pPr>
      <w:bookmarkStart w:id="888" w:name="_Toc194073236"/>
      <w:bookmarkStart w:id="889" w:name="_Toc19445"/>
      <w:bookmarkStart w:id="890" w:name="_Toc21981"/>
      <w:bookmarkStart w:id="891" w:name="_Toc66"/>
      <w:r>
        <w:rPr>
          <w:rFonts w:hint="eastAsia" w:ascii="仿宋" w:hAnsi="仿宋" w:eastAsia="仿宋" w:cs="仿宋"/>
          <w:b w:val="0"/>
          <w:bCs w:val="0"/>
          <w:i w:val="0"/>
          <w:sz w:val="24"/>
          <w:szCs w:val="24"/>
          <w:lang w:eastAsia="zh-CN"/>
        </w:rPr>
        <w:t>28.  造价咨询人</w:t>
      </w:r>
      <w:bookmarkEnd w:id="888"/>
      <w:bookmarkEnd w:id="889"/>
      <w:bookmarkEnd w:id="890"/>
      <w:bookmarkEnd w:id="891"/>
    </w:p>
    <w:p w14:paraId="54BA903A">
      <w:pPr>
        <w:spacing w:line="360" w:lineRule="auto"/>
        <w:ind w:firstLine="480" w:firstLineChars="200"/>
        <w:rPr>
          <w:rFonts w:ascii="仿宋" w:hAnsi="仿宋" w:eastAsia="仿宋" w:cs="仿宋"/>
          <w:lang w:eastAsia="zh-CN"/>
        </w:rPr>
      </w:pPr>
      <w:bookmarkStart w:id="892" w:name="_Toc9789"/>
      <w:r>
        <w:rPr>
          <w:rFonts w:hint="eastAsia" w:ascii="仿宋" w:hAnsi="仿宋" w:eastAsia="仿宋" w:cs="仿宋"/>
          <w:lang w:eastAsia="zh-CN"/>
        </w:rPr>
        <w:t>28.1 发包人对造价咨询人授权</w:t>
      </w:r>
      <w:bookmarkEnd w:id="892"/>
    </w:p>
    <w:p w14:paraId="758286D4">
      <w:pPr>
        <w:spacing w:line="360" w:lineRule="auto"/>
        <w:ind w:firstLine="480" w:firstLineChars="200"/>
        <w:rPr>
          <w:rFonts w:ascii="仿宋" w:hAnsi="仿宋" w:eastAsia="仿宋"/>
          <w:lang w:eastAsia="zh-CN"/>
        </w:rPr>
      </w:pPr>
      <w:r>
        <w:rPr>
          <w:rFonts w:hint="eastAsia" w:ascii="仿宋" w:hAnsi="仿宋" w:eastAsia="仿宋" w:cs="仿宋"/>
          <w:lang w:eastAsia="zh-CN"/>
        </w:rPr>
        <w:t>负责合同工程的造价咨询人及任命的造价咨询人代表</w:t>
      </w:r>
    </w:p>
    <w:p w14:paraId="70B5D042">
      <w:pPr>
        <w:spacing w:line="360" w:lineRule="auto"/>
        <w:ind w:firstLine="480" w:firstLineChars="200"/>
        <w:rPr>
          <w:rFonts w:ascii="仿宋" w:hAnsi="仿宋" w:eastAsia="仿宋"/>
          <w:lang w:eastAsia="zh-CN"/>
        </w:rPr>
      </w:pPr>
      <w:r>
        <w:rPr>
          <w:rFonts w:hint="eastAsia" w:ascii="仿宋" w:hAnsi="仿宋" w:eastAsia="仿宋" w:cs="仿宋"/>
          <w:lang w:eastAsia="zh-CN"/>
        </w:rPr>
        <w:t>①造价咨询人：</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法定代表人：</w:t>
      </w:r>
      <w:r>
        <w:rPr>
          <w:rFonts w:hint="eastAsia" w:ascii="仿宋" w:hAnsi="仿宋" w:eastAsia="仿宋" w:cs="仿宋"/>
          <w:u w:val="single"/>
          <w:lang w:eastAsia="zh-CN"/>
        </w:rPr>
        <w:t xml:space="preserve">            </w:t>
      </w:r>
    </w:p>
    <w:p w14:paraId="5E20DF48">
      <w:pPr>
        <w:spacing w:line="360" w:lineRule="auto"/>
        <w:ind w:firstLine="480" w:firstLineChars="200"/>
        <w:rPr>
          <w:rFonts w:ascii="仿宋" w:hAnsi="仿宋" w:eastAsia="仿宋"/>
          <w:lang w:eastAsia="zh-CN"/>
        </w:rPr>
      </w:pPr>
      <w:r>
        <w:rPr>
          <w:rFonts w:hint="eastAsia" w:ascii="仿宋" w:hAnsi="仿宋" w:eastAsia="仿宋" w:cs="仿宋"/>
          <w:lang w:eastAsia="zh-CN"/>
        </w:rPr>
        <w:t>②任命（              ）为造价咨询人代表，其通讯方式为</w:t>
      </w:r>
    </w:p>
    <w:p w14:paraId="1982DC68">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通讯地址：</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邮政编码：</w:t>
      </w:r>
      <w:r>
        <w:rPr>
          <w:rFonts w:hint="eastAsia" w:ascii="仿宋" w:hAnsi="仿宋" w:eastAsia="仿宋" w:cs="仿宋"/>
          <w:u w:val="single"/>
          <w:lang w:eastAsia="zh-CN"/>
        </w:rPr>
        <w:t xml:space="preserve">              </w:t>
      </w:r>
    </w:p>
    <w:p w14:paraId="3EEA3B61">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联系电话：</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传真号码：</w:t>
      </w:r>
      <w:r>
        <w:rPr>
          <w:rFonts w:hint="eastAsia" w:ascii="仿宋" w:hAnsi="仿宋" w:eastAsia="仿宋" w:cs="仿宋"/>
          <w:u w:val="single"/>
          <w:lang w:eastAsia="zh-CN"/>
        </w:rPr>
        <w:t xml:space="preserve">              </w:t>
      </w:r>
    </w:p>
    <w:p w14:paraId="1F5195A2">
      <w:pPr>
        <w:spacing w:line="360" w:lineRule="auto"/>
        <w:ind w:firstLine="480" w:firstLineChars="200"/>
        <w:rPr>
          <w:rFonts w:ascii="仿宋" w:hAnsi="仿宋" w:eastAsia="仿宋" w:cs="仿宋"/>
          <w:lang w:eastAsia="zh-CN"/>
        </w:rPr>
      </w:pPr>
      <w:bookmarkStart w:id="893" w:name="_Toc22730"/>
      <w:r>
        <w:rPr>
          <w:rFonts w:hint="eastAsia" w:ascii="仿宋" w:hAnsi="仿宋" w:eastAsia="仿宋" w:cs="仿宋"/>
          <w:lang w:eastAsia="zh-CN"/>
        </w:rPr>
        <w:t>28.3 造价咨询人职权</w:t>
      </w:r>
      <w:bookmarkEnd w:id="893"/>
    </w:p>
    <w:p w14:paraId="782CD6F5">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（7）需要发包人批准的其他事项：</w:t>
      </w:r>
      <w:r>
        <w:rPr>
          <w:rFonts w:hint="eastAsia" w:ascii="仿宋" w:hAnsi="仿宋" w:eastAsia="仿宋" w:cs="仿宋"/>
          <w:u w:val="single"/>
          <w:lang w:eastAsia="zh-CN"/>
        </w:rPr>
        <w:t xml:space="preserve"> （以造价咨询合同约定为准）</w:t>
      </w:r>
      <w:r>
        <w:rPr>
          <w:rFonts w:hint="eastAsia" w:ascii="仿宋" w:hAnsi="仿宋" w:eastAsia="仿宋" w:cs="仿宋"/>
          <w:lang w:eastAsia="zh-CN"/>
        </w:rPr>
        <w:t>。</w:t>
      </w:r>
    </w:p>
    <w:p w14:paraId="6B2B2CB4">
      <w:pPr>
        <w:spacing w:line="360" w:lineRule="auto"/>
        <w:ind w:firstLine="480" w:firstLineChars="200"/>
        <w:rPr>
          <w:rFonts w:ascii="仿宋" w:hAnsi="仿宋" w:eastAsia="仿宋" w:cs="仿宋"/>
          <w:lang w:eastAsia="zh-CN"/>
        </w:rPr>
      </w:pPr>
    </w:p>
    <w:p w14:paraId="579BD00B">
      <w:pPr>
        <w:pStyle w:val="3"/>
        <w:tabs>
          <w:tab w:val="left" w:pos="420"/>
        </w:tabs>
        <w:spacing w:before="0" w:after="0" w:line="360" w:lineRule="auto"/>
        <w:rPr>
          <w:rFonts w:ascii="仿宋" w:hAnsi="仿宋" w:eastAsia="仿宋"/>
          <w:i w:val="0"/>
          <w:sz w:val="24"/>
          <w:szCs w:val="24"/>
          <w:lang w:eastAsia="zh-CN"/>
        </w:rPr>
      </w:pPr>
      <w:bookmarkStart w:id="894" w:name="_Toc409"/>
      <w:bookmarkStart w:id="895" w:name="_Toc194073237"/>
      <w:bookmarkStart w:id="896" w:name="_Toc12631"/>
      <w:bookmarkStart w:id="897" w:name="_Toc12899"/>
      <w:r>
        <w:rPr>
          <w:rFonts w:hint="eastAsia" w:ascii="仿宋" w:hAnsi="仿宋" w:eastAsia="仿宋" w:cs="仿宋"/>
          <w:b w:val="0"/>
          <w:bCs w:val="0"/>
          <w:i w:val="0"/>
          <w:sz w:val="24"/>
          <w:szCs w:val="24"/>
          <w:lang w:eastAsia="zh-CN"/>
        </w:rPr>
        <w:t>29.  承包人代表及其专业负责人</w:t>
      </w:r>
      <w:bookmarkEnd w:id="894"/>
      <w:bookmarkEnd w:id="895"/>
      <w:bookmarkEnd w:id="896"/>
      <w:bookmarkEnd w:id="897"/>
    </w:p>
    <w:p w14:paraId="5F043071">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29.1 承包人对其代表授权</w:t>
      </w:r>
    </w:p>
    <w:p w14:paraId="3BA619FD">
      <w:pPr>
        <w:spacing w:line="360" w:lineRule="auto"/>
        <w:ind w:firstLine="480" w:firstLineChars="200"/>
        <w:rPr>
          <w:rFonts w:ascii="仿宋" w:hAnsi="仿宋" w:eastAsia="仿宋"/>
          <w:lang w:eastAsia="zh-CN"/>
        </w:rPr>
      </w:pPr>
      <w:r>
        <w:rPr>
          <w:rFonts w:hint="eastAsia" w:ascii="仿宋" w:hAnsi="仿宋" w:eastAsia="仿宋" w:cs="仿宋"/>
          <w:lang w:eastAsia="zh-CN"/>
        </w:rPr>
        <w:t>承包人代表：承包人任命（              ）为承包人代表，其通讯方式为</w:t>
      </w:r>
    </w:p>
    <w:p w14:paraId="659A7708">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通讯地址：</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邮政编码：</w:t>
      </w:r>
      <w:r>
        <w:rPr>
          <w:rFonts w:hint="eastAsia" w:ascii="仿宋" w:hAnsi="仿宋" w:eastAsia="仿宋" w:cs="仿宋"/>
          <w:u w:val="single"/>
          <w:lang w:eastAsia="zh-CN"/>
        </w:rPr>
        <w:t xml:space="preserve">              </w:t>
      </w:r>
    </w:p>
    <w:p w14:paraId="5F50B8D2">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联系电话：</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传真号码：</w:t>
      </w:r>
      <w:r>
        <w:rPr>
          <w:rFonts w:hint="eastAsia" w:ascii="仿宋" w:hAnsi="仿宋" w:eastAsia="仿宋" w:cs="仿宋"/>
          <w:u w:val="single"/>
          <w:lang w:eastAsia="zh-CN"/>
        </w:rPr>
        <w:t xml:space="preserve">              </w:t>
      </w:r>
    </w:p>
    <w:p w14:paraId="43468642">
      <w:pPr>
        <w:spacing w:line="360" w:lineRule="auto"/>
        <w:ind w:firstLine="480" w:firstLineChars="200"/>
        <w:rPr>
          <w:rFonts w:ascii="仿宋" w:hAnsi="仿宋" w:eastAsia="仿宋"/>
          <w:lang w:eastAsia="zh-CN"/>
        </w:rPr>
      </w:pPr>
      <w:r>
        <w:rPr>
          <w:rFonts w:hint="eastAsia" w:ascii="仿宋" w:hAnsi="仿宋" w:eastAsia="仿宋" w:cs="仿宋"/>
          <w:lang w:eastAsia="zh-CN"/>
        </w:rPr>
        <w:t>□勘察负责人：承包人任命（              ）为勘察负责人，其通讯方式为</w:t>
      </w:r>
    </w:p>
    <w:p w14:paraId="40F58670">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通讯地址：</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邮政编码：</w:t>
      </w:r>
      <w:r>
        <w:rPr>
          <w:rFonts w:hint="eastAsia" w:ascii="仿宋" w:hAnsi="仿宋" w:eastAsia="仿宋" w:cs="仿宋"/>
          <w:u w:val="single"/>
          <w:lang w:eastAsia="zh-CN"/>
        </w:rPr>
        <w:t xml:space="preserve">              </w:t>
      </w:r>
    </w:p>
    <w:p w14:paraId="7260B18F">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联系电话：</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传真号码：</w:t>
      </w:r>
      <w:r>
        <w:rPr>
          <w:rFonts w:hint="eastAsia" w:ascii="仿宋" w:hAnsi="仿宋" w:eastAsia="仿宋" w:cs="仿宋"/>
          <w:u w:val="single"/>
          <w:lang w:eastAsia="zh-CN"/>
        </w:rPr>
        <w:t xml:space="preserve">              </w:t>
      </w:r>
    </w:p>
    <w:p w14:paraId="20CDD860">
      <w:pPr>
        <w:spacing w:line="360" w:lineRule="auto"/>
        <w:ind w:firstLine="480" w:firstLineChars="200"/>
        <w:rPr>
          <w:rFonts w:ascii="仿宋" w:hAnsi="仿宋" w:eastAsia="仿宋"/>
          <w:lang w:eastAsia="zh-CN"/>
        </w:rPr>
      </w:pPr>
      <w:r>
        <w:rPr>
          <w:rFonts w:hint="eastAsia" w:ascii="仿宋" w:hAnsi="仿宋" w:eastAsia="仿宋" w:cs="仿宋"/>
          <w:lang w:eastAsia="zh-CN"/>
        </w:rPr>
        <w:t>□设计负责人：承包人任命（              ）为设计负责人，其通讯方式为</w:t>
      </w:r>
    </w:p>
    <w:p w14:paraId="751DF15F">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通讯地址：</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邮政编码：</w:t>
      </w:r>
      <w:r>
        <w:rPr>
          <w:rFonts w:hint="eastAsia" w:ascii="仿宋" w:hAnsi="仿宋" w:eastAsia="仿宋" w:cs="仿宋"/>
          <w:u w:val="single"/>
          <w:lang w:eastAsia="zh-CN"/>
        </w:rPr>
        <w:t xml:space="preserve">              </w:t>
      </w:r>
    </w:p>
    <w:p w14:paraId="397D0300">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联系电话：</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传真号码：</w:t>
      </w:r>
      <w:r>
        <w:rPr>
          <w:rFonts w:hint="eastAsia" w:ascii="仿宋" w:hAnsi="仿宋" w:eastAsia="仿宋" w:cs="仿宋"/>
          <w:u w:val="single"/>
          <w:lang w:eastAsia="zh-CN"/>
        </w:rPr>
        <w:t xml:space="preserve">              </w:t>
      </w:r>
    </w:p>
    <w:p w14:paraId="560E7A70">
      <w:pPr>
        <w:spacing w:line="360" w:lineRule="auto"/>
        <w:ind w:firstLine="480" w:firstLineChars="200"/>
        <w:rPr>
          <w:rFonts w:ascii="仿宋" w:hAnsi="仿宋" w:eastAsia="仿宋"/>
          <w:lang w:eastAsia="zh-CN"/>
        </w:rPr>
      </w:pPr>
      <w:r>
        <w:rPr>
          <w:rFonts w:hint="eastAsia" w:ascii="仿宋" w:hAnsi="仿宋" w:eastAsia="仿宋" w:cs="仿宋"/>
          <w:lang w:eastAsia="zh-CN"/>
        </w:rPr>
        <w:t>□施工负责人：承包人任命（              ）为施工负责人，其通讯方式为</w:t>
      </w:r>
    </w:p>
    <w:p w14:paraId="611757A7">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通讯地址：</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邮政编码：</w:t>
      </w:r>
      <w:r>
        <w:rPr>
          <w:rFonts w:hint="eastAsia" w:ascii="仿宋" w:hAnsi="仿宋" w:eastAsia="仿宋" w:cs="仿宋"/>
          <w:u w:val="single"/>
          <w:lang w:eastAsia="zh-CN"/>
        </w:rPr>
        <w:t xml:space="preserve">              </w:t>
      </w:r>
    </w:p>
    <w:p w14:paraId="0D68359E">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联系电话：</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传真号码：</w:t>
      </w:r>
      <w:r>
        <w:rPr>
          <w:rFonts w:hint="eastAsia" w:ascii="仿宋" w:hAnsi="仿宋" w:eastAsia="仿宋" w:cs="仿宋"/>
          <w:u w:val="single"/>
          <w:lang w:eastAsia="zh-CN"/>
        </w:rPr>
        <w:t xml:space="preserve">              </w:t>
      </w:r>
    </w:p>
    <w:p w14:paraId="170880B1">
      <w:pPr>
        <w:spacing w:line="400" w:lineRule="exact"/>
        <w:ind w:firstLine="480" w:firstLineChars="200"/>
        <w:rPr>
          <w:rFonts w:ascii="仿宋" w:hAnsi="仿宋" w:eastAsia="仿宋" w:cs="仿宋"/>
          <w:lang w:eastAsia="zh-CN"/>
        </w:rPr>
      </w:pPr>
    </w:p>
    <w:p w14:paraId="097498B8">
      <w:pPr>
        <w:pStyle w:val="3"/>
        <w:tabs>
          <w:tab w:val="left" w:pos="420"/>
        </w:tabs>
        <w:spacing w:before="0" w:after="0" w:line="360" w:lineRule="auto"/>
        <w:rPr>
          <w:rFonts w:ascii="仿宋" w:hAnsi="仿宋" w:eastAsia="仿宋"/>
          <w:i w:val="0"/>
          <w:sz w:val="24"/>
          <w:szCs w:val="24"/>
          <w:lang w:eastAsia="zh-CN"/>
        </w:rPr>
      </w:pPr>
      <w:bookmarkStart w:id="898" w:name="_Toc194073238"/>
      <w:bookmarkStart w:id="899" w:name="_Toc24135"/>
      <w:bookmarkStart w:id="900" w:name="_Toc7381"/>
      <w:bookmarkStart w:id="901" w:name="_Toc14334"/>
      <w:r>
        <w:rPr>
          <w:rFonts w:hint="eastAsia" w:ascii="仿宋" w:hAnsi="仿宋" w:eastAsia="仿宋" w:cs="仿宋"/>
          <w:b w:val="0"/>
          <w:bCs w:val="0"/>
          <w:i w:val="0"/>
          <w:sz w:val="24"/>
          <w:szCs w:val="24"/>
          <w:lang w:eastAsia="zh-CN"/>
        </w:rPr>
        <w:t>32.  工程担保</w:t>
      </w:r>
      <w:bookmarkEnd w:id="898"/>
      <w:bookmarkEnd w:id="899"/>
      <w:bookmarkEnd w:id="900"/>
      <w:bookmarkEnd w:id="901"/>
    </w:p>
    <w:p w14:paraId="5EBF1290">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32.1 承包人提供履约担保的约定</w:t>
      </w:r>
    </w:p>
    <w:p w14:paraId="542C156B">
      <w:pPr>
        <w:pStyle w:val="17"/>
        <w:spacing w:line="360" w:lineRule="auto"/>
        <w:rPr>
          <w:rFonts w:ascii="仿宋" w:hAnsi="仿宋" w:eastAsia="仿宋" w:cs="仿宋"/>
          <w:lang w:eastAsia="zh-CN"/>
        </w:rPr>
      </w:pPr>
      <w:r>
        <w:rPr>
          <w:rFonts w:hint="eastAsia" w:ascii="仿宋" w:hAnsi="仿宋" w:eastAsia="仿宋" w:cs="仿宋"/>
          <w:lang w:eastAsia="zh-CN"/>
        </w:rPr>
        <w:t xml:space="preserve">     承包人是否提供履约保函： </w:t>
      </w:r>
    </w:p>
    <w:p w14:paraId="04ACF3E2">
      <w:pPr>
        <w:pStyle w:val="17"/>
        <w:spacing w:line="360" w:lineRule="auto"/>
        <w:ind w:firstLine="480" w:firstLineChars="200"/>
        <w:rPr>
          <w:rFonts w:hint="eastAsia" w:ascii="Wingdings 2" w:hAnsi="Wingdings 2" w:eastAsia="仿宋" w:cs="Wingdings 2"/>
          <w:u w:val="single"/>
          <w:lang w:eastAsia="zh-CN"/>
        </w:rPr>
      </w:pPr>
      <w:r>
        <w:rPr>
          <w:rFonts w:hint="eastAsia" w:ascii="仿宋" w:hAnsi="仿宋" w:eastAsia="仿宋" w:cs="仿宋"/>
          <w:lang w:eastAsia="zh-CN" w:bidi="en-US"/>
        </w:rPr>
        <w:sym w:font="Wingdings 2" w:char="F0A3"/>
      </w:r>
      <w:r>
        <w:rPr>
          <w:rFonts w:hint="eastAsia" w:ascii="仿宋" w:hAnsi="仿宋" w:eastAsia="仿宋" w:cs="仿宋"/>
          <w:lang w:eastAsia="zh-CN" w:bidi="en-US"/>
        </w:rPr>
        <w:t>不需提供</w:t>
      </w:r>
      <w:r>
        <w:rPr>
          <w:rFonts w:ascii="Wingdings 2" w:hAnsi="Wingdings 2" w:eastAsia="仿宋" w:cs="Wingdings 2"/>
          <w:u w:val="single"/>
          <w:lang w:eastAsia="zh-CN"/>
        </w:rPr>
        <w:t>：</w:t>
      </w:r>
      <w:r>
        <w:rPr>
          <w:rFonts w:hint="eastAsia" w:ascii="仿宋" w:hAnsi="仿宋" w:eastAsia="仿宋" w:cs="仿宋"/>
          <w:u w:val="single"/>
          <w:lang w:eastAsia="zh-CN"/>
        </w:rPr>
        <w:t xml:space="preserve">                              </w:t>
      </w:r>
      <w:r>
        <w:rPr>
          <w:rFonts w:hint="eastAsia" w:ascii="仿宋" w:hAnsi="仿宋" w:eastAsia="仿宋" w:cs="仿宋"/>
          <w:lang w:eastAsia="zh-CN" w:bidi="en-US"/>
        </w:rPr>
        <w:t xml:space="preserve">             </w:t>
      </w:r>
    </w:p>
    <w:p w14:paraId="7ADF27B0">
      <w:pPr>
        <w:pStyle w:val="17"/>
        <w:spacing w:line="360" w:lineRule="auto"/>
        <w:ind w:firstLine="480" w:firstLineChars="200"/>
        <w:rPr>
          <w:lang w:eastAsia="zh-CN"/>
        </w:rPr>
      </w:pPr>
      <w:r>
        <w:rPr>
          <w:rFonts w:hint="eastAsia" w:ascii="Wingdings 2" w:hAnsi="Wingdings 2" w:eastAsia="仿宋" w:cs="Wingdings 2"/>
          <w:u w:val="single"/>
          <w:lang w:eastAsia="zh-CN"/>
        </w:rPr>
        <w:sym w:font="Wingdings 2" w:char="F052"/>
      </w:r>
      <w:r>
        <w:rPr>
          <w:rFonts w:ascii="Wingdings 2" w:hAnsi="Wingdings 2" w:eastAsia="仿宋" w:cs="Wingdings 2"/>
          <w:u w:val="single"/>
          <w:lang w:eastAsia="zh-CN"/>
        </w:rPr>
        <w:t>按约定提供履约担保，内容如下：</w:t>
      </w:r>
    </w:p>
    <w:p w14:paraId="4061A68A">
      <w:pPr>
        <w:spacing w:line="360" w:lineRule="auto"/>
        <w:ind w:firstLine="480" w:firstLineChars="200"/>
        <w:rPr>
          <w:rFonts w:ascii="仿宋" w:hAnsi="仿宋" w:eastAsia="仿宋"/>
          <w:lang w:eastAsia="zh-CN"/>
        </w:rPr>
      </w:pPr>
      <w:r>
        <w:rPr>
          <w:rFonts w:hint="eastAsia" w:ascii="仿宋" w:hAnsi="仿宋" w:eastAsia="仿宋" w:cs="仿宋"/>
          <w:lang w:eastAsia="zh-CN"/>
        </w:rPr>
        <w:t>①履约担保的金额：（大写）</w:t>
      </w:r>
      <w:r>
        <w:rPr>
          <w:rFonts w:hint="eastAsia" w:ascii="仿宋" w:hAnsi="仿宋" w:eastAsia="仿宋" w:cs="仿宋"/>
          <w:u w:val="single"/>
          <w:lang w:eastAsia="zh-CN"/>
        </w:rPr>
        <w:t xml:space="preserve">                    元</w:t>
      </w:r>
      <w:r>
        <w:rPr>
          <w:rFonts w:hint="eastAsia" w:ascii="仿宋" w:hAnsi="仿宋" w:eastAsia="仿宋" w:cs="仿宋"/>
          <w:lang w:eastAsia="zh-CN"/>
        </w:rPr>
        <w:t>（小写</w:t>
      </w:r>
      <w:r>
        <w:rPr>
          <w:rFonts w:hint="eastAsia" w:ascii="仿宋" w:hAnsi="仿宋" w:eastAsia="仿宋" w:cs="仿宋"/>
          <w:u w:val="single"/>
          <w:lang w:eastAsia="zh-CN"/>
        </w:rPr>
        <w:t xml:space="preserve">            </w:t>
      </w:r>
      <w:r>
        <w:rPr>
          <w:rFonts w:hint="eastAsia" w:ascii="仿宋" w:hAnsi="仿宋" w:eastAsia="仿宋" w:cs="仿宋"/>
          <w:lang w:eastAsia="zh-CN"/>
        </w:rPr>
        <w:t>元）</w:t>
      </w:r>
    </w:p>
    <w:p w14:paraId="37333341">
      <w:pPr>
        <w:spacing w:line="360" w:lineRule="auto"/>
        <w:ind w:firstLine="480" w:firstLineChars="200"/>
        <w:rPr>
          <w:rFonts w:ascii="仿宋" w:hAnsi="仿宋" w:eastAsia="仿宋"/>
          <w:lang w:eastAsia="zh-CN"/>
        </w:rPr>
      </w:pPr>
      <w:r>
        <w:rPr>
          <w:rFonts w:hint="eastAsia" w:ascii="仿宋" w:hAnsi="仿宋" w:eastAsia="仿宋" w:cs="仿宋"/>
          <w:lang w:eastAsia="zh-CN"/>
        </w:rPr>
        <w:t>②提供履约担保的时间：</w:t>
      </w:r>
      <w:r>
        <w:rPr>
          <w:rFonts w:hint="eastAsia" w:ascii="仿宋" w:hAnsi="仿宋" w:eastAsia="仿宋" w:cs="仿宋"/>
          <w:u w:val="single"/>
          <w:lang w:eastAsia="zh-CN"/>
        </w:rPr>
        <w:t>在合同签订之日起10天内提供。</w:t>
      </w:r>
    </w:p>
    <w:p w14:paraId="390317AC">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③履约担保的形式</w:t>
      </w:r>
    </w:p>
    <w:p w14:paraId="2DAD230B">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履约担保的方式、金额及期限:</w:t>
      </w:r>
    </w:p>
    <w:p w14:paraId="139A0174">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32.1.1 担保金额为合同中标价款的10%。若为联合体中标的，履约担保函可以由联合体单位的任意一家或多家提供，履约担保金额累加为合同中标价款的10%；</w:t>
      </w:r>
    </w:p>
    <w:p w14:paraId="7FE876AA">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32.1.2 承包人按照发包人规定的形式、金额提供履约担保，履约担保为银行转账或银行保函，金额为中标合同金额的10%。如采用银行保函，承包人提供的银行保函应为国内商业银行不可撤销的无条件履约保函，提供履约保函所发生的费用由保函申请人承担。</w:t>
      </w:r>
    </w:p>
    <w:p w14:paraId="698777AD">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32.1.3 承包人不履行承包合同的，发包人可以要求担保银行承担担保责任。</w:t>
      </w:r>
    </w:p>
    <w:p w14:paraId="6752B6C3">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32.1.4 履约担保期限和退还：</w:t>
      </w:r>
    </w:p>
    <w:p w14:paraId="235ACC01">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履约担保的有效期，是从履约担保提交之日起至工程竣工验收合格后28天。发包人应在担保有效期满后的28天内将履约担保（包含履约保函和现金担保（若有））退还给承包人（现金担保不计利息）。履约担保的有效期早于合同约定的期限截止时，承包人必须在履约担保的有效期届满前15天延长，相应的费用由承包人自行承担。若承包人未能延长履约担保有效期，或在承包人提供延期后的有效履约担保前，发包人有权暂停付款，或有权在应付承包人的工程款中扣除相应的金额作为履约保证金。</w:t>
      </w:r>
    </w:p>
    <w:p w14:paraId="69FBCF67">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32.1.5 向发包人支付索赔款项：</w:t>
      </w:r>
    </w:p>
    <w:p w14:paraId="27DA767B">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发包人在对履约担保提出索赔要求之前，应书面通知承包人，说明导致此项索赔的原因，并及时向担保人提出索赔文件。担保人根据担保合同/保函的约定在担保范围内承担担保责任，并无须征得承包人的同意，直接向发包人支付索赔价款。</w:t>
      </w:r>
    </w:p>
    <w:p w14:paraId="448EF301">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32.4发包人提供支付担保：发包人无需提交支付担保。</w:t>
      </w:r>
    </w:p>
    <w:p w14:paraId="654A4A11">
      <w:pPr>
        <w:pStyle w:val="3"/>
        <w:tabs>
          <w:tab w:val="left" w:pos="420"/>
        </w:tabs>
        <w:spacing w:before="0" w:after="0" w:line="360" w:lineRule="auto"/>
        <w:rPr>
          <w:rFonts w:ascii="仿宋" w:hAnsi="仿宋" w:eastAsia="仿宋" w:cs="仿宋"/>
          <w:b w:val="0"/>
          <w:bCs w:val="0"/>
          <w:i w:val="0"/>
          <w:sz w:val="24"/>
          <w:szCs w:val="24"/>
          <w:lang w:eastAsia="zh-CN"/>
        </w:rPr>
      </w:pPr>
      <w:bookmarkStart w:id="902" w:name="_Toc10204"/>
      <w:bookmarkStart w:id="903" w:name="_Toc194073239"/>
      <w:bookmarkStart w:id="904" w:name="_Toc5861"/>
      <w:r>
        <w:rPr>
          <w:rFonts w:hint="eastAsia" w:ascii="仿宋" w:hAnsi="仿宋" w:eastAsia="仿宋" w:cs="仿宋"/>
          <w:b w:val="0"/>
          <w:bCs w:val="0"/>
          <w:i w:val="0"/>
          <w:sz w:val="24"/>
          <w:szCs w:val="24"/>
          <w:lang w:eastAsia="zh-CN"/>
        </w:rPr>
        <w:t xml:space="preserve">33.  </w:t>
      </w:r>
      <w:bookmarkStart w:id="905" w:name="_Toc8265"/>
      <w:r>
        <w:rPr>
          <w:rFonts w:hint="eastAsia" w:ascii="仿宋" w:hAnsi="仿宋" w:eastAsia="仿宋" w:cs="仿宋"/>
          <w:b w:val="0"/>
          <w:bCs w:val="0"/>
          <w:i w:val="0"/>
          <w:sz w:val="24"/>
          <w:szCs w:val="24"/>
          <w:lang w:eastAsia="zh-CN"/>
        </w:rPr>
        <w:t>发包人风险</w:t>
      </w:r>
      <w:bookmarkEnd w:id="902"/>
      <w:bookmarkEnd w:id="903"/>
      <w:bookmarkEnd w:id="904"/>
      <w:bookmarkEnd w:id="905"/>
    </w:p>
    <w:p w14:paraId="67179BAA">
      <w:pPr>
        <w:spacing w:line="360" w:lineRule="auto"/>
        <w:ind w:firstLine="480" w:firstLineChars="200"/>
        <w:rPr>
          <w:rFonts w:ascii="仿宋" w:hAnsi="仿宋" w:eastAsia="仿宋" w:cs="仿宋"/>
          <w:bCs/>
          <w:lang w:eastAsia="zh-CN"/>
        </w:rPr>
      </w:pPr>
      <w:r>
        <w:rPr>
          <w:rFonts w:hint="eastAsia" w:ascii="仿宋" w:hAnsi="仿宋" w:eastAsia="仿宋" w:cs="仿宋"/>
          <w:bCs/>
          <w:lang w:eastAsia="zh-CN"/>
        </w:rPr>
        <w:t>33.2发包人风险</w:t>
      </w:r>
    </w:p>
    <w:p w14:paraId="3EEF26E4">
      <w:pPr>
        <w:spacing w:line="360" w:lineRule="auto"/>
        <w:ind w:firstLine="480" w:firstLineChars="200"/>
        <w:rPr>
          <w:rFonts w:ascii="仿宋" w:hAnsi="仿宋" w:eastAsia="仿宋" w:cs="仿宋"/>
          <w:lang w:eastAsia="zh-CN"/>
        </w:rPr>
      </w:pPr>
      <w:r>
        <w:rPr>
          <w:rFonts w:hint="eastAsia" w:ascii="仿宋" w:hAnsi="仿宋" w:eastAsia="仿宋" w:cs="仿宋"/>
          <w:bCs/>
          <w:lang w:eastAsia="zh-CN"/>
        </w:rPr>
        <w:t>（9）其他风险：</w:t>
      </w:r>
      <w:r>
        <w:rPr>
          <w:rFonts w:hint="eastAsia" w:ascii="仿宋" w:hAnsi="仿宋" w:eastAsia="仿宋" w:cs="仿宋"/>
          <w:u w:val="single"/>
          <w:lang w:eastAsia="zh-CN"/>
        </w:rPr>
        <w:t xml:space="preserve">   无                      </w:t>
      </w:r>
    </w:p>
    <w:p w14:paraId="43C96554">
      <w:pPr>
        <w:pStyle w:val="3"/>
        <w:tabs>
          <w:tab w:val="left" w:pos="420"/>
        </w:tabs>
        <w:spacing w:before="0" w:after="0" w:line="360" w:lineRule="auto"/>
        <w:rPr>
          <w:rFonts w:ascii="仿宋" w:hAnsi="仿宋" w:eastAsia="仿宋"/>
          <w:i w:val="0"/>
          <w:sz w:val="24"/>
          <w:szCs w:val="24"/>
          <w:lang w:eastAsia="zh-CN"/>
        </w:rPr>
      </w:pPr>
      <w:bookmarkStart w:id="906" w:name="_Toc17690"/>
      <w:bookmarkStart w:id="907" w:name="_Toc194073240"/>
      <w:bookmarkStart w:id="908" w:name="_Toc25331"/>
      <w:bookmarkStart w:id="909" w:name="_Toc8183"/>
      <w:r>
        <w:rPr>
          <w:rFonts w:hint="eastAsia" w:ascii="仿宋" w:hAnsi="仿宋" w:eastAsia="仿宋" w:cs="仿宋"/>
          <w:b w:val="0"/>
          <w:bCs w:val="0"/>
          <w:i w:val="0"/>
          <w:sz w:val="24"/>
          <w:szCs w:val="24"/>
          <w:lang w:eastAsia="zh-CN"/>
        </w:rPr>
        <w:t>35.  不可抗力</w:t>
      </w:r>
      <w:bookmarkEnd w:id="906"/>
      <w:bookmarkEnd w:id="907"/>
      <w:bookmarkEnd w:id="908"/>
      <w:bookmarkEnd w:id="909"/>
    </w:p>
    <w:p w14:paraId="32AA202E">
      <w:pPr>
        <w:spacing w:line="360" w:lineRule="auto"/>
        <w:ind w:firstLine="480" w:firstLineChars="200"/>
        <w:rPr>
          <w:rFonts w:ascii="仿宋" w:hAnsi="仿宋" w:eastAsia="仿宋" w:cs="仿宋"/>
          <w:bCs/>
          <w:lang w:eastAsia="zh-CN"/>
        </w:rPr>
      </w:pPr>
      <w:r>
        <w:rPr>
          <w:rFonts w:hint="eastAsia" w:ascii="仿宋" w:hAnsi="仿宋" w:eastAsia="仿宋" w:cs="仿宋"/>
          <w:bCs/>
          <w:lang w:eastAsia="zh-CN"/>
        </w:rPr>
        <w:t>35.1</w:t>
      </w:r>
      <w:r>
        <w:rPr>
          <w:rFonts w:hint="eastAsia" w:ascii="仿宋" w:hAnsi="仿宋" w:eastAsia="仿宋" w:cs="仿宋"/>
          <w:lang w:eastAsia="zh-CN"/>
        </w:rPr>
        <w:t>除通用合同条件约定的不可抗力事件之外，视为不可抗力的其他情形</w:t>
      </w:r>
      <w:r>
        <w:rPr>
          <w:rFonts w:hint="eastAsia" w:ascii="仿宋" w:hAnsi="仿宋" w:eastAsia="仿宋" w:cs="仿宋"/>
          <w:bCs/>
          <w:lang w:eastAsia="zh-CN"/>
        </w:rPr>
        <w:t>：</w:t>
      </w:r>
    </w:p>
    <w:p w14:paraId="599F6430">
      <w:pPr>
        <w:adjustRightInd w:val="0"/>
        <w:snapToGrid w:val="0"/>
        <w:spacing w:line="360" w:lineRule="auto"/>
        <w:ind w:firstLine="480" w:firstLineChars="200"/>
        <w:jc w:val="both"/>
        <w:rPr>
          <w:rFonts w:ascii="仿宋" w:hAnsi="仿宋" w:eastAsia="仿宋"/>
          <w:u w:val="single"/>
          <w:lang w:eastAsia="zh-CN"/>
        </w:rPr>
      </w:pPr>
      <w:r>
        <w:rPr>
          <w:rFonts w:hint="eastAsia" w:ascii="仿宋" w:hAnsi="仿宋" w:eastAsia="仿宋" w:cs="仿宋"/>
          <w:u w:val="single"/>
          <w:lang w:eastAsia="zh-CN"/>
        </w:rPr>
        <w:t>（1）</w:t>
      </w:r>
      <w:r>
        <w:rPr>
          <w:rFonts w:hint="eastAsia" w:ascii="仿宋" w:hAnsi="仿宋" w:eastAsia="仿宋"/>
          <w:u w:val="single"/>
          <w:lang w:eastAsia="zh-CN"/>
        </w:rPr>
        <w:t>暴雨红色预警信号、高温红色预警信号、雷雨黄色预警信号及台风黄色预警信号及其以上的恶劣气候，直接影响本工程无法正常施工的情形；</w:t>
      </w:r>
    </w:p>
    <w:p w14:paraId="26E2366A">
      <w:pPr>
        <w:numPr>
          <w:ilvl w:val="0"/>
          <w:numId w:val="37"/>
        </w:numPr>
        <w:adjustRightInd w:val="0"/>
        <w:snapToGrid w:val="0"/>
        <w:spacing w:line="360" w:lineRule="auto"/>
        <w:ind w:left="0" w:firstLine="480" w:firstLineChars="200"/>
        <w:jc w:val="both"/>
        <w:rPr>
          <w:rFonts w:ascii="仿宋" w:hAnsi="仿宋" w:eastAsia="仿宋"/>
          <w:u w:val="single"/>
          <w:lang w:eastAsia="zh-CN"/>
        </w:rPr>
      </w:pPr>
      <w:r>
        <w:rPr>
          <w:rFonts w:hint="eastAsia" w:ascii="仿宋" w:hAnsi="仿宋" w:eastAsia="仿宋"/>
          <w:u w:val="single"/>
          <w:lang w:eastAsia="zh-CN"/>
        </w:rPr>
        <w:t>当地地震部门规定可列入不可抗力的情形；</w:t>
      </w:r>
    </w:p>
    <w:p w14:paraId="14EC2709">
      <w:pPr>
        <w:tabs>
          <w:tab w:val="left" w:pos="960"/>
        </w:tabs>
        <w:adjustRightInd w:val="0"/>
        <w:snapToGrid w:val="0"/>
        <w:spacing w:line="360" w:lineRule="auto"/>
        <w:ind w:firstLine="480" w:firstLineChars="200"/>
        <w:jc w:val="both"/>
        <w:rPr>
          <w:rFonts w:ascii="仿宋" w:hAnsi="仿宋" w:eastAsia="仿宋"/>
          <w:u w:val="single"/>
          <w:lang w:eastAsia="zh-CN"/>
        </w:rPr>
      </w:pPr>
      <w:r>
        <w:rPr>
          <w:rFonts w:hint="eastAsia" w:ascii="仿宋" w:hAnsi="仿宋" w:eastAsia="仿宋"/>
          <w:u w:val="single"/>
          <w:lang w:eastAsia="zh-CN"/>
        </w:rPr>
        <w:t>（3）当地卫生部门规定可列入不可抗力、直接影响本工程无法正常施工的情形；</w:t>
      </w:r>
    </w:p>
    <w:p w14:paraId="552E211D">
      <w:pPr>
        <w:adjustRightInd w:val="0"/>
        <w:snapToGrid w:val="0"/>
        <w:spacing w:line="360" w:lineRule="auto"/>
        <w:ind w:firstLine="480" w:firstLineChars="200"/>
        <w:jc w:val="both"/>
        <w:rPr>
          <w:rFonts w:ascii="仿宋" w:hAnsi="仿宋" w:eastAsia="仿宋"/>
          <w:u w:val="single"/>
          <w:lang w:eastAsia="zh-CN"/>
        </w:rPr>
      </w:pPr>
      <w:r>
        <w:rPr>
          <w:rFonts w:hint="eastAsia" w:ascii="仿宋" w:hAnsi="仿宋" w:eastAsia="仿宋"/>
          <w:u w:val="single"/>
          <w:lang w:eastAsia="zh-CN"/>
        </w:rPr>
        <w:t>（4）当地建设行政主管部门要求的区域性停工(由承包人引起的除外)。</w:t>
      </w:r>
    </w:p>
    <w:p w14:paraId="222715D5">
      <w:pPr>
        <w:spacing w:line="360" w:lineRule="auto"/>
        <w:ind w:firstLine="480" w:firstLineChars="200"/>
        <w:rPr>
          <w:rFonts w:ascii="仿宋" w:hAnsi="仿宋" w:eastAsia="仿宋"/>
          <w:u w:val="single"/>
          <w:lang w:eastAsia="zh-CN"/>
        </w:rPr>
      </w:pPr>
      <w:r>
        <w:rPr>
          <w:rFonts w:hint="eastAsia" w:ascii="仿宋" w:hAnsi="仿宋" w:eastAsia="仿宋"/>
          <w:u w:val="single"/>
          <w:lang w:eastAsia="zh-CN"/>
        </w:rPr>
        <w:t>承包人主张不可抗力的特别约定：承包人向有关主管部门索取有关的资料或报告，连同施工日志、施工现场照片办理证据保存完整，方可认定为是不可抗力。</w:t>
      </w:r>
    </w:p>
    <w:p w14:paraId="4389D0D9">
      <w:pPr>
        <w:spacing w:line="360" w:lineRule="auto"/>
        <w:ind w:firstLine="480" w:firstLineChars="200"/>
        <w:rPr>
          <w:rFonts w:ascii="仿宋" w:hAnsi="仿宋" w:eastAsia="仿宋"/>
          <w:u w:val="single"/>
          <w:lang w:eastAsia="zh-CN"/>
        </w:rPr>
      </w:pPr>
    </w:p>
    <w:p w14:paraId="2725F99D">
      <w:pPr>
        <w:pStyle w:val="3"/>
        <w:tabs>
          <w:tab w:val="left" w:pos="420"/>
        </w:tabs>
        <w:spacing w:before="0" w:after="0" w:line="360" w:lineRule="auto"/>
        <w:rPr>
          <w:rFonts w:ascii="仿宋" w:hAnsi="仿宋" w:eastAsia="仿宋"/>
          <w:i w:val="0"/>
          <w:sz w:val="24"/>
          <w:szCs w:val="24"/>
          <w:lang w:eastAsia="zh-CN"/>
        </w:rPr>
      </w:pPr>
      <w:bookmarkStart w:id="910" w:name="_Toc1564"/>
      <w:bookmarkStart w:id="911" w:name="_Toc194073241"/>
      <w:bookmarkStart w:id="912" w:name="_Toc1613"/>
      <w:bookmarkStart w:id="913" w:name="_Toc29853"/>
      <w:r>
        <w:rPr>
          <w:rFonts w:hint="eastAsia" w:ascii="仿宋" w:hAnsi="仿宋" w:eastAsia="仿宋" w:cs="仿宋"/>
          <w:b w:val="0"/>
          <w:bCs w:val="0"/>
          <w:i w:val="0"/>
          <w:sz w:val="24"/>
          <w:szCs w:val="24"/>
          <w:lang w:eastAsia="zh-CN"/>
        </w:rPr>
        <w:t>36.  保险</w:t>
      </w:r>
      <w:bookmarkEnd w:id="910"/>
      <w:bookmarkEnd w:id="911"/>
      <w:bookmarkEnd w:id="912"/>
      <w:bookmarkEnd w:id="913"/>
    </w:p>
    <w:p w14:paraId="5380E2FA">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36.1 发包人办理保险</w:t>
      </w:r>
    </w:p>
    <w:p w14:paraId="7CC69BA9">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委托承包人办理保险并由承包人承担费用的事项有：</w:t>
      </w:r>
    </w:p>
    <w:p w14:paraId="56CB9EBF">
      <w:pPr>
        <w:pStyle w:val="17"/>
        <w:spacing w:line="360" w:lineRule="auto"/>
        <w:ind w:firstLine="960" w:firstLineChars="400"/>
        <w:rPr>
          <w:rFonts w:ascii="仿宋" w:hAnsi="仿宋" w:eastAsia="仿宋" w:cs="仿宋"/>
          <w:u w:val="single"/>
          <w:lang w:eastAsia="zh-CN"/>
        </w:rPr>
      </w:pPr>
      <w:r>
        <w:rPr>
          <w:rFonts w:hint="eastAsia" w:ascii="仿宋" w:hAnsi="仿宋" w:eastAsia="仿宋" w:cs="仿宋"/>
          <w:u w:val="single"/>
          <w:lang w:eastAsia="zh-CN"/>
        </w:rPr>
        <w:t>☑ 通用条款第 36.1 款的第（1）项；</w:t>
      </w:r>
    </w:p>
    <w:p w14:paraId="53D0A838">
      <w:pPr>
        <w:pStyle w:val="17"/>
        <w:spacing w:line="360" w:lineRule="auto"/>
        <w:ind w:firstLine="960" w:firstLineChars="400"/>
        <w:rPr>
          <w:rFonts w:ascii="仿宋" w:hAnsi="仿宋" w:eastAsia="仿宋" w:cs="仿宋"/>
          <w:u w:val="single"/>
          <w:lang w:eastAsia="zh-CN"/>
        </w:rPr>
      </w:pPr>
      <w:r>
        <w:rPr>
          <w:rFonts w:hint="eastAsia" w:ascii="仿宋" w:hAnsi="仿宋" w:eastAsia="仿宋" w:cs="仿宋"/>
          <w:u w:val="single"/>
          <w:lang w:eastAsia="zh-CN"/>
        </w:rPr>
        <w:t>☑ 通用条款第 36.1 款的第（2）项；</w:t>
      </w:r>
    </w:p>
    <w:p w14:paraId="41E884AA">
      <w:pPr>
        <w:pStyle w:val="17"/>
        <w:spacing w:line="360" w:lineRule="auto"/>
        <w:ind w:firstLine="960" w:firstLineChars="400"/>
        <w:rPr>
          <w:rFonts w:ascii="仿宋" w:hAnsi="仿宋" w:eastAsia="仿宋" w:cs="仿宋"/>
          <w:u w:val="single"/>
          <w:lang w:eastAsia="zh-CN"/>
        </w:rPr>
      </w:pPr>
      <w:r>
        <w:rPr>
          <w:rFonts w:hint="eastAsia" w:ascii="仿宋" w:hAnsi="仿宋" w:eastAsia="仿宋" w:cs="仿宋"/>
          <w:u w:val="single"/>
          <w:lang w:eastAsia="zh-CN"/>
        </w:rPr>
        <w:t>☑ 通用条款第 36.1 款的第（3）项；</w:t>
      </w:r>
    </w:p>
    <w:p w14:paraId="7A1601FF">
      <w:pPr>
        <w:pStyle w:val="17"/>
        <w:spacing w:line="360" w:lineRule="auto"/>
        <w:ind w:firstLine="960" w:firstLineChars="400"/>
        <w:rPr>
          <w:rFonts w:ascii="仿宋" w:hAnsi="仿宋" w:eastAsia="仿宋" w:cs="仿宋"/>
          <w:u w:val="single"/>
          <w:lang w:eastAsia="zh-CN"/>
        </w:rPr>
      </w:pPr>
      <w:r>
        <w:rPr>
          <w:rFonts w:hint="eastAsia" w:ascii="仿宋" w:hAnsi="仿宋" w:eastAsia="仿宋" w:cs="仿宋"/>
          <w:u w:val="single"/>
          <w:lang w:eastAsia="zh-CN"/>
        </w:rPr>
        <w:t>☑ 通用条款第 36.1 款的第（4）项。</w:t>
      </w:r>
    </w:p>
    <w:p w14:paraId="49413517">
      <w:pPr>
        <w:pStyle w:val="17"/>
        <w:spacing w:line="360" w:lineRule="auto"/>
        <w:ind w:firstLine="960" w:firstLineChars="400"/>
        <w:rPr>
          <w:rFonts w:ascii="仿宋" w:hAnsi="仿宋" w:eastAsia="仿宋" w:cs="仿宋"/>
          <w:u w:val="single"/>
          <w:lang w:eastAsia="zh-CN"/>
        </w:rPr>
      </w:pPr>
      <w:r>
        <w:rPr>
          <w:rFonts w:hint="eastAsia" w:ascii="仿宋" w:hAnsi="仿宋" w:eastAsia="仿宋" w:cs="仿宋"/>
          <w:u w:val="single"/>
          <w:lang w:eastAsia="zh-CN"/>
        </w:rPr>
        <w:t>□ 通用条款第 36.1 款的第（5）项。</w:t>
      </w:r>
    </w:p>
    <w:p w14:paraId="30FE97EA">
      <w:pPr>
        <w:pStyle w:val="17"/>
        <w:spacing w:line="360" w:lineRule="auto"/>
        <w:ind w:firstLine="960" w:firstLineChars="400"/>
        <w:rPr>
          <w:rFonts w:ascii="仿宋" w:hAnsi="仿宋" w:eastAsia="仿宋" w:cs="仿宋"/>
          <w:u w:val="single"/>
          <w:lang w:eastAsia="zh-CN"/>
        </w:rPr>
      </w:pPr>
      <w:r>
        <w:rPr>
          <w:rFonts w:hint="eastAsia" w:ascii="仿宋" w:hAnsi="仿宋" w:eastAsia="仿宋" w:cs="仿宋"/>
          <w:u w:val="single"/>
          <w:lang w:eastAsia="zh-CN"/>
        </w:rPr>
        <w:t>☑ 关于安全生产责任险的约定：由承包人负责办理，发包人提供协助，费用由承包人承担，相关费用已含在承包人中标下浮率中，发包人不再另行支付。</w:t>
      </w:r>
    </w:p>
    <w:p w14:paraId="01B83F0C">
      <w:pPr>
        <w:spacing w:line="360" w:lineRule="auto"/>
        <w:ind w:firstLine="480" w:firstLineChars="200"/>
        <w:rPr>
          <w:rFonts w:ascii="仿宋" w:hAnsi="仿宋" w:eastAsia="仿宋" w:cs="仿宋"/>
          <w:u w:val="single"/>
          <w:lang w:eastAsia="zh-CN"/>
        </w:rPr>
      </w:pPr>
      <w:r>
        <w:rPr>
          <w:rFonts w:ascii="仿宋" w:hAnsi="仿宋" w:eastAsia="仿宋" w:cs="仿宋"/>
          <w:lang w:eastAsia="zh-CN"/>
        </w:rPr>
        <w:t xml:space="preserve">36.8 </w:t>
      </w:r>
      <w:r>
        <w:rPr>
          <w:rFonts w:hint="eastAsia" w:ascii="仿宋" w:hAnsi="仿宋" w:eastAsia="仿宋" w:cs="仿宋"/>
          <w:lang w:eastAsia="zh-CN"/>
        </w:rPr>
        <w:t>投保内容、保险金、保险期限和责任等事项的约定：</w:t>
      </w:r>
      <w:r>
        <w:rPr>
          <w:rFonts w:ascii="仿宋" w:hAnsi="仿宋" w:eastAsia="仿宋" w:cs="仿宋"/>
          <w:u w:val="single"/>
          <w:lang w:eastAsia="zh-CN"/>
        </w:rPr>
        <w:t>发包人委托承包人办理保险事项必须包括工程的所有险种</w:t>
      </w:r>
      <w:r>
        <w:rPr>
          <w:rFonts w:hint="eastAsia" w:ascii="仿宋" w:hAnsi="仿宋" w:eastAsia="仿宋" w:cs="仿宋"/>
          <w:u w:val="single"/>
          <w:lang w:eastAsia="zh-CN"/>
        </w:rPr>
        <w:t>（不包含工程质量潜在缺陷保险）</w:t>
      </w:r>
      <w:r>
        <w:rPr>
          <w:rFonts w:ascii="仿宋" w:hAnsi="仿宋" w:eastAsia="仿宋" w:cs="仿宋"/>
          <w:u w:val="single"/>
          <w:lang w:eastAsia="zh-CN"/>
        </w:rPr>
        <w:t>，且必须满足政府部门的要求，保险费用</w:t>
      </w:r>
      <w:r>
        <w:rPr>
          <w:rFonts w:hint="eastAsia" w:ascii="仿宋" w:hAnsi="仿宋" w:eastAsia="仿宋" w:cs="仿宋"/>
          <w:u w:val="single"/>
          <w:lang w:eastAsia="zh-CN"/>
        </w:rPr>
        <w:t>含在承包人中标下浮率中</w:t>
      </w:r>
      <w:r>
        <w:rPr>
          <w:rFonts w:ascii="仿宋" w:hAnsi="仿宋" w:eastAsia="仿宋" w:cs="仿宋"/>
          <w:u w:val="single"/>
          <w:lang w:eastAsia="zh-CN"/>
        </w:rPr>
        <w:t>，发包人不再另</w:t>
      </w:r>
      <w:r>
        <w:rPr>
          <w:rFonts w:hint="eastAsia" w:ascii="仿宋" w:hAnsi="仿宋" w:eastAsia="仿宋" w:cs="仿宋"/>
          <w:u w:val="single"/>
          <w:lang w:eastAsia="zh-CN"/>
        </w:rPr>
        <w:t>行</w:t>
      </w:r>
      <w:r>
        <w:rPr>
          <w:rFonts w:ascii="仿宋" w:hAnsi="仿宋" w:eastAsia="仿宋" w:cs="仿宋"/>
          <w:u w:val="single"/>
          <w:lang w:eastAsia="zh-CN"/>
        </w:rPr>
        <w:t>支付。如因承包人原因导致未及时购买保险或保险过期未及时续保，或者购买的保险不足额或者保障不齐全，由此造成的损失由承包人承担。</w:t>
      </w:r>
    </w:p>
    <w:p w14:paraId="6F6059D0">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36.8.1承包人购买建筑业职工工伤保险[按《广东省人力资源和社会保障厅 广东省财政厅 国家税务总局广东省税务局关于印发广东省工伤保险基金省级统筹实施方案的通知》（粤人社规[2019]50号）和《关于进一步做好我省建筑业工伤保险工作的实施意见》（粤人社规﹝2015﹞5号）的规定购买]。</w:t>
      </w:r>
    </w:p>
    <w:p w14:paraId="3D589F35">
      <w:pPr>
        <w:spacing w:after="120" w:line="360" w:lineRule="auto"/>
        <w:ind w:firstLine="600"/>
        <w:rPr>
          <w:rFonts w:ascii="仿宋" w:hAnsi="仿宋" w:eastAsia="仿宋" w:cs="仿宋"/>
          <w:u w:val="single"/>
          <w:lang w:eastAsia="zh-CN"/>
        </w:rPr>
      </w:pPr>
      <w:r>
        <w:rPr>
          <w:rFonts w:hint="eastAsia" w:ascii="仿宋" w:hAnsi="仿宋" w:eastAsia="仿宋" w:cs="仿宋"/>
          <w:u w:val="single"/>
          <w:lang w:eastAsia="zh-CN"/>
        </w:rPr>
        <w:t>36.8.2关于工伤保险和意外伤害保险的特别约定：承包人购买建筑职工意外伤害险（足额购买）。</w:t>
      </w:r>
    </w:p>
    <w:p w14:paraId="0AA13C24">
      <w:pPr>
        <w:spacing w:after="120" w:line="360" w:lineRule="auto"/>
        <w:ind w:firstLine="600"/>
        <w:rPr>
          <w:rFonts w:ascii="仿宋" w:hAnsi="仿宋" w:eastAsia="仿宋" w:cs="仿宋"/>
          <w:u w:val="single"/>
          <w:lang w:eastAsia="zh-CN"/>
        </w:rPr>
      </w:pPr>
      <w:r>
        <w:rPr>
          <w:rFonts w:hint="eastAsia" w:ascii="仿宋" w:hAnsi="仿宋" w:eastAsia="仿宋" w:cs="仿宋"/>
          <w:u w:val="single"/>
          <w:lang w:eastAsia="zh-CN"/>
        </w:rPr>
        <w:t>36.8.3</w:t>
      </w:r>
      <w:r>
        <w:rPr>
          <w:rFonts w:ascii="仿宋" w:hAnsi="仿宋" w:eastAsia="仿宋" w:cs="仿宋"/>
          <w:u w:val="single"/>
          <w:lang w:eastAsia="zh-CN"/>
        </w:rPr>
        <w:t xml:space="preserve"> 货物保险</w:t>
      </w:r>
    </w:p>
    <w:p w14:paraId="65178E2A">
      <w:pPr>
        <w:spacing w:line="360" w:lineRule="auto"/>
        <w:ind w:firstLine="480" w:firstLineChars="200"/>
        <w:rPr>
          <w:rFonts w:ascii="仿宋" w:hAnsi="仿宋" w:eastAsia="仿宋"/>
          <w:u w:val="single"/>
          <w:lang w:eastAsia="zh-CN"/>
        </w:rPr>
      </w:pPr>
      <w:r>
        <w:rPr>
          <w:rFonts w:hint="eastAsia" w:ascii="仿宋" w:hAnsi="仿宋" w:eastAsia="仿宋"/>
          <w:u w:val="single"/>
          <w:lang w:eastAsia="zh-CN"/>
        </w:rPr>
        <w:t>承包人购买施工机械设备保险，其他险种自行选择购买。</w:t>
      </w:r>
    </w:p>
    <w:p w14:paraId="7E78D37C">
      <w:pPr>
        <w:spacing w:line="360" w:lineRule="auto"/>
        <w:ind w:firstLine="480" w:firstLineChars="200"/>
        <w:rPr>
          <w:rFonts w:ascii="仿宋" w:hAnsi="仿宋" w:eastAsia="仿宋"/>
          <w:u w:val="single"/>
          <w:lang w:eastAsia="zh-CN"/>
        </w:rPr>
      </w:pPr>
      <w:r>
        <w:rPr>
          <w:rFonts w:hint="eastAsia" w:ascii="仿宋" w:hAnsi="仿宋" w:eastAsia="仿宋"/>
          <w:u w:val="single"/>
          <w:lang w:eastAsia="zh-CN"/>
        </w:rPr>
        <w:t>36.8. 4 安全生产责任保险</w:t>
      </w:r>
    </w:p>
    <w:p w14:paraId="36E1552A">
      <w:pPr>
        <w:spacing w:line="360" w:lineRule="auto"/>
        <w:ind w:firstLine="480" w:firstLineChars="200"/>
        <w:rPr>
          <w:rFonts w:ascii="仿宋" w:hAnsi="仿宋" w:eastAsia="仿宋"/>
          <w:u w:val="single"/>
          <w:lang w:eastAsia="zh-CN"/>
        </w:rPr>
      </w:pPr>
      <w:r>
        <w:rPr>
          <w:rFonts w:hint="eastAsia" w:ascii="仿宋" w:hAnsi="仿宋" w:eastAsia="仿宋"/>
          <w:u w:val="single"/>
          <w:lang w:eastAsia="zh-CN"/>
        </w:rPr>
        <w:t>36.8. 4.1安全生产责任险中施工单位从业人员（含劳务派遣人员）人身伤亡和损害、赔偿以及因此造成的事故抢险救援、医疗救护、事故鉴定、法律服务和诉讼等相关保险（足额购买）</w:t>
      </w:r>
    </w:p>
    <w:p w14:paraId="179DCBD4">
      <w:pPr>
        <w:spacing w:line="360" w:lineRule="auto"/>
        <w:ind w:firstLine="480" w:firstLineChars="200"/>
        <w:rPr>
          <w:rFonts w:ascii="仿宋" w:hAnsi="仿宋" w:eastAsia="仿宋"/>
          <w:u w:val="single"/>
          <w:lang w:eastAsia="zh-CN"/>
        </w:rPr>
      </w:pPr>
      <w:r>
        <w:rPr>
          <w:rFonts w:hint="eastAsia" w:ascii="仿宋" w:hAnsi="仿宋" w:eastAsia="仿宋"/>
          <w:u w:val="single"/>
          <w:lang w:eastAsia="zh-CN"/>
        </w:rPr>
        <w:t>由承包人（若为联合体的，则由联合体主办方）在办理施工许可证前足额投保安责险，并与选定的保险公司签订安责险合同。在第一次安全监督交底时向各级安全监督部门出示生效的安责险保单和相应保费支付银行流水证明。施工单位应积极配合保险机构或第三方技术服务机构开展事故预防技术服务，及时整改事故预防技术服务中发现的安全隐患问题。</w:t>
      </w:r>
    </w:p>
    <w:p w14:paraId="0397DC9F">
      <w:pPr>
        <w:spacing w:line="360" w:lineRule="auto"/>
        <w:ind w:firstLine="480" w:firstLineChars="200"/>
        <w:rPr>
          <w:rFonts w:ascii="仿宋" w:hAnsi="仿宋" w:eastAsia="仿宋"/>
          <w:u w:val="single"/>
          <w:lang w:eastAsia="zh-CN"/>
        </w:rPr>
      </w:pPr>
      <w:r>
        <w:rPr>
          <w:rFonts w:hint="eastAsia" w:ascii="仿宋" w:hAnsi="仿宋" w:eastAsia="仿宋"/>
          <w:u w:val="single"/>
          <w:lang w:eastAsia="zh-CN"/>
        </w:rPr>
        <w:t>保险人资格</w:t>
      </w:r>
    </w:p>
    <w:p w14:paraId="13DE85C3">
      <w:pPr>
        <w:spacing w:line="360" w:lineRule="auto"/>
        <w:ind w:firstLine="480" w:firstLineChars="200"/>
        <w:rPr>
          <w:rFonts w:ascii="仿宋" w:hAnsi="仿宋" w:eastAsia="仿宋"/>
          <w:u w:val="single"/>
          <w:lang w:eastAsia="zh-CN"/>
        </w:rPr>
      </w:pPr>
      <w:r>
        <w:rPr>
          <w:rFonts w:hint="eastAsia" w:ascii="仿宋" w:hAnsi="仿宋" w:eastAsia="仿宋"/>
          <w:u w:val="single"/>
          <w:lang w:eastAsia="zh-CN"/>
        </w:rPr>
        <w:t>（1）安全生产责任险保险人应在中华人民共和国境内依法注册并具有相应承保服务能力，遵照法律法规开展安责险业务。同属一家公司的保险机构应向上级公司申请授权在广州市注册唯一地市级分支机构统筹开展房屋建筑工程相关的安责险业务，并告知广州市安全生产委员会办公室（广州市应急管理局）、广州市住房和城乡建设局。其他保险人应为在中华人民共和国境内注册具有独立法人资格的保险公司总公司或经其唯一授权的省/市级分支机构。上述分支机构必须获得保险公司总公司法定代表人授权其参加本次承保的授权书；</w:t>
      </w:r>
    </w:p>
    <w:p w14:paraId="503ECB53">
      <w:pPr>
        <w:spacing w:line="360" w:lineRule="auto"/>
        <w:ind w:firstLine="480" w:firstLineChars="200"/>
        <w:rPr>
          <w:rFonts w:ascii="仿宋" w:hAnsi="仿宋" w:eastAsia="仿宋"/>
          <w:u w:val="single"/>
          <w:lang w:eastAsia="zh-CN"/>
        </w:rPr>
      </w:pPr>
      <w:r>
        <w:rPr>
          <w:rFonts w:hint="eastAsia" w:ascii="仿宋" w:hAnsi="仿宋" w:eastAsia="仿宋"/>
          <w:u w:val="single"/>
          <w:lang w:eastAsia="zh-CN"/>
        </w:rPr>
        <w:t>（2）保险人必须为经中国银行保险监督管理委员会批准在中华人民共和国境内设立和营业，且自身依法持有中国银行保险监督管理委员会或其派出机构颁发的包含本项目承保范的保险业务许可证（业务范围包括财产保险和责任保险）。</w:t>
      </w:r>
    </w:p>
    <w:p w14:paraId="35888EDB">
      <w:pPr>
        <w:spacing w:line="360" w:lineRule="auto"/>
        <w:ind w:firstLine="480" w:firstLineChars="200"/>
        <w:rPr>
          <w:rFonts w:ascii="仿宋" w:hAnsi="仿宋" w:eastAsia="仿宋"/>
          <w:u w:val="single"/>
          <w:lang w:eastAsia="zh-CN"/>
        </w:rPr>
      </w:pPr>
      <w:r>
        <w:rPr>
          <w:rFonts w:hint="eastAsia" w:ascii="仿宋" w:hAnsi="仿宋" w:eastAsia="仿宋"/>
          <w:u w:val="single"/>
          <w:lang w:eastAsia="zh-CN"/>
        </w:rPr>
        <w:t>36.8.5 对各项保险的一般要求</w:t>
      </w:r>
    </w:p>
    <w:p w14:paraId="6E892F68">
      <w:pPr>
        <w:spacing w:line="360" w:lineRule="auto"/>
        <w:ind w:firstLine="480" w:firstLineChars="200"/>
        <w:rPr>
          <w:rFonts w:ascii="仿宋" w:hAnsi="仿宋" w:eastAsia="仿宋"/>
          <w:u w:val="single"/>
          <w:lang w:eastAsia="zh-CN"/>
        </w:rPr>
      </w:pPr>
      <w:r>
        <w:rPr>
          <w:rFonts w:hint="eastAsia" w:ascii="仿宋" w:hAnsi="仿宋" w:eastAsia="仿宋"/>
          <w:u w:val="single"/>
          <w:lang w:eastAsia="zh-CN"/>
        </w:rPr>
        <w:t>36.8.5.1持续保险</w:t>
      </w:r>
    </w:p>
    <w:p w14:paraId="382AB26B">
      <w:pPr>
        <w:spacing w:line="360" w:lineRule="auto"/>
        <w:ind w:firstLine="480" w:firstLineChars="200"/>
        <w:rPr>
          <w:rFonts w:ascii="仿宋" w:hAnsi="仿宋" w:eastAsia="仿宋"/>
          <w:u w:val="single"/>
          <w:lang w:eastAsia="zh-CN"/>
        </w:rPr>
      </w:pPr>
      <w:r>
        <w:rPr>
          <w:rFonts w:hint="eastAsia" w:ascii="仿宋" w:hAnsi="仿宋" w:eastAsia="仿宋"/>
          <w:u w:val="single"/>
          <w:lang w:eastAsia="zh-CN"/>
        </w:rPr>
        <w:t>自保单生效之日起至合同约定项目工程竣工验收且完成竣工联合验收取得批复意见之日止，且保单生效之日必须不迟于工程开工之日。</w:t>
      </w:r>
    </w:p>
    <w:p w14:paraId="01322EC0">
      <w:pPr>
        <w:spacing w:line="360" w:lineRule="auto"/>
        <w:ind w:firstLine="480" w:firstLineChars="200"/>
        <w:rPr>
          <w:rFonts w:ascii="仿宋" w:hAnsi="仿宋" w:eastAsia="仿宋"/>
          <w:u w:val="single"/>
          <w:lang w:eastAsia="zh-CN"/>
        </w:rPr>
      </w:pPr>
      <w:r>
        <w:rPr>
          <w:rFonts w:hint="eastAsia" w:ascii="仿宋" w:hAnsi="仿宋" w:eastAsia="仿宋"/>
          <w:u w:val="single"/>
          <w:lang w:eastAsia="zh-CN"/>
        </w:rPr>
        <w:t>承包人应与保险人保持联系，并将联系方式告知发包人。使保险人能够随时了解工程实施中的变动，并确保保险合同条款要求持续保险。</w:t>
      </w:r>
    </w:p>
    <w:p w14:paraId="047537BA">
      <w:pPr>
        <w:spacing w:line="360" w:lineRule="auto"/>
        <w:ind w:firstLine="480" w:firstLineChars="200"/>
        <w:rPr>
          <w:rFonts w:ascii="仿宋" w:hAnsi="仿宋" w:eastAsia="仿宋"/>
          <w:u w:val="single"/>
          <w:lang w:eastAsia="zh-CN"/>
        </w:rPr>
      </w:pPr>
    </w:p>
    <w:p w14:paraId="20F7441A">
      <w:pPr>
        <w:pStyle w:val="3"/>
        <w:tabs>
          <w:tab w:val="left" w:pos="420"/>
        </w:tabs>
        <w:spacing w:before="0" w:after="0" w:line="360" w:lineRule="auto"/>
        <w:rPr>
          <w:rFonts w:ascii="仿宋" w:hAnsi="仿宋" w:eastAsia="仿宋" w:cs="仿宋"/>
          <w:b w:val="0"/>
          <w:bCs w:val="0"/>
          <w:i w:val="0"/>
          <w:sz w:val="24"/>
          <w:szCs w:val="24"/>
          <w:lang w:eastAsia="zh-CN"/>
        </w:rPr>
      </w:pPr>
      <w:bookmarkStart w:id="914" w:name="_Toc194073242"/>
      <w:bookmarkStart w:id="915" w:name="_Toc2953"/>
      <w:bookmarkStart w:id="916" w:name="_Toc17287"/>
      <w:r>
        <w:rPr>
          <w:rFonts w:hint="eastAsia" w:ascii="仿宋" w:hAnsi="仿宋" w:eastAsia="仿宋" w:cs="仿宋"/>
          <w:b w:val="0"/>
          <w:bCs w:val="0"/>
          <w:i w:val="0"/>
          <w:sz w:val="24"/>
          <w:szCs w:val="24"/>
          <w:lang w:eastAsia="zh-CN"/>
        </w:rPr>
        <w:t>37.  工程勘察</w:t>
      </w:r>
      <w:bookmarkEnd w:id="914"/>
      <w:bookmarkEnd w:id="915"/>
      <w:bookmarkEnd w:id="916"/>
    </w:p>
    <w:p w14:paraId="407574D5">
      <w:pPr>
        <w:spacing w:line="360" w:lineRule="auto"/>
        <w:ind w:left="240" w:leftChars="100" w:firstLine="240" w:firstLineChars="100"/>
        <w:rPr>
          <w:rFonts w:ascii="仿宋" w:hAnsi="仿宋" w:eastAsia="仿宋" w:cs="仿宋"/>
          <w:lang w:eastAsia="zh-CN"/>
        </w:rPr>
      </w:pPr>
      <w:r>
        <w:rPr>
          <w:rFonts w:hint="eastAsia" w:ascii="仿宋" w:hAnsi="仿宋" w:eastAsia="仿宋" w:cs="仿宋"/>
          <w:lang w:eastAsia="zh-CN"/>
        </w:rPr>
        <w:t>37.1 对发包人要求和项目基础资料的核实</w:t>
      </w:r>
    </w:p>
    <w:p w14:paraId="1A107BCD">
      <w:pPr>
        <w:spacing w:line="360" w:lineRule="auto"/>
        <w:ind w:firstLine="600" w:firstLineChars="250"/>
        <w:rPr>
          <w:rFonts w:ascii="仿宋" w:hAnsi="仿宋" w:eastAsia="仿宋"/>
          <w:lang w:eastAsia="zh-CN"/>
        </w:rPr>
      </w:pPr>
      <w:r>
        <w:rPr>
          <w:rFonts w:hint="eastAsia" w:ascii="仿宋" w:hAnsi="仿宋" w:eastAsia="仿宋" w:cs="仿宋"/>
          <w:lang w:eastAsia="zh-CN"/>
        </w:rPr>
        <w:t>□ 通用条款第37.1款约定。</w:t>
      </w:r>
    </w:p>
    <w:p w14:paraId="6F87B32E">
      <w:pPr>
        <w:spacing w:line="360" w:lineRule="auto"/>
        <w:ind w:firstLine="600" w:firstLineChars="250"/>
        <w:rPr>
          <w:rFonts w:ascii="仿宋" w:hAnsi="仿宋" w:eastAsia="仿宋" w:cs="仿宋"/>
          <w:u w:val="single"/>
          <w:lang w:eastAsia="zh-CN"/>
        </w:rPr>
      </w:pPr>
      <w:r>
        <w:rPr>
          <w:rFonts w:hint="eastAsia" w:ascii="仿宋" w:hAnsi="仿宋" w:eastAsia="仿宋" w:cs="仿宋"/>
          <w:lang w:eastAsia="zh-CN"/>
        </w:rPr>
        <w:t>□ 另有约定：</w:t>
      </w:r>
      <w:r>
        <w:rPr>
          <w:rFonts w:hint="eastAsia" w:ascii="仿宋" w:hAnsi="仿宋" w:eastAsia="仿宋" w:cs="仿宋"/>
          <w:u w:val="single"/>
          <w:lang w:eastAsia="zh-CN"/>
        </w:rPr>
        <w:t xml:space="preserve"> /    </w:t>
      </w:r>
    </w:p>
    <w:p w14:paraId="7EF495BD">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37.2勘察实施方案与应急预案</w:t>
      </w:r>
    </w:p>
    <w:p w14:paraId="5AB901F2">
      <w:pPr>
        <w:spacing w:line="360" w:lineRule="auto"/>
        <w:ind w:firstLine="720" w:firstLineChars="300"/>
        <w:rPr>
          <w:rFonts w:ascii="仿宋" w:hAnsi="仿宋" w:eastAsia="仿宋" w:cs="仿宋"/>
          <w:u w:val="single"/>
          <w:lang w:eastAsia="zh-CN"/>
        </w:rPr>
      </w:pPr>
      <w:r>
        <w:rPr>
          <w:rFonts w:hint="eastAsia" w:ascii="仿宋" w:hAnsi="仿宋" w:eastAsia="仿宋" w:cs="仿宋"/>
          <w:lang w:eastAsia="zh-CN"/>
        </w:rPr>
        <w:t xml:space="preserve">1、提供时间： </w:t>
      </w:r>
      <w:r>
        <w:rPr>
          <w:rFonts w:hint="eastAsia" w:ascii="仿宋" w:hAnsi="仿宋" w:eastAsia="仿宋" w:cs="仿宋"/>
          <w:u w:val="single"/>
          <w:lang w:eastAsia="zh-CN"/>
        </w:rPr>
        <w:t xml:space="preserve"> /  。</w:t>
      </w:r>
    </w:p>
    <w:p w14:paraId="037F16B6">
      <w:pPr>
        <w:spacing w:line="360" w:lineRule="auto"/>
        <w:ind w:firstLine="720" w:firstLineChars="300"/>
        <w:rPr>
          <w:rFonts w:ascii="仿宋" w:hAnsi="仿宋" w:eastAsia="仿宋" w:cs="仿宋"/>
          <w:u w:val="single"/>
          <w:lang w:eastAsia="zh-CN"/>
        </w:rPr>
      </w:pPr>
      <w:r>
        <w:rPr>
          <w:rFonts w:hint="eastAsia" w:ascii="仿宋" w:hAnsi="仿宋" w:eastAsia="仿宋" w:cs="仿宋"/>
          <w:lang w:eastAsia="zh-CN"/>
        </w:rPr>
        <w:t xml:space="preserve">2、提供数量： </w:t>
      </w:r>
      <w:r>
        <w:rPr>
          <w:rFonts w:hint="eastAsia" w:ascii="仿宋" w:hAnsi="仿宋" w:eastAsia="仿宋" w:cs="仿宋"/>
          <w:u w:val="single"/>
          <w:lang w:eastAsia="zh-CN"/>
        </w:rPr>
        <w:t xml:space="preserve"> /  。</w:t>
      </w:r>
    </w:p>
    <w:p w14:paraId="69F4A439">
      <w:pPr>
        <w:spacing w:line="360" w:lineRule="auto"/>
        <w:ind w:firstLine="480"/>
        <w:rPr>
          <w:rFonts w:ascii="仿宋" w:hAnsi="仿宋" w:eastAsia="仿宋" w:cs="仿宋"/>
          <w:lang w:eastAsia="zh-CN"/>
        </w:rPr>
      </w:pPr>
      <w:r>
        <w:rPr>
          <w:rFonts w:hint="eastAsia" w:ascii="仿宋" w:hAnsi="仿宋" w:eastAsia="仿宋" w:cs="仿宋"/>
          <w:lang w:eastAsia="zh-CN"/>
        </w:rPr>
        <w:t>37.4 承包人提供勘察成果：按勘察设计任务书</w:t>
      </w:r>
    </w:p>
    <w:p w14:paraId="7C5E655D">
      <w:pPr>
        <w:spacing w:line="360" w:lineRule="auto"/>
        <w:ind w:firstLine="720" w:firstLineChars="300"/>
        <w:rPr>
          <w:rFonts w:ascii="仿宋" w:hAnsi="仿宋" w:eastAsia="仿宋" w:cs="仿宋"/>
          <w:u w:val="single"/>
          <w:lang w:eastAsia="zh-CN"/>
        </w:rPr>
      </w:pPr>
      <w:r>
        <w:rPr>
          <w:rFonts w:hint="eastAsia" w:ascii="仿宋" w:hAnsi="仿宋" w:eastAsia="仿宋" w:cs="仿宋"/>
          <w:lang w:eastAsia="zh-CN"/>
        </w:rPr>
        <w:t xml:space="preserve">1、提供时间： </w:t>
      </w:r>
      <w:r>
        <w:rPr>
          <w:rFonts w:hint="eastAsia" w:ascii="仿宋" w:hAnsi="仿宋" w:eastAsia="仿宋" w:cs="仿宋"/>
          <w:u w:val="single"/>
          <w:lang w:eastAsia="zh-CN"/>
        </w:rPr>
        <w:t xml:space="preserve"> /  。</w:t>
      </w:r>
    </w:p>
    <w:p w14:paraId="2155244B">
      <w:pPr>
        <w:spacing w:line="360" w:lineRule="auto"/>
        <w:ind w:firstLine="720" w:firstLineChars="300"/>
        <w:rPr>
          <w:rFonts w:ascii="仿宋" w:hAnsi="仿宋" w:eastAsia="仿宋" w:cs="仿宋"/>
          <w:lang w:eastAsia="zh-CN"/>
        </w:rPr>
      </w:pPr>
      <w:r>
        <w:rPr>
          <w:rFonts w:hint="eastAsia" w:ascii="仿宋" w:hAnsi="仿宋" w:eastAsia="仿宋" w:cs="仿宋"/>
          <w:lang w:eastAsia="zh-CN"/>
        </w:rPr>
        <w:t xml:space="preserve">2、提供方式： </w:t>
      </w:r>
      <w:r>
        <w:rPr>
          <w:rFonts w:hint="eastAsia" w:ascii="仿宋" w:hAnsi="仿宋" w:eastAsia="仿宋" w:cs="仿宋"/>
          <w:u w:val="single"/>
          <w:lang w:eastAsia="zh-CN"/>
        </w:rPr>
        <w:t xml:space="preserve"> /  。</w:t>
      </w:r>
    </w:p>
    <w:p w14:paraId="677D1EC2">
      <w:pPr>
        <w:spacing w:line="360" w:lineRule="auto"/>
        <w:ind w:firstLine="720" w:firstLineChars="300"/>
        <w:rPr>
          <w:rFonts w:ascii="仿宋" w:hAnsi="仿宋" w:eastAsia="仿宋" w:cs="仿宋"/>
          <w:u w:val="single"/>
          <w:lang w:eastAsia="zh-CN"/>
        </w:rPr>
      </w:pPr>
      <w:r>
        <w:rPr>
          <w:rFonts w:hint="eastAsia" w:ascii="仿宋" w:hAnsi="仿宋" w:eastAsia="仿宋" w:cs="仿宋"/>
          <w:lang w:eastAsia="zh-CN"/>
        </w:rPr>
        <w:t xml:space="preserve">3、提供数量： </w:t>
      </w:r>
      <w:r>
        <w:rPr>
          <w:rFonts w:hint="eastAsia" w:ascii="仿宋" w:hAnsi="仿宋" w:eastAsia="仿宋" w:cs="仿宋"/>
          <w:u w:val="single"/>
          <w:lang w:eastAsia="zh-CN"/>
        </w:rPr>
        <w:t xml:space="preserve"> /  。</w:t>
      </w:r>
    </w:p>
    <w:p w14:paraId="43DA812C">
      <w:pPr>
        <w:pStyle w:val="42"/>
        <w:spacing w:line="360" w:lineRule="auto"/>
        <w:ind w:firstLine="400"/>
        <w:rPr>
          <w:lang w:eastAsia="zh-CN"/>
        </w:rPr>
      </w:pPr>
    </w:p>
    <w:p w14:paraId="7630F640">
      <w:pPr>
        <w:pStyle w:val="3"/>
        <w:tabs>
          <w:tab w:val="left" w:pos="420"/>
        </w:tabs>
        <w:spacing w:before="0" w:after="0" w:line="360" w:lineRule="auto"/>
        <w:rPr>
          <w:rFonts w:ascii="仿宋" w:hAnsi="仿宋" w:eastAsia="仿宋" w:cs="仿宋"/>
          <w:b w:val="0"/>
          <w:bCs w:val="0"/>
          <w:i w:val="0"/>
          <w:sz w:val="24"/>
          <w:szCs w:val="24"/>
          <w:lang w:eastAsia="zh-CN"/>
        </w:rPr>
      </w:pPr>
      <w:bookmarkStart w:id="917" w:name="_Toc10745"/>
      <w:bookmarkStart w:id="918" w:name="_Toc194073243"/>
      <w:bookmarkStart w:id="919" w:name="_Toc23273"/>
      <w:r>
        <w:rPr>
          <w:rFonts w:hint="eastAsia" w:ascii="仿宋" w:hAnsi="仿宋" w:eastAsia="仿宋" w:cs="仿宋"/>
          <w:b w:val="0"/>
          <w:bCs w:val="0"/>
          <w:i w:val="0"/>
          <w:sz w:val="24"/>
          <w:szCs w:val="24"/>
          <w:lang w:eastAsia="zh-CN"/>
        </w:rPr>
        <w:t>38.  工程设计</w:t>
      </w:r>
      <w:bookmarkEnd w:id="917"/>
      <w:bookmarkEnd w:id="918"/>
      <w:bookmarkEnd w:id="919"/>
    </w:p>
    <w:p w14:paraId="2AD0A7B0">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补充以下内容：</w:t>
      </w:r>
    </w:p>
    <w:p w14:paraId="72E1BCD9">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对工程设计的要求</w:t>
      </w:r>
    </w:p>
    <w:p w14:paraId="6C45A0FC">
      <w:pPr>
        <w:numPr>
          <w:ilvl w:val="0"/>
          <w:numId w:val="44"/>
        </w:num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承包人应按现行国家规范、项目所在地、行业有关设计法律法规规范以及合同约定的设计要求进行工程设计，按合同约定的进度要求提交质量合格的设计资料，并对其完整性、准确性、经济合理性及时限责任。保证能够通过图纸审查和政府部门的报建报批要求。</w:t>
      </w:r>
    </w:p>
    <w:p w14:paraId="5038D8E6">
      <w:pPr>
        <w:numPr>
          <w:ilvl w:val="0"/>
          <w:numId w:val="44"/>
        </w:num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设计合理使用年限为按国家设计规范要求，</w:t>
      </w:r>
    </w:p>
    <w:p w14:paraId="5215E62F">
      <w:pPr>
        <w:numPr>
          <w:ilvl w:val="0"/>
          <w:numId w:val="44"/>
        </w:num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承包人配合发包人进行优化设计，达到最佳经济效果。承包人对设计成果要认真反复计算，尽量为发包人降低工程造价。</w:t>
      </w:r>
    </w:p>
    <w:p w14:paraId="65B764E3">
      <w:pPr>
        <w:numPr>
          <w:ilvl w:val="0"/>
          <w:numId w:val="44"/>
        </w:num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设计的建筑材料尽量采用当地常用材料及做法；设计应尽可能减少施工难度，为施工创造方便合理的施工条件；应满足《广州市住房和城乡建设局关于在民用建筑工程推广应用绿色建材的通知（试行）》相关设计要求。</w:t>
      </w:r>
    </w:p>
    <w:p w14:paraId="5CF6B474">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政府部门、图审单位、发包人及其上级单位的审核审批确认不免除承包人对图纸的设计责任。承包人应无条件接受发包人项目管理方式及流程要求，包括但不限于在设计过程中各专业提供多方案进行比选，各阶段与设计质量相关的各类检查。</w:t>
      </w:r>
    </w:p>
    <w:p w14:paraId="0AF7635E">
      <w:pPr>
        <w:spacing w:line="360" w:lineRule="auto"/>
        <w:rPr>
          <w:rFonts w:ascii="仿宋" w:hAnsi="仿宋" w:eastAsia="仿宋" w:cs="仿宋"/>
          <w:u w:val="single"/>
          <w:lang w:eastAsia="zh-CN"/>
        </w:rPr>
      </w:pPr>
      <w:r>
        <w:rPr>
          <w:rFonts w:hint="eastAsia" w:ascii="仿宋" w:hAnsi="仿宋" w:eastAsia="仿宋" w:cs="仿宋"/>
          <w:u w:val="single"/>
          <w:lang w:eastAsia="zh-CN"/>
        </w:rPr>
        <w:t>需配合发包人办理有关许可、批准或备案手续。</w:t>
      </w:r>
    </w:p>
    <w:p w14:paraId="56F50FF5">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（5）承包人应对发包人提供的文件、资料进行认真研究，对本项目的特点和不确定因素进行认真考虑，并提出书面合理建议和评价，对影响设计稳定的重大问题要进行多方案比较选择。</w:t>
      </w:r>
    </w:p>
    <w:p w14:paraId="673B9D51">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6）对涉及建筑安全或对投资影响重大的有关数据，在发包人提出要求时，承包人必须提供设计输入条件、基础数据、计算原理和方法以及计算成果，方便发包人在必要时用其他计算程序进行验算。承包人有解释的义务，不得以专利和知识产权为借口拒绝配合。</w:t>
      </w:r>
    </w:p>
    <w:p w14:paraId="36A49AC3">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（7）未经发包人书面同意，承包人不得对已批准的设计作修改、增减或删除。</w:t>
      </w:r>
    </w:p>
    <w:p w14:paraId="35FDB66E">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（8）在设计及施工过程中，承包人应充分尊重和理解发包人对设计提出的书面意见与要求，如无充分的否定理由应按发包人的要求予以处理和实施。对合同没有约定的部分和没有描述的部分，双方应另行协商。</w:t>
      </w:r>
    </w:p>
    <w:p w14:paraId="7C54C43A">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（9）在设计各阶段，承包人应根据发包人或政府主管部门的意见，及时修改、完善设计，负责无条件完成由于设计失误或其他承包人的原因未获批准而出现的反复修改的工作。</w:t>
      </w:r>
    </w:p>
    <w:p w14:paraId="580BBDB3">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（10）根据工程进展情况需要,承包人承诺按发包人要求定期派出各专业工程师解决工程中涉及的设计问题。主要工作如下：</w:t>
      </w:r>
    </w:p>
    <w:p w14:paraId="066344B4">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1）各施工阶段开始前，按承包人的设计分工，组织设计交底图纸会审，答复有关设计问题；</w:t>
      </w:r>
    </w:p>
    <w:p w14:paraId="4D38890F">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2）现场服务：当建设过程中对设计文件有疑问，承包人在接到通知后，应按通知的时限要求（若通知未明确具体时限要求，则应在【3】小时内）派出专业工程师解决。属于一般设计问题的，若无特殊情况，应在1天内解决。属于重大设计问题的，应在3天内书面提出书面解决意见。对设计图纸与现场不符之处，应在发包人要求的时限内提出解决办法。</w:t>
      </w:r>
    </w:p>
    <w:p w14:paraId="579706C8">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3）承包人应根据设计任务书人员驻场要求，委派设计服务小组常驻现场，服务于项目建设的始终。承包人各专业设计负责人应根据发包人要求和项目实施需要每周至少组织现场巡查及现场办公工作1次，并且每次现场工作时间不少于4小时。</w:t>
      </w:r>
    </w:p>
    <w:p w14:paraId="181662F3">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4）配合发包人进行施工招标和设备、材料采购招标工作；</w:t>
      </w:r>
    </w:p>
    <w:p w14:paraId="43F9DCAF">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5）负责提供招标所需的有关图纸及技术资料，所提供图纸资料的资料满足招标要求；</w:t>
      </w:r>
    </w:p>
    <w:p w14:paraId="151F5881">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6）负责及时解答在招标过程中需设计部门答复的有关技术问题，并提供相应的补充图纸；对设备、材料订货有关性能、参数、规格的技术确认，以及协助参与对已订设备、材料的验收工作；</w:t>
      </w:r>
    </w:p>
    <w:p w14:paraId="5DCBD0BC">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7）参与隐蔽工程和竣工验收；</w:t>
      </w:r>
    </w:p>
    <w:p w14:paraId="2CBE6FB7">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8）审核、确认各专业设计单位对各专项设计进行深化的图纸；</w:t>
      </w:r>
    </w:p>
    <w:p w14:paraId="70BD10E7">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（11）承包人在各设计阶段，应根据设计需要提前【3】个工作日告知发包人提供相关设计资料和相关条件（手续）；</w:t>
      </w:r>
    </w:p>
    <w:p w14:paraId="6AD4E335">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（12）承包人对其工作人员的人身及财产安全负全责，如因承包人原因造成发包人或任何第三方人身或财产损失的，由承包人承担全部责任。</w:t>
      </w:r>
    </w:p>
    <w:p w14:paraId="2BE4A3D5">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13）承包人必须保证参与本项目承包人员的稳定性。承包人如需更换设计项目负责人，应提前7天以书面形式通知发包人并征得发包人书面同意后方可更换，无正当理由（如离职原因）：①更换项目负责人的，发包人有权按10000元/次扣减设计费；②更换专业负责人，发包人有权按5000元/次扣减设计费。同时发包人认为某个承包人员的现场配合服务态度和质量不符合现场工程施工需要时，承包人应当在收到发包人的书面通知后5天内更换，更换人员的资历不得低于本合同相应条款对各类承包人员资历规定的要求，且更换人员须先经发包人确认。若承包人对发包人要求更换人员有异议时，可进行申诉，若申诉后发包人仍然要求更换，则承包人应无条件进行更换，否则视承包人该岗位人员从发包人发出更换通知的时间开始作擅自离岗处理。</w:t>
      </w:r>
    </w:p>
    <w:p w14:paraId="3EA3190E">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（14）工程投入使用后，若发现工程设计未能满足本合同的要求，承包人必须继续提供服务，直至满足要求为止。上述的延期服务，发包人不额外支付费用。</w:t>
      </w:r>
    </w:p>
    <w:p w14:paraId="31358573">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对承包人员的要求</w:t>
      </w:r>
    </w:p>
    <w:p w14:paraId="0BCBC9CC">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补充以下内容：</w:t>
      </w:r>
    </w:p>
    <w:p w14:paraId="72D69965">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（1）承包人提交项目管理机构及人员安排报告的期限：签订合同前。</w:t>
      </w:r>
    </w:p>
    <w:p w14:paraId="715C192E">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（2）承包人无正当理由拒绝撤换主要承包人员的违约责任：</w:t>
      </w:r>
    </w:p>
    <w:p w14:paraId="441F7A54">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发包人有权直接以书面通知方式单方解除合同，或要求承包人在规定的时间内纠正并支付违约金【10000】元，若承包人未在规定的时间内纠正或拒绝纠正，发包人有权以书面通知方式单方解除合同。发包人解除合同的，有权要求承包人退还已支付的设计费并支付违约金【20000】元，若违约金不足以赔偿发包人损失的，发包人有权继续追究承包人法律及经济责任。</w:t>
      </w:r>
    </w:p>
    <w:p w14:paraId="315F3805">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38.3.7.1 项目负责人【设计】</w:t>
      </w:r>
    </w:p>
    <w:p w14:paraId="5EE885A7">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姓    名： </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w:t>
      </w:r>
    </w:p>
    <w:p w14:paraId="45B556C0">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执业资格及等级： </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w:t>
      </w:r>
    </w:p>
    <w:p w14:paraId="2A64C8C9">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注册证书号： </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w:t>
      </w:r>
    </w:p>
    <w:p w14:paraId="4869C333">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联系电话： </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w:t>
      </w:r>
    </w:p>
    <w:p w14:paraId="2352398A">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电子信箱：</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w:t>
      </w:r>
    </w:p>
    <w:p w14:paraId="6CE346AE">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通信地址：</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w:t>
      </w:r>
    </w:p>
    <w:p w14:paraId="137299FA">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承包人对项目负责人【设计】的授权范围：负责履行合同约定的事宜。</w:t>
      </w:r>
    </w:p>
    <w:p w14:paraId="6DAA381B">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38.3.7.2 承包人更换项目负责人【设计】的，应提前 7天以书面方式通知发包人。</w:t>
      </w:r>
    </w:p>
    <w:p w14:paraId="5E5E9F8B">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承包人擅自更换项目负责人【设计】的违约责任：发包人有权直接以书面通知方式单方解除合同，或要求承包人在规定的时间内纠正并支付违约金【10000】元，若承包人未在规定的时间内纠正或拒绝纠正，发包人有权以书面通知方式单方解除合同。发包人解除合同的，有权要求承包人退还已支付的设计费并支付违约金【20000】元，若违约金不足以赔偿发包人损失的，发包人有权继续追究承包人法律及经济责任。</w:t>
      </w:r>
    </w:p>
    <w:p w14:paraId="5740851D">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38.3.7.3 承包人应在收到书面更换通知后 5 天内更换项目负责人【设计】。</w:t>
      </w:r>
    </w:p>
    <w:p w14:paraId="4FB1DD41">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承包人无正当理由拒绝更换项目负责人【设计】的违约责任：发包人有权直接以书面通知方式单方解除合同，或要求承包人在规定的时间内纠正并支付违约金【10000】元，若承包人未在规定的时间内纠正或拒绝纠正，发包人有权以书面通知方式单方解除合同。发包人解除合同的，有权要求承包人退还已支付的设计费并支付违约金【20000】元，若违约金不足以赔偿发包人损失的，发包人有权继续追究承包人法律及经济责任 。</w:t>
      </w:r>
    </w:p>
    <w:p w14:paraId="5CD8A593">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38.3.7.4工程设计一般要求</w:t>
      </w:r>
    </w:p>
    <w:p w14:paraId="69575D58">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工程设计适用的技术标准：国家、省、广州市现行有关技术标准。</w:t>
      </w:r>
    </w:p>
    <w:p w14:paraId="1748E83C">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38.3.7.5工程设计文件的要求</w:t>
      </w:r>
    </w:p>
    <w:p w14:paraId="731BB552">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38.3.7.6 工程设计文件深度规定：设计成果的深度满足《建筑工程设计文件编制深度规定》,符合国家、省、广州市现行要求，符合发包人报建、建设、验收等所有要求。</w:t>
      </w:r>
    </w:p>
    <w:p w14:paraId="0928567A">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38.3.7.7建筑物及其功能设施的合理使用寿命年限： 按国家法律法规、行业标准等有关规定执行。</w:t>
      </w:r>
    </w:p>
    <w:p w14:paraId="35F5DD6D">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38.3.7.8 工程设计文件具体要求详见设计任务书。</w:t>
      </w:r>
    </w:p>
    <w:p w14:paraId="552733A2">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38.3.7.9工程设计进度与周期</w:t>
      </w:r>
    </w:p>
    <w:p w14:paraId="70042EAC">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38.3.7.10工程设计进度计划</w:t>
      </w:r>
    </w:p>
    <w:p w14:paraId="37FC3507">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38.3.7.11工程设计进度计划的编制</w:t>
      </w:r>
    </w:p>
    <w:p w14:paraId="1ABD7223">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合同当事人约定的工程设计进度计划提交的时间：合同签订后3天内 。</w:t>
      </w:r>
    </w:p>
    <w:p w14:paraId="5DB70DF8">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合同当事人约定的工程设计进度计划应包括的内容：施工图、效果图、配合报建的设计图纸节点 。</w:t>
      </w:r>
    </w:p>
    <w:p w14:paraId="1277B12F">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工程设计进度具体时间节点要求详见设计任务书。</w:t>
      </w:r>
    </w:p>
    <w:p w14:paraId="15B854F1">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38.3.7.12工程设计进度计划的修订</w:t>
      </w:r>
    </w:p>
    <w:p w14:paraId="2D8369FC">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发包人在收到工程设计进度计划后确认或提出修改意见的期限： 5天内 。</w:t>
      </w:r>
    </w:p>
    <w:p w14:paraId="663EDE0B">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38.3.7.13工程设计进度延误</w:t>
      </w:r>
    </w:p>
    <w:p w14:paraId="6C051F94">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38.3.7.14 因发包人原因导致工程设计进度延误的其他情形：当发包人提出任何变更或修改意见时，应充分考虑项目进度计划与设计进度计划的关系。如发包人提出修改，应提前通知承包人，协商一致后，承包人按发包人要求调整设计进度计划，经发包人书面同意必要时顺延设计时间节点，并将调整后的设计进度计划书面提交委托人。</w:t>
      </w:r>
    </w:p>
    <w:p w14:paraId="4E6F6799">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承包人应在发生进度延误的情形后 2 天内向发包人发出要求延期的书面通知，在发生该情形后 5 天内提交要求延期的详细说明。</w:t>
      </w:r>
    </w:p>
    <w:p w14:paraId="14CDFCB2">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发包人收到承包人要求延期的详细说明后，应在 7 天内进行审查并书面答复。</w:t>
      </w:r>
    </w:p>
    <w:p w14:paraId="06D35012">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38.3.7.15提前交付工程设计文件</w:t>
      </w:r>
    </w:p>
    <w:p w14:paraId="648AF6FC">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提前交付工程设计文件的奖励： 本项目不设奖励 。</w:t>
      </w:r>
    </w:p>
    <w:p w14:paraId="597FB755">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38.3.7.16工程设计文件交付</w:t>
      </w:r>
    </w:p>
    <w:p w14:paraId="42CEA22E">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38.3.7.17工程设计文件交付的内容</w:t>
      </w:r>
    </w:p>
    <w:p w14:paraId="70CA166F">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38.3.7.18发包人要求承包人提交电子版设计文件的具体形式为：文字内容采用Microsoft word格式文件，设计图形文件采用AutoCAD格式文件，表现图、渲染图采用JPG或TIF格式，手绘图、手绘建筑画扫描成JPG格式的计算机图形文件。全部文本文件、设计成果均应制作成计算机文件，提交光盘1套。</w:t>
      </w:r>
    </w:p>
    <w:p w14:paraId="1842151C">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38.3.7.19 施工现场配合服务</w:t>
      </w:r>
    </w:p>
    <w:p w14:paraId="2250FC0C">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38.3.7.20发包人为承包人派赴现场的工作人员提供便利条件的内容包括：发包人不提供便利条件、由承包人自行负责。</w:t>
      </w:r>
    </w:p>
    <w:p w14:paraId="74A62C76">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38.3.7.21承包人应当在交付施工图设计文件并经审查合格后直至竣工验收完毕时间内提供施工现场配合服务。</w:t>
      </w:r>
    </w:p>
    <w:p w14:paraId="537E8220">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38.3.8其他</w:t>
      </w:r>
    </w:p>
    <w:p w14:paraId="68DB80C0">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38.3.8.1 承包人在中标后，须保证在实施进度计划规定的设计周期内完成设计图纸的编制及有关设计图纸的报批手续，包括发包人对设计图纸的审核、规划部门和住建部门的审批、审图机构的审查。</w:t>
      </w:r>
    </w:p>
    <w:p w14:paraId="6EAA8AA3">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38.3.8.2 承包人在中标后，须详细编制设计进度计划并报发包人批准，设计进度计划包括各单位工程及各专业工程图纸的出图计划，确保施工进度不延误。</w:t>
      </w:r>
    </w:p>
    <w:p w14:paraId="4E8223F0">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38.3.8.3 承包人须无条件按有关设计审批单位（包括发包人、规划部门、审图机构等单位）的要求和意见，在进度计划规定的设计周期内完成设计修改和完善工作，确保设计图纸的质量和进度。</w:t>
      </w:r>
    </w:p>
    <w:p w14:paraId="3BB9BC79">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38.3.8.4 承包人必须按照技术规范要求，结合工程现状实际，进行多方案比选和优化，严格按照工程设计限额进行限额设计。否则应无条件负责优化设计，直至符合要求，优化设计的时间包含在设计周期内。若通过优化设计后不能达到投资控制目标的，或因承包人原因导致设计不详及遗漏的，除无条件完善设计及按完善后的设计施工外，若造成工程投资的增加的部分，发包人有权不予支付。</w:t>
      </w:r>
    </w:p>
    <w:p w14:paraId="0BF2678B">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38.3.8.5 由于设计进度直接影响整个项目的实施进度，发包人有权没收其履约保证金和作为不良记录记入诚信档案。</w:t>
      </w:r>
    </w:p>
    <w:p w14:paraId="640518E8">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38.3.8.6 承包人应在保证施工进度的情况下，明确各专业工程设计图纸的设计完成时间，在全部设计图纸完成并通过审批后，承包人应提供完整的设计图纸给发包人。</w:t>
      </w:r>
    </w:p>
    <w:p w14:paraId="44B5987E">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38.4 设计文件</w:t>
      </w:r>
    </w:p>
    <w:p w14:paraId="67CF6499">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38.4.1承包人向发包人提交设计文件的方式、数量和时间</w:t>
      </w:r>
    </w:p>
    <w:p w14:paraId="29105096">
      <w:pPr>
        <w:spacing w:line="360" w:lineRule="auto"/>
        <w:ind w:firstLine="482" w:firstLineChars="200"/>
        <w:jc w:val="center"/>
        <w:rPr>
          <w:rFonts w:ascii="仿宋" w:hAnsi="仿宋" w:eastAsia="仿宋" w:cs="宋体"/>
          <w:b/>
          <w:bCs/>
          <w:lang w:eastAsia="zh-CN"/>
        </w:rPr>
      </w:pPr>
      <w:r>
        <w:rPr>
          <w:rFonts w:hint="eastAsia" w:ascii="仿宋" w:hAnsi="仿宋" w:eastAsia="仿宋" w:cs="宋体"/>
          <w:b/>
          <w:bCs/>
          <w:lang w:eastAsia="zh-CN"/>
        </w:rPr>
        <w:t>成果文件提交的份数和提交时间要求</w:t>
      </w:r>
    </w:p>
    <w:tbl>
      <w:tblPr>
        <w:tblStyle w:val="43"/>
        <w:tblW w:w="4985" w:type="pct"/>
        <w:jc w:val="center"/>
        <w:tblLayout w:type="autofit"/>
        <w:tblCellMar>
          <w:top w:w="0" w:type="dxa"/>
          <w:left w:w="108" w:type="dxa"/>
          <w:bottom w:w="0" w:type="dxa"/>
          <w:right w:w="108" w:type="dxa"/>
        </w:tblCellMar>
      </w:tblPr>
      <w:tblGrid>
        <w:gridCol w:w="740"/>
        <w:gridCol w:w="1997"/>
        <w:gridCol w:w="157"/>
        <w:gridCol w:w="2156"/>
        <w:gridCol w:w="3107"/>
        <w:gridCol w:w="1676"/>
      </w:tblGrid>
      <w:tr w14:paraId="110C0AE3">
        <w:tblPrEx>
          <w:tblCellMar>
            <w:top w:w="0" w:type="dxa"/>
            <w:left w:w="108" w:type="dxa"/>
            <w:bottom w:w="0" w:type="dxa"/>
            <w:right w:w="108" w:type="dxa"/>
          </w:tblCellMar>
        </w:tblPrEx>
        <w:trPr>
          <w:trHeight w:val="396" w:hRule="atLeast"/>
          <w:tblHeader/>
          <w:jc w:val="center"/>
        </w:trPr>
        <w:tc>
          <w:tcPr>
            <w:tcW w:w="376" w:type="pct"/>
            <w:tcBorders>
              <w:top w:val="single" w:color="auto" w:sz="4" w:space="0"/>
              <w:left w:val="single" w:color="auto" w:sz="4" w:space="0"/>
              <w:bottom w:val="single" w:color="auto" w:sz="4" w:space="0"/>
              <w:right w:val="single" w:color="auto" w:sz="4" w:space="0"/>
            </w:tcBorders>
            <w:vAlign w:val="center"/>
          </w:tcPr>
          <w:p w14:paraId="14D33016">
            <w:pPr>
              <w:spacing w:line="360" w:lineRule="exact"/>
              <w:jc w:val="center"/>
              <w:rPr>
                <w:rFonts w:ascii="仿宋" w:hAnsi="仿宋" w:eastAsia="仿宋" w:cs="宋体"/>
              </w:rPr>
            </w:pPr>
            <w:r>
              <w:rPr>
                <w:rFonts w:hint="eastAsia" w:ascii="仿宋" w:hAnsi="仿宋" w:eastAsia="仿宋" w:cs="宋体"/>
              </w:rPr>
              <w:t>序号</w:t>
            </w:r>
          </w:p>
        </w:tc>
        <w:tc>
          <w:tcPr>
            <w:tcW w:w="2191" w:type="pct"/>
            <w:gridSpan w:val="3"/>
            <w:tcBorders>
              <w:top w:val="single" w:color="auto" w:sz="4" w:space="0"/>
              <w:left w:val="single" w:color="auto" w:sz="4" w:space="0"/>
              <w:bottom w:val="single" w:color="auto" w:sz="4" w:space="0"/>
              <w:right w:val="single" w:color="auto" w:sz="4" w:space="0"/>
            </w:tcBorders>
            <w:vAlign w:val="center"/>
          </w:tcPr>
          <w:p w14:paraId="34B05A60">
            <w:pPr>
              <w:spacing w:line="360" w:lineRule="exact"/>
              <w:jc w:val="center"/>
              <w:rPr>
                <w:rFonts w:ascii="仿宋" w:hAnsi="仿宋" w:eastAsia="仿宋" w:cs="宋体"/>
              </w:rPr>
            </w:pPr>
            <w:r>
              <w:rPr>
                <w:rFonts w:hint="eastAsia" w:ascii="仿宋" w:hAnsi="仿宋" w:eastAsia="仿宋" w:cs="宋体"/>
              </w:rPr>
              <w:t>资料及文件名称</w:t>
            </w:r>
          </w:p>
        </w:tc>
        <w:tc>
          <w:tcPr>
            <w:tcW w:w="1579" w:type="pct"/>
            <w:tcBorders>
              <w:top w:val="single" w:color="auto" w:sz="4" w:space="0"/>
              <w:left w:val="single" w:color="auto" w:sz="4" w:space="0"/>
              <w:bottom w:val="single" w:color="auto" w:sz="4" w:space="0"/>
              <w:right w:val="single" w:color="auto" w:sz="4" w:space="0"/>
            </w:tcBorders>
            <w:vAlign w:val="center"/>
          </w:tcPr>
          <w:p w14:paraId="5FDD326C">
            <w:pPr>
              <w:spacing w:line="360" w:lineRule="exact"/>
              <w:jc w:val="center"/>
              <w:rPr>
                <w:rFonts w:ascii="仿宋" w:hAnsi="仿宋" w:eastAsia="仿宋" w:cs="宋体"/>
              </w:rPr>
            </w:pPr>
            <w:r>
              <w:rPr>
                <w:rFonts w:hint="eastAsia" w:ascii="仿宋" w:hAnsi="仿宋" w:eastAsia="仿宋" w:cs="宋体"/>
              </w:rPr>
              <w:t>提交日期</w:t>
            </w:r>
            <w:r>
              <w:rPr>
                <w:rFonts w:hint="eastAsia" w:ascii="仿宋" w:hAnsi="仿宋" w:eastAsia="仿宋" w:cs="宋体"/>
                <w:lang w:eastAsia="zh-CN"/>
              </w:rPr>
              <w:t>/份</w:t>
            </w:r>
            <w:r>
              <w:rPr>
                <w:rFonts w:hint="eastAsia" w:ascii="仿宋" w:hAnsi="仿宋" w:eastAsia="仿宋" w:cs="宋体"/>
              </w:rPr>
              <w:t>数</w:t>
            </w:r>
          </w:p>
        </w:tc>
        <w:tc>
          <w:tcPr>
            <w:tcW w:w="852" w:type="pct"/>
            <w:tcBorders>
              <w:top w:val="single" w:color="auto" w:sz="4" w:space="0"/>
              <w:left w:val="single" w:color="auto" w:sz="4" w:space="0"/>
              <w:bottom w:val="single" w:color="auto" w:sz="4" w:space="0"/>
              <w:right w:val="single" w:color="auto" w:sz="4" w:space="0"/>
            </w:tcBorders>
            <w:vAlign w:val="center"/>
          </w:tcPr>
          <w:p w14:paraId="0DDED73A">
            <w:pPr>
              <w:spacing w:line="360" w:lineRule="exact"/>
              <w:jc w:val="center"/>
              <w:rPr>
                <w:rFonts w:ascii="仿宋" w:hAnsi="仿宋" w:eastAsia="仿宋" w:cs="宋体"/>
              </w:rPr>
            </w:pPr>
            <w:r>
              <w:rPr>
                <w:rFonts w:hint="eastAsia" w:ascii="仿宋" w:hAnsi="仿宋" w:eastAsia="仿宋" w:cs="宋体"/>
              </w:rPr>
              <w:t>备注</w:t>
            </w:r>
          </w:p>
        </w:tc>
      </w:tr>
      <w:tr w14:paraId="543C24B0">
        <w:tblPrEx>
          <w:tblCellMar>
            <w:top w:w="0" w:type="dxa"/>
            <w:left w:w="108" w:type="dxa"/>
            <w:bottom w:w="0" w:type="dxa"/>
            <w:right w:w="108" w:type="dxa"/>
          </w:tblCellMar>
        </w:tblPrEx>
        <w:trPr>
          <w:trHeight w:val="857" w:hRule="atLeast"/>
          <w:jc w:val="center"/>
        </w:trPr>
        <w:tc>
          <w:tcPr>
            <w:tcW w:w="376" w:type="pct"/>
            <w:tcBorders>
              <w:top w:val="single" w:color="auto" w:sz="4" w:space="0"/>
              <w:left w:val="single" w:color="auto" w:sz="4" w:space="0"/>
              <w:bottom w:val="single" w:color="auto" w:sz="4" w:space="0"/>
              <w:right w:val="single" w:color="auto" w:sz="4" w:space="0"/>
            </w:tcBorders>
            <w:vAlign w:val="center"/>
          </w:tcPr>
          <w:p w14:paraId="55715ADC">
            <w:pPr>
              <w:spacing w:line="360" w:lineRule="exact"/>
              <w:jc w:val="center"/>
              <w:rPr>
                <w:rFonts w:ascii="仿宋" w:hAnsi="仿宋" w:eastAsia="仿宋" w:cs="宋体"/>
                <w:lang w:eastAsia="zh-CN"/>
              </w:rPr>
            </w:pPr>
            <w:r>
              <w:rPr>
                <w:rFonts w:hint="eastAsia" w:ascii="仿宋" w:hAnsi="仿宋" w:eastAsia="仿宋" w:cs="宋体"/>
                <w:lang w:eastAsia="zh-CN"/>
              </w:rPr>
              <w:t>1</w:t>
            </w:r>
          </w:p>
        </w:tc>
        <w:tc>
          <w:tcPr>
            <w:tcW w:w="2191" w:type="pct"/>
            <w:gridSpan w:val="3"/>
            <w:tcBorders>
              <w:top w:val="single" w:color="auto" w:sz="4" w:space="0"/>
              <w:left w:val="single" w:color="auto" w:sz="4" w:space="0"/>
              <w:bottom w:val="single" w:color="auto" w:sz="4" w:space="0"/>
              <w:right w:val="single" w:color="auto" w:sz="4" w:space="0"/>
            </w:tcBorders>
            <w:vAlign w:val="center"/>
          </w:tcPr>
          <w:p w14:paraId="7B148E59">
            <w:pPr>
              <w:spacing w:line="360" w:lineRule="exact"/>
              <w:rPr>
                <w:rFonts w:ascii="仿宋" w:hAnsi="仿宋" w:eastAsia="仿宋" w:cs="宋体"/>
                <w:lang w:eastAsia="zh-CN"/>
              </w:rPr>
            </w:pPr>
            <w:r>
              <w:rPr>
                <w:rFonts w:hint="eastAsia" w:ascii="仿宋" w:hAnsi="仿宋" w:eastAsia="仿宋" w:cs="宋体"/>
                <w:lang w:eastAsia="zh-CN"/>
              </w:rPr>
              <w:t>总图设计成果文件</w:t>
            </w:r>
          </w:p>
        </w:tc>
        <w:tc>
          <w:tcPr>
            <w:tcW w:w="1579" w:type="pct"/>
            <w:tcBorders>
              <w:top w:val="single" w:color="auto" w:sz="4" w:space="0"/>
              <w:left w:val="single" w:color="auto" w:sz="4" w:space="0"/>
              <w:bottom w:val="single" w:color="auto" w:sz="4" w:space="0"/>
              <w:right w:val="single" w:color="auto" w:sz="4" w:space="0"/>
            </w:tcBorders>
            <w:vAlign w:val="center"/>
          </w:tcPr>
          <w:p w14:paraId="7DCDCA5C">
            <w:pPr>
              <w:spacing w:line="360" w:lineRule="exact"/>
              <w:jc w:val="center"/>
              <w:rPr>
                <w:rFonts w:ascii="仿宋" w:hAnsi="仿宋" w:eastAsia="仿宋" w:cs="宋体"/>
              </w:rPr>
            </w:pPr>
            <w:r>
              <w:rPr>
                <w:rFonts w:hint="eastAsia" w:ascii="仿宋" w:hAnsi="仿宋" w:eastAsia="仿宋" w:cs="宋体"/>
                <w:lang w:eastAsia="zh-CN"/>
              </w:rPr>
              <w:t>按发包人要求提供</w:t>
            </w:r>
          </w:p>
        </w:tc>
        <w:tc>
          <w:tcPr>
            <w:tcW w:w="852" w:type="pct"/>
            <w:tcBorders>
              <w:top w:val="single" w:color="auto" w:sz="4" w:space="0"/>
              <w:left w:val="single" w:color="auto" w:sz="4" w:space="0"/>
              <w:bottom w:val="single" w:color="auto" w:sz="4" w:space="0"/>
              <w:right w:val="single" w:color="auto" w:sz="4" w:space="0"/>
            </w:tcBorders>
            <w:vAlign w:val="center"/>
          </w:tcPr>
          <w:p w14:paraId="556540C2">
            <w:pPr>
              <w:spacing w:line="360" w:lineRule="exact"/>
              <w:rPr>
                <w:rFonts w:ascii="仿宋" w:hAnsi="仿宋" w:eastAsia="仿宋" w:cs="宋体"/>
              </w:rPr>
            </w:pPr>
            <w:r>
              <w:rPr>
                <w:rFonts w:hint="eastAsia" w:ascii="仿宋" w:hAnsi="仿宋" w:eastAsia="仿宋" w:cs="宋体"/>
              </w:rPr>
              <w:t>相应成果文件电子版</w:t>
            </w:r>
          </w:p>
        </w:tc>
      </w:tr>
      <w:tr w14:paraId="113DB359">
        <w:tblPrEx>
          <w:tblCellMar>
            <w:top w:w="0" w:type="dxa"/>
            <w:left w:w="108" w:type="dxa"/>
            <w:bottom w:w="0" w:type="dxa"/>
            <w:right w:w="108" w:type="dxa"/>
          </w:tblCellMar>
        </w:tblPrEx>
        <w:trPr>
          <w:trHeight w:val="582" w:hRule="atLeast"/>
          <w:jc w:val="center"/>
        </w:trPr>
        <w:tc>
          <w:tcPr>
            <w:tcW w:w="376" w:type="pct"/>
            <w:vMerge w:val="restart"/>
            <w:tcBorders>
              <w:top w:val="single" w:color="auto" w:sz="4" w:space="0"/>
              <w:left w:val="single" w:color="auto" w:sz="4" w:space="0"/>
              <w:bottom w:val="single" w:color="auto" w:sz="4" w:space="0"/>
              <w:right w:val="single" w:color="auto" w:sz="4" w:space="0"/>
            </w:tcBorders>
            <w:vAlign w:val="center"/>
          </w:tcPr>
          <w:p w14:paraId="1C0764CA">
            <w:pPr>
              <w:spacing w:line="360" w:lineRule="exact"/>
              <w:jc w:val="center"/>
              <w:rPr>
                <w:rFonts w:ascii="仿宋" w:hAnsi="仿宋" w:eastAsia="仿宋" w:cs="宋体"/>
                <w:lang w:eastAsia="zh-CN"/>
              </w:rPr>
            </w:pPr>
            <w:r>
              <w:rPr>
                <w:rFonts w:hint="eastAsia" w:ascii="仿宋" w:hAnsi="仿宋" w:eastAsia="仿宋" w:cs="宋体"/>
                <w:lang w:eastAsia="zh-CN"/>
              </w:rPr>
              <w:t>2</w:t>
            </w:r>
          </w:p>
        </w:tc>
        <w:tc>
          <w:tcPr>
            <w:tcW w:w="1015" w:type="pct"/>
            <w:vMerge w:val="restart"/>
            <w:tcBorders>
              <w:top w:val="single" w:color="auto" w:sz="4" w:space="0"/>
              <w:left w:val="single" w:color="auto" w:sz="4" w:space="0"/>
              <w:bottom w:val="single" w:color="auto" w:sz="4" w:space="0"/>
              <w:right w:val="single" w:color="auto" w:sz="4" w:space="0"/>
            </w:tcBorders>
            <w:vAlign w:val="center"/>
          </w:tcPr>
          <w:p w14:paraId="390E69C5">
            <w:pPr>
              <w:spacing w:line="360" w:lineRule="exact"/>
              <w:rPr>
                <w:rFonts w:ascii="仿宋" w:hAnsi="仿宋" w:eastAsia="仿宋" w:cs="宋体"/>
                <w:lang w:eastAsia="zh-CN"/>
              </w:rPr>
            </w:pPr>
            <w:r>
              <w:rPr>
                <w:rFonts w:hint="eastAsia" w:ascii="仿宋" w:hAnsi="仿宋" w:eastAsia="仿宋" w:cs="宋体"/>
                <w:lang w:eastAsia="zh-CN"/>
              </w:rPr>
              <w:t>施工图（按施工图审查单位意见修改并审查通过，包括设计说明、主要材料清单等文件）</w:t>
            </w:r>
          </w:p>
        </w:tc>
        <w:tc>
          <w:tcPr>
            <w:tcW w:w="1176" w:type="pct"/>
            <w:gridSpan w:val="2"/>
            <w:tcBorders>
              <w:top w:val="single" w:color="auto" w:sz="4" w:space="0"/>
              <w:left w:val="single" w:color="auto" w:sz="4" w:space="0"/>
              <w:bottom w:val="single" w:color="auto" w:sz="4" w:space="0"/>
              <w:right w:val="single" w:color="auto" w:sz="4" w:space="0"/>
            </w:tcBorders>
            <w:vAlign w:val="center"/>
          </w:tcPr>
          <w:p w14:paraId="4F9336C6">
            <w:pPr>
              <w:spacing w:line="360" w:lineRule="exact"/>
              <w:rPr>
                <w:rFonts w:ascii="仿宋" w:hAnsi="仿宋" w:eastAsia="仿宋" w:cs="宋体"/>
                <w:lang w:eastAsia="zh-CN"/>
              </w:rPr>
            </w:pPr>
            <w:r>
              <w:rPr>
                <w:rFonts w:hint="eastAsia" w:ascii="仿宋" w:hAnsi="仿宋" w:eastAsia="仿宋" w:cs="宋体"/>
                <w:lang w:eastAsia="zh-CN"/>
              </w:rPr>
              <w:t>施工图设计成果文件送施工图审查单位审查</w:t>
            </w:r>
          </w:p>
        </w:tc>
        <w:tc>
          <w:tcPr>
            <w:tcW w:w="1579" w:type="pct"/>
            <w:tcBorders>
              <w:top w:val="single" w:color="auto" w:sz="4" w:space="0"/>
              <w:left w:val="single" w:color="auto" w:sz="4" w:space="0"/>
              <w:bottom w:val="single" w:color="auto" w:sz="4" w:space="0"/>
              <w:right w:val="single" w:color="auto" w:sz="4" w:space="0"/>
            </w:tcBorders>
            <w:vAlign w:val="center"/>
          </w:tcPr>
          <w:p w14:paraId="27252FED">
            <w:pPr>
              <w:spacing w:line="360" w:lineRule="exact"/>
              <w:jc w:val="center"/>
              <w:rPr>
                <w:rFonts w:ascii="仿宋" w:hAnsi="仿宋" w:eastAsia="仿宋" w:cs="宋体"/>
              </w:rPr>
            </w:pPr>
            <w:r>
              <w:rPr>
                <w:rFonts w:hint="eastAsia" w:ascii="仿宋" w:hAnsi="仿宋" w:eastAsia="仿宋" w:cs="宋体"/>
                <w:lang w:eastAsia="zh-CN"/>
              </w:rPr>
              <w:t>按发包人要求提供</w:t>
            </w:r>
          </w:p>
        </w:tc>
        <w:tc>
          <w:tcPr>
            <w:tcW w:w="852" w:type="pct"/>
            <w:tcBorders>
              <w:top w:val="single" w:color="auto" w:sz="4" w:space="0"/>
              <w:left w:val="single" w:color="auto" w:sz="4" w:space="0"/>
              <w:bottom w:val="single" w:color="auto" w:sz="4" w:space="0"/>
              <w:right w:val="single" w:color="auto" w:sz="4" w:space="0"/>
            </w:tcBorders>
            <w:vAlign w:val="center"/>
          </w:tcPr>
          <w:p w14:paraId="343288F3">
            <w:pPr>
              <w:spacing w:line="360" w:lineRule="exact"/>
              <w:rPr>
                <w:rFonts w:ascii="仿宋" w:hAnsi="仿宋" w:eastAsia="仿宋" w:cs="宋体"/>
              </w:rPr>
            </w:pPr>
            <w:r>
              <w:rPr>
                <w:rFonts w:hint="eastAsia" w:ascii="仿宋" w:hAnsi="仿宋" w:eastAsia="仿宋" w:cs="宋体"/>
              </w:rPr>
              <w:t>相应成果文件电子版</w:t>
            </w:r>
          </w:p>
        </w:tc>
      </w:tr>
      <w:tr w14:paraId="34723EDA">
        <w:tblPrEx>
          <w:tblCellMar>
            <w:top w:w="0" w:type="dxa"/>
            <w:left w:w="108" w:type="dxa"/>
            <w:bottom w:w="0" w:type="dxa"/>
            <w:right w:w="108" w:type="dxa"/>
          </w:tblCellMar>
        </w:tblPrEx>
        <w:trPr>
          <w:trHeight w:val="582" w:hRule="atLeast"/>
          <w:jc w:val="center"/>
        </w:trPr>
        <w:tc>
          <w:tcPr>
            <w:tcW w:w="376" w:type="pct"/>
            <w:vMerge w:val="continue"/>
            <w:tcBorders>
              <w:top w:val="single" w:color="auto" w:sz="4" w:space="0"/>
              <w:left w:val="single" w:color="auto" w:sz="4" w:space="0"/>
              <w:bottom w:val="single" w:color="auto" w:sz="4" w:space="0"/>
              <w:right w:val="single" w:color="auto" w:sz="4" w:space="0"/>
            </w:tcBorders>
            <w:vAlign w:val="center"/>
          </w:tcPr>
          <w:p w14:paraId="01C66FDB">
            <w:pPr>
              <w:spacing w:line="360" w:lineRule="exact"/>
              <w:jc w:val="center"/>
              <w:rPr>
                <w:rFonts w:ascii="仿宋" w:hAnsi="仿宋" w:eastAsia="仿宋" w:cs="宋体"/>
                <w:lang w:eastAsia="zh-CN"/>
              </w:rPr>
            </w:pPr>
          </w:p>
        </w:tc>
        <w:tc>
          <w:tcPr>
            <w:tcW w:w="1015" w:type="pct"/>
            <w:vMerge w:val="continue"/>
            <w:tcBorders>
              <w:top w:val="single" w:color="auto" w:sz="4" w:space="0"/>
              <w:left w:val="single" w:color="auto" w:sz="4" w:space="0"/>
              <w:bottom w:val="single" w:color="auto" w:sz="4" w:space="0"/>
              <w:right w:val="single" w:color="auto" w:sz="4" w:space="0"/>
            </w:tcBorders>
            <w:vAlign w:val="center"/>
          </w:tcPr>
          <w:p w14:paraId="35E45C2D">
            <w:pPr>
              <w:spacing w:line="360" w:lineRule="exact"/>
              <w:rPr>
                <w:rFonts w:ascii="仿宋" w:hAnsi="仿宋" w:eastAsia="仿宋" w:cs="宋体"/>
                <w:lang w:eastAsia="zh-CN"/>
              </w:rPr>
            </w:pPr>
          </w:p>
        </w:tc>
        <w:tc>
          <w:tcPr>
            <w:tcW w:w="1176" w:type="pct"/>
            <w:gridSpan w:val="2"/>
            <w:tcBorders>
              <w:top w:val="single" w:color="auto" w:sz="4" w:space="0"/>
              <w:left w:val="single" w:color="auto" w:sz="4" w:space="0"/>
              <w:bottom w:val="single" w:color="auto" w:sz="4" w:space="0"/>
              <w:right w:val="single" w:color="auto" w:sz="4" w:space="0"/>
            </w:tcBorders>
            <w:vAlign w:val="center"/>
          </w:tcPr>
          <w:p w14:paraId="6115204A">
            <w:pPr>
              <w:spacing w:line="360" w:lineRule="exact"/>
              <w:rPr>
                <w:rFonts w:ascii="仿宋" w:hAnsi="仿宋" w:eastAsia="仿宋" w:cs="宋体"/>
                <w:lang w:eastAsia="zh-CN"/>
              </w:rPr>
            </w:pPr>
            <w:r>
              <w:rPr>
                <w:rFonts w:hint="eastAsia" w:ascii="仿宋" w:hAnsi="仿宋" w:eastAsia="仿宋" w:cs="宋体"/>
                <w:lang w:eastAsia="zh-CN"/>
              </w:rPr>
              <w:t>主体工程、机电工程等专业施工图</w:t>
            </w:r>
          </w:p>
        </w:tc>
        <w:tc>
          <w:tcPr>
            <w:tcW w:w="1579" w:type="pct"/>
            <w:tcBorders>
              <w:top w:val="single" w:color="auto" w:sz="4" w:space="0"/>
              <w:left w:val="single" w:color="auto" w:sz="4" w:space="0"/>
              <w:bottom w:val="single" w:color="auto" w:sz="4" w:space="0"/>
              <w:right w:val="single" w:color="auto" w:sz="4" w:space="0"/>
            </w:tcBorders>
            <w:vAlign w:val="center"/>
          </w:tcPr>
          <w:p w14:paraId="589E1AF4">
            <w:pPr>
              <w:spacing w:line="360" w:lineRule="exact"/>
              <w:jc w:val="center"/>
              <w:rPr>
                <w:rFonts w:ascii="仿宋" w:hAnsi="仿宋" w:eastAsia="仿宋" w:cs="宋体"/>
              </w:rPr>
            </w:pPr>
            <w:r>
              <w:rPr>
                <w:rFonts w:hint="eastAsia" w:ascii="仿宋" w:hAnsi="仿宋" w:eastAsia="仿宋" w:cs="宋体"/>
                <w:lang w:eastAsia="zh-CN"/>
              </w:rPr>
              <w:t>按发包人要求提供</w:t>
            </w:r>
          </w:p>
        </w:tc>
        <w:tc>
          <w:tcPr>
            <w:tcW w:w="852" w:type="pct"/>
            <w:tcBorders>
              <w:top w:val="single" w:color="auto" w:sz="4" w:space="0"/>
              <w:left w:val="single" w:color="auto" w:sz="4" w:space="0"/>
              <w:bottom w:val="single" w:color="auto" w:sz="4" w:space="0"/>
              <w:right w:val="single" w:color="auto" w:sz="4" w:space="0"/>
            </w:tcBorders>
            <w:vAlign w:val="center"/>
          </w:tcPr>
          <w:p w14:paraId="712346D4">
            <w:pPr>
              <w:spacing w:line="360" w:lineRule="exact"/>
              <w:rPr>
                <w:rFonts w:ascii="仿宋" w:hAnsi="仿宋" w:eastAsia="仿宋" w:cs="宋体"/>
                <w:lang w:eastAsia="zh-CN"/>
              </w:rPr>
            </w:pPr>
            <w:r>
              <w:rPr>
                <w:rFonts w:hint="eastAsia" w:ascii="仿宋" w:hAnsi="仿宋" w:eastAsia="仿宋" w:cs="宋体"/>
                <w:lang w:eastAsia="zh-CN"/>
              </w:rPr>
              <w:t>提供相应成果文件电子版并根据发包人需求提供相应计算模型</w:t>
            </w:r>
          </w:p>
        </w:tc>
      </w:tr>
      <w:tr w14:paraId="46B0AD6F">
        <w:tblPrEx>
          <w:tblCellMar>
            <w:top w:w="0" w:type="dxa"/>
            <w:left w:w="108" w:type="dxa"/>
            <w:bottom w:w="0" w:type="dxa"/>
            <w:right w:w="108" w:type="dxa"/>
          </w:tblCellMar>
        </w:tblPrEx>
        <w:trPr>
          <w:trHeight w:val="582" w:hRule="atLeast"/>
          <w:jc w:val="center"/>
        </w:trPr>
        <w:tc>
          <w:tcPr>
            <w:tcW w:w="376" w:type="pct"/>
            <w:tcBorders>
              <w:top w:val="single" w:color="auto" w:sz="4" w:space="0"/>
              <w:left w:val="single" w:color="auto" w:sz="4" w:space="0"/>
              <w:bottom w:val="single" w:color="auto" w:sz="4" w:space="0"/>
              <w:right w:val="single" w:color="auto" w:sz="4" w:space="0"/>
            </w:tcBorders>
            <w:vAlign w:val="center"/>
          </w:tcPr>
          <w:p w14:paraId="5D2202F5">
            <w:pPr>
              <w:spacing w:line="360" w:lineRule="exact"/>
              <w:jc w:val="center"/>
              <w:rPr>
                <w:rFonts w:ascii="仿宋" w:hAnsi="仿宋" w:eastAsia="仿宋" w:cs="宋体"/>
                <w:lang w:eastAsia="zh-CN"/>
              </w:rPr>
            </w:pPr>
            <w:r>
              <w:rPr>
                <w:rFonts w:hint="eastAsia" w:ascii="仿宋" w:hAnsi="仿宋" w:eastAsia="仿宋" w:cs="宋体"/>
                <w:lang w:eastAsia="zh-CN"/>
              </w:rPr>
              <w:t>3</w:t>
            </w:r>
          </w:p>
        </w:tc>
        <w:tc>
          <w:tcPr>
            <w:tcW w:w="2191" w:type="pct"/>
            <w:gridSpan w:val="3"/>
            <w:tcBorders>
              <w:top w:val="single" w:color="auto" w:sz="4" w:space="0"/>
              <w:left w:val="single" w:color="auto" w:sz="4" w:space="0"/>
              <w:bottom w:val="single" w:color="auto" w:sz="4" w:space="0"/>
              <w:right w:val="single" w:color="auto" w:sz="4" w:space="0"/>
            </w:tcBorders>
            <w:vAlign w:val="center"/>
          </w:tcPr>
          <w:p w14:paraId="48E90968">
            <w:pPr>
              <w:spacing w:line="360" w:lineRule="exact"/>
              <w:rPr>
                <w:rFonts w:ascii="仿宋" w:hAnsi="仿宋" w:eastAsia="仿宋" w:cs="宋体"/>
                <w:lang w:eastAsia="zh-CN"/>
              </w:rPr>
            </w:pPr>
            <w:r>
              <w:rPr>
                <w:rFonts w:hint="eastAsia" w:ascii="仿宋" w:hAnsi="仿宋" w:eastAsia="仿宋" w:cs="宋体"/>
                <w:lang w:eastAsia="zh-CN"/>
              </w:rPr>
              <w:t>施工报建报审的成果文件</w:t>
            </w:r>
          </w:p>
        </w:tc>
        <w:tc>
          <w:tcPr>
            <w:tcW w:w="1579" w:type="pct"/>
            <w:tcBorders>
              <w:top w:val="single" w:color="auto" w:sz="4" w:space="0"/>
              <w:left w:val="single" w:color="auto" w:sz="4" w:space="0"/>
              <w:bottom w:val="single" w:color="auto" w:sz="4" w:space="0"/>
              <w:right w:val="single" w:color="auto" w:sz="4" w:space="0"/>
            </w:tcBorders>
            <w:vAlign w:val="center"/>
          </w:tcPr>
          <w:p w14:paraId="22EA75C9">
            <w:pPr>
              <w:spacing w:line="360" w:lineRule="exact"/>
              <w:jc w:val="center"/>
              <w:rPr>
                <w:rFonts w:ascii="仿宋" w:hAnsi="仿宋" w:eastAsia="仿宋" w:cs="宋体"/>
              </w:rPr>
            </w:pPr>
            <w:r>
              <w:rPr>
                <w:rFonts w:hint="eastAsia" w:ascii="仿宋" w:hAnsi="仿宋" w:eastAsia="仿宋" w:cs="宋体"/>
                <w:lang w:eastAsia="zh-CN"/>
              </w:rPr>
              <w:t>按发包人要求提供</w:t>
            </w:r>
          </w:p>
        </w:tc>
        <w:tc>
          <w:tcPr>
            <w:tcW w:w="852" w:type="pct"/>
            <w:tcBorders>
              <w:top w:val="single" w:color="auto" w:sz="4" w:space="0"/>
              <w:left w:val="single" w:color="auto" w:sz="4" w:space="0"/>
              <w:bottom w:val="single" w:color="auto" w:sz="4" w:space="0"/>
              <w:right w:val="single" w:color="auto" w:sz="4" w:space="0"/>
            </w:tcBorders>
            <w:vAlign w:val="center"/>
          </w:tcPr>
          <w:p w14:paraId="01A31973">
            <w:pPr>
              <w:spacing w:line="360" w:lineRule="exact"/>
              <w:rPr>
                <w:rFonts w:ascii="仿宋" w:hAnsi="仿宋" w:eastAsia="仿宋" w:cs="宋体"/>
              </w:rPr>
            </w:pPr>
            <w:r>
              <w:rPr>
                <w:rFonts w:hint="eastAsia" w:ascii="仿宋" w:hAnsi="仿宋" w:eastAsia="仿宋" w:cs="宋体"/>
              </w:rPr>
              <w:t>相应成果文件电子版</w:t>
            </w:r>
          </w:p>
        </w:tc>
      </w:tr>
      <w:tr w14:paraId="119917DF">
        <w:tblPrEx>
          <w:tblCellMar>
            <w:top w:w="0" w:type="dxa"/>
            <w:left w:w="108" w:type="dxa"/>
            <w:bottom w:w="0" w:type="dxa"/>
            <w:right w:w="108" w:type="dxa"/>
          </w:tblCellMar>
        </w:tblPrEx>
        <w:trPr>
          <w:trHeight w:val="582" w:hRule="atLeast"/>
          <w:jc w:val="center"/>
        </w:trPr>
        <w:tc>
          <w:tcPr>
            <w:tcW w:w="376" w:type="pct"/>
            <w:tcBorders>
              <w:top w:val="single" w:color="auto" w:sz="4" w:space="0"/>
              <w:left w:val="single" w:color="auto" w:sz="4" w:space="0"/>
              <w:bottom w:val="single" w:color="auto" w:sz="4" w:space="0"/>
              <w:right w:val="single" w:color="auto" w:sz="4" w:space="0"/>
            </w:tcBorders>
            <w:vAlign w:val="center"/>
          </w:tcPr>
          <w:p w14:paraId="71EE4031">
            <w:pPr>
              <w:spacing w:line="360" w:lineRule="exact"/>
              <w:jc w:val="center"/>
              <w:rPr>
                <w:rFonts w:ascii="仿宋" w:hAnsi="仿宋" w:eastAsia="仿宋" w:cs="宋体"/>
                <w:lang w:eastAsia="zh-CN"/>
              </w:rPr>
            </w:pPr>
            <w:r>
              <w:rPr>
                <w:rFonts w:hint="eastAsia" w:ascii="仿宋" w:hAnsi="仿宋" w:eastAsia="仿宋" w:cs="宋体"/>
                <w:lang w:eastAsia="zh-CN"/>
              </w:rPr>
              <w:t>4</w:t>
            </w:r>
          </w:p>
        </w:tc>
        <w:tc>
          <w:tcPr>
            <w:tcW w:w="2191" w:type="pct"/>
            <w:gridSpan w:val="3"/>
            <w:tcBorders>
              <w:top w:val="single" w:color="auto" w:sz="4" w:space="0"/>
              <w:left w:val="single" w:color="auto" w:sz="4" w:space="0"/>
              <w:bottom w:val="single" w:color="auto" w:sz="4" w:space="0"/>
              <w:right w:val="single" w:color="auto" w:sz="4" w:space="0"/>
            </w:tcBorders>
            <w:vAlign w:val="center"/>
          </w:tcPr>
          <w:p w14:paraId="6779D5CF">
            <w:pPr>
              <w:spacing w:line="360" w:lineRule="exact"/>
              <w:rPr>
                <w:rFonts w:ascii="仿宋" w:hAnsi="仿宋" w:eastAsia="仿宋" w:cs="宋体"/>
                <w:lang w:eastAsia="zh-CN"/>
              </w:rPr>
            </w:pPr>
            <w:r>
              <w:rPr>
                <w:rFonts w:hint="eastAsia" w:ascii="仿宋" w:hAnsi="仿宋" w:eastAsia="仿宋" w:cs="宋体"/>
                <w:lang w:eastAsia="zh-CN"/>
              </w:rPr>
              <w:t>BIM成果文件</w:t>
            </w:r>
          </w:p>
        </w:tc>
        <w:tc>
          <w:tcPr>
            <w:tcW w:w="1579" w:type="pct"/>
            <w:tcBorders>
              <w:top w:val="single" w:color="auto" w:sz="4" w:space="0"/>
              <w:left w:val="single" w:color="auto" w:sz="4" w:space="0"/>
              <w:bottom w:val="single" w:color="auto" w:sz="4" w:space="0"/>
              <w:right w:val="single" w:color="auto" w:sz="4" w:space="0"/>
            </w:tcBorders>
            <w:vAlign w:val="center"/>
          </w:tcPr>
          <w:p w14:paraId="4032F1CA">
            <w:pPr>
              <w:spacing w:line="360" w:lineRule="exact"/>
              <w:jc w:val="center"/>
              <w:rPr>
                <w:rFonts w:ascii="仿宋" w:hAnsi="仿宋" w:eastAsia="仿宋" w:cs="宋体"/>
                <w:lang w:eastAsia="zh-CN"/>
              </w:rPr>
            </w:pPr>
            <w:r>
              <w:rPr>
                <w:rFonts w:hint="eastAsia" w:ascii="仿宋" w:hAnsi="仿宋" w:eastAsia="仿宋" w:cs="宋体"/>
                <w:lang w:eastAsia="zh-CN"/>
              </w:rPr>
              <w:t>按发包人要求提供</w:t>
            </w:r>
          </w:p>
        </w:tc>
        <w:tc>
          <w:tcPr>
            <w:tcW w:w="852" w:type="pct"/>
            <w:tcBorders>
              <w:top w:val="single" w:color="auto" w:sz="4" w:space="0"/>
              <w:left w:val="single" w:color="auto" w:sz="4" w:space="0"/>
              <w:bottom w:val="single" w:color="auto" w:sz="4" w:space="0"/>
              <w:right w:val="single" w:color="auto" w:sz="4" w:space="0"/>
            </w:tcBorders>
            <w:vAlign w:val="center"/>
          </w:tcPr>
          <w:p w14:paraId="08843209">
            <w:pPr>
              <w:spacing w:line="360" w:lineRule="exact"/>
              <w:rPr>
                <w:rFonts w:ascii="仿宋" w:hAnsi="仿宋" w:eastAsia="仿宋" w:cs="宋体"/>
              </w:rPr>
            </w:pPr>
            <w:r>
              <w:rPr>
                <w:rFonts w:hint="eastAsia" w:ascii="仿宋" w:hAnsi="仿宋" w:eastAsia="仿宋" w:cs="宋体"/>
              </w:rPr>
              <w:t>相应成果文件电子版</w:t>
            </w:r>
          </w:p>
        </w:tc>
      </w:tr>
      <w:tr w14:paraId="65585BF4">
        <w:tblPrEx>
          <w:tblCellMar>
            <w:top w:w="0" w:type="dxa"/>
            <w:left w:w="108" w:type="dxa"/>
            <w:bottom w:w="0" w:type="dxa"/>
            <w:right w:w="108" w:type="dxa"/>
          </w:tblCellMar>
        </w:tblPrEx>
        <w:trPr>
          <w:trHeight w:val="594" w:hRule="atLeast"/>
          <w:jc w:val="center"/>
        </w:trPr>
        <w:tc>
          <w:tcPr>
            <w:tcW w:w="376" w:type="pct"/>
            <w:tcBorders>
              <w:top w:val="single" w:color="auto" w:sz="4" w:space="0"/>
              <w:left w:val="single" w:color="auto" w:sz="4" w:space="0"/>
              <w:bottom w:val="single" w:color="auto" w:sz="4" w:space="0"/>
              <w:right w:val="single" w:color="auto" w:sz="4" w:space="0"/>
            </w:tcBorders>
            <w:vAlign w:val="center"/>
          </w:tcPr>
          <w:p w14:paraId="00037525">
            <w:pPr>
              <w:spacing w:line="360" w:lineRule="exact"/>
              <w:jc w:val="center"/>
              <w:rPr>
                <w:rFonts w:ascii="仿宋" w:hAnsi="仿宋" w:eastAsia="仿宋" w:cs="宋体"/>
                <w:lang w:eastAsia="zh-CN"/>
              </w:rPr>
            </w:pPr>
            <w:r>
              <w:rPr>
                <w:rFonts w:hint="eastAsia" w:ascii="仿宋" w:hAnsi="仿宋" w:eastAsia="仿宋" w:cs="宋体"/>
                <w:lang w:eastAsia="zh-CN"/>
              </w:rPr>
              <w:t>5</w:t>
            </w:r>
          </w:p>
        </w:tc>
        <w:tc>
          <w:tcPr>
            <w:tcW w:w="2191" w:type="pct"/>
            <w:gridSpan w:val="3"/>
            <w:tcBorders>
              <w:top w:val="single" w:color="auto" w:sz="4" w:space="0"/>
              <w:left w:val="single" w:color="auto" w:sz="4" w:space="0"/>
              <w:bottom w:val="single" w:color="auto" w:sz="4" w:space="0"/>
              <w:right w:val="single" w:color="auto" w:sz="4" w:space="0"/>
            </w:tcBorders>
            <w:vAlign w:val="center"/>
          </w:tcPr>
          <w:p w14:paraId="7B1E0038">
            <w:pPr>
              <w:spacing w:line="360" w:lineRule="exact"/>
              <w:rPr>
                <w:rFonts w:ascii="仿宋" w:hAnsi="仿宋" w:eastAsia="仿宋" w:cs="宋体"/>
                <w:lang w:eastAsia="zh-CN"/>
              </w:rPr>
            </w:pPr>
            <w:r>
              <w:rPr>
                <w:rFonts w:hint="eastAsia" w:ascii="仿宋" w:hAnsi="仿宋" w:eastAsia="仿宋" w:cs="宋体"/>
                <w:lang w:eastAsia="zh-CN"/>
              </w:rPr>
              <w:t>多媒体动画</w:t>
            </w:r>
          </w:p>
        </w:tc>
        <w:tc>
          <w:tcPr>
            <w:tcW w:w="1579" w:type="pct"/>
            <w:tcBorders>
              <w:top w:val="single" w:color="auto" w:sz="4" w:space="0"/>
              <w:left w:val="single" w:color="auto" w:sz="4" w:space="0"/>
              <w:bottom w:val="single" w:color="auto" w:sz="4" w:space="0"/>
              <w:right w:val="single" w:color="auto" w:sz="4" w:space="0"/>
            </w:tcBorders>
            <w:vAlign w:val="center"/>
          </w:tcPr>
          <w:p w14:paraId="0EDF86A3">
            <w:pPr>
              <w:spacing w:line="360" w:lineRule="exact"/>
              <w:jc w:val="center"/>
              <w:rPr>
                <w:rFonts w:ascii="仿宋" w:hAnsi="仿宋" w:eastAsia="仿宋" w:cs="宋体"/>
              </w:rPr>
            </w:pPr>
            <w:r>
              <w:rPr>
                <w:rFonts w:hint="eastAsia" w:ascii="仿宋" w:hAnsi="仿宋" w:eastAsia="仿宋" w:cs="宋体"/>
                <w:lang w:eastAsia="zh-CN"/>
              </w:rPr>
              <w:t>按发包人要求提供</w:t>
            </w:r>
          </w:p>
        </w:tc>
        <w:tc>
          <w:tcPr>
            <w:tcW w:w="852" w:type="pct"/>
            <w:tcBorders>
              <w:top w:val="single" w:color="auto" w:sz="4" w:space="0"/>
              <w:left w:val="single" w:color="auto" w:sz="4" w:space="0"/>
              <w:bottom w:val="single" w:color="auto" w:sz="4" w:space="0"/>
              <w:right w:val="single" w:color="auto" w:sz="4" w:space="0"/>
            </w:tcBorders>
            <w:vAlign w:val="center"/>
          </w:tcPr>
          <w:p w14:paraId="625B1BB2">
            <w:pPr>
              <w:spacing w:line="360" w:lineRule="exact"/>
              <w:rPr>
                <w:rFonts w:ascii="仿宋" w:hAnsi="仿宋" w:eastAsia="仿宋" w:cs="宋体"/>
              </w:rPr>
            </w:pPr>
          </w:p>
        </w:tc>
      </w:tr>
      <w:tr w14:paraId="79770728">
        <w:tblPrEx>
          <w:tblCellMar>
            <w:top w:w="0" w:type="dxa"/>
            <w:left w:w="108" w:type="dxa"/>
            <w:bottom w:w="0" w:type="dxa"/>
            <w:right w:w="108" w:type="dxa"/>
          </w:tblCellMar>
        </w:tblPrEx>
        <w:trPr>
          <w:trHeight w:val="594" w:hRule="atLeast"/>
          <w:jc w:val="center"/>
        </w:trPr>
        <w:tc>
          <w:tcPr>
            <w:tcW w:w="376" w:type="pct"/>
            <w:tcBorders>
              <w:top w:val="single" w:color="auto" w:sz="4" w:space="0"/>
              <w:left w:val="single" w:color="auto" w:sz="4" w:space="0"/>
              <w:bottom w:val="single" w:color="auto" w:sz="4" w:space="0"/>
              <w:right w:val="single" w:color="auto" w:sz="4" w:space="0"/>
            </w:tcBorders>
            <w:vAlign w:val="center"/>
          </w:tcPr>
          <w:p w14:paraId="06E8E869">
            <w:pPr>
              <w:spacing w:line="360" w:lineRule="exact"/>
              <w:jc w:val="center"/>
              <w:rPr>
                <w:rFonts w:ascii="仿宋" w:hAnsi="仿宋" w:eastAsia="仿宋" w:cs="宋体"/>
                <w:lang w:eastAsia="zh-CN"/>
              </w:rPr>
            </w:pPr>
            <w:r>
              <w:rPr>
                <w:rFonts w:hint="eastAsia" w:ascii="仿宋" w:hAnsi="仿宋" w:eastAsia="仿宋" w:cs="宋体"/>
                <w:lang w:eastAsia="zh-CN"/>
              </w:rPr>
              <w:t>6</w:t>
            </w:r>
          </w:p>
        </w:tc>
        <w:tc>
          <w:tcPr>
            <w:tcW w:w="2191" w:type="pct"/>
            <w:gridSpan w:val="3"/>
            <w:tcBorders>
              <w:top w:val="single" w:color="auto" w:sz="4" w:space="0"/>
              <w:left w:val="single" w:color="auto" w:sz="4" w:space="0"/>
              <w:bottom w:val="single" w:color="auto" w:sz="4" w:space="0"/>
              <w:right w:val="single" w:color="auto" w:sz="4" w:space="0"/>
            </w:tcBorders>
            <w:vAlign w:val="center"/>
          </w:tcPr>
          <w:p w14:paraId="507446C9">
            <w:pPr>
              <w:spacing w:line="360" w:lineRule="exact"/>
              <w:rPr>
                <w:rFonts w:ascii="仿宋" w:hAnsi="仿宋" w:eastAsia="仿宋" w:cs="宋体"/>
                <w:lang w:eastAsia="zh-CN"/>
              </w:rPr>
            </w:pPr>
            <w:r>
              <w:rPr>
                <w:rFonts w:hint="eastAsia" w:ascii="仿宋" w:hAnsi="仿宋" w:eastAsia="仿宋" w:cs="宋体"/>
                <w:lang w:eastAsia="zh-CN"/>
              </w:rPr>
              <w:t>展示模型、展板</w:t>
            </w:r>
          </w:p>
        </w:tc>
        <w:tc>
          <w:tcPr>
            <w:tcW w:w="1579" w:type="pct"/>
            <w:tcBorders>
              <w:top w:val="single" w:color="auto" w:sz="4" w:space="0"/>
              <w:left w:val="single" w:color="auto" w:sz="4" w:space="0"/>
              <w:bottom w:val="single" w:color="auto" w:sz="4" w:space="0"/>
              <w:right w:val="single" w:color="auto" w:sz="4" w:space="0"/>
            </w:tcBorders>
            <w:vAlign w:val="center"/>
          </w:tcPr>
          <w:p w14:paraId="16C3A746">
            <w:pPr>
              <w:spacing w:line="360" w:lineRule="exact"/>
              <w:jc w:val="center"/>
              <w:rPr>
                <w:rFonts w:ascii="仿宋" w:hAnsi="仿宋" w:eastAsia="仿宋" w:cs="宋体"/>
              </w:rPr>
            </w:pPr>
            <w:r>
              <w:rPr>
                <w:rFonts w:hint="eastAsia" w:ascii="仿宋" w:hAnsi="仿宋" w:eastAsia="仿宋" w:cs="宋体"/>
                <w:lang w:eastAsia="zh-CN"/>
              </w:rPr>
              <w:t>按发包人要求提供</w:t>
            </w:r>
          </w:p>
        </w:tc>
        <w:tc>
          <w:tcPr>
            <w:tcW w:w="852" w:type="pct"/>
            <w:tcBorders>
              <w:top w:val="single" w:color="auto" w:sz="4" w:space="0"/>
              <w:left w:val="single" w:color="auto" w:sz="4" w:space="0"/>
              <w:bottom w:val="single" w:color="auto" w:sz="4" w:space="0"/>
              <w:right w:val="single" w:color="auto" w:sz="4" w:space="0"/>
            </w:tcBorders>
            <w:vAlign w:val="center"/>
          </w:tcPr>
          <w:p w14:paraId="12D67C0B">
            <w:pPr>
              <w:spacing w:line="360" w:lineRule="exact"/>
              <w:rPr>
                <w:rFonts w:ascii="仿宋" w:hAnsi="仿宋" w:eastAsia="仿宋" w:cs="宋体"/>
              </w:rPr>
            </w:pPr>
          </w:p>
        </w:tc>
      </w:tr>
      <w:tr w14:paraId="315B7051">
        <w:tblPrEx>
          <w:tblCellMar>
            <w:top w:w="0" w:type="dxa"/>
            <w:left w:w="108" w:type="dxa"/>
            <w:bottom w:w="0" w:type="dxa"/>
            <w:right w:w="108" w:type="dxa"/>
          </w:tblCellMar>
        </w:tblPrEx>
        <w:trPr>
          <w:trHeight w:val="534" w:hRule="atLeast"/>
          <w:jc w:val="center"/>
        </w:trPr>
        <w:tc>
          <w:tcPr>
            <w:tcW w:w="376" w:type="pct"/>
            <w:tcBorders>
              <w:top w:val="single" w:color="auto" w:sz="4" w:space="0"/>
              <w:left w:val="single" w:color="auto" w:sz="4" w:space="0"/>
              <w:bottom w:val="single" w:color="auto" w:sz="4" w:space="0"/>
              <w:right w:val="single" w:color="auto" w:sz="4" w:space="0"/>
            </w:tcBorders>
            <w:vAlign w:val="center"/>
          </w:tcPr>
          <w:p w14:paraId="609EAB3F">
            <w:pPr>
              <w:spacing w:line="360" w:lineRule="exact"/>
              <w:jc w:val="center"/>
              <w:rPr>
                <w:rFonts w:ascii="仿宋" w:hAnsi="仿宋" w:eastAsia="仿宋" w:cs="宋体"/>
                <w:lang w:eastAsia="zh-CN"/>
              </w:rPr>
            </w:pPr>
            <w:r>
              <w:rPr>
                <w:rFonts w:hint="eastAsia" w:ascii="仿宋" w:hAnsi="仿宋" w:eastAsia="仿宋" w:cs="宋体"/>
                <w:lang w:eastAsia="zh-CN"/>
              </w:rPr>
              <w:t>7</w:t>
            </w:r>
          </w:p>
        </w:tc>
        <w:tc>
          <w:tcPr>
            <w:tcW w:w="2191" w:type="pct"/>
            <w:gridSpan w:val="3"/>
            <w:tcBorders>
              <w:top w:val="single" w:color="auto" w:sz="4" w:space="0"/>
              <w:left w:val="single" w:color="auto" w:sz="4" w:space="0"/>
              <w:bottom w:val="single" w:color="auto" w:sz="4" w:space="0"/>
              <w:right w:val="single" w:color="auto" w:sz="4" w:space="0"/>
            </w:tcBorders>
            <w:vAlign w:val="center"/>
          </w:tcPr>
          <w:p w14:paraId="72025972">
            <w:pPr>
              <w:spacing w:line="360" w:lineRule="exact"/>
              <w:rPr>
                <w:rFonts w:ascii="仿宋" w:hAnsi="仿宋" w:eastAsia="仿宋" w:cs="宋体"/>
                <w:lang w:eastAsia="zh-CN"/>
              </w:rPr>
            </w:pPr>
            <w:r>
              <w:rPr>
                <w:rFonts w:hint="eastAsia" w:ascii="仿宋" w:hAnsi="仿宋" w:eastAsia="仿宋" w:cs="宋体"/>
                <w:lang w:eastAsia="zh-CN"/>
              </w:rPr>
              <w:t>其他二次深化专项设计及深化图纸文件</w:t>
            </w:r>
          </w:p>
        </w:tc>
        <w:tc>
          <w:tcPr>
            <w:tcW w:w="1579" w:type="pct"/>
            <w:tcBorders>
              <w:top w:val="single" w:color="auto" w:sz="4" w:space="0"/>
              <w:left w:val="single" w:color="auto" w:sz="4" w:space="0"/>
              <w:bottom w:val="single" w:color="auto" w:sz="4" w:space="0"/>
              <w:right w:val="single" w:color="auto" w:sz="4" w:space="0"/>
            </w:tcBorders>
            <w:vAlign w:val="center"/>
          </w:tcPr>
          <w:p w14:paraId="31F81D15">
            <w:pPr>
              <w:spacing w:line="360" w:lineRule="exact"/>
              <w:jc w:val="center"/>
              <w:rPr>
                <w:rFonts w:ascii="仿宋" w:hAnsi="仿宋" w:eastAsia="仿宋" w:cs="宋体"/>
              </w:rPr>
            </w:pPr>
            <w:r>
              <w:rPr>
                <w:rFonts w:hint="eastAsia" w:ascii="仿宋" w:hAnsi="仿宋" w:eastAsia="仿宋" w:cs="宋体"/>
                <w:lang w:eastAsia="zh-CN"/>
              </w:rPr>
              <w:t>按发包人要求提供</w:t>
            </w:r>
          </w:p>
        </w:tc>
        <w:tc>
          <w:tcPr>
            <w:tcW w:w="852" w:type="pct"/>
            <w:tcBorders>
              <w:top w:val="single" w:color="auto" w:sz="4" w:space="0"/>
              <w:left w:val="single" w:color="auto" w:sz="4" w:space="0"/>
              <w:bottom w:val="single" w:color="auto" w:sz="4" w:space="0"/>
              <w:right w:val="single" w:color="auto" w:sz="4" w:space="0"/>
            </w:tcBorders>
            <w:vAlign w:val="center"/>
          </w:tcPr>
          <w:p w14:paraId="3600F2D8">
            <w:pPr>
              <w:spacing w:line="360" w:lineRule="exact"/>
              <w:rPr>
                <w:rFonts w:ascii="仿宋" w:hAnsi="仿宋" w:eastAsia="仿宋" w:cs="宋体"/>
              </w:rPr>
            </w:pPr>
            <w:r>
              <w:rPr>
                <w:rFonts w:hint="eastAsia" w:ascii="仿宋" w:hAnsi="仿宋" w:eastAsia="仿宋" w:cs="宋体"/>
              </w:rPr>
              <w:t>相应成果文件电子版</w:t>
            </w:r>
          </w:p>
        </w:tc>
      </w:tr>
      <w:tr w14:paraId="49B0219B">
        <w:tblPrEx>
          <w:tblCellMar>
            <w:top w:w="0" w:type="dxa"/>
            <w:left w:w="108" w:type="dxa"/>
            <w:bottom w:w="0" w:type="dxa"/>
            <w:right w:w="108" w:type="dxa"/>
          </w:tblCellMar>
        </w:tblPrEx>
        <w:trPr>
          <w:trHeight w:val="534" w:hRule="atLeast"/>
          <w:jc w:val="center"/>
        </w:trPr>
        <w:tc>
          <w:tcPr>
            <w:tcW w:w="376" w:type="pct"/>
            <w:tcBorders>
              <w:top w:val="single" w:color="auto" w:sz="4" w:space="0"/>
              <w:left w:val="single" w:color="auto" w:sz="4" w:space="0"/>
              <w:bottom w:val="single" w:color="auto" w:sz="4" w:space="0"/>
              <w:right w:val="single" w:color="auto" w:sz="4" w:space="0"/>
            </w:tcBorders>
            <w:vAlign w:val="center"/>
          </w:tcPr>
          <w:p w14:paraId="450A31C5">
            <w:pPr>
              <w:spacing w:line="360" w:lineRule="exact"/>
              <w:jc w:val="center"/>
              <w:rPr>
                <w:rFonts w:ascii="仿宋" w:hAnsi="仿宋" w:eastAsia="仿宋" w:cs="宋体"/>
                <w:lang w:eastAsia="zh-CN"/>
              </w:rPr>
            </w:pPr>
            <w:r>
              <w:rPr>
                <w:rFonts w:hint="eastAsia" w:ascii="仿宋" w:hAnsi="仿宋" w:eastAsia="仿宋" w:cs="宋体"/>
                <w:lang w:eastAsia="zh-CN"/>
              </w:rPr>
              <w:t>8</w:t>
            </w:r>
          </w:p>
        </w:tc>
        <w:tc>
          <w:tcPr>
            <w:tcW w:w="1095" w:type="pct"/>
            <w:gridSpan w:val="2"/>
            <w:tcBorders>
              <w:top w:val="single" w:color="auto" w:sz="4" w:space="0"/>
              <w:left w:val="single" w:color="auto" w:sz="4" w:space="0"/>
              <w:bottom w:val="single" w:color="auto" w:sz="4" w:space="0"/>
              <w:right w:val="single" w:color="auto" w:sz="4" w:space="0"/>
            </w:tcBorders>
            <w:vAlign w:val="center"/>
          </w:tcPr>
          <w:p w14:paraId="4E3A4E64">
            <w:pPr>
              <w:spacing w:line="360" w:lineRule="exact"/>
              <w:rPr>
                <w:rFonts w:ascii="仿宋" w:hAnsi="仿宋" w:eastAsia="仿宋" w:cs="宋体"/>
                <w:lang w:eastAsia="zh-CN"/>
              </w:rPr>
            </w:pPr>
            <w:r>
              <w:rPr>
                <w:rFonts w:hint="eastAsia" w:ascii="仿宋" w:hAnsi="仿宋" w:eastAsia="仿宋" w:cs="宋体"/>
                <w:lang w:eastAsia="zh-CN"/>
              </w:rPr>
              <w:t>建筑立面效果深化设计</w:t>
            </w:r>
          </w:p>
        </w:tc>
        <w:tc>
          <w:tcPr>
            <w:tcW w:w="1096" w:type="pct"/>
            <w:tcBorders>
              <w:top w:val="single" w:color="auto" w:sz="4" w:space="0"/>
              <w:left w:val="single" w:color="auto" w:sz="4" w:space="0"/>
              <w:bottom w:val="single" w:color="auto" w:sz="4" w:space="0"/>
              <w:right w:val="single" w:color="auto" w:sz="4" w:space="0"/>
            </w:tcBorders>
            <w:vAlign w:val="center"/>
          </w:tcPr>
          <w:p w14:paraId="6596FAB7">
            <w:pPr>
              <w:spacing w:line="360" w:lineRule="exact"/>
              <w:rPr>
                <w:rFonts w:ascii="仿宋" w:hAnsi="仿宋" w:eastAsia="仿宋" w:cs="宋体"/>
                <w:lang w:eastAsia="zh-CN"/>
              </w:rPr>
            </w:pPr>
            <w:r>
              <w:rPr>
                <w:rFonts w:hint="eastAsia" w:ascii="仿宋" w:hAnsi="仿宋" w:eastAsia="仿宋" w:cs="宋体"/>
                <w:lang w:eastAsia="zh-CN"/>
              </w:rPr>
              <w:t>外立面施工控制手册(包括最终定稿的外立面效果图、立面分色图、立面详图、部件详细尺寸大样、材料说明等内容)等建筑立面方案深化设计成果及相关说明。</w:t>
            </w:r>
          </w:p>
        </w:tc>
        <w:tc>
          <w:tcPr>
            <w:tcW w:w="1579" w:type="pct"/>
            <w:tcBorders>
              <w:top w:val="single" w:color="auto" w:sz="4" w:space="0"/>
              <w:left w:val="single" w:color="auto" w:sz="4" w:space="0"/>
              <w:bottom w:val="single" w:color="auto" w:sz="4" w:space="0"/>
              <w:right w:val="single" w:color="auto" w:sz="4" w:space="0"/>
            </w:tcBorders>
            <w:vAlign w:val="center"/>
          </w:tcPr>
          <w:p w14:paraId="380B2331">
            <w:pPr>
              <w:spacing w:line="360" w:lineRule="exact"/>
              <w:jc w:val="center"/>
              <w:rPr>
                <w:rFonts w:ascii="仿宋" w:hAnsi="仿宋" w:eastAsia="仿宋" w:cs="宋体"/>
              </w:rPr>
            </w:pPr>
            <w:r>
              <w:rPr>
                <w:rFonts w:hint="eastAsia" w:ascii="仿宋" w:hAnsi="仿宋" w:eastAsia="仿宋" w:cs="宋体"/>
                <w:lang w:eastAsia="zh-CN"/>
              </w:rPr>
              <w:t>按发包人要求提供</w:t>
            </w:r>
          </w:p>
        </w:tc>
        <w:tc>
          <w:tcPr>
            <w:tcW w:w="852" w:type="pct"/>
            <w:tcBorders>
              <w:top w:val="single" w:color="auto" w:sz="4" w:space="0"/>
              <w:left w:val="single" w:color="auto" w:sz="4" w:space="0"/>
              <w:bottom w:val="single" w:color="auto" w:sz="4" w:space="0"/>
              <w:right w:val="single" w:color="auto" w:sz="4" w:space="0"/>
            </w:tcBorders>
            <w:vAlign w:val="center"/>
          </w:tcPr>
          <w:p w14:paraId="7E2A9EF8">
            <w:pPr>
              <w:spacing w:line="360" w:lineRule="exact"/>
              <w:rPr>
                <w:rFonts w:ascii="仿宋" w:hAnsi="仿宋" w:eastAsia="仿宋" w:cs="宋体"/>
              </w:rPr>
            </w:pPr>
            <w:r>
              <w:rPr>
                <w:rFonts w:hint="eastAsia" w:ascii="仿宋" w:hAnsi="仿宋" w:eastAsia="仿宋" w:cs="宋体"/>
              </w:rPr>
              <w:t>相应成果文件电子版</w:t>
            </w:r>
          </w:p>
        </w:tc>
      </w:tr>
    </w:tbl>
    <w:p w14:paraId="0E5C7191">
      <w:pPr>
        <w:spacing w:line="360" w:lineRule="auto"/>
        <w:ind w:firstLine="480" w:firstLineChars="200"/>
        <w:jc w:val="center"/>
        <w:rPr>
          <w:lang w:eastAsia="zh-CN"/>
        </w:rPr>
      </w:pPr>
    </w:p>
    <w:p w14:paraId="4E454B1E">
      <w:pPr>
        <w:spacing w:line="360" w:lineRule="auto"/>
        <w:ind w:firstLine="480" w:firstLineChars="200"/>
        <w:rPr>
          <w:rFonts w:ascii="仿宋" w:hAnsi="仿宋" w:eastAsia="仿宋"/>
        </w:rPr>
      </w:pPr>
      <w:r>
        <w:rPr>
          <w:rFonts w:hint="eastAsia" w:ascii="仿宋" w:hAnsi="仿宋" w:eastAsia="仿宋"/>
        </w:rPr>
        <w:t>3</w:t>
      </w:r>
      <w:r>
        <w:rPr>
          <w:rFonts w:hint="eastAsia" w:ascii="仿宋" w:hAnsi="仿宋" w:eastAsia="仿宋"/>
          <w:lang w:eastAsia="zh-CN"/>
        </w:rPr>
        <w:t>8</w:t>
      </w:r>
      <w:r>
        <w:rPr>
          <w:rFonts w:hint="eastAsia" w:ascii="仿宋" w:hAnsi="仿宋" w:eastAsia="仿宋"/>
        </w:rPr>
        <w:t>.</w:t>
      </w:r>
      <w:r>
        <w:rPr>
          <w:rFonts w:hint="eastAsia" w:ascii="仿宋" w:hAnsi="仿宋" w:eastAsia="仿宋"/>
          <w:lang w:eastAsia="zh-CN"/>
        </w:rPr>
        <w:t>5</w:t>
      </w:r>
      <w:r>
        <w:rPr>
          <w:rFonts w:hint="eastAsia" w:ascii="仿宋" w:hAnsi="仿宋" w:eastAsia="仿宋"/>
        </w:rPr>
        <w:t xml:space="preserve"> 装配式建筑</w:t>
      </w:r>
    </w:p>
    <w:p w14:paraId="6068F846">
      <w:pPr>
        <w:spacing w:line="360" w:lineRule="auto"/>
        <w:ind w:firstLine="480" w:firstLineChars="200"/>
        <w:rPr>
          <w:rFonts w:ascii="仿宋" w:hAnsi="仿宋" w:eastAsia="仿宋"/>
          <w:lang w:eastAsia="zh-CN"/>
        </w:rPr>
      </w:pPr>
      <w:r>
        <w:rPr>
          <w:rFonts w:hint="eastAsia" w:ascii="仿宋" w:hAnsi="仿宋" w:eastAsia="仿宋"/>
          <w:lang w:eastAsia="zh-CN"/>
        </w:rPr>
        <w:t>38.5.1（1）装配式建筑采用的技术标准、规范及要求：</w:t>
      </w:r>
    </w:p>
    <w:p w14:paraId="0F6CAA5C">
      <w:pPr>
        <w:spacing w:line="360" w:lineRule="auto"/>
        <w:ind w:firstLine="480" w:firstLineChars="200"/>
        <w:rPr>
          <w:rFonts w:ascii="仿宋" w:hAnsi="仿宋" w:eastAsia="仿宋"/>
          <w:lang w:eastAsia="zh-CN"/>
        </w:rPr>
      </w:pPr>
      <w:r>
        <w:rPr>
          <w:rFonts w:hint="eastAsia" w:ascii="仿宋" w:hAnsi="仿宋" w:eastAsia="仿宋"/>
          <w:lang w:eastAsia="zh-CN"/>
        </w:rPr>
        <w:t>☑ 国家《装配式混凝土建筑技术标准》（GB/T51231-2016）、《装配式钢结构建筑技术标准》（GB/T51232-2016）、《钢筋套筒灌浆连接应用技术规程》（JGJ355-2015）</w:t>
      </w:r>
    </w:p>
    <w:p w14:paraId="11DF44FA">
      <w:pPr>
        <w:spacing w:line="360" w:lineRule="auto"/>
        <w:ind w:firstLine="480" w:firstLineChars="200"/>
        <w:rPr>
          <w:rFonts w:ascii="仿宋" w:hAnsi="仿宋" w:eastAsia="仿宋"/>
          <w:lang w:eastAsia="zh-CN"/>
        </w:rPr>
      </w:pPr>
      <w:r>
        <w:rPr>
          <w:rFonts w:hint="eastAsia" w:ascii="仿宋" w:hAnsi="仿宋" w:eastAsia="仿宋"/>
          <w:lang w:eastAsia="zh-CN"/>
        </w:rPr>
        <w:t xml:space="preserve">☑ 《装配式钢结构建筑技术规程》（DBJ/T 15-177-2020）、《装配式混凝土结构工程预制构件生产质量验收规程》（T/GZBC10-2019）、《装配式混凝土结构工程施工质量验收规程》(DB4401/T16-2019) </w:t>
      </w:r>
    </w:p>
    <w:p w14:paraId="18A50791">
      <w:pPr>
        <w:spacing w:line="360" w:lineRule="auto"/>
        <w:ind w:firstLine="480" w:firstLineChars="200"/>
        <w:rPr>
          <w:rFonts w:ascii="仿宋" w:hAnsi="仿宋" w:eastAsia="仿宋"/>
          <w:lang w:eastAsia="zh-CN"/>
        </w:rPr>
      </w:pPr>
      <w:r>
        <w:rPr>
          <w:rFonts w:hint="eastAsia" w:ascii="仿宋" w:hAnsi="仿宋" w:eastAsia="仿宋"/>
          <w:lang w:eastAsia="zh-CN"/>
        </w:rPr>
        <w:t xml:space="preserve">☑ 《广州市住房和城乡建设委员会关于印发广州市装配式建筑工程质量安全管理指引(试行)的通知》（穗建质[2018]477号）。 </w:t>
      </w:r>
    </w:p>
    <w:p w14:paraId="75AEA27F">
      <w:pPr>
        <w:spacing w:line="360" w:lineRule="auto"/>
        <w:ind w:firstLine="480" w:firstLineChars="200"/>
        <w:rPr>
          <w:rFonts w:ascii="仿宋" w:hAnsi="仿宋" w:eastAsia="仿宋"/>
          <w:lang w:eastAsia="zh-CN"/>
        </w:rPr>
      </w:pPr>
      <w:r>
        <w:rPr>
          <w:rFonts w:hint="eastAsia" w:ascii="仿宋" w:hAnsi="仿宋" w:eastAsia="仿宋"/>
          <w:lang w:eastAsia="zh-CN"/>
        </w:rPr>
        <w:t xml:space="preserve">□ 其他标准、规范及文件：     /       </w:t>
      </w:r>
    </w:p>
    <w:p w14:paraId="4C084CE3">
      <w:pPr>
        <w:spacing w:line="360" w:lineRule="auto"/>
        <w:ind w:firstLine="480" w:firstLineChars="200"/>
        <w:rPr>
          <w:rFonts w:ascii="仿宋" w:hAnsi="仿宋" w:eastAsia="仿宋"/>
          <w:lang w:eastAsia="zh-CN"/>
        </w:rPr>
      </w:pPr>
      <w:r>
        <w:rPr>
          <w:rFonts w:hint="eastAsia" w:ascii="仿宋" w:hAnsi="仿宋" w:eastAsia="仿宋"/>
          <w:lang w:eastAsia="zh-CN"/>
        </w:rPr>
        <w:t xml:space="preserve">（2）本项目装配式建筑选用的评价标准： </w:t>
      </w:r>
    </w:p>
    <w:p w14:paraId="008296D3">
      <w:pPr>
        <w:spacing w:line="360" w:lineRule="auto"/>
        <w:ind w:firstLine="480" w:firstLineChars="200"/>
        <w:rPr>
          <w:rFonts w:ascii="仿宋" w:hAnsi="仿宋" w:eastAsia="仿宋"/>
          <w:lang w:eastAsia="zh-CN"/>
        </w:rPr>
      </w:pPr>
      <w:r>
        <w:rPr>
          <w:rFonts w:hint="eastAsia" w:ascii="仿宋" w:hAnsi="仿宋" w:eastAsia="仿宋"/>
          <w:lang w:eastAsia="zh-CN"/>
        </w:rPr>
        <w:t xml:space="preserve">☑ 国家《装配式混凝土建筑技术标准》（GB/T51231-2016） </w:t>
      </w:r>
    </w:p>
    <w:p w14:paraId="3C1C6FE4">
      <w:pPr>
        <w:spacing w:line="360" w:lineRule="auto"/>
        <w:ind w:firstLine="480" w:firstLineChars="200"/>
        <w:rPr>
          <w:rFonts w:ascii="仿宋" w:hAnsi="仿宋" w:eastAsia="仿宋"/>
          <w:lang w:eastAsia="zh-CN"/>
        </w:rPr>
      </w:pPr>
      <w:r>
        <w:rPr>
          <w:rFonts w:hint="eastAsia" w:ascii="仿宋" w:hAnsi="仿宋" w:eastAsia="仿宋"/>
          <w:lang w:eastAsia="zh-CN"/>
        </w:rPr>
        <w:t xml:space="preserve">☑ 广东省《装配式建筑评价标准》（DBJ/T15-163-2019） </w:t>
      </w:r>
    </w:p>
    <w:p w14:paraId="5BE137A0">
      <w:pPr>
        <w:spacing w:line="360" w:lineRule="auto"/>
        <w:ind w:firstLine="480" w:firstLineChars="200"/>
        <w:rPr>
          <w:rFonts w:ascii="仿宋" w:hAnsi="仿宋" w:eastAsia="仿宋"/>
          <w:lang w:eastAsia="zh-CN"/>
        </w:rPr>
      </w:pPr>
      <w:r>
        <w:rPr>
          <w:rFonts w:hint="eastAsia" w:ascii="仿宋" w:hAnsi="仿宋" w:eastAsia="仿宋"/>
          <w:lang w:eastAsia="zh-CN"/>
        </w:rPr>
        <w:t>各装配式单体工程的名称及装配率（或评价等级）要求：按本项目设计任务书相关要求。</w:t>
      </w:r>
    </w:p>
    <w:p w14:paraId="6A04E03B">
      <w:pPr>
        <w:spacing w:line="360" w:lineRule="auto"/>
        <w:ind w:firstLine="480" w:firstLineChars="200"/>
        <w:rPr>
          <w:rFonts w:ascii="仿宋" w:hAnsi="仿宋" w:eastAsia="仿宋"/>
          <w:lang w:eastAsia="zh-CN"/>
        </w:rPr>
      </w:pPr>
      <w:r>
        <w:rPr>
          <w:rFonts w:hint="eastAsia" w:ascii="仿宋" w:hAnsi="仿宋" w:eastAsia="仿宋"/>
          <w:lang w:eastAsia="zh-CN"/>
        </w:rPr>
        <w:t>38.6 设计审查</w:t>
      </w:r>
    </w:p>
    <w:p w14:paraId="5B1C9E4C">
      <w:pPr>
        <w:spacing w:line="360" w:lineRule="auto"/>
        <w:ind w:left="274" w:leftChars="114" w:firstLine="360" w:firstLineChars="150"/>
        <w:rPr>
          <w:rFonts w:ascii="仿宋" w:hAnsi="仿宋" w:eastAsia="仿宋" w:cs="仿宋"/>
          <w:u w:val="single"/>
          <w:lang w:eastAsia="zh-CN"/>
        </w:rPr>
      </w:pPr>
      <w:r>
        <w:rPr>
          <w:rFonts w:hint="eastAsia" w:ascii="仿宋" w:hAnsi="仿宋" w:eastAsia="仿宋"/>
          <w:lang w:eastAsia="zh-CN"/>
        </w:rPr>
        <w:t>38.6.1.1发包人对承包人设计文件审查的范围、内容的约定</w:t>
      </w:r>
      <w:r>
        <w:rPr>
          <w:rFonts w:hint="eastAsia" w:ascii="仿宋" w:hAnsi="仿宋" w:eastAsia="仿宋" w:cs="仿宋"/>
          <w:lang w:eastAsia="zh-CN"/>
        </w:rPr>
        <w:t>：</w:t>
      </w:r>
      <w:r>
        <w:rPr>
          <w:rFonts w:hint="eastAsia" w:ascii="仿宋" w:hAnsi="仿宋" w:eastAsia="仿宋" w:cs="仿宋"/>
          <w:u w:val="single"/>
          <w:lang w:eastAsia="zh-CN"/>
        </w:rPr>
        <w:t>发包人有权聘请施工图审查单位作为本合同工程的施工图设计审查单位，承包人应接受该施工图审查单位按照相关法律、法规和发包人赋予的权利所进行的施工图审查工作。</w:t>
      </w:r>
    </w:p>
    <w:p w14:paraId="7C31BFB8">
      <w:pPr>
        <w:tabs>
          <w:tab w:val="left" w:pos="4970"/>
        </w:tabs>
        <w:spacing w:line="360" w:lineRule="auto"/>
        <w:ind w:firstLine="600" w:firstLineChars="250"/>
        <w:rPr>
          <w:rFonts w:ascii="仿宋" w:hAnsi="仿宋" w:eastAsia="仿宋" w:cs="仿宋"/>
          <w:lang w:eastAsia="zh-CN"/>
        </w:rPr>
      </w:pPr>
      <w:r>
        <w:rPr>
          <w:rFonts w:hint="eastAsia" w:ascii="仿宋" w:hAnsi="仿宋" w:eastAsia="仿宋"/>
          <w:lang w:eastAsia="zh-CN"/>
        </w:rPr>
        <w:t>38.6.1.2发包人对承包人设计文件的审查期限</w:t>
      </w:r>
      <w:r>
        <w:rPr>
          <w:rFonts w:hint="eastAsia" w:ascii="仿宋" w:hAnsi="仿宋" w:eastAsia="仿宋" w:cs="仿宋"/>
          <w:lang w:eastAsia="zh-CN"/>
        </w:rPr>
        <w:t>：</w:t>
      </w:r>
    </w:p>
    <w:p w14:paraId="044E44D4">
      <w:pPr>
        <w:spacing w:line="360" w:lineRule="auto"/>
        <w:ind w:firstLine="720" w:firstLineChars="300"/>
        <w:rPr>
          <w:rFonts w:ascii="仿宋" w:hAnsi="仿宋" w:eastAsia="仿宋"/>
          <w:lang w:eastAsia="zh-CN"/>
        </w:rPr>
      </w:pPr>
      <w:r>
        <w:rPr>
          <w:rFonts w:hint="eastAsia" w:ascii="仿宋" w:hAnsi="仿宋" w:eastAsia="仿宋" w:cs="仿宋"/>
          <w:lang w:eastAsia="zh-CN"/>
        </w:rPr>
        <w:t>☑ 通用条款第38.6.1.2款约定；</w:t>
      </w:r>
    </w:p>
    <w:p w14:paraId="09A53EFF">
      <w:pPr>
        <w:spacing w:line="360" w:lineRule="auto"/>
        <w:ind w:firstLine="720" w:firstLineChars="300"/>
        <w:rPr>
          <w:rFonts w:ascii="仿宋" w:hAnsi="仿宋" w:eastAsia="仿宋"/>
          <w:lang w:eastAsia="zh-CN"/>
        </w:rPr>
      </w:pPr>
      <w:r>
        <w:rPr>
          <w:rFonts w:hint="eastAsia" w:ascii="仿宋" w:hAnsi="仿宋" w:eastAsia="仿宋" w:cs="仿宋"/>
          <w:lang w:eastAsia="zh-CN"/>
        </w:rPr>
        <w:t>□ 另有约定：</w:t>
      </w:r>
      <w:r>
        <w:rPr>
          <w:rFonts w:hint="eastAsia" w:ascii="仿宋" w:hAnsi="仿宋" w:eastAsia="仿宋" w:cs="仿宋"/>
          <w:u w:val="single"/>
          <w:lang w:eastAsia="zh-CN"/>
        </w:rPr>
        <w:t xml:space="preserve">   /  </w:t>
      </w:r>
    </w:p>
    <w:p w14:paraId="04F16D6D">
      <w:pPr>
        <w:tabs>
          <w:tab w:val="left" w:pos="4970"/>
        </w:tabs>
        <w:spacing w:line="360" w:lineRule="auto"/>
        <w:ind w:firstLine="600" w:firstLineChars="250"/>
        <w:rPr>
          <w:rFonts w:ascii="仿宋" w:hAnsi="仿宋" w:eastAsia="仿宋" w:cs="仿宋"/>
          <w:lang w:eastAsia="zh-CN"/>
        </w:rPr>
      </w:pPr>
      <w:r>
        <w:rPr>
          <w:rFonts w:hint="eastAsia" w:ascii="仿宋" w:hAnsi="仿宋" w:eastAsia="仿宋"/>
          <w:lang w:eastAsia="zh-CN"/>
        </w:rPr>
        <w:t>38.6.3.2发包人需要组织审查会议的，审查会议的审查形式和时间</w:t>
      </w:r>
      <w:r>
        <w:rPr>
          <w:rFonts w:hint="eastAsia" w:ascii="仿宋" w:hAnsi="仿宋" w:eastAsia="仿宋" w:cs="仿宋"/>
          <w:lang w:eastAsia="zh-CN"/>
        </w:rPr>
        <w:t>：</w:t>
      </w:r>
    </w:p>
    <w:p w14:paraId="520BD255">
      <w:pPr>
        <w:spacing w:line="360" w:lineRule="auto"/>
        <w:ind w:left="274" w:leftChars="114" w:firstLine="480" w:firstLineChars="200"/>
        <w:rPr>
          <w:rFonts w:ascii="仿宋" w:hAnsi="仿宋" w:eastAsia="仿宋"/>
          <w:lang w:eastAsia="zh-CN"/>
        </w:rPr>
      </w:pPr>
      <w:r>
        <w:rPr>
          <w:rFonts w:hint="eastAsia" w:ascii="仿宋" w:hAnsi="仿宋" w:eastAsia="仿宋" w:cs="仿宋"/>
          <w:lang w:eastAsia="zh-CN"/>
        </w:rPr>
        <w:t>（1）审查形式：</w:t>
      </w:r>
      <w:r>
        <w:rPr>
          <w:rFonts w:hint="eastAsia" w:ascii="仿宋" w:hAnsi="仿宋" w:eastAsia="仿宋" w:cs="仿宋"/>
          <w:u w:val="single"/>
          <w:lang w:eastAsia="zh-CN"/>
        </w:rPr>
        <w:t>对承包人设计成果文件评审包括相关行政主管部门及行业主管部门的审查、施工图审查单位的审查、发包人或发包人组织的专家评审。涉及重大设计技术问题的，承包人应及时向发包人提出书面审查申请；承包人向发包人送审施工图前，应组织相关专家对设计文件进行评审，通知发包人及监理人、造价咨询人等相关方参加，根据专家评审意见修正设计文件。相关会议及评审费用由承包人承担。</w:t>
      </w:r>
    </w:p>
    <w:p w14:paraId="1636B756">
      <w:pPr>
        <w:spacing w:line="360" w:lineRule="auto"/>
        <w:ind w:left="274" w:leftChars="114" w:firstLine="480" w:firstLineChars="200"/>
        <w:rPr>
          <w:rFonts w:ascii="仿宋" w:hAnsi="仿宋" w:eastAsia="仿宋" w:cs="仿宋"/>
          <w:b/>
          <w:bCs/>
          <w:i/>
          <w:iCs/>
          <w:lang w:eastAsia="zh-CN"/>
        </w:rPr>
      </w:pPr>
      <w:r>
        <w:rPr>
          <w:rFonts w:hint="eastAsia" w:ascii="仿宋" w:hAnsi="仿宋" w:eastAsia="仿宋" w:cs="仿宋"/>
          <w:lang w:eastAsia="zh-CN"/>
        </w:rPr>
        <w:t>（2）审查时间：</w:t>
      </w:r>
      <w:r>
        <w:rPr>
          <w:rFonts w:hint="eastAsia" w:ascii="仿宋" w:hAnsi="仿宋" w:eastAsia="仿宋" w:cs="仿宋"/>
          <w:u w:val="single"/>
          <w:lang w:eastAsia="zh-CN"/>
        </w:rPr>
        <w:t>根据实际情况，按发包人要求。</w:t>
      </w:r>
    </w:p>
    <w:p w14:paraId="3EC1C8E5">
      <w:pPr>
        <w:pStyle w:val="3"/>
        <w:spacing w:line="360" w:lineRule="auto"/>
        <w:rPr>
          <w:rFonts w:ascii="仿宋" w:hAnsi="仿宋" w:eastAsia="仿宋" w:cs="仿宋"/>
          <w:b w:val="0"/>
          <w:bCs w:val="0"/>
          <w:i w:val="0"/>
          <w:iCs w:val="0"/>
          <w:sz w:val="24"/>
          <w:szCs w:val="24"/>
          <w:lang w:eastAsia="zh-CN"/>
        </w:rPr>
      </w:pPr>
      <w:bookmarkStart w:id="920" w:name="_Toc194073244"/>
      <w:bookmarkStart w:id="921" w:name="_Toc4145"/>
      <w:bookmarkStart w:id="922" w:name="_Toc2132"/>
      <w:r>
        <w:rPr>
          <w:rFonts w:hint="eastAsia" w:ascii="仿宋" w:hAnsi="仿宋" w:eastAsia="仿宋" w:cs="仿宋"/>
          <w:b w:val="0"/>
          <w:bCs w:val="0"/>
          <w:i w:val="0"/>
          <w:iCs w:val="0"/>
          <w:sz w:val="24"/>
          <w:szCs w:val="24"/>
          <w:lang w:eastAsia="zh-CN"/>
        </w:rPr>
        <w:t>39.</w:t>
      </w:r>
      <w:r>
        <w:rPr>
          <w:rFonts w:ascii="仿宋" w:hAnsi="仿宋" w:eastAsia="仿宋" w:cs="仿宋"/>
          <w:b w:val="0"/>
          <w:bCs w:val="0"/>
          <w:i w:val="0"/>
          <w:iCs w:val="0"/>
          <w:sz w:val="24"/>
          <w:szCs w:val="24"/>
          <w:lang w:eastAsia="zh-CN"/>
        </w:rPr>
        <w:t xml:space="preserve">  </w:t>
      </w:r>
      <w:r>
        <w:rPr>
          <w:rFonts w:hint="eastAsia" w:ascii="仿宋" w:hAnsi="仿宋" w:eastAsia="仿宋" w:cs="仿宋"/>
          <w:b w:val="0"/>
          <w:bCs w:val="0"/>
          <w:i w:val="0"/>
          <w:iCs w:val="0"/>
          <w:sz w:val="24"/>
          <w:szCs w:val="24"/>
          <w:lang w:eastAsia="zh-CN"/>
        </w:rPr>
        <w:t>BIM技术应用</w:t>
      </w:r>
      <w:bookmarkEnd w:id="920"/>
      <w:bookmarkEnd w:id="921"/>
      <w:bookmarkEnd w:id="922"/>
    </w:p>
    <w:p w14:paraId="596F1CE8">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39.1 对发包人要求和项目基础资料的核实</w:t>
      </w:r>
    </w:p>
    <w:p w14:paraId="6851C63C">
      <w:pPr>
        <w:spacing w:line="360" w:lineRule="auto"/>
        <w:ind w:firstLine="960" w:firstLineChars="400"/>
        <w:rPr>
          <w:rFonts w:ascii="仿宋" w:hAnsi="仿宋" w:eastAsia="仿宋"/>
          <w:lang w:eastAsia="zh-CN"/>
        </w:rPr>
      </w:pPr>
      <w:r>
        <w:rPr>
          <w:rFonts w:hint="eastAsia" w:ascii="仿宋" w:hAnsi="仿宋" w:eastAsia="仿宋" w:cs="仿宋"/>
          <w:lang w:eastAsia="zh-CN"/>
        </w:rPr>
        <w:t>☑ 通用条款第39.1款约定。</w:t>
      </w:r>
    </w:p>
    <w:p w14:paraId="3319C9F6">
      <w:pPr>
        <w:spacing w:line="360" w:lineRule="auto"/>
        <w:ind w:firstLine="960" w:firstLineChars="400"/>
        <w:rPr>
          <w:rFonts w:ascii="仿宋" w:hAnsi="仿宋" w:eastAsia="仿宋" w:cs="仿宋"/>
          <w:u w:val="single"/>
          <w:lang w:eastAsia="zh-CN"/>
        </w:rPr>
      </w:pPr>
      <w:r>
        <w:rPr>
          <w:rFonts w:hint="eastAsia" w:ascii="仿宋" w:hAnsi="仿宋" w:eastAsia="仿宋" w:cs="仿宋"/>
          <w:lang w:eastAsia="zh-CN"/>
        </w:rPr>
        <w:t>□ 另有约定：</w:t>
      </w:r>
      <w:r>
        <w:rPr>
          <w:rFonts w:hint="eastAsia" w:ascii="仿宋" w:hAnsi="仿宋" w:eastAsia="仿宋" w:cs="仿宋"/>
          <w:u w:val="single"/>
          <w:lang w:eastAsia="zh-CN"/>
        </w:rPr>
        <w:t xml:space="preserve">            /              </w:t>
      </w:r>
    </w:p>
    <w:p w14:paraId="4AB48DE9">
      <w:pPr>
        <w:spacing w:line="360" w:lineRule="auto"/>
        <w:ind w:firstLine="720" w:firstLineChars="300"/>
        <w:rPr>
          <w:rFonts w:ascii="仿宋" w:hAnsi="仿宋" w:eastAsia="仿宋" w:cs="仿宋"/>
          <w:lang w:eastAsia="zh-CN"/>
        </w:rPr>
      </w:pPr>
      <w:r>
        <w:rPr>
          <w:rFonts w:hint="eastAsia" w:ascii="仿宋" w:hAnsi="仿宋" w:eastAsia="仿宋" w:cs="仿宋"/>
          <w:lang w:eastAsia="zh-CN"/>
        </w:rPr>
        <w:t>39.2.1 BIM技术应用工作方案</w:t>
      </w:r>
    </w:p>
    <w:p w14:paraId="5C6B897D">
      <w:pPr>
        <w:spacing w:line="360" w:lineRule="auto"/>
        <w:ind w:firstLine="960" w:firstLineChars="400"/>
        <w:rPr>
          <w:rFonts w:ascii="仿宋" w:hAnsi="仿宋" w:eastAsia="仿宋" w:cs="仿宋"/>
          <w:u w:val="single"/>
          <w:lang w:eastAsia="zh-CN"/>
        </w:rPr>
      </w:pPr>
      <w:r>
        <w:rPr>
          <w:rFonts w:hint="eastAsia" w:ascii="仿宋" w:hAnsi="仿宋" w:eastAsia="仿宋" w:cs="仿宋"/>
          <w:lang w:eastAsia="zh-CN"/>
        </w:rPr>
        <w:t>①提供时间：</w:t>
      </w:r>
      <w:r>
        <w:rPr>
          <w:rFonts w:hint="eastAsia" w:ascii="仿宋" w:hAnsi="仿宋" w:eastAsia="仿宋" w:cs="仿宋"/>
          <w:u w:val="single"/>
          <w:lang w:eastAsia="zh-CN"/>
        </w:rPr>
        <w:t>签订本合同后15天内</w:t>
      </w:r>
    </w:p>
    <w:p w14:paraId="5644B601">
      <w:pPr>
        <w:spacing w:line="360" w:lineRule="auto"/>
        <w:ind w:firstLine="960" w:firstLineChars="400"/>
        <w:rPr>
          <w:rFonts w:ascii="仿宋" w:hAnsi="仿宋" w:eastAsia="仿宋" w:cs="仿宋"/>
          <w:u w:val="single"/>
          <w:lang w:eastAsia="zh-CN"/>
        </w:rPr>
      </w:pPr>
      <w:r>
        <w:rPr>
          <w:rFonts w:hint="eastAsia" w:ascii="仿宋" w:hAnsi="仿宋" w:eastAsia="仿宋" w:cs="仿宋"/>
          <w:lang w:eastAsia="zh-CN"/>
        </w:rPr>
        <w:t>②提供方式：</w:t>
      </w:r>
      <w:r>
        <w:rPr>
          <w:rFonts w:hint="eastAsia" w:ascii="仿宋" w:hAnsi="仿宋" w:eastAsia="仿宋" w:cs="仿宋"/>
          <w:u w:val="single"/>
          <w:lang w:eastAsia="zh-CN"/>
        </w:rPr>
        <w:t>纸质和电子文件</w:t>
      </w:r>
    </w:p>
    <w:p w14:paraId="5C215E68">
      <w:pPr>
        <w:spacing w:line="360" w:lineRule="auto"/>
        <w:ind w:firstLine="960" w:firstLineChars="400"/>
        <w:rPr>
          <w:rFonts w:ascii="仿宋" w:hAnsi="仿宋" w:eastAsia="仿宋" w:cs="仿宋"/>
          <w:u w:val="single"/>
          <w:lang w:eastAsia="zh-CN"/>
        </w:rPr>
      </w:pPr>
      <w:r>
        <w:rPr>
          <w:rFonts w:hint="eastAsia" w:ascii="仿宋" w:hAnsi="仿宋" w:eastAsia="仿宋" w:cs="仿宋"/>
          <w:lang w:eastAsia="zh-CN"/>
        </w:rPr>
        <w:t>③提供数量：</w:t>
      </w:r>
      <w:r>
        <w:rPr>
          <w:rFonts w:hint="eastAsia" w:ascii="仿宋" w:hAnsi="仿宋" w:eastAsia="仿宋" w:cs="仿宋"/>
          <w:u w:val="single"/>
          <w:lang w:eastAsia="zh-CN"/>
        </w:rPr>
        <w:t>按发包人要求（纸质文件+电子文件）</w:t>
      </w:r>
    </w:p>
    <w:p w14:paraId="4F1E81A0">
      <w:pPr>
        <w:tabs>
          <w:tab w:val="left" w:pos="4970"/>
        </w:tabs>
        <w:spacing w:line="360" w:lineRule="auto"/>
        <w:ind w:firstLine="600" w:firstLineChars="250"/>
        <w:rPr>
          <w:rFonts w:ascii="仿宋" w:hAnsi="仿宋" w:eastAsia="仿宋"/>
          <w:lang w:eastAsia="zh-CN"/>
        </w:rPr>
      </w:pPr>
      <w:r>
        <w:rPr>
          <w:rFonts w:hint="eastAsia" w:ascii="仿宋" w:hAnsi="仿宋" w:eastAsia="仿宋"/>
          <w:lang w:eastAsia="zh-CN"/>
        </w:rPr>
        <w:t>39.3.1 BIM技术应用内容和要求的约定：</w:t>
      </w:r>
    </w:p>
    <w:p w14:paraId="39C86896">
      <w:pPr>
        <w:tabs>
          <w:tab w:val="left" w:pos="4970"/>
        </w:tabs>
        <w:spacing w:line="360" w:lineRule="auto"/>
        <w:ind w:firstLine="600" w:firstLineChars="250"/>
        <w:rPr>
          <w:rFonts w:ascii="仿宋" w:hAnsi="仿宋" w:eastAsia="仿宋"/>
          <w:lang w:eastAsia="zh-CN"/>
        </w:rPr>
      </w:pPr>
      <w:r>
        <w:rPr>
          <w:rFonts w:hint="eastAsia" w:ascii="仿宋" w:hAnsi="仿宋" w:eastAsia="仿宋"/>
          <w:lang w:eastAsia="zh-CN"/>
        </w:rPr>
        <w:t>①符合国家、地方及行业现行设计施工规范、规程、质量验收标准及工程建设标准等强制性条文。</w:t>
      </w:r>
    </w:p>
    <w:p w14:paraId="0BE25570">
      <w:pPr>
        <w:tabs>
          <w:tab w:val="left" w:pos="4970"/>
        </w:tabs>
        <w:spacing w:line="360" w:lineRule="auto"/>
        <w:ind w:firstLine="600" w:firstLineChars="250"/>
        <w:rPr>
          <w:rFonts w:ascii="仿宋" w:hAnsi="仿宋" w:eastAsia="仿宋"/>
          <w:lang w:eastAsia="zh-CN"/>
        </w:rPr>
      </w:pPr>
      <w:r>
        <w:rPr>
          <w:rFonts w:hint="eastAsia" w:ascii="仿宋" w:hAnsi="仿宋" w:eastAsia="仿宋"/>
          <w:lang w:eastAsia="zh-CN"/>
        </w:rPr>
        <w:t>②施工阶段的所有 BIM 模型应满足施工需要的精度要求。</w:t>
      </w:r>
    </w:p>
    <w:p w14:paraId="7B87C693">
      <w:pPr>
        <w:spacing w:line="360" w:lineRule="auto"/>
        <w:ind w:firstLine="720" w:firstLineChars="300"/>
        <w:rPr>
          <w:rFonts w:ascii="仿宋" w:hAnsi="仿宋" w:eastAsia="仿宋" w:cs="仿宋"/>
          <w:u w:val="single"/>
          <w:lang w:eastAsia="zh-CN"/>
        </w:rPr>
      </w:pPr>
      <w:r>
        <w:rPr>
          <w:rFonts w:hint="eastAsia" w:ascii="仿宋" w:hAnsi="仿宋" w:eastAsia="仿宋" w:cs="仿宋"/>
          <w:lang w:eastAsia="zh-CN"/>
        </w:rPr>
        <w:t>39.3.7 承包人提供运营维护所需建筑信息模型（BIM）的约定：</w:t>
      </w:r>
      <w:r>
        <w:rPr>
          <w:rFonts w:hint="eastAsia" w:ascii="仿宋" w:hAnsi="仿宋" w:eastAsia="仿宋" w:cs="仿宋"/>
          <w:u w:val="single"/>
          <w:lang w:eastAsia="zh-CN"/>
        </w:rPr>
        <w:t>预留运营阶段的数据接入条件。</w:t>
      </w:r>
    </w:p>
    <w:p w14:paraId="3A726818">
      <w:pPr>
        <w:spacing w:line="360" w:lineRule="auto"/>
        <w:ind w:firstLine="720" w:firstLineChars="300"/>
        <w:rPr>
          <w:rFonts w:ascii="仿宋" w:hAnsi="仿宋" w:eastAsia="仿宋" w:cs="仿宋"/>
          <w:lang w:eastAsia="zh-CN"/>
        </w:rPr>
      </w:pPr>
      <w:r>
        <w:rPr>
          <w:rFonts w:hint="eastAsia" w:ascii="仿宋" w:hAnsi="仿宋" w:eastAsia="仿宋" w:cs="仿宋"/>
          <w:lang w:eastAsia="zh-CN"/>
        </w:rPr>
        <w:t>39.4.1 承包人提供建筑信息模型（BIM）及技术应用成果</w:t>
      </w:r>
    </w:p>
    <w:p w14:paraId="20D87297">
      <w:pPr>
        <w:spacing w:line="360" w:lineRule="auto"/>
        <w:ind w:firstLine="720" w:firstLineChars="300"/>
        <w:rPr>
          <w:rFonts w:ascii="仿宋" w:hAnsi="仿宋" w:eastAsia="仿宋" w:cs="仿宋"/>
          <w:u w:val="single"/>
          <w:lang w:eastAsia="zh-CN"/>
        </w:rPr>
      </w:pPr>
      <w:r>
        <w:rPr>
          <w:rFonts w:hint="eastAsia" w:ascii="仿宋" w:hAnsi="仿宋" w:eastAsia="仿宋" w:cs="仿宋"/>
          <w:lang w:eastAsia="zh-CN"/>
        </w:rPr>
        <w:t>①提供时间：</w:t>
      </w:r>
      <w:r>
        <w:rPr>
          <w:rFonts w:hint="eastAsia" w:ascii="仿宋" w:hAnsi="仿宋" w:eastAsia="仿宋" w:cs="仿宋"/>
          <w:u w:val="single"/>
          <w:lang w:eastAsia="zh-CN"/>
        </w:rPr>
        <w:t>施工图审核合格后 30 天内</w:t>
      </w:r>
    </w:p>
    <w:p w14:paraId="221780C1">
      <w:pPr>
        <w:spacing w:line="360" w:lineRule="auto"/>
        <w:ind w:firstLine="720" w:firstLineChars="300"/>
        <w:rPr>
          <w:rFonts w:ascii="仿宋" w:hAnsi="仿宋" w:eastAsia="仿宋" w:cs="仿宋"/>
          <w:u w:val="single"/>
          <w:lang w:eastAsia="zh-CN"/>
        </w:rPr>
      </w:pPr>
      <w:r>
        <w:rPr>
          <w:rFonts w:hint="eastAsia" w:ascii="仿宋" w:hAnsi="仿宋" w:eastAsia="仿宋" w:cs="仿宋"/>
          <w:lang w:eastAsia="zh-CN"/>
        </w:rPr>
        <w:t>②提供方式：</w:t>
      </w:r>
      <w:r>
        <w:rPr>
          <w:rFonts w:hint="eastAsia" w:ascii="仿宋" w:hAnsi="仿宋" w:eastAsia="仿宋" w:cs="仿宋"/>
          <w:u w:val="single"/>
          <w:lang w:eastAsia="zh-CN"/>
        </w:rPr>
        <w:t xml:space="preserve">按发包人要求 </w:t>
      </w:r>
    </w:p>
    <w:p w14:paraId="1E916112">
      <w:pPr>
        <w:spacing w:line="360" w:lineRule="auto"/>
        <w:ind w:firstLine="720" w:firstLineChars="300"/>
        <w:rPr>
          <w:rFonts w:ascii="仿宋" w:hAnsi="仿宋" w:eastAsia="仿宋" w:cs="仿宋"/>
          <w:lang w:eastAsia="zh-CN"/>
        </w:rPr>
      </w:pPr>
      <w:bookmarkStart w:id="923" w:name="_Toc21161"/>
      <w:r>
        <w:rPr>
          <w:rFonts w:hint="eastAsia" w:ascii="仿宋" w:hAnsi="仿宋" w:eastAsia="仿宋" w:cs="仿宋"/>
          <w:lang w:eastAsia="zh-CN"/>
        </w:rPr>
        <w:t>39.6 BIM技术应用在各阶段应用的建筑信息模（BIM）交付标准的约定：BIM 建模成果能反映施工图设计模型、检验构件、管线冲突碰撞情况，模拟施工过程和优化施工方案等。</w:t>
      </w:r>
      <w:bookmarkEnd w:id="923"/>
    </w:p>
    <w:p w14:paraId="72C3AF19">
      <w:pPr>
        <w:spacing w:line="360" w:lineRule="auto"/>
        <w:ind w:firstLine="720" w:firstLineChars="300"/>
        <w:rPr>
          <w:rFonts w:ascii="仿宋" w:hAnsi="仿宋" w:eastAsia="仿宋" w:cs="仿宋"/>
          <w:lang w:eastAsia="zh-CN"/>
        </w:rPr>
      </w:pPr>
    </w:p>
    <w:p w14:paraId="4B85AB56">
      <w:pPr>
        <w:pStyle w:val="3"/>
        <w:tabs>
          <w:tab w:val="left" w:pos="420"/>
        </w:tabs>
        <w:spacing w:before="0" w:after="0" w:line="360" w:lineRule="auto"/>
        <w:rPr>
          <w:rFonts w:ascii="仿宋" w:hAnsi="仿宋" w:eastAsia="仿宋"/>
          <w:b w:val="0"/>
          <w:bCs w:val="0"/>
          <w:i w:val="0"/>
          <w:sz w:val="24"/>
          <w:szCs w:val="24"/>
          <w:lang w:eastAsia="zh-CN"/>
        </w:rPr>
      </w:pPr>
      <w:bookmarkStart w:id="924" w:name="_Toc194073245"/>
      <w:bookmarkStart w:id="925" w:name="_Toc12997"/>
      <w:bookmarkStart w:id="926" w:name="_Toc28639"/>
      <w:bookmarkStart w:id="927" w:name="_Toc25995"/>
      <w:r>
        <w:rPr>
          <w:rFonts w:hint="eastAsia" w:ascii="仿宋" w:hAnsi="仿宋" w:eastAsia="仿宋" w:cs="仿宋"/>
          <w:b w:val="0"/>
          <w:bCs w:val="0"/>
          <w:i w:val="0"/>
          <w:sz w:val="24"/>
          <w:szCs w:val="24"/>
          <w:lang w:eastAsia="zh-CN"/>
        </w:rPr>
        <w:t>40.  进度计划和报告</w:t>
      </w:r>
      <w:bookmarkEnd w:id="924"/>
      <w:bookmarkEnd w:id="925"/>
      <w:bookmarkEnd w:id="926"/>
      <w:bookmarkEnd w:id="927"/>
    </w:p>
    <w:p w14:paraId="7A6082DA">
      <w:pPr>
        <w:spacing w:line="360" w:lineRule="auto"/>
        <w:ind w:firstLine="720" w:firstLineChars="300"/>
        <w:rPr>
          <w:rFonts w:ascii="仿宋" w:hAnsi="仿宋" w:eastAsia="仿宋" w:cs="仿宋"/>
          <w:lang w:eastAsia="zh-CN"/>
        </w:rPr>
      </w:pPr>
      <w:r>
        <w:rPr>
          <w:rFonts w:hint="eastAsia" w:ascii="仿宋" w:hAnsi="仿宋" w:eastAsia="仿宋" w:cs="仿宋"/>
          <w:lang w:eastAsia="zh-CN"/>
        </w:rPr>
        <w:t>40.3项目实施计划的内容</w:t>
      </w:r>
    </w:p>
    <w:p w14:paraId="59770A51">
      <w:pPr>
        <w:spacing w:line="360" w:lineRule="auto"/>
        <w:ind w:firstLine="720" w:firstLineChars="300"/>
        <w:rPr>
          <w:rFonts w:ascii="仿宋" w:hAnsi="仿宋" w:eastAsia="仿宋" w:cs="仿宋"/>
          <w:lang w:eastAsia="zh-CN"/>
        </w:rPr>
      </w:pPr>
      <w:r>
        <w:rPr>
          <w:rFonts w:hint="eastAsia" w:ascii="仿宋" w:hAnsi="仿宋" w:eastAsia="仿宋" w:cs="仿宋"/>
          <w:lang w:eastAsia="zh-CN"/>
        </w:rPr>
        <w:t>项目实施计划的内容：</w:t>
      </w:r>
    </w:p>
    <w:p w14:paraId="5A17CC38">
      <w:pPr>
        <w:spacing w:line="360" w:lineRule="auto"/>
        <w:ind w:firstLine="720" w:firstLineChars="300"/>
        <w:rPr>
          <w:rFonts w:ascii="仿宋" w:hAnsi="仿宋" w:eastAsia="仿宋" w:cs="仿宋"/>
          <w:lang w:eastAsia="zh-CN"/>
        </w:rPr>
      </w:pPr>
      <w:r>
        <w:rPr>
          <w:rFonts w:hint="eastAsia" w:ascii="仿宋" w:hAnsi="仿宋" w:eastAsia="仿宋" w:cs="仿宋"/>
          <w:lang w:eastAsia="zh-CN"/>
        </w:rPr>
        <w:t>（1）施工方案</w:t>
      </w:r>
    </w:p>
    <w:p w14:paraId="1C5F779F">
      <w:pPr>
        <w:spacing w:line="360" w:lineRule="auto"/>
        <w:ind w:firstLine="720" w:firstLineChars="300"/>
        <w:rPr>
          <w:rFonts w:ascii="仿宋" w:hAnsi="仿宋" w:eastAsia="仿宋" w:cs="仿宋"/>
          <w:lang w:eastAsia="zh-CN"/>
        </w:rPr>
      </w:pPr>
      <w:r>
        <w:rPr>
          <w:rFonts w:hint="eastAsia" w:ascii="仿宋" w:hAnsi="仿宋" w:eastAsia="仿宋" w:cs="仿宋"/>
          <w:lang w:eastAsia="zh-CN"/>
        </w:rPr>
        <w:t>（2）施工现场平面布置图</w:t>
      </w:r>
    </w:p>
    <w:p w14:paraId="47664DFE">
      <w:pPr>
        <w:spacing w:line="360" w:lineRule="auto"/>
        <w:ind w:firstLine="720" w:firstLineChars="300"/>
        <w:rPr>
          <w:rFonts w:ascii="仿宋" w:hAnsi="仿宋" w:eastAsia="仿宋" w:cs="仿宋"/>
          <w:lang w:eastAsia="zh-CN"/>
        </w:rPr>
      </w:pPr>
      <w:r>
        <w:rPr>
          <w:rFonts w:hint="eastAsia" w:ascii="仿宋" w:hAnsi="仿宋" w:eastAsia="仿宋" w:cs="仿宋"/>
          <w:lang w:eastAsia="zh-CN"/>
        </w:rPr>
        <w:t>（3）施工进度计划和保证措施；</w:t>
      </w:r>
    </w:p>
    <w:p w14:paraId="4A0AE2EC">
      <w:pPr>
        <w:spacing w:line="360" w:lineRule="auto"/>
        <w:ind w:firstLine="720" w:firstLineChars="300"/>
        <w:rPr>
          <w:rFonts w:ascii="仿宋" w:hAnsi="仿宋" w:eastAsia="仿宋" w:cs="仿宋"/>
          <w:lang w:eastAsia="zh-CN"/>
        </w:rPr>
      </w:pPr>
      <w:r>
        <w:rPr>
          <w:rFonts w:hint="eastAsia" w:ascii="仿宋" w:hAnsi="仿宋" w:eastAsia="仿宋" w:cs="仿宋"/>
          <w:lang w:eastAsia="zh-CN"/>
        </w:rPr>
        <w:t>（4）劳动力及材料供应计划；</w:t>
      </w:r>
    </w:p>
    <w:p w14:paraId="0DA4DCDF">
      <w:pPr>
        <w:spacing w:line="360" w:lineRule="auto"/>
        <w:ind w:firstLine="720" w:firstLineChars="300"/>
        <w:rPr>
          <w:rFonts w:ascii="仿宋" w:hAnsi="仿宋" w:eastAsia="仿宋" w:cs="仿宋"/>
          <w:lang w:eastAsia="zh-CN"/>
        </w:rPr>
      </w:pPr>
      <w:r>
        <w:rPr>
          <w:rFonts w:hint="eastAsia" w:ascii="仿宋" w:hAnsi="仿宋" w:eastAsia="仿宋" w:cs="仿宋"/>
          <w:lang w:eastAsia="zh-CN"/>
        </w:rPr>
        <w:t>（5）施工机具设备的选用；</w:t>
      </w:r>
    </w:p>
    <w:p w14:paraId="5BCD197C">
      <w:pPr>
        <w:spacing w:line="360" w:lineRule="auto"/>
        <w:ind w:firstLine="720" w:firstLineChars="300"/>
        <w:rPr>
          <w:rFonts w:ascii="仿宋" w:hAnsi="仿宋" w:eastAsia="仿宋" w:cs="仿宋"/>
          <w:lang w:eastAsia="zh-CN"/>
        </w:rPr>
      </w:pPr>
      <w:r>
        <w:rPr>
          <w:rFonts w:hint="eastAsia" w:ascii="仿宋" w:hAnsi="仿宋" w:eastAsia="仿宋" w:cs="仿宋"/>
          <w:lang w:eastAsia="zh-CN"/>
        </w:rPr>
        <w:t>（6）质量保证体系及措施；</w:t>
      </w:r>
    </w:p>
    <w:p w14:paraId="4BA3414F">
      <w:pPr>
        <w:spacing w:line="360" w:lineRule="auto"/>
        <w:ind w:firstLine="720" w:firstLineChars="300"/>
        <w:rPr>
          <w:rFonts w:ascii="仿宋" w:hAnsi="仿宋" w:eastAsia="仿宋" w:cs="仿宋"/>
          <w:lang w:eastAsia="zh-CN"/>
        </w:rPr>
      </w:pPr>
      <w:r>
        <w:rPr>
          <w:rFonts w:hint="eastAsia" w:ascii="仿宋" w:hAnsi="仿宋" w:eastAsia="仿宋" w:cs="仿宋"/>
          <w:lang w:eastAsia="zh-CN"/>
        </w:rPr>
        <w:t>（7）安全生产、文明施工措施；</w:t>
      </w:r>
    </w:p>
    <w:p w14:paraId="72AC9F29">
      <w:pPr>
        <w:spacing w:line="360" w:lineRule="auto"/>
        <w:ind w:firstLine="720" w:firstLineChars="300"/>
        <w:rPr>
          <w:rFonts w:ascii="仿宋" w:hAnsi="仿宋" w:eastAsia="仿宋" w:cs="仿宋"/>
          <w:lang w:eastAsia="zh-CN"/>
        </w:rPr>
      </w:pPr>
      <w:r>
        <w:rPr>
          <w:rFonts w:hint="eastAsia" w:ascii="仿宋" w:hAnsi="仿宋" w:eastAsia="仿宋" w:cs="仿宋"/>
          <w:lang w:eastAsia="zh-CN"/>
        </w:rPr>
        <w:t>（8）环境保护、成本控制措施；</w:t>
      </w:r>
    </w:p>
    <w:p w14:paraId="726B79EE">
      <w:pPr>
        <w:spacing w:line="360" w:lineRule="auto"/>
        <w:ind w:firstLine="720" w:firstLineChars="300"/>
        <w:rPr>
          <w:rFonts w:ascii="仿宋" w:hAnsi="仿宋" w:eastAsia="仿宋" w:cs="仿宋"/>
          <w:lang w:eastAsia="zh-CN"/>
        </w:rPr>
      </w:pPr>
      <w:r>
        <w:rPr>
          <w:rFonts w:hint="eastAsia" w:ascii="仿宋" w:hAnsi="仿宋" w:eastAsia="仿宋" w:cs="仿宋"/>
          <w:lang w:eastAsia="zh-CN"/>
        </w:rPr>
        <w:t>（9）危大工程专项施工方案。</w:t>
      </w:r>
    </w:p>
    <w:p w14:paraId="57197D1F">
      <w:pPr>
        <w:spacing w:line="360" w:lineRule="auto"/>
        <w:ind w:firstLine="720" w:firstLineChars="300"/>
        <w:rPr>
          <w:rFonts w:ascii="仿宋" w:hAnsi="仿宋" w:eastAsia="仿宋" w:cs="仿宋"/>
          <w:lang w:eastAsia="zh-CN"/>
        </w:rPr>
      </w:pPr>
      <w:r>
        <w:rPr>
          <w:rFonts w:hint="eastAsia" w:ascii="仿宋" w:hAnsi="仿宋" w:eastAsia="仿宋" w:cs="仿宋"/>
          <w:lang w:eastAsia="zh-CN"/>
        </w:rPr>
        <w:t>（10）合同当事人约定的其他内容。</w:t>
      </w:r>
    </w:p>
    <w:p w14:paraId="19D5A906">
      <w:pPr>
        <w:spacing w:line="360" w:lineRule="auto"/>
        <w:ind w:firstLine="720" w:firstLineChars="300"/>
        <w:rPr>
          <w:rFonts w:ascii="仿宋" w:hAnsi="仿宋" w:eastAsia="仿宋" w:cs="仿宋"/>
          <w:lang w:eastAsia="zh-CN"/>
        </w:rPr>
      </w:pPr>
      <w:r>
        <w:rPr>
          <w:rFonts w:ascii="仿宋" w:hAnsi="仿宋" w:eastAsia="仿宋" w:cs="仿宋"/>
          <w:lang w:eastAsia="zh-CN"/>
        </w:rPr>
        <w:t>40.5</w:t>
      </w:r>
      <w:r>
        <w:rPr>
          <w:rFonts w:hint="eastAsia" w:ascii="仿宋" w:hAnsi="仿宋" w:eastAsia="仿宋" w:cs="仿宋"/>
          <w:lang w:eastAsia="zh-CN"/>
        </w:rPr>
        <w:t>提交工程进度报告和修订进度计划</w:t>
      </w:r>
    </w:p>
    <w:p w14:paraId="5EABADE7">
      <w:pPr>
        <w:spacing w:line="360" w:lineRule="auto"/>
        <w:ind w:left="240" w:leftChars="100" w:firstLine="360" w:firstLineChars="150"/>
        <w:rPr>
          <w:rFonts w:ascii="仿宋" w:hAnsi="仿宋" w:eastAsia="仿宋"/>
          <w:lang w:eastAsia="zh-CN"/>
        </w:rPr>
      </w:pPr>
      <w:r>
        <w:rPr>
          <w:rFonts w:hint="eastAsia" w:ascii="仿宋" w:hAnsi="仿宋" w:eastAsia="仿宋" w:cs="仿宋"/>
          <w:lang w:eastAsia="zh-CN"/>
        </w:rPr>
        <w:t>□承包人编制月勘察进度报告和修订进度计划的约定：</w:t>
      </w:r>
      <w:r>
        <w:rPr>
          <w:rFonts w:hint="eastAsia" w:ascii="仿宋" w:hAnsi="仿宋" w:eastAsia="仿宋" w:cs="仿宋"/>
          <w:u w:val="single"/>
          <w:lang w:eastAsia="zh-CN"/>
        </w:rPr>
        <w:t xml:space="preserve"> /      </w:t>
      </w:r>
    </w:p>
    <w:p w14:paraId="5C9D48E5">
      <w:pPr>
        <w:spacing w:line="360" w:lineRule="auto"/>
        <w:ind w:left="240" w:leftChars="100" w:firstLine="360" w:firstLineChars="150"/>
        <w:rPr>
          <w:rFonts w:ascii="仿宋" w:hAnsi="仿宋" w:eastAsia="仿宋"/>
          <w:lang w:eastAsia="zh-CN"/>
        </w:rPr>
      </w:pPr>
      <w:r>
        <w:rPr>
          <w:rFonts w:hint="eastAsia" w:ascii="仿宋" w:hAnsi="仿宋" w:eastAsia="仿宋" w:cs="仿宋"/>
          <w:lang w:eastAsia="zh-CN"/>
        </w:rPr>
        <w:t>□承包人编制月初步设计进度报告和修订进度计划的约定：</w:t>
      </w:r>
      <w:r>
        <w:rPr>
          <w:rFonts w:hint="eastAsia" w:ascii="仿宋" w:hAnsi="仿宋" w:eastAsia="仿宋" w:cs="仿宋"/>
          <w:u w:val="single"/>
          <w:lang w:eastAsia="zh-CN"/>
        </w:rPr>
        <w:t xml:space="preserve"> / </w:t>
      </w:r>
    </w:p>
    <w:p w14:paraId="29C8CAA9">
      <w:pPr>
        <w:spacing w:line="360" w:lineRule="auto"/>
        <w:ind w:left="240" w:leftChars="100" w:firstLine="360" w:firstLineChars="150"/>
        <w:rPr>
          <w:rFonts w:ascii="仿宋" w:hAnsi="仿宋" w:eastAsia="仿宋"/>
          <w:lang w:eastAsia="zh-CN"/>
        </w:rPr>
      </w:pPr>
      <w:r>
        <w:rPr>
          <w:rFonts w:hint="eastAsia" w:ascii="仿宋" w:hAnsi="仿宋" w:eastAsia="仿宋" w:cs="仿宋"/>
          <w:lang w:eastAsia="zh-CN"/>
        </w:rPr>
        <w:t>□承包人编制月施工图设计进度报告和修订进度计划的约定：</w:t>
      </w:r>
      <w:r>
        <w:rPr>
          <w:rFonts w:hint="eastAsia" w:ascii="仿宋" w:hAnsi="仿宋" w:eastAsia="仿宋" w:cs="仿宋"/>
          <w:u w:val="single"/>
          <w:lang w:eastAsia="zh-CN"/>
        </w:rPr>
        <w:t xml:space="preserve"> / </w:t>
      </w:r>
    </w:p>
    <w:p w14:paraId="6C093088">
      <w:pPr>
        <w:spacing w:line="360" w:lineRule="auto"/>
        <w:ind w:left="240" w:leftChars="100" w:firstLine="360" w:firstLineChars="150"/>
        <w:rPr>
          <w:rFonts w:ascii="仿宋" w:hAnsi="仿宋" w:eastAsia="仿宋"/>
          <w:lang w:eastAsia="zh-CN"/>
        </w:rPr>
      </w:pPr>
      <w:r>
        <w:rPr>
          <w:rFonts w:hint="eastAsia" w:ascii="仿宋" w:hAnsi="仿宋" w:eastAsia="仿宋" w:cs="仿宋"/>
          <w:lang w:eastAsia="zh-CN"/>
        </w:rPr>
        <w:t>□承包人编制月BIM技术应用进度报告和修订进度计划的约定：</w:t>
      </w:r>
      <w:r>
        <w:rPr>
          <w:rFonts w:hint="eastAsia" w:ascii="仿宋" w:hAnsi="仿宋" w:eastAsia="仿宋" w:cs="仿宋"/>
          <w:u w:val="single"/>
          <w:lang w:eastAsia="zh-CN"/>
        </w:rPr>
        <w:t xml:space="preserve"> /    </w:t>
      </w:r>
    </w:p>
    <w:p w14:paraId="58A2D21A">
      <w:pPr>
        <w:spacing w:line="360" w:lineRule="auto"/>
        <w:ind w:firstLine="600" w:firstLineChars="250"/>
        <w:jc w:val="both"/>
        <w:rPr>
          <w:rFonts w:ascii="仿宋" w:hAnsi="仿宋" w:eastAsia="仿宋" w:cs="仿宋"/>
          <w:u w:val="single"/>
          <w:lang w:eastAsia="zh-CN"/>
        </w:rPr>
      </w:pPr>
      <w:r>
        <w:rPr>
          <w:rFonts w:hint="eastAsia" w:ascii="仿宋" w:hAnsi="仿宋" w:eastAsia="仿宋" w:cs="仿宋"/>
          <w:lang w:eastAsia="zh-CN"/>
        </w:rPr>
        <w:t>☑承包人编制月施工进度报告和修订进度计划的约定：</w:t>
      </w:r>
      <w:r>
        <w:rPr>
          <w:rFonts w:hint="eastAsia" w:ascii="仿宋" w:hAnsi="仿宋" w:eastAsia="仿宋" w:cs="仿宋"/>
          <w:u w:val="single"/>
          <w:lang w:eastAsia="zh-CN"/>
        </w:rPr>
        <w:t xml:space="preserve"> 承包人应在接到开始工作通知之日起7天内，按照监理人要求的内容和份数编制详细的进度计划，包括设计、承包人文件提交、施工、安装的各个阶段的预期时间以及设计和施工组织方案说明等报送监理人。监理人应在7天内批复或提出修改意见。经监理人批准的进度计划称合同进度计划，是控制合同工程进度的依据。承包人还应根据合同进度计划，在开工后每月25日前编制更为详细的分阶段或分项进度计划，报监理人批准。月进度报告的内容至少应包括：</w:t>
      </w:r>
    </w:p>
    <w:p w14:paraId="5B4CC336">
      <w:pPr>
        <w:tabs>
          <w:tab w:val="left" w:pos="1288"/>
          <w:tab w:val="left" w:pos="1560"/>
        </w:tabs>
        <w:spacing w:line="360" w:lineRule="auto"/>
        <w:ind w:firstLine="420"/>
        <w:jc w:val="both"/>
        <w:rPr>
          <w:rFonts w:ascii="仿宋" w:hAnsi="仿宋" w:eastAsia="仿宋" w:cs="仿宋"/>
          <w:u w:val="single"/>
          <w:lang w:eastAsia="zh-CN"/>
        </w:rPr>
      </w:pPr>
      <w:r>
        <w:rPr>
          <w:rFonts w:hint="eastAsia" w:ascii="仿宋" w:hAnsi="仿宋" w:eastAsia="仿宋" w:cs="仿宋"/>
          <w:u w:val="single"/>
          <w:lang w:eastAsia="zh-CN"/>
        </w:rPr>
        <w:t>（1）施工、安装、试验以及发包人工作等进展情况的图表和说明；</w:t>
      </w:r>
    </w:p>
    <w:p w14:paraId="2956A9CD">
      <w:pPr>
        <w:tabs>
          <w:tab w:val="left" w:pos="1288"/>
          <w:tab w:val="left" w:pos="1560"/>
        </w:tabs>
        <w:spacing w:line="360" w:lineRule="auto"/>
        <w:ind w:firstLine="420"/>
        <w:jc w:val="both"/>
        <w:rPr>
          <w:rFonts w:ascii="仿宋" w:hAnsi="仿宋" w:eastAsia="仿宋" w:cs="仿宋"/>
          <w:u w:val="single"/>
          <w:lang w:eastAsia="zh-CN"/>
        </w:rPr>
      </w:pPr>
      <w:r>
        <w:rPr>
          <w:rFonts w:hint="eastAsia" w:ascii="仿宋" w:hAnsi="仿宋" w:eastAsia="仿宋" w:cs="仿宋"/>
          <w:u w:val="single"/>
          <w:lang w:eastAsia="zh-CN"/>
        </w:rPr>
        <w:t>（2）材料、设备、货物的采购和制造商名称、地点以及进场现场情况；</w:t>
      </w:r>
    </w:p>
    <w:p w14:paraId="618BC261">
      <w:pPr>
        <w:tabs>
          <w:tab w:val="left" w:pos="1288"/>
          <w:tab w:val="left" w:pos="1560"/>
        </w:tabs>
        <w:spacing w:line="360" w:lineRule="auto"/>
        <w:ind w:firstLine="420"/>
        <w:jc w:val="both"/>
        <w:rPr>
          <w:rFonts w:ascii="仿宋" w:hAnsi="仿宋" w:eastAsia="仿宋" w:cs="仿宋"/>
          <w:u w:val="single"/>
          <w:lang w:eastAsia="zh-CN"/>
        </w:rPr>
      </w:pPr>
      <w:r>
        <w:rPr>
          <w:rFonts w:hint="eastAsia" w:ascii="仿宋" w:hAnsi="仿宋" w:eastAsia="仿宋" w:cs="仿宋"/>
          <w:u w:val="single"/>
          <w:lang w:eastAsia="zh-CN"/>
        </w:rPr>
        <w:t>（3）索赔情况和安全统计；</w:t>
      </w:r>
    </w:p>
    <w:p w14:paraId="076DE60A">
      <w:pPr>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4）不论何种原因造成工程的实际进度与进度计划不符时，承包人可以在发生进度偏离的7天内向监理人提交修订合同进度计划的申请报告，并附有关措施和相关资料，报监理人批准；监理人也可以直接向承包人作出修订合同进度计划的指示，承包人应按该指示修订合同进度计划，报监理人批准。监理人应在收到承包人相关资料后7天内批复，监理人在批复前应获得发包人书面同意。</w:t>
      </w:r>
    </w:p>
    <w:p w14:paraId="5CA2C2AC">
      <w:pPr>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（5）因承包人原因造成工期延误的，即使修订后的合同进度计划经发包人和监理人批准，并不能免除承包人按合同约定应当承担的义务和责任。</w:t>
      </w:r>
    </w:p>
    <w:p w14:paraId="0FF958CB">
      <w:pPr>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承包人提交项目进度计划中的关键路径须经监理人及发包人审核批准后执行。承包人提交项目进度计划的份数和时间：见专用条款23.3款。</w:t>
      </w:r>
    </w:p>
    <w:p w14:paraId="7F76B1B6">
      <w:pPr>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承包人编制的项目进度计划，其中施工期限须符合合同协议书的约定。经发包人批准后实施。发包人的批准并不能解除承包人的合同责任。</w:t>
      </w:r>
    </w:p>
    <w:p w14:paraId="0982C006">
      <w:pPr>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自费赶上项目进度计划。承包人原因使工程实际进度明显落后于项目进度计划时，承包人有义务、发包人也有权利要求承包人自费采取措施，赶上项目进度计划。</w:t>
      </w:r>
    </w:p>
    <w:p w14:paraId="331C9FB3">
      <w:pPr>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对于承包人原因造成的工期延误，工期一概不得顺延；对于非承包人造成的工期延误， 一般节点工期可以相应顺延，但该项顺延以不对关键节点工期和总工期构成不利影响为限。关键节点工期一般不予调整，承包人应当采取合理有效的赶工措施予以消化，而且这些合理有效的赶工措施费用已含在承包人中标下浮率中，发包人不再另行计列。 在发包人同意的情况下，关键节点工期确需调整的，承包人必须重新编制总工期控制计划和关键节点工期调整计划并报请监理人代表和发包人审核。经发包人审核，确认承包人编制的关键节点工期调整计划，且已采取了合理的赶工措施足以确保工程按期竣工的，应当同意工期调整。承包人必须在监理人代表、发包人批准其调整计划后3天内，将调整后的总工期控制计划和关键节点工期调整计划按合同份数送各方作为合同附件存档。</w:t>
      </w:r>
    </w:p>
    <w:p w14:paraId="4E09E496">
      <w:pPr>
        <w:spacing w:line="360" w:lineRule="auto"/>
        <w:ind w:firstLine="480" w:firstLineChars="200"/>
        <w:jc w:val="both"/>
        <w:rPr>
          <w:rFonts w:ascii="仿宋" w:hAnsi="仿宋" w:eastAsia="仿宋" w:cs="仿宋"/>
          <w:u w:val="single"/>
          <w:lang w:eastAsia="zh-CN"/>
        </w:rPr>
      </w:pPr>
      <w:r>
        <w:rPr>
          <w:rFonts w:hint="eastAsia" w:ascii="仿宋" w:hAnsi="仿宋" w:eastAsia="仿宋" w:cs="仿宋"/>
          <w:u w:val="single"/>
          <w:lang w:eastAsia="zh-CN"/>
        </w:rPr>
        <w:t>发包人的赶工要求。合同实施过程中发包人书面提出加快设计、采购、施工、竣工试验的赶工要求，承包人须按要求及时提交赶工方案。</w:t>
      </w:r>
    </w:p>
    <w:p w14:paraId="3BA5E98C">
      <w:pPr>
        <w:pStyle w:val="41"/>
        <w:ind w:firstLine="480"/>
        <w:rPr>
          <w:rFonts w:ascii="仿宋" w:hAnsi="仿宋" w:eastAsia="仿宋" w:cs="仿宋"/>
          <w:lang w:bidi="en-US"/>
        </w:rPr>
      </w:pPr>
      <w:r>
        <w:rPr>
          <w:rFonts w:hint="eastAsia" w:ascii="仿宋" w:hAnsi="仿宋" w:eastAsia="仿宋" w:cs="仿宋"/>
          <w:lang w:bidi="en-US"/>
        </w:rPr>
        <w:t>□承包人编制月设备及工器具购置进度报告和修订进度计划的约定：</w:t>
      </w:r>
      <w:r>
        <w:rPr>
          <w:rFonts w:hint="eastAsia" w:ascii="仿宋" w:hAnsi="仿宋" w:eastAsia="仿宋" w:cs="仿宋"/>
          <w:u w:val="single"/>
          <w:lang w:bidi="en-US"/>
        </w:rPr>
        <w:t xml:space="preserve">     /     </w:t>
      </w:r>
    </w:p>
    <w:p w14:paraId="4FDE4007">
      <w:pPr>
        <w:pStyle w:val="41"/>
        <w:ind w:firstLine="480"/>
        <w:rPr>
          <w:rFonts w:ascii="仿宋" w:hAnsi="仿宋" w:eastAsia="仿宋"/>
        </w:rPr>
      </w:pPr>
      <w:r>
        <w:rPr>
          <w:rFonts w:hint="eastAsia" w:ascii="仿宋" w:hAnsi="仿宋" w:eastAsia="仿宋" w:cs="仿宋"/>
          <w:lang w:bidi="en-US"/>
        </w:rPr>
        <w:t>☑承包人编制月其他服务进度报告和修订进度计划的约定：</w:t>
      </w:r>
      <w:r>
        <w:rPr>
          <w:rFonts w:hint="eastAsia" w:ascii="仿宋" w:hAnsi="仿宋" w:eastAsia="仿宋" w:cs="仿宋"/>
          <w:u w:val="single"/>
          <w:lang w:bidi="en-US"/>
        </w:rPr>
        <w:t xml:space="preserve"> 按发包人要求。 </w:t>
      </w:r>
    </w:p>
    <w:p w14:paraId="269B9930">
      <w:pPr>
        <w:pStyle w:val="3"/>
        <w:tabs>
          <w:tab w:val="left" w:pos="420"/>
        </w:tabs>
        <w:spacing w:before="0" w:after="0" w:line="360" w:lineRule="auto"/>
        <w:rPr>
          <w:rFonts w:ascii="仿宋" w:hAnsi="仿宋" w:eastAsia="仿宋"/>
          <w:i w:val="0"/>
          <w:sz w:val="24"/>
          <w:szCs w:val="24"/>
          <w:lang w:eastAsia="zh-CN"/>
        </w:rPr>
      </w:pPr>
      <w:bookmarkStart w:id="928" w:name="_Toc12345"/>
      <w:bookmarkStart w:id="929" w:name="_Toc21765"/>
      <w:bookmarkStart w:id="930" w:name="_Toc194073246"/>
      <w:bookmarkStart w:id="931" w:name="_Toc7404"/>
      <w:r>
        <w:rPr>
          <w:rFonts w:hint="eastAsia" w:ascii="仿宋" w:hAnsi="仿宋" w:eastAsia="仿宋" w:cs="仿宋"/>
          <w:b w:val="0"/>
          <w:bCs w:val="0"/>
          <w:i w:val="0"/>
          <w:sz w:val="24"/>
          <w:szCs w:val="24"/>
          <w:lang w:eastAsia="zh-CN"/>
        </w:rPr>
        <w:t>41.  开始工作或开工</w:t>
      </w:r>
      <w:bookmarkEnd w:id="928"/>
      <w:bookmarkEnd w:id="929"/>
      <w:bookmarkEnd w:id="930"/>
      <w:bookmarkEnd w:id="931"/>
    </w:p>
    <w:p w14:paraId="7878224C">
      <w:pPr>
        <w:pStyle w:val="41"/>
        <w:ind w:firstLine="480"/>
        <w:rPr>
          <w:rFonts w:ascii="仿宋" w:hAnsi="仿宋" w:eastAsia="仿宋" w:cs="仿宋"/>
        </w:rPr>
      </w:pPr>
      <w:r>
        <w:rPr>
          <w:rFonts w:hint="eastAsia" w:ascii="仿宋" w:hAnsi="仿宋" w:eastAsia="仿宋" w:cs="仿宋"/>
        </w:rPr>
        <w:t>41.2.1 开始工作</w:t>
      </w:r>
    </w:p>
    <w:p w14:paraId="7DD5AB44">
      <w:pPr>
        <w:pStyle w:val="41"/>
        <w:ind w:firstLine="480"/>
        <w:rPr>
          <w:rFonts w:ascii="仿宋" w:hAnsi="仿宋" w:eastAsia="仿宋"/>
        </w:rPr>
      </w:pPr>
      <w:r>
        <w:rPr>
          <w:rFonts w:hint="eastAsia" w:ascii="仿宋" w:hAnsi="仿宋" w:eastAsia="仿宋" w:cs="仿宋"/>
        </w:rPr>
        <w:t>□1、发包人签发开始勘察工作指令的时间要求：</w:t>
      </w:r>
    </w:p>
    <w:p w14:paraId="3F0A7E1B">
      <w:pPr>
        <w:pStyle w:val="41"/>
        <w:ind w:firstLine="480"/>
        <w:rPr>
          <w:rFonts w:ascii="仿宋" w:hAnsi="仿宋" w:eastAsia="仿宋"/>
        </w:rPr>
      </w:pPr>
      <w:r>
        <w:rPr>
          <w:rFonts w:hint="eastAsia" w:ascii="仿宋" w:hAnsi="仿宋" w:eastAsia="仿宋" w:cs="仿宋"/>
        </w:rPr>
        <w:t>□ 按通用条款规定的时间。</w:t>
      </w:r>
    </w:p>
    <w:p w14:paraId="54F3E747">
      <w:pPr>
        <w:pStyle w:val="41"/>
        <w:ind w:firstLine="480"/>
        <w:rPr>
          <w:rFonts w:ascii="仿宋" w:hAnsi="仿宋" w:eastAsia="仿宋" w:cs="仿宋"/>
        </w:rPr>
      </w:pPr>
      <w:r>
        <w:rPr>
          <w:rFonts w:hint="eastAsia" w:ascii="仿宋" w:hAnsi="仿宋" w:eastAsia="仿宋" w:cs="仿宋"/>
        </w:rPr>
        <w:t>□ 另作约定：</w:t>
      </w:r>
      <w:r>
        <w:rPr>
          <w:rFonts w:hint="eastAsia" w:ascii="仿宋" w:hAnsi="仿宋" w:eastAsia="仿宋" w:cs="仿宋"/>
          <w:u w:val="single"/>
        </w:rPr>
        <w:t>根据实际情况，按发包人要求。</w:t>
      </w:r>
    </w:p>
    <w:p w14:paraId="51CBD898">
      <w:pPr>
        <w:pStyle w:val="41"/>
        <w:ind w:firstLine="480"/>
        <w:rPr>
          <w:rFonts w:ascii="仿宋" w:hAnsi="仿宋" w:eastAsia="仿宋"/>
        </w:rPr>
      </w:pPr>
      <w:r>
        <w:rPr>
          <w:rFonts w:hint="eastAsia" w:ascii="仿宋" w:hAnsi="仿宋" w:eastAsia="仿宋" w:cs="仿宋"/>
        </w:rPr>
        <w:t>☑2、发包人签发开始设计工作指令的时间要求：</w:t>
      </w:r>
    </w:p>
    <w:p w14:paraId="53EC0288">
      <w:pPr>
        <w:pStyle w:val="41"/>
        <w:ind w:firstLine="480"/>
        <w:rPr>
          <w:rFonts w:ascii="仿宋" w:hAnsi="仿宋" w:eastAsia="仿宋"/>
        </w:rPr>
      </w:pPr>
      <w:r>
        <w:rPr>
          <w:rFonts w:hint="eastAsia" w:ascii="仿宋" w:hAnsi="仿宋" w:eastAsia="仿宋" w:cs="仿宋"/>
        </w:rPr>
        <w:t>□  按通用条款规定的时间。</w:t>
      </w:r>
    </w:p>
    <w:p w14:paraId="29623A0A">
      <w:pPr>
        <w:pStyle w:val="41"/>
        <w:ind w:firstLine="480"/>
        <w:rPr>
          <w:rFonts w:ascii="仿宋" w:hAnsi="仿宋" w:eastAsia="仿宋" w:cs="仿宋"/>
        </w:rPr>
      </w:pPr>
      <w:r>
        <w:rPr>
          <w:rFonts w:hint="eastAsia" w:ascii="仿宋" w:hAnsi="仿宋" w:eastAsia="仿宋" w:cs="仿宋"/>
        </w:rPr>
        <w:t>☑ 另作约定：签订合同之日即为项目开工日</w:t>
      </w:r>
    </w:p>
    <w:p w14:paraId="62B36672">
      <w:pPr>
        <w:pStyle w:val="41"/>
        <w:ind w:firstLine="480"/>
        <w:rPr>
          <w:rFonts w:ascii="仿宋" w:hAnsi="仿宋" w:eastAsia="仿宋"/>
        </w:rPr>
      </w:pPr>
      <w:r>
        <w:rPr>
          <w:rFonts w:hint="eastAsia" w:ascii="仿宋" w:hAnsi="仿宋" w:eastAsia="仿宋" w:cs="仿宋"/>
        </w:rPr>
        <w:t>☑3、发包人签发开始BIM技术应用工作指令的时间要求：</w:t>
      </w:r>
    </w:p>
    <w:p w14:paraId="5EF60AAA">
      <w:pPr>
        <w:pStyle w:val="41"/>
        <w:ind w:firstLine="480"/>
        <w:rPr>
          <w:rFonts w:ascii="仿宋" w:hAnsi="仿宋" w:eastAsia="仿宋"/>
        </w:rPr>
      </w:pPr>
      <w:r>
        <w:rPr>
          <w:rFonts w:hint="eastAsia" w:ascii="仿宋" w:hAnsi="仿宋" w:eastAsia="仿宋" w:cs="仿宋"/>
        </w:rPr>
        <w:t>□ 按通用条款规定的时间。</w:t>
      </w:r>
    </w:p>
    <w:p w14:paraId="64B31C6F">
      <w:pPr>
        <w:pStyle w:val="41"/>
        <w:ind w:firstLine="480"/>
        <w:rPr>
          <w:rFonts w:ascii="仿宋" w:hAnsi="仿宋" w:eastAsia="仿宋" w:cs="仿宋"/>
        </w:rPr>
      </w:pPr>
      <w:r>
        <w:rPr>
          <w:rFonts w:hint="eastAsia" w:ascii="仿宋" w:hAnsi="仿宋" w:eastAsia="仿宋" w:cs="仿宋"/>
        </w:rPr>
        <w:t>☑ 另作约定：</w:t>
      </w:r>
      <w:r>
        <w:rPr>
          <w:rFonts w:hint="eastAsia" w:ascii="仿宋" w:hAnsi="仿宋" w:eastAsia="仿宋" w:cs="仿宋"/>
          <w:u w:val="single"/>
        </w:rPr>
        <w:t>根据实际情况，按发包人要求。</w:t>
      </w:r>
    </w:p>
    <w:p w14:paraId="6E0747D7">
      <w:pPr>
        <w:pStyle w:val="41"/>
        <w:ind w:firstLine="480"/>
        <w:rPr>
          <w:rFonts w:ascii="仿宋" w:hAnsi="仿宋" w:eastAsia="仿宋"/>
        </w:rPr>
      </w:pPr>
      <w:r>
        <w:rPr>
          <w:rFonts w:hint="eastAsia" w:ascii="仿宋" w:hAnsi="仿宋" w:eastAsia="仿宋" w:cs="仿宋"/>
        </w:rPr>
        <w:t>□4、发包人签发开始设备及工器具购置工作指令的时间要求：</w:t>
      </w:r>
    </w:p>
    <w:p w14:paraId="33BA0BD2">
      <w:pPr>
        <w:pStyle w:val="41"/>
        <w:ind w:firstLine="480"/>
        <w:rPr>
          <w:rFonts w:ascii="仿宋" w:hAnsi="仿宋" w:eastAsia="仿宋"/>
        </w:rPr>
      </w:pPr>
      <w:r>
        <w:rPr>
          <w:rFonts w:hint="eastAsia" w:ascii="仿宋" w:hAnsi="仿宋" w:eastAsia="仿宋" w:cs="仿宋"/>
        </w:rPr>
        <w:t>□ 按通用条款规定的时间。</w:t>
      </w:r>
    </w:p>
    <w:p w14:paraId="3E1F100A">
      <w:pPr>
        <w:pStyle w:val="41"/>
        <w:ind w:firstLine="480"/>
        <w:rPr>
          <w:rFonts w:ascii="仿宋" w:hAnsi="仿宋" w:eastAsia="仿宋" w:cs="仿宋"/>
        </w:rPr>
      </w:pPr>
      <w:r>
        <w:rPr>
          <w:rFonts w:hint="eastAsia" w:ascii="仿宋" w:hAnsi="仿宋" w:eastAsia="仿宋" w:cs="仿宋"/>
        </w:rPr>
        <w:t>□ 另作约定：</w:t>
      </w:r>
      <w:r>
        <w:rPr>
          <w:rFonts w:hint="eastAsia" w:ascii="仿宋" w:hAnsi="仿宋" w:eastAsia="仿宋" w:cs="仿宋"/>
          <w:u w:val="single"/>
        </w:rPr>
        <w:t xml:space="preserve"> /    </w:t>
      </w:r>
    </w:p>
    <w:p w14:paraId="2B079087">
      <w:pPr>
        <w:pStyle w:val="41"/>
        <w:ind w:firstLine="480"/>
        <w:rPr>
          <w:rFonts w:ascii="仿宋" w:hAnsi="仿宋" w:eastAsia="仿宋" w:cs="仿宋"/>
          <w:szCs w:val="24"/>
        </w:rPr>
      </w:pPr>
      <w:r>
        <w:rPr>
          <w:rFonts w:hint="eastAsia" w:ascii="仿宋" w:hAnsi="仿宋" w:eastAsia="仿宋" w:cs="仿宋"/>
          <w:szCs w:val="24"/>
        </w:rPr>
        <w:t>41.2.2 开工</w:t>
      </w:r>
    </w:p>
    <w:p w14:paraId="29F09564">
      <w:pPr>
        <w:pStyle w:val="41"/>
        <w:ind w:firstLine="480"/>
        <w:rPr>
          <w:rFonts w:ascii="仿宋" w:hAnsi="仿宋" w:eastAsia="仿宋"/>
        </w:rPr>
      </w:pPr>
      <w:r>
        <w:rPr>
          <w:rFonts w:hint="eastAsia" w:ascii="仿宋" w:hAnsi="仿宋" w:eastAsia="仿宋" w:cs="仿宋"/>
        </w:rPr>
        <w:t>发包人签发开工令的时间要求：</w:t>
      </w:r>
    </w:p>
    <w:p w14:paraId="6994FF80">
      <w:pPr>
        <w:pStyle w:val="41"/>
        <w:ind w:firstLine="480"/>
        <w:rPr>
          <w:rFonts w:ascii="仿宋" w:hAnsi="仿宋" w:eastAsia="仿宋"/>
        </w:rPr>
      </w:pPr>
      <w:r>
        <w:rPr>
          <w:rFonts w:hint="eastAsia" w:ascii="仿宋" w:hAnsi="仿宋" w:eastAsia="仿宋" w:cs="仿宋"/>
        </w:rPr>
        <w:t>□ 按通用条款规定的时间。</w:t>
      </w:r>
    </w:p>
    <w:p w14:paraId="36A27183">
      <w:pPr>
        <w:pStyle w:val="41"/>
        <w:ind w:firstLine="480"/>
        <w:rPr>
          <w:rFonts w:ascii="仿宋" w:hAnsi="仿宋" w:eastAsia="仿宋" w:cs="仿宋"/>
          <w:u w:val="single"/>
        </w:rPr>
      </w:pPr>
      <w:r>
        <w:rPr>
          <w:rFonts w:hint="eastAsia" w:ascii="仿宋" w:hAnsi="仿宋" w:eastAsia="仿宋" w:cs="仿宋"/>
        </w:rPr>
        <w:t>☑ 另作约定：</w:t>
      </w:r>
      <w:r>
        <w:rPr>
          <w:rFonts w:hint="eastAsia" w:ascii="仿宋" w:hAnsi="仿宋" w:eastAsia="仿宋" w:cs="仿宋"/>
          <w:u w:val="single"/>
        </w:rPr>
        <w:t xml:space="preserve">施工开工时间以监理人向承包人发出开工令为准。因发包人原因导致开工延期的，工期顺延，发包人不予其它补偿且不承担其它违约责任。 </w:t>
      </w:r>
    </w:p>
    <w:p w14:paraId="1456257B">
      <w:pPr>
        <w:spacing w:line="360" w:lineRule="auto"/>
        <w:ind w:firstLine="480" w:firstLineChars="200"/>
        <w:rPr>
          <w:lang w:eastAsia="zh-CN"/>
        </w:rPr>
      </w:pPr>
    </w:p>
    <w:p w14:paraId="12B9A72D">
      <w:pPr>
        <w:pStyle w:val="3"/>
        <w:tabs>
          <w:tab w:val="left" w:pos="420"/>
        </w:tabs>
        <w:spacing w:before="0" w:after="0" w:line="360" w:lineRule="auto"/>
        <w:rPr>
          <w:rFonts w:ascii="仿宋" w:hAnsi="仿宋" w:eastAsia="仿宋"/>
          <w:i w:val="0"/>
          <w:sz w:val="24"/>
          <w:szCs w:val="24"/>
          <w:lang w:eastAsia="zh-CN"/>
        </w:rPr>
      </w:pPr>
      <w:bookmarkStart w:id="932" w:name="_Toc10096"/>
      <w:bookmarkStart w:id="933" w:name="_Toc194073247"/>
      <w:bookmarkStart w:id="934" w:name="_Toc19308"/>
      <w:r>
        <w:rPr>
          <w:rFonts w:hint="eastAsia" w:ascii="仿宋" w:hAnsi="仿宋" w:eastAsia="仿宋" w:cs="仿宋"/>
          <w:b w:val="0"/>
          <w:bCs w:val="0"/>
          <w:i w:val="0"/>
          <w:sz w:val="24"/>
          <w:szCs w:val="24"/>
          <w:lang w:eastAsia="zh-CN"/>
        </w:rPr>
        <w:t>42.  暂停工作、暂停施工和复工</w:t>
      </w:r>
      <w:bookmarkEnd w:id="932"/>
      <w:bookmarkEnd w:id="933"/>
      <w:bookmarkEnd w:id="934"/>
    </w:p>
    <w:p w14:paraId="15FB34CA">
      <w:pPr>
        <w:spacing w:line="360" w:lineRule="auto"/>
        <w:ind w:left="240" w:leftChars="100" w:firstLine="240" w:firstLineChars="100"/>
        <w:rPr>
          <w:rFonts w:ascii="仿宋" w:hAnsi="仿宋" w:eastAsia="仿宋" w:cs="仿宋"/>
          <w:lang w:eastAsia="zh-CN"/>
        </w:rPr>
      </w:pPr>
      <w:r>
        <w:rPr>
          <w:rFonts w:hint="eastAsia" w:ascii="仿宋" w:hAnsi="仿宋" w:eastAsia="仿宋" w:cs="仿宋"/>
          <w:lang w:eastAsia="zh-CN"/>
        </w:rPr>
        <w:t>42.4 发包人、承包人原因和不可抗力因素造成暂停施工的责任</w:t>
      </w:r>
    </w:p>
    <w:p w14:paraId="49D693D9">
      <w:pPr>
        <w:spacing w:line="360" w:lineRule="auto"/>
        <w:ind w:left="240" w:leftChars="100" w:firstLine="240" w:firstLineChars="100"/>
        <w:rPr>
          <w:rFonts w:ascii="仿宋" w:hAnsi="仿宋" w:eastAsia="仿宋" w:cs="仿宋"/>
          <w:lang w:eastAsia="zh-CN"/>
        </w:rPr>
      </w:pPr>
      <w:r>
        <w:rPr>
          <w:rFonts w:hint="eastAsia" w:ascii="仿宋" w:hAnsi="仿宋" w:eastAsia="仿宋" w:cs="仿宋"/>
          <w:lang w:eastAsia="zh-CN"/>
        </w:rPr>
        <w:t>（4）承包人原因造成暂停施工的其他原因：为了保证工程质量安全，凡出现下列情形之一（不限于此）的，总监理工程师有权下达停工令，责令承包人停工整改，由此造成的损失由承包人自行负责；造成工期延误的，由承包人承担违约责任。</w:t>
      </w:r>
    </w:p>
    <w:p w14:paraId="33F84D71">
      <w:pPr>
        <w:spacing w:line="360" w:lineRule="auto"/>
        <w:ind w:left="240" w:leftChars="100" w:firstLine="240" w:firstLineChars="100"/>
        <w:rPr>
          <w:rFonts w:ascii="仿宋" w:hAnsi="仿宋" w:eastAsia="仿宋" w:cs="仿宋"/>
          <w:lang w:eastAsia="zh-CN"/>
        </w:rPr>
      </w:pPr>
      <w:r>
        <w:rPr>
          <w:rFonts w:hint="eastAsia" w:ascii="仿宋" w:hAnsi="仿宋" w:eastAsia="仿宋" w:cs="仿宋"/>
          <w:lang w:eastAsia="zh-CN"/>
        </w:rPr>
        <w:t>①拒绝监理单位管理；</w:t>
      </w:r>
    </w:p>
    <w:p w14:paraId="2CF74557">
      <w:pPr>
        <w:spacing w:line="360" w:lineRule="auto"/>
        <w:ind w:left="240" w:leftChars="100" w:firstLine="240" w:firstLineChars="100"/>
        <w:rPr>
          <w:rFonts w:ascii="仿宋" w:hAnsi="仿宋" w:eastAsia="仿宋" w:cs="仿宋"/>
          <w:lang w:eastAsia="zh-CN"/>
        </w:rPr>
      </w:pPr>
      <w:r>
        <w:rPr>
          <w:rFonts w:hint="eastAsia" w:ascii="仿宋" w:hAnsi="仿宋" w:eastAsia="仿宋" w:cs="仿宋"/>
          <w:lang w:eastAsia="zh-CN"/>
        </w:rPr>
        <w:t>②施工组织设计（方案）未获总监理工程师批准而擅自施工；</w:t>
      </w:r>
    </w:p>
    <w:p w14:paraId="315427C5">
      <w:pPr>
        <w:spacing w:line="360" w:lineRule="auto"/>
        <w:ind w:left="240" w:leftChars="100" w:firstLine="240" w:firstLineChars="100"/>
        <w:rPr>
          <w:rFonts w:ascii="仿宋" w:hAnsi="仿宋" w:eastAsia="仿宋" w:cs="仿宋"/>
          <w:lang w:eastAsia="zh-CN"/>
        </w:rPr>
      </w:pPr>
      <w:r>
        <w:rPr>
          <w:rFonts w:hint="eastAsia" w:ascii="仿宋" w:hAnsi="仿宋" w:eastAsia="仿宋" w:cs="仿宋"/>
          <w:lang w:eastAsia="zh-CN"/>
        </w:rPr>
        <w:t>③未经监理单位检验而进行下一道工序作业；</w:t>
      </w:r>
    </w:p>
    <w:p w14:paraId="3D8E9AE5">
      <w:pPr>
        <w:spacing w:line="360" w:lineRule="auto"/>
        <w:ind w:left="240" w:leftChars="100" w:firstLine="240" w:firstLineChars="100"/>
        <w:rPr>
          <w:rFonts w:ascii="仿宋" w:hAnsi="仿宋" w:eastAsia="仿宋" w:cs="仿宋"/>
          <w:lang w:eastAsia="zh-CN"/>
        </w:rPr>
      </w:pPr>
      <w:r>
        <w:rPr>
          <w:rFonts w:hint="eastAsia" w:ascii="仿宋" w:hAnsi="仿宋" w:eastAsia="仿宋" w:cs="仿宋"/>
          <w:lang w:eastAsia="zh-CN"/>
        </w:rPr>
        <w:t>④擅自采用未经总监理工程师及发包人认可或批准的材料、设备；或者使用的材料、设备、构配件不合格或未经检查确认；或者擅自采用未经认可的代用材料；</w:t>
      </w:r>
    </w:p>
    <w:p w14:paraId="7BDF9835">
      <w:pPr>
        <w:spacing w:line="360" w:lineRule="auto"/>
        <w:ind w:left="240" w:leftChars="100" w:firstLine="240" w:firstLineChars="100"/>
        <w:rPr>
          <w:rFonts w:ascii="仿宋" w:hAnsi="仿宋" w:eastAsia="仿宋" w:cs="仿宋"/>
          <w:lang w:eastAsia="zh-CN"/>
        </w:rPr>
      </w:pPr>
      <w:r>
        <w:rPr>
          <w:rFonts w:hint="eastAsia" w:ascii="仿宋" w:hAnsi="仿宋" w:eastAsia="仿宋" w:cs="仿宋"/>
          <w:lang w:eastAsia="zh-CN"/>
        </w:rPr>
        <w:t>⑤未按设计图纸施工；</w:t>
      </w:r>
    </w:p>
    <w:p w14:paraId="2088D8FE">
      <w:pPr>
        <w:spacing w:line="360" w:lineRule="auto"/>
        <w:ind w:left="240" w:leftChars="100" w:firstLine="240" w:firstLineChars="100"/>
        <w:rPr>
          <w:rFonts w:ascii="仿宋" w:hAnsi="仿宋" w:eastAsia="仿宋" w:cs="仿宋"/>
          <w:lang w:eastAsia="zh-CN"/>
        </w:rPr>
      </w:pPr>
      <w:r>
        <w:rPr>
          <w:rFonts w:hint="eastAsia" w:ascii="仿宋" w:hAnsi="仿宋" w:eastAsia="仿宋" w:cs="仿宋"/>
          <w:lang w:eastAsia="zh-CN"/>
        </w:rPr>
        <w:t>⑥转包、非法分包工程；</w:t>
      </w:r>
    </w:p>
    <w:p w14:paraId="161C18B7">
      <w:pPr>
        <w:spacing w:line="360" w:lineRule="auto"/>
        <w:ind w:left="240" w:leftChars="100" w:firstLine="240" w:firstLineChars="100"/>
        <w:rPr>
          <w:rFonts w:ascii="仿宋" w:hAnsi="仿宋" w:eastAsia="仿宋" w:cs="仿宋"/>
          <w:lang w:eastAsia="zh-CN"/>
        </w:rPr>
      </w:pPr>
      <w:r>
        <w:rPr>
          <w:rFonts w:hint="eastAsia" w:ascii="仿宋" w:hAnsi="仿宋" w:eastAsia="仿宋" w:cs="仿宋"/>
          <w:lang w:eastAsia="zh-CN"/>
        </w:rPr>
        <w:t>⑦擅自让未经总监理工程师和发包人批准的分包单位进场作业；</w:t>
      </w:r>
    </w:p>
    <w:p w14:paraId="02819800">
      <w:pPr>
        <w:spacing w:line="360" w:lineRule="auto"/>
        <w:ind w:left="240" w:leftChars="100" w:firstLine="240" w:firstLineChars="100"/>
        <w:rPr>
          <w:rFonts w:ascii="仿宋" w:hAnsi="仿宋" w:eastAsia="仿宋" w:cs="仿宋"/>
          <w:lang w:eastAsia="zh-CN"/>
        </w:rPr>
      </w:pPr>
      <w:r>
        <w:rPr>
          <w:rFonts w:hint="eastAsia" w:ascii="仿宋" w:hAnsi="仿宋" w:eastAsia="仿宋" w:cs="仿宋"/>
          <w:lang w:eastAsia="zh-CN"/>
        </w:rPr>
        <w:t>⑧存在安全隐患，未按监理工程师要求及时整改或发生了安全事故；</w:t>
      </w:r>
    </w:p>
    <w:p w14:paraId="73C97C2A">
      <w:pPr>
        <w:spacing w:line="360" w:lineRule="auto"/>
        <w:ind w:left="240" w:leftChars="100" w:firstLine="240" w:firstLineChars="100"/>
        <w:rPr>
          <w:rFonts w:ascii="仿宋" w:hAnsi="仿宋" w:eastAsia="仿宋" w:cs="仿宋"/>
          <w:lang w:eastAsia="zh-CN"/>
        </w:rPr>
      </w:pPr>
      <w:r>
        <w:rPr>
          <w:rFonts w:hint="eastAsia" w:ascii="仿宋" w:hAnsi="仿宋" w:eastAsia="仿宋" w:cs="仿宋"/>
          <w:lang w:eastAsia="zh-CN"/>
        </w:rPr>
        <w:t>⑨未按双方约定上报有关资料。</w:t>
      </w:r>
    </w:p>
    <w:p w14:paraId="75ED17C3">
      <w:pPr>
        <w:spacing w:line="360" w:lineRule="auto"/>
        <w:ind w:left="240" w:leftChars="100" w:firstLine="240" w:firstLineChars="100"/>
        <w:rPr>
          <w:lang w:eastAsia="zh-CN"/>
        </w:rPr>
      </w:pPr>
    </w:p>
    <w:p w14:paraId="47A3F1FF">
      <w:pPr>
        <w:pStyle w:val="3"/>
        <w:rPr>
          <w:rFonts w:ascii="仿宋" w:hAnsi="仿宋" w:eastAsia="仿宋" w:cs="仿宋"/>
          <w:b w:val="0"/>
          <w:bCs w:val="0"/>
          <w:i w:val="0"/>
          <w:iCs w:val="0"/>
          <w:sz w:val="24"/>
          <w:szCs w:val="24"/>
          <w:lang w:eastAsia="zh-CN"/>
        </w:rPr>
      </w:pPr>
      <w:bookmarkStart w:id="935" w:name="_Toc194073248"/>
      <w:bookmarkStart w:id="936" w:name="_Toc16199"/>
      <w:bookmarkStart w:id="937" w:name="_Toc15604"/>
      <w:r>
        <w:rPr>
          <w:rFonts w:hint="eastAsia" w:ascii="仿宋" w:hAnsi="仿宋" w:eastAsia="仿宋" w:cs="仿宋"/>
          <w:b w:val="0"/>
          <w:bCs w:val="0"/>
          <w:i w:val="0"/>
          <w:iCs w:val="0"/>
          <w:sz w:val="24"/>
          <w:szCs w:val="24"/>
          <w:lang w:eastAsia="zh-CN"/>
        </w:rPr>
        <w:t>43. 工期和工期延误</w:t>
      </w:r>
      <w:bookmarkEnd w:id="935"/>
      <w:bookmarkEnd w:id="936"/>
      <w:bookmarkEnd w:id="937"/>
    </w:p>
    <w:p w14:paraId="49461DC6">
      <w:pPr>
        <w:spacing w:line="360" w:lineRule="auto"/>
        <w:ind w:left="240" w:leftChars="100" w:firstLine="240" w:firstLineChars="100"/>
        <w:rPr>
          <w:rFonts w:ascii="仿宋" w:hAnsi="仿宋" w:eastAsia="仿宋" w:cs="仿宋"/>
          <w:lang w:eastAsia="zh-CN"/>
        </w:rPr>
      </w:pPr>
      <w:r>
        <w:rPr>
          <w:rFonts w:hint="eastAsia" w:ascii="仿宋" w:hAnsi="仿宋" w:eastAsia="仿宋" w:cs="仿宋"/>
          <w:lang w:eastAsia="zh-CN"/>
        </w:rPr>
        <w:t>43.1 工期计算</w:t>
      </w:r>
    </w:p>
    <w:p w14:paraId="0C2CEBB8">
      <w:pPr>
        <w:spacing w:line="360" w:lineRule="auto"/>
        <w:ind w:left="240" w:leftChars="100" w:firstLine="240" w:firstLineChars="100"/>
        <w:rPr>
          <w:rFonts w:ascii="仿宋" w:hAnsi="仿宋" w:eastAsia="仿宋" w:cs="仿宋"/>
          <w:lang w:eastAsia="zh-CN"/>
        </w:rPr>
      </w:pPr>
      <w:r>
        <w:rPr>
          <w:rFonts w:hint="eastAsia" w:ascii="仿宋" w:hAnsi="仿宋" w:eastAsia="仿宋" w:cs="仿宋"/>
          <w:lang w:eastAsia="zh-CN"/>
        </w:rPr>
        <w:t>本合同工期详见协议书第七条。</w:t>
      </w:r>
    </w:p>
    <w:p w14:paraId="71EF68C4">
      <w:pPr>
        <w:spacing w:line="360" w:lineRule="auto"/>
        <w:ind w:left="240" w:leftChars="100" w:firstLine="240" w:firstLineChars="100"/>
        <w:rPr>
          <w:rFonts w:ascii="仿宋" w:hAnsi="仿宋" w:eastAsia="仿宋" w:cs="仿宋"/>
          <w:lang w:eastAsia="zh-CN"/>
        </w:rPr>
      </w:pPr>
      <w:r>
        <w:rPr>
          <w:rFonts w:hint="eastAsia" w:ascii="仿宋" w:hAnsi="仿宋" w:eastAsia="仿宋" w:cs="仿宋"/>
          <w:lang w:eastAsia="zh-CN"/>
        </w:rPr>
        <w:t>43.2 工期约定的要求</w:t>
      </w:r>
    </w:p>
    <w:p w14:paraId="3CF1AF2A">
      <w:pPr>
        <w:spacing w:line="360" w:lineRule="auto"/>
        <w:ind w:left="240" w:leftChars="100" w:firstLine="240" w:firstLineChars="100"/>
        <w:rPr>
          <w:rFonts w:ascii="仿宋" w:hAnsi="仿宋" w:eastAsia="仿宋" w:cs="仿宋"/>
          <w:lang w:eastAsia="zh-CN"/>
        </w:rPr>
      </w:pPr>
      <w:r>
        <w:rPr>
          <w:rFonts w:hint="eastAsia" w:ascii="仿宋" w:hAnsi="仿宋" w:eastAsia="仿宋" w:cs="仿宋"/>
          <w:lang w:eastAsia="zh-CN"/>
        </w:rPr>
        <w:t>双方协商一致，本条款补充以下：</w:t>
      </w:r>
    </w:p>
    <w:p w14:paraId="17E5233E">
      <w:pPr>
        <w:spacing w:line="360" w:lineRule="auto"/>
        <w:ind w:left="240" w:leftChars="100" w:firstLine="240" w:firstLineChars="100"/>
        <w:rPr>
          <w:rFonts w:ascii="仿宋" w:hAnsi="仿宋" w:eastAsia="仿宋" w:cs="仿宋"/>
          <w:lang w:eastAsia="zh-CN"/>
        </w:rPr>
      </w:pPr>
      <w:r>
        <w:rPr>
          <w:rFonts w:hint="eastAsia" w:ascii="仿宋" w:hAnsi="仿宋" w:eastAsia="仿宋" w:cs="仿宋"/>
          <w:lang w:eastAsia="zh-CN"/>
        </w:rPr>
        <w:t>（1）本工程工期分为关键节点工期和一般节点工期两类，承包人必须在施工组织设计文件中分专业详细区分和列明本工程总体及各单体工程的关键节点工期和一般节点工期，并报总监理工程师和发包人批准后实施。</w:t>
      </w:r>
    </w:p>
    <w:p w14:paraId="5E9FEB3D">
      <w:pPr>
        <w:spacing w:line="360" w:lineRule="auto"/>
        <w:ind w:left="240" w:leftChars="100" w:firstLine="240" w:firstLineChars="100"/>
        <w:rPr>
          <w:rFonts w:ascii="仿宋" w:hAnsi="仿宋" w:eastAsia="仿宋" w:cs="仿宋"/>
          <w:lang w:eastAsia="zh-CN"/>
        </w:rPr>
      </w:pPr>
      <w:r>
        <w:rPr>
          <w:rFonts w:hint="eastAsia" w:ascii="仿宋" w:hAnsi="仿宋" w:eastAsia="仿宋" w:cs="仿宋"/>
          <w:lang w:eastAsia="zh-CN"/>
        </w:rPr>
        <w:t>（2）工期调整的原则：对于承包人原因造成的工期延误，工期一概不得顺延；对于非承包人原因造成的工期延误，执行本专用条款第 43.3 款。一般节点工期可以相应顺延，但该项顺延以不对关键节点工期和总工期构成不利影响为限。关键节点工期一般不予调整，承包人应当采取合理有效的赶工措施予以消化，而且这些合理有效的赶工措施费已含在承包人中标下浮率中，发包人不再另行计列。</w:t>
      </w:r>
    </w:p>
    <w:p w14:paraId="1AA53E24">
      <w:pPr>
        <w:spacing w:line="360" w:lineRule="auto"/>
        <w:ind w:left="240" w:leftChars="100" w:firstLine="240" w:firstLineChars="100"/>
        <w:rPr>
          <w:rFonts w:ascii="仿宋" w:hAnsi="仿宋" w:eastAsia="仿宋" w:cs="仿宋"/>
          <w:lang w:eastAsia="zh-CN"/>
        </w:rPr>
      </w:pPr>
      <w:r>
        <w:rPr>
          <w:rFonts w:hint="eastAsia" w:ascii="仿宋" w:hAnsi="仿宋" w:eastAsia="仿宋" w:cs="仿宋"/>
          <w:lang w:eastAsia="zh-CN"/>
        </w:rPr>
        <w:t>在特殊情况下，关键节点工期确需调整的，承包人必须重新编制总工期控制计划和关键节点工期调整计划并报请总监理工程师和发包人审核。经总监理工程师、发包人审核，确认承包人编制的关键节点工期调整计划已符合要求，且已采取了合理的赶工措施足以确保工程按期竣工的，应当同意工期调整。承包人必须按照调整后的总工期控制计划和关键节点工期计划执行。</w:t>
      </w:r>
    </w:p>
    <w:p w14:paraId="42884E32">
      <w:pPr>
        <w:spacing w:line="360" w:lineRule="auto"/>
        <w:ind w:left="240" w:leftChars="100" w:firstLine="240" w:firstLineChars="100"/>
        <w:rPr>
          <w:rFonts w:ascii="仿宋" w:hAnsi="仿宋" w:eastAsia="仿宋" w:cs="仿宋"/>
          <w:lang w:eastAsia="zh-CN"/>
        </w:rPr>
      </w:pPr>
      <w:r>
        <w:rPr>
          <w:rFonts w:hint="eastAsia" w:ascii="仿宋" w:hAnsi="仿宋" w:eastAsia="仿宋" w:cs="仿宋"/>
          <w:lang w:eastAsia="zh-CN"/>
        </w:rPr>
        <w:t>（3）合同中包括有多个单项工程的，各单项工程的工期约定：（详见经监理人批准的施工组织设计）</w:t>
      </w:r>
    </w:p>
    <w:p w14:paraId="42F2EE67">
      <w:pPr>
        <w:spacing w:line="360" w:lineRule="auto"/>
        <w:ind w:left="240" w:leftChars="100" w:firstLine="240" w:firstLineChars="100"/>
        <w:rPr>
          <w:rFonts w:ascii="仿宋" w:hAnsi="仿宋" w:eastAsia="仿宋" w:cs="仿宋"/>
          <w:lang w:eastAsia="zh-CN"/>
        </w:rPr>
      </w:pPr>
      <w:r>
        <w:rPr>
          <w:rFonts w:hint="eastAsia" w:ascii="仿宋" w:hAnsi="仿宋" w:eastAsia="仿宋" w:cs="仿宋"/>
          <w:lang w:eastAsia="zh-CN"/>
        </w:rPr>
        <w:t>43.3 非承包人工期延误</w:t>
      </w:r>
    </w:p>
    <w:p w14:paraId="3BCAB1D8">
      <w:pPr>
        <w:spacing w:line="360" w:lineRule="auto"/>
        <w:ind w:left="240" w:leftChars="100" w:firstLine="240" w:firstLineChars="100"/>
        <w:rPr>
          <w:rFonts w:ascii="仿宋" w:hAnsi="仿宋" w:eastAsia="仿宋" w:cs="仿宋"/>
          <w:lang w:eastAsia="zh-CN"/>
        </w:rPr>
      </w:pPr>
      <w:r>
        <w:rPr>
          <w:rFonts w:hint="eastAsia" w:ascii="仿宋" w:hAnsi="仿宋" w:eastAsia="仿宋" w:cs="仿宋"/>
          <w:lang w:eastAsia="zh-CN"/>
        </w:rPr>
        <w:t>（1）非承包人原因造成的工期延误，是指有确凿证据证实因下列原因而直接造成承包人的原定工期计划延误：</w:t>
      </w:r>
    </w:p>
    <w:p w14:paraId="1B09AE87">
      <w:pPr>
        <w:spacing w:line="360" w:lineRule="auto"/>
        <w:ind w:left="240" w:leftChars="100" w:firstLine="240" w:firstLineChars="100"/>
        <w:rPr>
          <w:rFonts w:ascii="仿宋" w:hAnsi="仿宋" w:eastAsia="仿宋" w:cs="仿宋"/>
          <w:lang w:eastAsia="zh-CN"/>
        </w:rPr>
      </w:pPr>
      <w:r>
        <w:rPr>
          <w:rFonts w:hint="eastAsia" w:ascii="仿宋" w:hAnsi="仿宋" w:eastAsia="仿宋" w:cs="仿宋"/>
          <w:lang w:eastAsia="zh-CN"/>
        </w:rPr>
        <w:t>1）不可抗力；</w:t>
      </w:r>
    </w:p>
    <w:p w14:paraId="2FD6201B">
      <w:pPr>
        <w:spacing w:line="360" w:lineRule="auto"/>
        <w:ind w:left="240" w:leftChars="100" w:firstLine="240" w:firstLineChars="100"/>
        <w:rPr>
          <w:rFonts w:ascii="仿宋" w:hAnsi="仿宋" w:eastAsia="仿宋" w:cs="仿宋"/>
          <w:lang w:eastAsia="zh-CN"/>
        </w:rPr>
      </w:pPr>
      <w:r>
        <w:rPr>
          <w:rFonts w:hint="eastAsia" w:ascii="仿宋" w:hAnsi="仿宋" w:eastAsia="仿宋" w:cs="仿宋"/>
          <w:lang w:eastAsia="zh-CN"/>
        </w:rPr>
        <w:t>2）非承包人原因造成重大变更或重大失误，并经总监理工程师确认会造成工期延误的；</w:t>
      </w:r>
    </w:p>
    <w:p w14:paraId="4217B205">
      <w:pPr>
        <w:spacing w:line="360" w:lineRule="auto"/>
        <w:ind w:left="240" w:leftChars="100" w:firstLine="240" w:firstLineChars="100"/>
        <w:rPr>
          <w:rFonts w:ascii="仿宋" w:hAnsi="仿宋" w:eastAsia="仿宋" w:cs="仿宋"/>
          <w:lang w:eastAsia="zh-CN"/>
        </w:rPr>
      </w:pPr>
      <w:r>
        <w:rPr>
          <w:rFonts w:hint="eastAsia" w:ascii="仿宋" w:hAnsi="仿宋" w:eastAsia="仿宋" w:cs="仿宋"/>
          <w:lang w:eastAsia="zh-CN"/>
        </w:rPr>
        <w:t>3）发包人延期交付施工场地(由于征拆进度等受影响的，按协议条款)；</w:t>
      </w:r>
    </w:p>
    <w:p w14:paraId="185CFD4A">
      <w:pPr>
        <w:spacing w:line="360" w:lineRule="auto"/>
        <w:ind w:left="240" w:leftChars="100" w:firstLine="240" w:firstLineChars="100"/>
        <w:rPr>
          <w:rFonts w:ascii="仿宋" w:hAnsi="仿宋" w:eastAsia="仿宋" w:cs="仿宋"/>
          <w:lang w:eastAsia="zh-CN"/>
        </w:rPr>
      </w:pPr>
      <w:r>
        <w:rPr>
          <w:rFonts w:hint="eastAsia" w:ascii="仿宋" w:hAnsi="仿宋" w:eastAsia="仿宋" w:cs="仿宋"/>
          <w:lang w:eastAsia="zh-CN"/>
        </w:rPr>
        <w:t>4）发包人不按合同约定支付工程款而影响工期进度，并经总监理工程师确认的；</w:t>
      </w:r>
    </w:p>
    <w:p w14:paraId="63D082F3">
      <w:pPr>
        <w:spacing w:line="360" w:lineRule="auto"/>
        <w:ind w:left="240" w:leftChars="100" w:firstLine="240" w:firstLineChars="100"/>
        <w:rPr>
          <w:rFonts w:ascii="仿宋" w:hAnsi="仿宋" w:eastAsia="仿宋" w:cs="仿宋"/>
          <w:lang w:eastAsia="zh-CN"/>
        </w:rPr>
      </w:pPr>
      <w:r>
        <w:rPr>
          <w:rFonts w:hint="eastAsia" w:ascii="仿宋" w:hAnsi="仿宋" w:eastAsia="仿宋" w:cs="仿宋"/>
          <w:lang w:eastAsia="zh-CN"/>
        </w:rPr>
        <w:t>5）发包人（或政府职能部门）指令（非承包人原因）引起的停工；</w:t>
      </w:r>
    </w:p>
    <w:p w14:paraId="2A8D9335">
      <w:pPr>
        <w:spacing w:line="360" w:lineRule="auto"/>
        <w:ind w:left="240" w:leftChars="100" w:firstLine="240" w:firstLineChars="100"/>
        <w:rPr>
          <w:rFonts w:ascii="仿宋" w:hAnsi="仿宋" w:eastAsia="仿宋" w:cs="仿宋"/>
          <w:lang w:eastAsia="zh-CN"/>
        </w:rPr>
      </w:pPr>
      <w:r>
        <w:rPr>
          <w:rFonts w:hint="eastAsia" w:ascii="仿宋" w:hAnsi="仿宋" w:eastAsia="仿宋" w:cs="仿宋"/>
          <w:lang w:eastAsia="zh-CN"/>
        </w:rPr>
        <w:t>6）发包人其他违约行为造成工期延误并经总监理工程师确认的。</w:t>
      </w:r>
    </w:p>
    <w:p w14:paraId="447C6C67">
      <w:pPr>
        <w:spacing w:line="360" w:lineRule="auto"/>
        <w:ind w:left="240" w:leftChars="100" w:firstLine="240" w:firstLineChars="100"/>
        <w:rPr>
          <w:rFonts w:ascii="仿宋" w:hAnsi="仿宋" w:eastAsia="仿宋" w:cs="仿宋"/>
          <w:lang w:eastAsia="zh-CN"/>
        </w:rPr>
      </w:pPr>
      <w:r>
        <w:rPr>
          <w:rFonts w:hint="eastAsia" w:ascii="仿宋" w:hAnsi="仿宋" w:eastAsia="仿宋" w:cs="仿宋"/>
          <w:lang w:eastAsia="zh-CN"/>
        </w:rPr>
        <w:t>除上述原因之外，其他所有工期延误均为承包人原因造成的延误。</w:t>
      </w:r>
    </w:p>
    <w:p w14:paraId="0BDF900F">
      <w:pPr>
        <w:spacing w:line="360" w:lineRule="auto"/>
        <w:ind w:left="240" w:leftChars="100" w:firstLine="240" w:firstLineChars="100"/>
        <w:rPr>
          <w:rFonts w:ascii="仿宋" w:hAnsi="仿宋" w:eastAsia="仿宋" w:cs="仿宋"/>
          <w:lang w:eastAsia="zh-CN"/>
        </w:rPr>
      </w:pPr>
      <w:r>
        <w:rPr>
          <w:rFonts w:hint="eastAsia" w:ascii="仿宋" w:hAnsi="仿宋" w:eastAsia="仿宋" w:cs="仿宋"/>
          <w:lang w:eastAsia="zh-CN"/>
        </w:rPr>
        <w:t>（2）因承包人原因造成的工期延误，工期一概不得顺延。承包人还应当按照专用条款第 95.3款的有关约定承担违约责任。</w:t>
      </w:r>
    </w:p>
    <w:p w14:paraId="7099F29D">
      <w:pPr>
        <w:spacing w:line="360" w:lineRule="auto"/>
        <w:ind w:left="240" w:leftChars="100" w:firstLine="240" w:firstLineChars="100"/>
        <w:rPr>
          <w:rFonts w:ascii="仿宋" w:hAnsi="仿宋" w:eastAsia="仿宋" w:cs="仿宋"/>
          <w:lang w:eastAsia="zh-CN"/>
        </w:rPr>
      </w:pPr>
      <w:r>
        <w:rPr>
          <w:rFonts w:hint="eastAsia" w:ascii="仿宋" w:hAnsi="仿宋" w:eastAsia="仿宋" w:cs="仿宋"/>
          <w:lang w:eastAsia="zh-CN"/>
        </w:rPr>
        <w:t>（3）因承包人对现场组织管理不力或未能提供协调、配合服务，以致专业工程的进度影响工期，承包人不得以此为由提出延长工期的要求。</w:t>
      </w:r>
    </w:p>
    <w:p w14:paraId="676FE38C">
      <w:pPr>
        <w:spacing w:line="360" w:lineRule="auto"/>
        <w:ind w:left="240" w:leftChars="100" w:firstLine="240" w:firstLineChars="100"/>
        <w:rPr>
          <w:rFonts w:ascii="仿宋" w:hAnsi="仿宋" w:eastAsia="仿宋" w:cs="仿宋"/>
          <w:lang w:eastAsia="zh-CN"/>
        </w:rPr>
      </w:pPr>
      <w:r>
        <w:rPr>
          <w:rFonts w:hint="eastAsia" w:ascii="仿宋" w:hAnsi="仿宋" w:eastAsia="仿宋" w:cs="仿宋"/>
          <w:lang w:eastAsia="zh-CN"/>
        </w:rPr>
        <w:t>（4）非因承包人原因造成关键节点工期延误，一次性延误不满 10 天的，工期不予顺延，由承包人采取措施自行消化；一次性延误达到 10 天不满 20 天的，该节点工期可顺延 5 天，承包人应采取措施在下一个节点工期内消化；一次性延误达到 20 天不满 30 天的，节点工期可顺延 10 天，但承包人必须在总工期内采取措施消化被延误工期（此延误发生在最后一个节点工期内的除外）；一次性延误达到 30 天以上的，工期可以顺延 15 天（经发包人特别批准的除外）。</w:t>
      </w:r>
    </w:p>
    <w:p w14:paraId="632AB19C">
      <w:pPr>
        <w:spacing w:line="360" w:lineRule="auto"/>
        <w:ind w:left="240" w:leftChars="100" w:firstLine="240" w:firstLineChars="100"/>
        <w:rPr>
          <w:rFonts w:ascii="仿宋" w:hAnsi="仿宋" w:eastAsia="仿宋" w:cs="仿宋"/>
          <w:lang w:eastAsia="zh-CN"/>
        </w:rPr>
      </w:pPr>
      <w:r>
        <w:rPr>
          <w:rFonts w:hint="eastAsia" w:ascii="仿宋" w:hAnsi="仿宋" w:eastAsia="仿宋" w:cs="仿宋"/>
          <w:lang w:eastAsia="zh-CN"/>
        </w:rPr>
        <w:t>（5）对于非因承包人原因发生的工期延误，承包人应当在工期延误发生之日起及时（原则上为 10 天内）就延误的内容向总监理工程师及发包人提出书面报告及申请，总监理工程师及发包人按程序审批。</w:t>
      </w:r>
    </w:p>
    <w:p w14:paraId="53E6E751">
      <w:pPr>
        <w:spacing w:line="360" w:lineRule="auto"/>
        <w:ind w:left="240" w:leftChars="100" w:firstLine="240" w:firstLineChars="100"/>
        <w:rPr>
          <w:rFonts w:ascii="仿宋" w:hAnsi="仿宋" w:eastAsia="仿宋" w:cs="仿宋"/>
          <w:lang w:eastAsia="zh-CN"/>
        </w:rPr>
      </w:pPr>
      <w:r>
        <w:rPr>
          <w:rFonts w:hint="eastAsia" w:ascii="仿宋" w:hAnsi="仿宋" w:eastAsia="仿宋" w:cs="仿宋"/>
          <w:lang w:eastAsia="zh-CN"/>
        </w:rPr>
        <w:t>（6）因工期延误造成承包人的一切经济损失，发包人均不予赔偿，由承包人自行承担。</w:t>
      </w:r>
    </w:p>
    <w:p w14:paraId="1490007F">
      <w:pPr>
        <w:spacing w:line="360" w:lineRule="auto"/>
        <w:ind w:left="240" w:leftChars="100" w:firstLine="240" w:firstLineChars="100"/>
        <w:rPr>
          <w:rFonts w:ascii="仿宋" w:hAnsi="仿宋" w:eastAsia="仿宋" w:cs="仿宋"/>
          <w:lang w:eastAsia="zh-CN"/>
        </w:rPr>
      </w:pPr>
      <w:r>
        <w:rPr>
          <w:rFonts w:hint="eastAsia" w:ascii="仿宋" w:hAnsi="仿宋" w:eastAsia="仿宋" w:cs="仿宋"/>
          <w:lang w:eastAsia="zh-CN"/>
        </w:rPr>
        <w:t>43.3 补充条款：关于工期顺延的其他约定</w:t>
      </w:r>
    </w:p>
    <w:p w14:paraId="67D83C1B">
      <w:pPr>
        <w:spacing w:line="360" w:lineRule="auto"/>
        <w:ind w:left="240" w:leftChars="100" w:firstLine="240" w:firstLineChars="100"/>
        <w:rPr>
          <w:rFonts w:ascii="仿宋" w:hAnsi="仿宋" w:eastAsia="仿宋" w:cs="仿宋"/>
          <w:lang w:eastAsia="zh-CN"/>
        </w:rPr>
      </w:pPr>
      <w:r>
        <w:rPr>
          <w:rFonts w:hint="eastAsia" w:ascii="仿宋" w:hAnsi="仿宋" w:eastAsia="仿宋" w:cs="仿宋"/>
          <w:lang w:eastAsia="zh-CN"/>
        </w:rPr>
        <w:t>（14）承包人不得以与发包人有争议或争议未解决为由而单方面停工，因此原因而暂停施工，工期不予顺延,由此产生的费用由承包人自行承担，此外发包人还有权要求承包人承担一次严重违约责任。</w:t>
      </w:r>
    </w:p>
    <w:p w14:paraId="72EC7407">
      <w:pPr>
        <w:spacing w:line="360" w:lineRule="auto"/>
        <w:ind w:left="240" w:leftChars="100" w:firstLine="240" w:firstLineChars="100"/>
        <w:rPr>
          <w:rFonts w:ascii="仿宋" w:hAnsi="仿宋" w:eastAsia="仿宋" w:cs="仿宋"/>
          <w:lang w:eastAsia="zh-CN"/>
        </w:rPr>
      </w:pPr>
      <w:r>
        <w:rPr>
          <w:rFonts w:hint="eastAsia" w:ascii="仿宋" w:hAnsi="仿宋" w:eastAsia="仿宋" w:cs="仿宋"/>
          <w:lang w:eastAsia="zh-CN"/>
        </w:rPr>
        <w:t>43.9 赶工措施费</w:t>
      </w:r>
    </w:p>
    <w:p w14:paraId="56D28735">
      <w:pPr>
        <w:spacing w:line="360" w:lineRule="auto"/>
        <w:ind w:left="240" w:leftChars="100" w:firstLine="480" w:firstLineChars="200"/>
        <w:rPr>
          <w:rFonts w:ascii="仿宋" w:hAnsi="仿宋" w:eastAsia="仿宋" w:cs="仿宋"/>
          <w:lang w:eastAsia="zh-CN"/>
        </w:rPr>
      </w:pPr>
      <w:r>
        <w:rPr>
          <w:rFonts w:hint="eastAsia" w:ascii="仿宋" w:hAnsi="仿宋" w:eastAsia="仿宋" w:cs="仿宋"/>
          <w:lang w:eastAsia="zh-CN"/>
        </w:rPr>
        <w:t>合同工期按协议书第七条执行，由此导致增加的费用，已含</w:t>
      </w:r>
      <w:r>
        <w:rPr>
          <w:rFonts w:hint="eastAsia" w:ascii="仿宋" w:hAnsi="仿宋" w:eastAsia="仿宋" w:cs="仿宋"/>
          <w:u w:val="single"/>
          <w:lang w:eastAsia="zh-CN"/>
        </w:rPr>
        <w:t>在承包人中标下浮率中，</w:t>
      </w:r>
      <w:r>
        <w:rPr>
          <w:rFonts w:hint="eastAsia" w:ascii="仿宋" w:hAnsi="仿宋" w:eastAsia="仿宋" w:cs="仿宋"/>
          <w:lang w:eastAsia="zh-CN"/>
        </w:rPr>
        <w:t>发包人不另行计列。</w:t>
      </w:r>
    </w:p>
    <w:p w14:paraId="4CEC9CB3">
      <w:pPr>
        <w:spacing w:line="360" w:lineRule="auto"/>
        <w:ind w:left="240" w:leftChars="100" w:firstLine="480" w:firstLineChars="200"/>
        <w:rPr>
          <w:lang w:eastAsia="zh-CN"/>
        </w:rPr>
      </w:pPr>
      <w:r>
        <w:rPr>
          <w:rFonts w:hint="eastAsia" w:ascii="仿宋" w:hAnsi="仿宋" w:eastAsia="仿宋" w:cs="仿宋"/>
          <w:lang w:eastAsia="zh-CN"/>
        </w:rPr>
        <w:t>发包人根据工程实际情况，有权对本工程中的工序及关键节点工期、施工顺序进行适当合理调整，承包人必须采取一切有效措施配合并保证关键节点工期的调整，不得延误总工期，并不得要求另行增加费用。本项目赶工措施费用含在承包人中标下浮率中，发包人不再另行计列。</w:t>
      </w:r>
    </w:p>
    <w:p w14:paraId="75FD7D94">
      <w:pPr>
        <w:pStyle w:val="3"/>
        <w:spacing w:line="360" w:lineRule="auto"/>
        <w:rPr>
          <w:rFonts w:ascii="仿宋" w:hAnsi="仿宋" w:eastAsia="仿宋" w:cs="仿宋"/>
          <w:b w:val="0"/>
          <w:bCs w:val="0"/>
          <w:i w:val="0"/>
          <w:iCs w:val="0"/>
          <w:sz w:val="24"/>
          <w:szCs w:val="24"/>
          <w:lang w:eastAsia="zh-CN"/>
        </w:rPr>
      </w:pPr>
      <w:bookmarkStart w:id="938" w:name="_Toc11212"/>
      <w:bookmarkStart w:id="939" w:name="_Toc19564"/>
      <w:bookmarkStart w:id="940" w:name="_Toc194073249"/>
      <w:bookmarkStart w:id="941" w:name="_Toc16495"/>
      <w:r>
        <w:rPr>
          <w:rFonts w:hint="eastAsia" w:ascii="仿宋" w:hAnsi="仿宋" w:eastAsia="仿宋" w:cs="仿宋"/>
          <w:b w:val="0"/>
          <w:bCs w:val="0"/>
          <w:i w:val="0"/>
          <w:iCs w:val="0"/>
          <w:sz w:val="24"/>
          <w:szCs w:val="24"/>
          <w:lang w:eastAsia="zh-CN"/>
        </w:rPr>
        <w:t>45.  竣工日期</w:t>
      </w:r>
      <w:bookmarkEnd w:id="938"/>
      <w:bookmarkEnd w:id="939"/>
      <w:bookmarkEnd w:id="940"/>
      <w:bookmarkEnd w:id="941"/>
    </w:p>
    <w:p w14:paraId="7B87FF99">
      <w:pPr>
        <w:spacing w:line="360" w:lineRule="auto"/>
        <w:ind w:left="240" w:leftChars="100" w:firstLine="240" w:firstLineChars="100"/>
        <w:rPr>
          <w:rFonts w:ascii="仿宋" w:hAnsi="仿宋" w:eastAsia="仿宋" w:cs="仿宋"/>
          <w:lang w:eastAsia="zh-CN"/>
        </w:rPr>
      </w:pPr>
      <w:r>
        <w:rPr>
          <w:rFonts w:hint="eastAsia" w:ascii="仿宋" w:hAnsi="仿宋" w:eastAsia="仿宋" w:cs="仿宋"/>
          <w:lang w:eastAsia="zh-CN"/>
        </w:rPr>
        <w:t>45.1 约定计划竣工日期</w:t>
      </w:r>
    </w:p>
    <w:p w14:paraId="1E170A12">
      <w:pPr>
        <w:spacing w:line="360" w:lineRule="auto"/>
        <w:ind w:left="240" w:leftChars="100" w:firstLine="240" w:firstLineChars="100"/>
        <w:rPr>
          <w:rFonts w:ascii="仿宋" w:hAnsi="仿宋" w:eastAsia="仿宋" w:cs="仿宋"/>
          <w:lang w:eastAsia="zh-CN"/>
        </w:rPr>
      </w:pPr>
      <w:r>
        <w:rPr>
          <w:rFonts w:hint="eastAsia" w:ascii="仿宋" w:hAnsi="仿宋" w:eastAsia="仿宋" w:cs="仿宋"/>
          <w:lang w:eastAsia="zh-CN"/>
        </w:rPr>
        <w:t>计划竣工日期：详见协议书第七条。</w:t>
      </w:r>
    </w:p>
    <w:p w14:paraId="551F6821">
      <w:pPr>
        <w:spacing w:line="360" w:lineRule="auto"/>
        <w:ind w:left="240" w:leftChars="100" w:firstLine="240" w:firstLineChars="100"/>
        <w:rPr>
          <w:lang w:eastAsia="zh-CN"/>
        </w:rPr>
      </w:pPr>
    </w:p>
    <w:p w14:paraId="0DF4D855">
      <w:pPr>
        <w:pStyle w:val="3"/>
        <w:tabs>
          <w:tab w:val="left" w:pos="420"/>
        </w:tabs>
        <w:spacing w:before="0" w:after="0" w:line="360" w:lineRule="auto"/>
        <w:rPr>
          <w:rFonts w:ascii="仿宋" w:hAnsi="仿宋" w:eastAsia="仿宋" w:cs="仿宋"/>
          <w:b w:val="0"/>
          <w:bCs w:val="0"/>
          <w:i w:val="0"/>
          <w:iCs w:val="0"/>
          <w:sz w:val="24"/>
          <w:szCs w:val="24"/>
          <w:lang w:eastAsia="zh-CN"/>
        </w:rPr>
      </w:pPr>
      <w:bookmarkStart w:id="942" w:name="_Toc24883"/>
      <w:bookmarkStart w:id="943" w:name="_Toc194073250"/>
      <w:bookmarkStart w:id="944" w:name="_Toc27554"/>
      <w:bookmarkStart w:id="945" w:name="_Toc57"/>
      <w:r>
        <w:rPr>
          <w:rFonts w:hint="eastAsia" w:ascii="仿宋" w:hAnsi="仿宋" w:eastAsia="仿宋" w:cs="仿宋"/>
          <w:b w:val="0"/>
          <w:bCs w:val="0"/>
          <w:i w:val="0"/>
          <w:iCs w:val="0"/>
          <w:sz w:val="24"/>
          <w:szCs w:val="24"/>
          <w:lang w:eastAsia="zh-CN"/>
        </w:rPr>
        <w:t>★49.  质量标准</w:t>
      </w:r>
      <w:bookmarkEnd w:id="942"/>
      <w:bookmarkEnd w:id="943"/>
      <w:bookmarkEnd w:id="944"/>
      <w:bookmarkEnd w:id="945"/>
    </w:p>
    <w:p w14:paraId="583F5A0D">
      <w:pPr>
        <w:spacing w:line="360" w:lineRule="auto"/>
        <w:ind w:left="240" w:leftChars="100" w:firstLine="240" w:firstLineChars="100"/>
        <w:rPr>
          <w:rFonts w:ascii="仿宋" w:hAnsi="仿宋" w:eastAsia="仿宋" w:cs="仿宋"/>
          <w:lang w:eastAsia="zh-CN"/>
        </w:rPr>
      </w:pPr>
      <w:r>
        <w:rPr>
          <w:rFonts w:hint="eastAsia" w:ascii="仿宋" w:hAnsi="仿宋" w:eastAsia="仿宋" w:cs="仿宋"/>
          <w:lang w:eastAsia="zh-CN"/>
        </w:rPr>
        <w:t>★49.1 约定工作质量或工程质量标准</w:t>
      </w:r>
    </w:p>
    <w:p w14:paraId="2C561281">
      <w:pPr>
        <w:spacing w:line="360" w:lineRule="auto"/>
        <w:ind w:left="240" w:leftChars="100" w:firstLine="240" w:firstLineChars="100"/>
        <w:rPr>
          <w:rFonts w:ascii="仿宋" w:hAnsi="仿宋" w:eastAsia="仿宋" w:cs="仿宋"/>
          <w:u w:val="single"/>
          <w:lang w:eastAsia="zh-CN"/>
        </w:rPr>
      </w:pPr>
      <w:r>
        <w:rPr>
          <w:rFonts w:hint="eastAsia" w:ascii="仿宋" w:hAnsi="仿宋" w:eastAsia="仿宋" w:cs="仿宋"/>
          <w:lang w:eastAsia="zh-CN"/>
        </w:rPr>
        <w:t xml:space="preserve">□ 1、勘察工作质量标准与成果验收标准：  /  </w:t>
      </w:r>
      <w:r>
        <w:rPr>
          <w:rFonts w:hint="eastAsia" w:ascii="仿宋" w:hAnsi="仿宋" w:eastAsia="仿宋" w:cs="仿宋"/>
          <w:u w:val="single"/>
          <w:lang w:eastAsia="zh-CN"/>
        </w:rPr>
        <w:t>。</w:t>
      </w:r>
    </w:p>
    <w:p w14:paraId="616FFCF9">
      <w:pPr>
        <w:spacing w:line="360" w:lineRule="auto"/>
        <w:ind w:left="240" w:leftChars="100" w:firstLine="240" w:firstLineChars="100"/>
        <w:rPr>
          <w:rFonts w:ascii="仿宋" w:hAnsi="仿宋" w:eastAsia="仿宋" w:cs="仿宋"/>
          <w:lang w:eastAsia="zh-CN"/>
        </w:rPr>
      </w:pPr>
      <w:r>
        <w:rPr>
          <w:rFonts w:hint="eastAsia" w:ascii="仿宋" w:hAnsi="仿宋" w:eastAsia="仿宋" w:cs="仿宋"/>
          <w:lang w:eastAsia="zh-CN"/>
        </w:rPr>
        <w:t xml:space="preserve">□ 2、初步设计工作质量标准与成果验收标准：  /  </w:t>
      </w:r>
      <w:r>
        <w:rPr>
          <w:rFonts w:hint="eastAsia" w:ascii="仿宋" w:hAnsi="仿宋" w:eastAsia="仿宋" w:cs="仿宋"/>
          <w:u w:val="single"/>
          <w:lang w:eastAsia="zh-CN"/>
        </w:rPr>
        <w:t>。</w:t>
      </w:r>
    </w:p>
    <w:p w14:paraId="60CFD2EE">
      <w:pPr>
        <w:spacing w:line="360" w:lineRule="auto"/>
        <w:ind w:left="240" w:leftChars="100" w:firstLine="240" w:firstLineChars="100"/>
        <w:rPr>
          <w:rFonts w:ascii="仿宋" w:hAnsi="仿宋" w:eastAsia="仿宋" w:cs="仿宋"/>
          <w:lang w:eastAsia="zh-CN"/>
        </w:rPr>
      </w:pPr>
      <w:r>
        <w:rPr>
          <w:rFonts w:hint="eastAsia" w:ascii="仿宋" w:hAnsi="仿宋" w:eastAsia="仿宋" w:cs="仿宋"/>
          <w:lang w:eastAsia="zh-CN"/>
        </w:rPr>
        <w:t>☑3、施工图设计工作质量标准与成果验收标准：符合建设工程勘察设计的技术规范及本项目设计任务书的要求。</w:t>
      </w:r>
    </w:p>
    <w:p w14:paraId="30C2D018">
      <w:pPr>
        <w:spacing w:line="360" w:lineRule="auto"/>
        <w:ind w:left="240" w:leftChars="100" w:firstLine="240" w:firstLineChars="100"/>
        <w:rPr>
          <w:rFonts w:ascii="仿宋" w:hAnsi="仿宋" w:eastAsia="仿宋" w:cs="仿宋"/>
          <w:lang w:eastAsia="zh-CN"/>
        </w:rPr>
      </w:pPr>
      <w:r>
        <w:rPr>
          <w:rFonts w:hint="eastAsia" w:ascii="仿宋" w:hAnsi="仿宋" w:eastAsia="仿宋" w:cs="仿宋"/>
          <w:lang w:eastAsia="zh-CN"/>
        </w:rPr>
        <w:t>☑ 4、BIM技术应用工作质量标准与成果验收标准：符合建设工程勘察设计的技术规范及本项目设计任务书的要求。</w:t>
      </w:r>
    </w:p>
    <w:p w14:paraId="6237FF93">
      <w:pPr>
        <w:spacing w:line="360" w:lineRule="auto"/>
        <w:ind w:left="240" w:leftChars="100" w:firstLine="240" w:firstLineChars="100"/>
        <w:rPr>
          <w:rFonts w:ascii="仿宋" w:hAnsi="仿宋" w:eastAsia="仿宋" w:cs="仿宋"/>
          <w:lang w:eastAsia="zh-CN"/>
        </w:rPr>
      </w:pPr>
      <w:r>
        <w:rPr>
          <w:rFonts w:hint="eastAsia" w:ascii="仿宋" w:hAnsi="仿宋" w:eastAsia="仿宋" w:cs="仿宋"/>
          <w:lang w:eastAsia="zh-CN"/>
        </w:rPr>
        <w:t xml:space="preserve">□ 5、设备及工器具购置工作质量标准与验收标准：  /  </w:t>
      </w:r>
      <w:r>
        <w:rPr>
          <w:rFonts w:hint="eastAsia" w:ascii="仿宋" w:hAnsi="仿宋" w:eastAsia="仿宋" w:cs="仿宋"/>
          <w:u w:val="single"/>
          <w:lang w:eastAsia="zh-CN"/>
        </w:rPr>
        <w:t>。</w:t>
      </w:r>
    </w:p>
    <w:p w14:paraId="41F77FB1">
      <w:pPr>
        <w:spacing w:line="360" w:lineRule="auto"/>
        <w:ind w:left="240" w:leftChars="100" w:firstLine="240" w:firstLineChars="100"/>
        <w:rPr>
          <w:rFonts w:ascii="仿宋" w:hAnsi="仿宋" w:eastAsia="仿宋" w:cs="仿宋"/>
          <w:lang w:eastAsia="zh-CN"/>
        </w:rPr>
      </w:pPr>
      <w:r>
        <w:rPr>
          <w:rFonts w:ascii="仿宋" w:hAnsi="仿宋" w:eastAsia="仿宋" w:cs="仿宋"/>
          <w:lang w:eastAsia="zh-CN"/>
        </w:rPr>
        <w:t>6</w:t>
      </w:r>
      <w:r>
        <w:rPr>
          <w:rFonts w:hint="eastAsia" w:ascii="仿宋" w:hAnsi="仿宋" w:eastAsia="仿宋" w:cs="仿宋"/>
          <w:lang w:eastAsia="zh-CN"/>
        </w:rPr>
        <w:t>、施工质量标准与验收标准</w:t>
      </w:r>
    </w:p>
    <w:p w14:paraId="6D01C886">
      <w:pPr>
        <w:spacing w:line="360" w:lineRule="auto"/>
        <w:ind w:left="240" w:leftChars="100" w:firstLine="240" w:firstLineChars="100"/>
        <w:rPr>
          <w:rFonts w:ascii="仿宋" w:hAnsi="仿宋" w:eastAsia="仿宋" w:cs="仿宋"/>
          <w:u w:val="single"/>
          <w:lang w:eastAsia="zh-CN"/>
        </w:rPr>
      </w:pPr>
      <w:r>
        <w:rPr>
          <w:rFonts w:hint="eastAsia" w:ascii="仿宋" w:hAnsi="仿宋" w:eastAsia="仿宋" w:cs="仿宋"/>
          <w:lang w:eastAsia="zh-CN"/>
        </w:rPr>
        <w:t>（a）工程质量标准：</w:t>
      </w:r>
      <w:r>
        <w:rPr>
          <w:rFonts w:hint="eastAsia" w:ascii="仿宋" w:hAnsi="仿宋" w:eastAsia="仿宋" w:cs="仿宋"/>
          <w:u w:val="single"/>
          <w:lang w:eastAsia="zh-CN"/>
        </w:rPr>
        <w:t xml:space="preserve"> 按协议书第三条约定。  </w:t>
      </w:r>
    </w:p>
    <w:p w14:paraId="5CD73FAE">
      <w:pPr>
        <w:spacing w:line="360" w:lineRule="auto"/>
        <w:ind w:left="240" w:leftChars="100" w:firstLine="240" w:firstLineChars="100"/>
        <w:rPr>
          <w:rFonts w:ascii="仿宋" w:hAnsi="仿宋" w:eastAsia="仿宋" w:cs="仿宋"/>
          <w:u w:val="single"/>
          <w:lang w:eastAsia="zh-CN"/>
        </w:rPr>
      </w:pPr>
      <w:r>
        <w:rPr>
          <w:rFonts w:hint="eastAsia" w:ascii="仿宋" w:hAnsi="仿宋" w:eastAsia="仿宋" w:cs="仿宋"/>
          <w:lang w:eastAsia="zh-CN"/>
        </w:rPr>
        <w:t>（b）特殊质量标准和要求：</w:t>
      </w:r>
      <w:r>
        <w:rPr>
          <w:rFonts w:hint="eastAsia" w:ascii="仿宋" w:hAnsi="仿宋" w:eastAsia="仿宋" w:cs="仿宋"/>
          <w:u w:val="single"/>
          <w:lang w:eastAsia="zh-CN"/>
        </w:rPr>
        <w:t xml:space="preserve">      /       </w:t>
      </w:r>
    </w:p>
    <w:p w14:paraId="3BB722D9">
      <w:pPr>
        <w:spacing w:line="360" w:lineRule="auto"/>
        <w:ind w:left="240" w:leftChars="100" w:firstLine="240" w:firstLineChars="100"/>
        <w:rPr>
          <w:rFonts w:ascii="仿宋" w:hAnsi="仿宋" w:eastAsia="仿宋" w:cs="仿宋"/>
          <w:lang w:eastAsia="zh-CN"/>
        </w:rPr>
      </w:pPr>
      <w:r>
        <w:rPr>
          <w:rFonts w:hint="eastAsia" w:ascii="仿宋" w:hAnsi="仿宋" w:eastAsia="仿宋" w:cs="仿宋"/>
          <w:lang w:eastAsia="zh-CN"/>
        </w:rPr>
        <w:t>（c）工程质量验收标准：</w:t>
      </w:r>
      <w:r>
        <w:rPr>
          <w:rFonts w:hint="eastAsia" w:ascii="仿宋" w:hAnsi="仿宋" w:eastAsia="仿宋" w:cs="仿宋"/>
          <w:u w:val="single"/>
          <w:lang w:eastAsia="zh-CN"/>
        </w:rPr>
        <w:t xml:space="preserve"> 按协议书第三条约定。  </w:t>
      </w:r>
    </w:p>
    <w:p w14:paraId="557D485F">
      <w:pPr>
        <w:spacing w:line="360" w:lineRule="auto"/>
        <w:ind w:left="240" w:leftChars="100" w:firstLine="240" w:firstLineChars="100"/>
        <w:rPr>
          <w:rFonts w:ascii="仿宋" w:hAnsi="仿宋" w:eastAsia="仿宋" w:cs="仿宋"/>
          <w:lang w:eastAsia="zh-CN"/>
        </w:rPr>
      </w:pPr>
      <w:r>
        <w:rPr>
          <w:rFonts w:hint="eastAsia" w:ascii="仿宋" w:hAnsi="仿宋" w:eastAsia="仿宋" w:cs="仿宋"/>
          <w:lang w:eastAsia="zh-CN"/>
        </w:rPr>
        <w:t xml:space="preserve">（d）装配式建筑质量验收标准： </w:t>
      </w:r>
    </w:p>
    <w:p w14:paraId="0F1B66D8">
      <w:pPr>
        <w:spacing w:line="360" w:lineRule="auto"/>
        <w:ind w:left="240" w:leftChars="100" w:firstLine="240" w:firstLineChars="100"/>
        <w:rPr>
          <w:rFonts w:ascii="仿宋" w:hAnsi="仿宋" w:eastAsia="仿宋" w:cs="仿宋"/>
          <w:lang w:eastAsia="zh-CN"/>
        </w:rPr>
      </w:pPr>
      <w:r>
        <w:rPr>
          <w:rFonts w:hint="eastAsia" w:ascii="仿宋" w:hAnsi="仿宋" w:eastAsia="仿宋" w:cs="仿宋"/>
          <w:lang w:eastAsia="zh-CN"/>
        </w:rPr>
        <w:t xml:space="preserve">☑《装配式住宅建筑检测技术标准》（JGJ/T485） </w:t>
      </w:r>
    </w:p>
    <w:p w14:paraId="5A448A94">
      <w:pPr>
        <w:spacing w:line="360" w:lineRule="auto"/>
        <w:ind w:left="240" w:leftChars="100" w:firstLine="240" w:firstLineChars="100"/>
        <w:rPr>
          <w:rFonts w:ascii="仿宋" w:hAnsi="仿宋" w:eastAsia="仿宋" w:cs="仿宋"/>
          <w:lang w:eastAsia="zh-CN"/>
        </w:rPr>
      </w:pPr>
      <w:r>
        <w:rPr>
          <w:rFonts w:hint="eastAsia" w:ascii="仿宋" w:hAnsi="仿宋" w:eastAsia="仿宋" w:cs="仿宋"/>
          <w:lang w:eastAsia="zh-CN"/>
        </w:rPr>
        <w:t xml:space="preserve">☑《装配式混凝土建筑工程施工质量验收规程》（T/CCIA/T0008） </w:t>
      </w:r>
    </w:p>
    <w:p w14:paraId="1895699D">
      <w:pPr>
        <w:spacing w:line="360" w:lineRule="auto"/>
        <w:ind w:left="240" w:leftChars="100" w:firstLine="240" w:firstLineChars="100"/>
        <w:rPr>
          <w:lang w:eastAsia="zh-CN"/>
        </w:rPr>
      </w:pPr>
      <w:r>
        <w:rPr>
          <w:rFonts w:hint="eastAsia" w:ascii="仿宋" w:hAnsi="仿宋" w:eastAsia="仿宋" w:cs="仿宋"/>
          <w:lang w:eastAsia="zh-CN"/>
        </w:rPr>
        <w:t>□其它：</w:t>
      </w:r>
    </w:p>
    <w:p w14:paraId="3F236588">
      <w:pPr>
        <w:spacing w:line="360" w:lineRule="auto"/>
        <w:ind w:left="240" w:leftChars="100" w:firstLine="240" w:firstLineChars="100"/>
        <w:rPr>
          <w:rFonts w:ascii="仿宋" w:hAnsi="仿宋" w:eastAsia="仿宋" w:cs="仿宋"/>
          <w:u w:val="single"/>
          <w:lang w:eastAsia="zh-CN"/>
        </w:rPr>
      </w:pPr>
      <w:r>
        <w:rPr>
          <w:rFonts w:hint="eastAsia" w:ascii="仿宋" w:hAnsi="仿宋" w:eastAsia="仿宋" w:cs="仿宋"/>
          <w:lang w:eastAsia="zh-CN"/>
        </w:rPr>
        <w:t>□7、其它专题标准和要求：</w:t>
      </w:r>
      <w:r>
        <w:rPr>
          <w:rFonts w:hint="eastAsia" w:ascii="仿宋" w:hAnsi="仿宋" w:eastAsia="仿宋" w:cs="仿宋"/>
          <w:u w:val="single"/>
          <w:lang w:eastAsia="zh-CN"/>
        </w:rPr>
        <w:t xml:space="preserve">     /       </w:t>
      </w:r>
    </w:p>
    <w:p w14:paraId="268DCFC7">
      <w:pPr>
        <w:spacing w:line="400" w:lineRule="exact"/>
        <w:ind w:firstLine="480" w:firstLineChars="200"/>
        <w:rPr>
          <w:rFonts w:ascii="仿宋" w:hAnsi="仿宋" w:eastAsia="仿宋" w:cs="仿宋"/>
          <w:lang w:eastAsia="zh-CN"/>
        </w:rPr>
      </w:pPr>
    </w:p>
    <w:p w14:paraId="2ED52066">
      <w:pPr>
        <w:pStyle w:val="3"/>
        <w:tabs>
          <w:tab w:val="left" w:pos="420"/>
        </w:tabs>
        <w:spacing w:before="0" w:after="0" w:line="360" w:lineRule="auto"/>
        <w:rPr>
          <w:rFonts w:ascii="仿宋" w:hAnsi="仿宋" w:eastAsia="仿宋" w:cs="仿宋"/>
          <w:b w:val="0"/>
          <w:bCs w:val="0"/>
          <w:i w:val="0"/>
          <w:sz w:val="24"/>
          <w:szCs w:val="24"/>
          <w:lang w:eastAsia="zh-CN"/>
        </w:rPr>
      </w:pPr>
      <w:bookmarkStart w:id="946" w:name="_Toc27938"/>
      <w:bookmarkStart w:id="947" w:name="_Toc32686"/>
      <w:bookmarkStart w:id="948" w:name="_Toc194073251"/>
      <w:bookmarkStart w:id="949" w:name="_Toc10970"/>
      <w:r>
        <w:rPr>
          <w:rFonts w:hint="eastAsia" w:ascii="仿宋" w:hAnsi="仿宋" w:eastAsia="仿宋" w:cs="仿宋"/>
          <w:b w:val="0"/>
          <w:bCs w:val="0"/>
          <w:i w:val="0"/>
          <w:sz w:val="24"/>
          <w:szCs w:val="24"/>
          <w:lang w:eastAsia="zh-CN"/>
        </w:rPr>
        <w:t>★50.  工程质量创优</w:t>
      </w:r>
      <w:bookmarkEnd w:id="946"/>
      <w:bookmarkEnd w:id="947"/>
      <w:bookmarkEnd w:id="948"/>
      <w:bookmarkEnd w:id="949"/>
    </w:p>
    <w:p w14:paraId="1174C9C5">
      <w:pPr>
        <w:autoSpaceDE w:val="0"/>
        <w:autoSpaceDN w:val="0"/>
        <w:adjustRightInd w:val="0"/>
        <w:spacing w:line="400" w:lineRule="exact"/>
        <w:ind w:firstLine="480" w:firstLineChars="200"/>
        <w:rPr>
          <w:rFonts w:ascii="仿宋" w:hAnsi="仿宋" w:eastAsia="仿宋" w:cs="仿宋"/>
          <w:lang w:eastAsia="zh-CN"/>
        </w:rPr>
      </w:pPr>
      <w:r>
        <w:rPr>
          <w:rFonts w:hint="eastAsia" w:ascii="仿宋" w:hAnsi="仿宋" w:eastAsia="仿宋" w:cs="仿宋"/>
          <w:lang w:eastAsia="zh-CN"/>
        </w:rPr>
        <w:t>50.1本工程的质量创优目标及评价标准为：详见协议书第四条。</w:t>
      </w:r>
    </w:p>
    <w:p w14:paraId="3161D9BE">
      <w:pPr>
        <w:spacing w:line="400" w:lineRule="exact"/>
        <w:ind w:firstLine="480" w:firstLineChars="200"/>
        <w:rPr>
          <w:rFonts w:ascii="仿宋" w:hAnsi="仿宋" w:eastAsia="仿宋"/>
          <w:lang w:eastAsia="zh-CN"/>
        </w:rPr>
      </w:pPr>
    </w:p>
    <w:p w14:paraId="6F68AA85">
      <w:pPr>
        <w:pStyle w:val="3"/>
        <w:tabs>
          <w:tab w:val="left" w:pos="420"/>
        </w:tabs>
        <w:spacing w:before="0" w:after="0" w:line="360" w:lineRule="auto"/>
        <w:rPr>
          <w:rFonts w:ascii="仿宋" w:hAnsi="仿宋" w:eastAsia="仿宋" w:cs="仿宋"/>
          <w:b w:val="0"/>
          <w:bCs w:val="0"/>
          <w:i w:val="0"/>
          <w:sz w:val="24"/>
          <w:szCs w:val="24"/>
          <w:lang w:eastAsia="zh-CN"/>
        </w:rPr>
      </w:pPr>
      <w:bookmarkStart w:id="950" w:name="_Toc194073252"/>
      <w:bookmarkStart w:id="951" w:name="_Toc6527"/>
      <w:bookmarkStart w:id="952" w:name="_Toc22407"/>
      <w:bookmarkStart w:id="953" w:name="_Toc21222"/>
      <w:r>
        <w:rPr>
          <w:rFonts w:hint="eastAsia" w:ascii="仿宋" w:hAnsi="仿宋" w:eastAsia="仿宋" w:cs="仿宋"/>
          <w:b w:val="0"/>
          <w:bCs w:val="0"/>
          <w:i w:val="0"/>
          <w:sz w:val="24"/>
          <w:szCs w:val="24"/>
          <w:lang w:eastAsia="zh-CN"/>
        </w:rPr>
        <w:t>★52.  绿色施工安全防护</w:t>
      </w:r>
      <w:bookmarkEnd w:id="950"/>
      <w:bookmarkEnd w:id="951"/>
      <w:bookmarkEnd w:id="952"/>
      <w:bookmarkEnd w:id="953"/>
    </w:p>
    <w:p w14:paraId="5777079D">
      <w:pPr>
        <w:autoSpaceDE w:val="0"/>
        <w:autoSpaceDN w:val="0"/>
        <w:adjustRightInd w:val="0"/>
        <w:spacing w:line="360" w:lineRule="auto"/>
        <w:ind w:firstLine="480" w:firstLineChars="200"/>
        <w:rPr>
          <w:rFonts w:ascii="仿宋" w:hAnsi="仿宋" w:eastAsia="仿宋"/>
          <w:lang w:eastAsia="zh-CN"/>
        </w:rPr>
      </w:pPr>
      <w:r>
        <w:rPr>
          <w:rFonts w:hint="eastAsia" w:ascii="仿宋" w:hAnsi="仿宋" w:eastAsia="仿宋" w:cs="仿宋"/>
          <w:lang w:eastAsia="zh-CN"/>
        </w:rPr>
        <w:t>52.1绿色施工安全防护的要求</w:t>
      </w:r>
    </w:p>
    <w:p w14:paraId="3FAFD3C2">
      <w:pPr>
        <w:autoSpaceDE w:val="0"/>
        <w:autoSpaceDN w:val="0"/>
        <w:adjustRightInd w:val="0"/>
        <w:spacing w:line="360" w:lineRule="auto"/>
        <w:ind w:firstLine="480" w:firstLineChars="200"/>
        <w:rPr>
          <w:rFonts w:ascii="仿宋" w:hAnsi="仿宋" w:eastAsia="仿宋" w:cs="仿宋"/>
          <w:lang w:eastAsia="zh-CN"/>
        </w:rPr>
      </w:pPr>
      <w:r>
        <w:rPr>
          <w:rFonts w:hint="eastAsia" w:ascii="仿宋" w:hAnsi="仿宋" w:eastAsia="仿宋" w:cs="仿宋"/>
          <w:lang w:eastAsia="zh-CN"/>
        </w:rPr>
        <w:t>☑ 按通用条款的约定。</w:t>
      </w:r>
    </w:p>
    <w:p w14:paraId="7A91E0DB">
      <w:pPr>
        <w:spacing w:line="360" w:lineRule="auto"/>
        <w:ind w:firstLine="480" w:firstLineChars="200"/>
        <w:rPr>
          <w:rFonts w:ascii="仿宋" w:hAnsi="仿宋" w:eastAsia="仿宋"/>
          <w:lang w:eastAsia="zh-CN"/>
        </w:rPr>
      </w:pPr>
      <w:r>
        <w:rPr>
          <w:rFonts w:hint="eastAsia" w:ascii="仿宋" w:hAnsi="仿宋" w:eastAsia="仿宋" w:cs="仿宋"/>
          <w:lang w:eastAsia="zh-CN"/>
        </w:rPr>
        <w:t xml:space="preserve">□ 另作约定：  /  </w:t>
      </w:r>
      <w:r>
        <w:rPr>
          <w:rFonts w:hint="eastAsia" w:ascii="仿宋" w:hAnsi="仿宋" w:eastAsia="仿宋" w:cs="仿宋"/>
          <w:u w:val="single"/>
          <w:lang w:eastAsia="zh-CN"/>
        </w:rPr>
        <w:t>。</w:t>
      </w:r>
    </w:p>
    <w:p w14:paraId="04F40519">
      <w:pPr>
        <w:spacing w:line="360" w:lineRule="auto"/>
        <w:ind w:firstLine="480" w:firstLineChars="200"/>
        <w:rPr>
          <w:rFonts w:ascii="仿宋" w:hAnsi="仿宋" w:eastAsia="仿宋"/>
          <w:lang w:eastAsia="zh-CN"/>
        </w:rPr>
      </w:pPr>
      <w:r>
        <w:rPr>
          <w:rFonts w:hint="eastAsia" w:ascii="仿宋" w:hAnsi="仿宋" w:eastAsia="仿宋" w:cs="仿宋"/>
          <w:lang w:eastAsia="zh-CN"/>
        </w:rPr>
        <w:t>其中：施工扬尘污染防治措施：</w:t>
      </w:r>
      <w:r>
        <w:rPr>
          <w:rFonts w:hint="eastAsia" w:ascii="仿宋" w:hAnsi="仿宋" w:eastAsia="仿宋" w:cs="仿宋"/>
          <w:u w:val="single"/>
          <w:lang w:eastAsia="zh-CN"/>
        </w:rPr>
        <w:t xml:space="preserve">    按照本合同第二部分通用条款约定执行    </w:t>
      </w:r>
    </w:p>
    <w:p w14:paraId="4C1B2EC1">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用工实名管理：</w:t>
      </w:r>
      <w:r>
        <w:rPr>
          <w:rFonts w:hint="eastAsia" w:ascii="仿宋" w:hAnsi="仿宋" w:eastAsia="仿宋" w:cs="仿宋"/>
          <w:u w:val="single"/>
          <w:lang w:eastAsia="zh-CN"/>
        </w:rPr>
        <w:t xml:space="preserve">   按照本合同第二部分通用条款约定执行   </w:t>
      </w:r>
    </w:p>
    <w:p w14:paraId="5F82065D">
      <w:pPr>
        <w:autoSpaceDE w:val="0"/>
        <w:autoSpaceDN w:val="0"/>
        <w:adjustRightInd w:val="0"/>
        <w:spacing w:line="360" w:lineRule="auto"/>
        <w:ind w:firstLine="480" w:firstLineChars="200"/>
        <w:rPr>
          <w:rFonts w:ascii="仿宋" w:hAnsi="仿宋" w:eastAsia="仿宋" w:cs="仿宋"/>
          <w:lang w:eastAsia="zh-CN"/>
        </w:rPr>
      </w:pPr>
      <w:r>
        <w:rPr>
          <w:rFonts w:hint="eastAsia" w:ascii="仿宋" w:hAnsi="仿宋" w:eastAsia="仿宋" w:cs="仿宋"/>
          <w:lang w:eastAsia="zh-CN"/>
        </w:rPr>
        <w:t>52.2用工实名制、工人工资支付分账管理</w:t>
      </w:r>
    </w:p>
    <w:p w14:paraId="3F104570">
      <w:pPr>
        <w:autoSpaceDE w:val="0"/>
        <w:autoSpaceDN w:val="0"/>
        <w:adjustRightInd w:val="0"/>
        <w:spacing w:line="360" w:lineRule="auto"/>
        <w:ind w:firstLine="480" w:firstLineChars="200"/>
        <w:rPr>
          <w:rFonts w:ascii="仿宋" w:hAnsi="仿宋" w:eastAsia="仿宋" w:cs="仿宋"/>
          <w:lang w:eastAsia="zh-CN"/>
        </w:rPr>
      </w:pPr>
      <w:r>
        <w:rPr>
          <w:rFonts w:hint="eastAsia" w:ascii="仿宋" w:hAnsi="仿宋" w:eastAsia="仿宋" w:cs="仿宋"/>
          <w:lang w:eastAsia="zh-CN"/>
        </w:rPr>
        <w:t>☑ 按通用条款的约定以及以下文件规定：</w:t>
      </w:r>
    </w:p>
    <w:p w14:paraId="6DDFE93C">
      <w:pPr>
        <w:autoSpaceDE w:val="0"/>
        <w:autoSpaceDN w:val="0"/>
        <w:adjustRightInd w:val="0"/>
        <w:spacing w:line="360" w:lineRule="auto"/>
        <w:ind w:firstLine="480" w:firstLineChars="200"/>
        <w:rPr>
          <w:rFonts w:ascii="仿宋" w:hAnsi="仿宋" w:eastAsia="仿宋" w:cs="仿宋"/>
          <w:lang w:eastAsia="zh-CN"/>
        </w:rPr>
      </w:pPr>
      <w:r>
        <w:rPr>
          <w:rFonts w:hint="eastAsia" w:ascii="仿宋" w:hAnsi="仿宋" w:eastAsia="仿宋" w:cs="仿宋"/>
          <w:lang w:eastAsia="zh-CN"/>
        </w:rPr>
        <w:t>①《保障农民工工资支付条例》（国务院令第7</w:t>
      </w:r>
      <w:r>
        <w:rPr>
          <w:rFonts w:ascii="仿宋" w:hAnsi="仿宋" w:eastAsia="仿宋" w:cs="仿宋"/>
          <w:lang w:eastAsia="zh-CN"/>
        </w:rPr>
        <w:t>24</w:t>
      </w:r>
      <w:r>
        <w:rPr>
          <w:rFonts w:hint="eastAsia" w:ascii="仿宋" w:hAnsi="仿宋" w:eastAsia="仿宋" w:cs="仿宋"/>
          <w:lang w:eastAsia="zh-CN"/>
        </w:rPr>
        <w:t>号）</w:t>
      </w:r>
    </w:p>
    <w:p w14:paraId="2CABE0C3">
      <w:pPr>
        <w:autoSpaceDE w:val="0"/>
        <w:autoSpaceDN w:val="0"/>
        <w:adjustRightInd w:val="0"/>
        <w:spacing w:line="360" w:lineRule="auto"/>
        <w:ind w:firstLine="480" w:firstLineChars="200"/>
        <w:rPr>
          <w:rFonts w:ascii="仿宋" w:hAnsi="仿宋" w:eastAsia="仿宋"/>
          <w:lang w:eastAsia="zh-CN"/>
        </w:rPr>
      </w:pPr>
      <w:r>
        <w:rPr>
          <w:rFonts w:hint="eastAsia" w:ascii="仿宋" w:hAnsi="仿宋" w:eastAsia="仿宋" w:cs="仿宋"/>
          <w:lang w:eastAsia="zh-CN"/>
        </w:rPr>
        <w:t>② 《广东省住房和城乡建设厅关于印发房屋建筑和市政基础设施工程用工实名管理暂行办法的通知》（粤建规范〔2018〕1号）</w:t>
      </w:r>
    </w:p>
    <w:p w14:paraId="562693DC">
      <w:pPr>
        <w:autoSpaceDE w:val="0"/>
        <w:autoSpaceDN w:val="0"/>
        <w:adjustRightInd w:val="0"/>
        <w:spacing w:line="360" w:lineRule="auto"/>
        <w:ind w:firstLine="480" w:firstLineChars="200"/>
        <w:rPr>
          <w:rFonts w:ascii="仿宋" w:hAnsi="仿宋" w:eastAsia="仿宋" w:cs="仿宋"/>
          <w:lang w:eastAsia="zh-CN"/>
        </w:rPr>
      </w:pPr>
      <w:r>
        <w:rPr>
          <w:rFonts w:hint="eastAsia" w:ascii="仿宋" w:hAnsi="仿宋" w:eastAsia="仿宋" w:cs="仿宋"/>
          <w:lang w:eastAsia="zh-CN"/>
        </w:rPr>
        <w:t>③《广州市住房和城乡建设局 广州市人力资源和社会保障局 广州市交通运输局 广州市水务局 广州市林业和园林局 中国人民银行广州分行营业管理部关于印发广州市建设领域工人工资支付分账管理实施细则的通知》（穗建规字【2020】18号）</w:t>
      </w:r>
    </w:p>
    <w:p w14:paraId="2AAEF87C">
      <w:pPr>
        <w:autoSpaceDE w:val="0"/>
        <w:autoSpaceDN w:val="0"/>
        <w:adjustRightInd w:val="0"/>
        <w:spacing w:line="360" w:lineRule="auto"/>
        <w:ind w:firstLine="480" w:firstLineChars="200"/>
        <w:rPr>
          <w:rFonts w:ascii="仿宋" w:hAnsi="仿宋" w:eastAsia="仿宋" w:cs="仿宋"/>
          <w:lang w:eastAsia="zh-CN"/>
        </w:rPr>
      </w:pPr>
      <w:r>
        <w:rPr>
          <w:rFonts w:hint="eastAsia" w:ascii="仿宋" w:hAnsi="仿宋" w:eastAsia="仿宋" w:cs="仿宋"/>
          <w:lang w:eastAsia="zh-CN"/>
        </w:rPr>
        <w:t>④《广州市住房和城乡建设局关于印发广州市建筑施工实名制管理办法的通知》（穗建规字【2020】37号）</w:t>
      </w:r>
    </w:p>
    <w:p w14:paraId="4822949C">
      <w:pPr>
        <w:autoSpaceDE w:val="0"/>
        <w:autoSpaceDN w:val="0"/>
        <w:adjustRightInd w:val="0"/>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⑤其他文件：  /  </w:t>
      </w:r>
      <w:r>
        <w:rPr>
          <w:rFonts w:hint="eastAsia" w:ascii="仿宋" w:hAnsi="仿宋" w:eastAsia="仿宋" w:cs="仿宋"/>
          <w:u w:val="single"/>
          <w:lang w:eastAsia="zh-CN"/>
        </w:rPr>
        <w:t>。</w:t>
      </w:r>
    </w:p>
    <w:p w14:paraId="6C996DBF">
      <w:pPr>
        <w:autoSpaceDE w:val="0"/>
        <w:autoSpaceDN w:val="0"/>
        <w:adjustRightInd w:val="0"/>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 另作约定：</w:t>
      </w:r>
      <w:r>
        <w:rPr>
          <w:rFonts w:hint="eastAsia" w:ascii="仿宋" w:hAnsi="仿宋" w:eastAsia="仿宋" w:cs="仿宋"/>
          <w:u w:val="single"/>
          <w:lang w:eastAsia="zh-CN"/>
        </w:rPr>
        <w:t>相关规定如有更新按最新执行。</w:t>
      </w:r>
    </w:p>
    <w:p w14:paraId="4CDE03F4">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52.6 治安管理</w:t>
      </w:r>
    </w:p>
    <w:p w14:paraId="028E8EBB">
      <w:pPr>
        <w:autoSpaceDE w:val="0"/>
        <w:autoSpaceDN w:val="0"/>
        <w:adjustRightInd w:val="0"/>
        <w:spacing w:line="360" w:lineRule="auto"/>
        <w:ind w:firstLine="480" w:firstLineChars="200"/>
        <w:rPr>
          <w:rFonts w:ascii="仿宋" w:hAnsi="仿宋" w:eastAsia="仿宋" w:cs="仿宋"/>
          <w:lang w:eastAsia="zh-CN"/>
        </w:rPr>
      </w:pPr>
      <w:r>
        <w:rPr>
          <w:rFonts w:hint="eastAsia" w:ascii="仿宋" w:hAnsi="仿宋" w:eastAsia="仿宋" w:cs="仿宋"/>
          <w:u w:val="single"/>
          <w:lang w:eastAsia="zh-CN"/>
        </w:rPr>
        <w:t>☑ 按通用条款的规定。</w:t>
      </w:r>
    </w:p>
    <w:p w14:paraId="4F542246">
      <w:pPr>
        <w:autoSpaceDE w:val="0"/>
        <w:autoSpaceDN w:val="0"/>
        <w:adjustRightInd w:val="0"/>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 xml:space="preserve">□另作约定：    /    </w:t>
      </w:r>
    </w:p>
    <w:p w14:paraId="026212A8">
      <w:pPr>
        <w:spacing w:line="360" w:lineRule="auto"/>
        <w:ind w:firstLine="480"/>
        <w:rPr>
          <w:rFonts w:ascii="仿宋" w:hAnsi="仿宋" w:eastAsia="仿宋" w:cs="仿宋"/>
          <w:lang w:eastAsia="zh-CN"/>
        </w:rPr>
      </w:pPr>
      <w:r>
        <w:rPr>
          <w:rFonts w:hint="eastAsia" w:ascii="仿宋" w:hAnsi="仿宋" w:eastAsia="仿宋" w:cs="仿宋"/>
          <w:lang w:eastAsia="zh-CN"/>
        </w:rPr>
        <w:t>52.8 创建文明工地目标：</w:t>
      </w:r>
    </w:p>
    <w:p w14:paraId="79602363">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市级安全文明绿色施工样板工地；</w:t>
      </w:r>
    </w:p>
    <w:p w14:paraId="5A2B2990">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省级安全文明示范工地；</w:t>
      </w:r>
    </w:p>
    <w:p w14:paraId="7EF4AEAB">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国家级安全文明工地；</w:t>
      </w:r>
    </w:p>
    <w:p w14:paraId="01E8AC3D">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广州市建筑业绿色施工示范工程；</w:t>
      </w:r>
    </w:p>
    <w:p w14:paraId="51A97A71">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广东省建筑业绿色施工示范工程；</w:t>
      </w:r>
    </w:p>
    <w:p w14:paraId="67E3DAED">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全国建筑业绿色施工示范工程；</w:t>
      </w:r>
    </w:p>
    <w:p w14:paraId="653450B8">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 xml:space="preserve">52.9 特别安全生产事项 </w:t>
      </w:r>
    </w:p>
    <w:p w14:paraId="19A14AB0">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 xml:space="preserve">危险性较大分部分项专项工程施工技术措施标准、要求：由承包人在施工组织设计中编列；按《危险性较大分部分项工程安全管理规定》执行； </w:t>
      </w:r>
    </w:p>
    <w:p w14:paraId="0C74AF77">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危险性较大分部分项专项工程施工技术措施费：已含在合同价款中。</w:t>
      </w:r>
    </w:p>
    <w:p w14:paraId="009A90B0">
      <w:pPr>
        <w:spacing w:line="400" w:lineRule="exact"/>
        <w:ind w:firstLine="480" w:firstLineChars="200"/>
        <w:rPr>
          <w:rFonts w:ascii="仿宋" w:hAnsi="仿宋" w:eastAsia="仿宋" w:cs="仿宋"/>
          <w:u w:val="single"/>
          <w:lang w:eastAsia="zh-CN"/>
        </w:rPr>
      </w:pPr>
    </w:p>
    <w:p w14:paraId="734ED1DB">
      <w:pPr>
        <w:pStyle w:val="3"/>
        <w:tabs>
          <w:tab w:val="left" w:pos="420"/>
        </w:tabs>
        <w:spacing w:before="0" w:after="0" w:line="360" w:lineRule="auto"/>
        <w:rPr>
          <w:rFonts w:ascii="仿宋" w:hAnsi="仿宋" w:eastAsia="仿宋" w:cs="仿宋"/>
          <w:b w:val="0"/>
          <w:bCs w:val="0"/>
          <w:i w:val="0"/>
          <w:iCs w:val="0"/>
          <w:sz w:val="24"/>
          <w:szCs w:val="24"/>
          <w:lang w:eastAsia="zh-CN"/>
        </w:rPr>
      </w:pPr>
      <w:bookmarkStart w:id="954" w:name="_Toc2356"/>
      <w:bookmarkStart w:id="955" w:name="_Toc8217"/>
      <w:bookmarkStart w:id="956" w:name="_Toc47694420"/>
      <w:bookmarkStart w:id="957" w:name="_Toc25768"/>
      <w:bookmarkStart w:id="958" w:name="_Toc194073253"/>
      <w:bookmarkStart w:id="959" w:name="_Toc29409"/>
      <w:bookmarkStart w:id="960" w:name="_Toc28969"/>
      <w:r>
        <w:rPr>
          <w:rFonts w:hint="eastAsia" w:ascii="仿宋" w:hAnsi="仿宋" w:eastAsia="仿宋" w:cs="仿宋"/>
          <w:b w:val="0"/>
          <w:bCs w:val="0"/>
          <w:i w:val="0"/>
          <w:iCs w:val="0"/>
          <w:sz w:val="24"/>
          <w:szCs w:val="24"/>
          <w:lang w:eastAsia="zh-CN"/>
        </w:rPr>
        <w:t>53.  测量放线</w:t>
      </w:r>
      <w:bookmarkEnd w:id="954"/>
      <w:bookmarkEnd w:id="955"/>
      <w:bookmarkEnd w:id="956"/>
      <w:bookmarkEnd w:id="957"/>
      <w:bookmarkEnd w:id="958"/>
      <w:bookmarkEnd w:id="959"/>
      <w:bookmarkEnd w:id="960"/>
    </w:p>
    <w:p w14:paraId="24BB09DC">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53.1 测设施工控制网</w:t>
      </w:r>
    </w:p>
    <w:p w14:paraId="32F6D85B">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承包人提交施工控制网资料的时间： 开工之前（按具体需求提供），承包人应该核实图纸所示的所有尺寸和地面标高。当实际尺寸或标高与图纸所示出现任何不一致时，应立即提交给发包人澄清。发包人对任何此类不一致的澄清指令视为最终的决定。</w:t>
      </w:r>
    </w:p>
    <w:p w14:paraId="4B7C48B1">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53.4 施工控制网（点）管理与使用</w:t>
      </w:r>
    </w:p>
    <w:p w14:paraId="56067D12">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测量放线误差的约定： 按设计及施工规范要求执行。</w:t>
      </w:r>
    </w:p>
    <w:p w14:paraId="1680C955">
      <w:pPr>
        <w:spacing w:line="400" w:lineRule="exact"/>
        <w:rPr>
          <w:rFonts w:ascii="仿宋" w:hAnsi="仿宋" w:eastAsia="仿宋" w:cs="仿宋"/>
          <w:u w:val="single"/>
          <w:lang w:eastAsia="zh-CN"/>
        </w:rPr>
      </w:pPr>
    </w:p>
    <w:p w14:paraId="4A5DB4B7">
      <w:pPr>
        <w:pStyle w:val="3"/>
        <w:tabs>
          <w:tab w:val="left" w:pos="420"/>
        </w:tabs>
        <w:spacing w:before="0" w:after="0" w:line="360" w:lineRule="auto"/>
        <w:rPr>
          <w:rFonts w:ascii="仿宋" w:hAnsi="仿宋" w:eastAsia="仿宋" w:cs="仿宋"/>
          <w:b w:val="0"/>
          <w:bCs w:val="0"/>
          <w:i w:val="0"/>
          <w:iCs w:val="0"/>
          <w:sz w:val="24"/>
          <w:szCs w:val="24"/>
          <w:lang w:eastAsia="zh-CN"/>
        </w:rPr>
      </w:pPr>
      <w:bookmarkStart w:id="961" w:name="_Toc30170"/>
      <w:bookmarkStart w:id="962" w:name="_Toc27595"/>
      <w:bookmarkStart w:id="963" w:name="_Toc194073254"/>
      <w:bookmarkStart w:id="964" w:name="_Toc26780"/>
      <w:r>
        <w:rPr>
          <w:rFonts w:hint="eastAsia" w:ascii="仿宋" w:hAnsi="仿宋" w:eastAsia="仿宋" w:cs="仿宋"/>
          <w:b w:val="0"/>
          <w:bCs w:val="0"/>
          <w:i w:val="0"/>
          <w:iCs w:val="0"/>
          <w:sz w:val="24"/>
          <w:szCs w:val="24"/>
          <w:lang w:eastAsia="zh-CN"/>
        </w:rPr>
        <w:t>55.  发包人供应工程材料和工程设备</w:t>
      </w:r>
      <w:bookmarkEnd w:id="961"/>
      <w:bookmarkEnd w:id="962"/>
      <w:bookmarkEnd w:id="963"/>
      <w:bookmarkEnd w:id="964"/>
    </w:p>
    <w:p w14:paraId="088FBC11">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55.1 约定供应的材料和工程设备</w:t>
      </w:r>
    </w:p>
    <w:p w14:paraId="5BB1A613">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发包人不供应材料和工程设备，本条不适用。</w:t>
      </w:r>
    </w:p>
    <w:p w14:paraId="4480596D">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发包人供应材料和工程设备的，应与承包人约定“发包人供应材料和工程设备一览表”，作为本合同的附件。</w:t>
      </w:r>
    </w:p>
    <w:p w14:paraId="14A0E67C">
      <w:pPr>
        <w:spacing w:line="360" w:lineRule="auto"/>
        <w:ind w:firstLine="480" w:firstLineChars="200"/>
        <w:rPr>
          <w:rFonts w:ascii="仿宋" w:hAnsi="仿宋" w:eastAsia="仿宋" w:cs="仿宋"/>
          <w:u w:val="single"/>
          <w:lang w:eastAsia="zh-CN"/>
        </w:rPr>
      </w:pPr>
      <w:bookmarkStart w:id="965" w:name="_Toc32448"/>
      <w:r>
        <w:rPr>
          <w:rFonts w:hint="eastAsia" w:ascii="仿宋" w:hAnsi="仿宋" w:eastAsia="仿宋" w:cs="仿宋"/>
          <w:u w:val="single"/>
          <w:lang w:eastAsia="zh-CN"/>
        </w:rPr>
        <w:t>55.8 约定结算方式</w:t>
      </w:r>
      <w:bookmarkEnd w:id="965"/>
    </w:p>
    <w:p w14:paraId="5562492F">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发包人供应材料和工程设备的结算方式：</w:t>
      </w:r>
      <w:r>
        <w:rPr>
          <w:rFonts w:hint="eastAsia" w:ascii="仿宋" w:hAnsi="仿宋" w:eastAsia="仿宋" w:cs="仿宋"/>
          <w:u w:val="single"/>
          <w:lang w:eastAsia="zh-CN"/>
        </w:rPr>
        <w:t xml:space="preserve">  /  。</w:t>
      </w:r>
    </w:p>
    <w:p w14:paraId="3EF638D3">
      <w:pPr>
        <w:spacing w:line="360" w:lineRule="auto"/>
        <w:ind w:firstLine="480" w:firstLineChars="200"/>
        <w:rPr>
          <w:rFonts w:ascii="仿宋" w:hAnsi="仿宋" w:eastAsia="仿宋" w:cs="仿宋"/>
          <w:lang w:eastAsia="zh-CN"/>
        </w:rPr>
      </w:pPr>
    </w:p>
    <w:p w14:paraId="53C52C6C">
      <w:pPr>
        <w:pStyle w:val="3"/>
        <w:tabs>
          <w:tab w:val="left" w:pos="420"/>
        </w:tabs>
        <w:spacing w:before="0" w:after="0" w:line="360" w:lineRule="auto"/>
        <w:rPr>
          <w:rFonts w:ascii="仿宋" w:hAnsi="仿宋" w:eastAsia="仿宋" w:cs="仿宋"/>
          <w:b w:val="0"/>
          <w:bCs w:val="0"/>
          <w:i w:val="0"/>
          <w:sz w:val="24"/>
          <w:szCs w:val="24"/>
          <w:lang w:eastAsia="zh-CN"/>
        </w:rPr>
      </w:pPr>
      <w:bookmarkStart w:id="966" w:name="_Toc17356"/>
      <w:bookmarkStart w:id="967" w:name="_Toc13137"/>
      <w:bookmarkStart w:id="968" w:name="_Toc194073255"/>
      <w:bookmarkStart w:id="969" w:name="_Toc2879"/>
      <w:r>
        <w:rPr>
          <w:rFonts w:hint="eastAsia" w:ascii="仿宋" w:hAnsi="仿宋" w:eastAsia="仿宋" w:cs="仿宋"/>
          <w:b w:val="0"/>
          <w:bCs w:val="0"/>
          <w:i w:val="0"/>
          <w:sz w:val="24"/>
          <w:szCs w:val="24"/>
          <w:lang w:eastAsia="zh-CN"/>
        </w:rPr>
        <w:t>56.  承包人购置设备及工器具、采购工程材料和工程设备</w:t>
      </w:r>
      <w:bookmarkEnd w:id="966"/>
      <w:bookmarkEnd w:id="967"/>
      <w:bookmarkEnd w:id="968"/>
      <w:bookmarkEnd w:id="969"/>
    </w:p>
    <w:p w14:paraId="0C0CCD3D">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56.1 承包人购置设备及工器具 </w:t>
      </w:r>
    </w:p>
    <w:p w14:paraId="632360C2">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☑发包人不委托承包人购置设备及工器具，本条不适用。 </w:t>
      </w:r>
    </w:p>
    <w:p w14:paraId="3F97273F">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□发包人委托承包人购置设备及工器具 </w:t>
      </w:r>
    </w:p>
    <w:p w14:paraId="2EC1D570">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①具体内容：  /  </w:t>
      </w:r>
      <w:r>
        <w:rPr>
          <w:rFonts w:hint="eastAsia" w:ascii="仿宋" w:hAnsi="仿宋" w:eastAsia="仿宋" w:cs="仿宋"/>
          <w:u w:val="single"/>
          <w:lang w:eastAsia="zh-CN"/>
        </w:rPr>
        <w:t>。</w:t>
      </w:r>
    </w:p>
    <w:p w14:paraId="48571CFB">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②购置清单（详见合同附件）：  /  </w:t>
      </w:r>
      <w:r>
        <w:rPr>
          <w:rFonts w:hint="eastAsia" w:ascii="仿宋" w:hAnsi="仿宋" w:eastAsia="仿宋" w:cs="仿宋"/>
          <w:u w:val="single"/>
          <w:lang w:eastAsia="zh-CN"/>
        </w:rPr>
        <w:t>。</w:t>
      </w:r>
    </w:p>
    <w:p w14:paraId="2B581187">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③购置要求（详见发包人要求）：  /  </w:t>
      </w:r>
      <w:r>
        <w:rPr>
          <w:rFonts w:hint="eastAsia" w:ascii="仿宋" w:hAnsi="仿宋" w:eastAsia="仿宋" w:cs="仿宋"/>
          <w:u w:val="single"/>
          <w:lang w:eastAsia="zh-CN"/>
        </w:rPr>
        <w:t>。</w:t>
      </w:r>
    </w:p>
    <w:p w14:paraId="63E6EB63">
      <w:pPr>
        <w:spacing w:line="360" w:lineRule="auto"/>
        <w:ind w:firstLine="480"/>
        <w:rPr>
          <w:rFonts w:ascii="仿宋" w:hAnsi="仿宋" w:eastAsia="仿宋" w:cs="仿宋"/>
          <w:lang w:eastAsia="zh-CN"/>
        </w:rPr>
      </w:pPr>
      <w:r>
        <w:rPr>
          <w:rFonts w:hint="eastAsia" w:ascii="仿宋" w:hAnsi="仿宋" w:eastAsia="仿宋" w:cs="仿宋"/>
          <w:lang w:eastAsia="zh-CN"/>
        </w:rPr>
        <w:t>56.2 承包人采购工程材料和工程设备</w:t>
      </w:r>
    </w:p>
    <w:p w14:paraId="4F237461">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按通用条款规定，由承包人负责运输和保管。</w:t>
      </w:r>
    </w:p>
    <w:p w14:paraId="0174D2F0">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 运输和保管另作约定：  /  </w:t>
      </w:r>
      <w:r>
        <w:rPr>
          <w:rFonts w:hint="eastAsia" w:ascii="仿宋" w:hAnsi="仿宋" w:eastAsia="仿宋" w:cs="仿宋"/>
          <w:u w:val="single"/>
          <w:lang w:eastAsia="zh-CN"/>
        </w:rPr>
        <w:t>。</w:t>
      </w:r>
    </w:p>
    <w:p w14:paraId="1185FB87">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 通过“广州市集群采购管理服务综合平台”采购：  /  </w:t>
      </w:r>
      <w:r>
        <w:rPr>
          <w:rFonts w:hint="eastAsia" w:ascii="仿宋" w:hAnsi="仿宋" w:eastAsia="仿宋" w:cs="仿宋"/>
          <w:u w:val="single"/>
          <w:lang w:eastAsia="zh-CN"/>
        </w:rPr>
        <w:t>。</w:t>
      </w:r>
    </w:p>
    <w:p w14:paraId="1D90D7E4">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 采购方式另作约定： </w:t>
      </w:r>
    </w:p>
    <w:p w14:paraId="50F20F2D">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（1）承包人在施工图审查完成后，按需上报主要材料设备的品牌或厂家给监理人和发包人，经监理人和发包人审批同意后方可采购使用。</w:t>
      </w:r>
    </w:p>
    <w:p w14:paraId="7F3AE2D5">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(2)使用替换材料的申请与批准：承包人所选用的材料，在需要时，发包人有权与承包人共同重新选定；如承包人需要使用替换材料的，应向发包人提出申请，经发包人批准后才能使用。</w:t>
      </w:r>
    </w:p>
    <w:p w14:paraId="13ECE06A">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3）所选用的主要建筑材料及设备选用《主要材料（设备）品牌推荐表》（或相当于），该品牌库中没有合适材料或设备选用的，应说明理由，报发包人、监理人代表同意后，可选用相当于该档次和质量（或以上）的产品。所有材料品牌选择均须报发包人、监理人代表确认。对一些关系到建筑物的形象、功能档次的建筑材料、设备，国内没有的或国内材料、设备性能（功能）不能达到设计要求或价格高时，应选用进口材料、设备。选用的材料、设备均须按中国、广东省、广州市有关法律和行政法规、规章的要求，提供明确的技术资料（包括性能指标、规格、型号等方面的资料）。</w:t>
      </w:r>
    </w:p>
    <w:p w14:paraId="7C3C1F39">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（4）对于由发包人推荐的候选建筑材料和设备，须帮助发包人鉴别其优劣并提供相关咨询意见，发包人不需为此额外支付任何费用。</w:t>
      </w:r>
    </w:p>
    <w:p w14:paraId="2E474033">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5）从国外进口的建筑材料、设备等，原则上须向发包人推荐三家以上可供货的国外厂商名称、产品质量标准、价格资料等，并提出评估意见（必要时还须提供推荐的供应厂商以往业绩）。不得推荐或选用具有唯一知识产权特征的独家产品，如确有必要，应提前取得发包人的认可，未经发包人同意，擅自选用，视为联合体违约，联合体共同承担因违约造成的损失。（如有）</w:t>
      </w:r>
    </w:p>
    <w:p w14:paraId="6A10875C">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56.3 承包人供货与清点要求</w:t>
      </w:r>
    </w:p>
    <w:p w14:paraId="54FF45F8">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承包人供货要求：本工程使用的各项材料和工程设备必须符合设计及招投标文件要求，必须经发包人看样定板。 </w:t>
      </w:r>
    </w:p>
    <w:p w14:paraId="5089546D">
      <w:pPr>
        <w:numPr>
          <w:ilvl w:val="0"/>
          <w:numId w:val="45"/>
        </w:numPr>
        <w:spacing w:line="360" w:lineRule="auto"/>
        <w:ind w:firstLine="480" w:firstLineChars="200"/>
        <w:rPr>
          <w:rFonts w:ascii="仿宋" w:hAnsi="仿宋" w:eastAsia="仿宋" w:cs="仿宋"/>
          <w:lang w:eastAsia="zh-CN"/>
        </w:rPr>
      </w:pPr>
      <w:r>
        <w:rPr>
          <w:rFonts w:hint="eastAsia" w:ascii="仿宋" w:hAnsi="仿宋" w:eastAsia="仿宋" w:cs="仿宋"/>
          <w:lang w:eastAsia="zh-CN"/>
        </w:rPr>
        <w:t>订货前，承包人应提供与合同约定的品牌、品质一致的材料、设备的合格证书及试验报告及材料样板，经发包人及监理人确认后使用；</w:t>
      </w:r>
      <w:r>
        <w:rPr>
          <w:rFonts w:hint="eastAsia" w:ascii="仿宋" w:hAnsi="仿宋" w:eastAsia="仿宋" w:cs="仿宋"/>
          <w:u w:val="single"/>
          <w:lang w:eastAsia="zh-CN"/>
        </w:rPr>
        <w:t>且满足《广州市住房和城乡建设局关于在民用建筑工程推广应用绿色建材的通知（试行）》相关要求。</w:t>
      </w:r>
      <w:r>
        <w:rPr>
          <w:rFonts w:hint="eastAsia" w:ascii="仿宋" w:hAnsi="仿宋" w:eastAsia="仿宋" w:cs="仿宋"/>
          <w:lang w:eastAsia="zh-CN"/>
        </w:rPr>
        <w:t>承包人承诺在同等条件下优先选用预拌混凝土绿色生产达标企业生产的混凝土。</w:t>
      </w:r>
    </w:p>
    <w:p w14:paraId="53AEC6A7">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（2）如合同约定中未注明品牌，或承包人提供的与合同约定的品牌样板不能通过发包人及监理人确认，</w:t>
      </w:r>
      <w:r>
        <w:rPr>
          <w:rFonts w:hint="eastAsia" w:ascii="仿宋" w:hAnsi="仿宋" w:eastAsia="仿宋"/>
          <w:lang w:eastAsia="zh-CN"/>
        </w:rPr>
        <w:t>承包人应提供三家以上与合同约定同档次以上生产厂家的合格证书及试验报告及材料样板，经工程监理单位及发包人确认后使用，且结算材料单价不作调整。</w:t>
      </w:r>
    </w:p>
    <w:p w14:paraId="206E1C97">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3）如承包人拒不提交上述材料、设备的合格证书及试验报告及材料样板，或提交的样板仍不能通过监理人及发包人确认，发包人有权自行采购相关材料设备，所需款项在工程款中扣除，承包人不得要求任何费用调整。由此造成的工期延误、费用增加等一切损失均由承包人承担。</w:t>
      </w:r>
    </w:p>
    <w:p w14:paraId="4B6B6A7C">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4）若承包人提出采用确价方式材料的造价严重偏离市场，经发包人市场调查核实情况属实的，发包人可根据市场实际价格与承包人进行谈判协商，若协商不成，承包人仍不同意按市场实际价格承接的，发包人有权定此部分材料改为发包人供应，承包人按专用条款95.1承包人违约的情形的（15）“承包人关于材料送审价脱离市场价水平的违约责任”承担违约责任。</w:t>
      </w:r>
    </w:p>
    <w:p w14:paraId="1D3DD499">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（5）承包人采购的材料和工程设备所需的费用和利润不会随物价(法律变化引起的调整和市场价格波动引起的调整的约定除外)、汇率或费率的调整而变化，且均已包含在合同价款中。</w:t>
      </w:r>
    </w:p>
    <w:p w14:paraId="2705B9A7">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（6）发包人及监理人代表的清点不会免除或减轻承包人就本合同须承担的义务和责任。</w:t>
      </w:r>
    </w:p>
    <w:p w14:paraId="2FD72949">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（7）承包人采购的材料设备与设计或标准与规范要求不符时，承包人应按监理工程师要求的时间运出施工场地，重新采购符合要求的产品，承担由此发生的费用，由此延误的工期不予顺延。</w:t>
      </w:r>
    </w:p>
    <w:p w14:paraId="53855DB9">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8）监理人代表发现承包人使用不符合标准与规范、设计要求和合同约定要求的材料和工程设备时，应迅速发出指令要求承包人立即停止使用，并拆除、修复或重新采购，由此增加的费用和（或）延误的工期由承包人承担。</w:t>
      </w:r>
    </w:p>
    <w:p w14:paraId="762903B0">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（9）如果承包人不执行监理人代表依据发出的指令,则发包人可自行或委托第三方执行该指令，由此发生的费用由承包人承担。该笔款项经造价工程师核实后，由发包人从应付或将付给承包人的工程款中扣除。</w:t>
      </w:r>
    </w:p>
    <w:p w14:paraId="751C91E2">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10）承包人采购的材料和工程设备在使用前，承包人应按监理人代表的要求进行检验或试验，查验材料合格证明和产品合格证书。合同双方当事人应做好检验书面记录，并要求指定人选及时办理签认手续。不合格的不得使用，检验或试验费用由承包人承担。</w:t>
      </w:r>
    </w:p>
    <w:p w14:paraId="640B89CF">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（11）发包人对经确认的材料样板进行封板，如发生实际施工材料与封板材料不符，发包人有权拒用，7天内全部退场处理，由此造成的损失全部由承包人承担。</w:t>
      </w:r>
    </w:p>
    <w:p w14:paraId="5D7DDAC1">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56.9 禁止指定采购工程材料和工程设备 </w:t>
      </w:r>
    </w:p>
    <w:p w14:paraId="715BD8EB">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发包人依法指定的生产厂家和供应商：</w:t>
      </w:r>
      <w:r>
        <w:rPr>
          <w:rFonts w:hint="eastAsia" w:ascii="仿宋" w:hAnsi="仿宋" w:eastAsia="仿宋" w:cs="仿宋"/>
          <w:u w:val="single"/>
          <w:lang w:eastAsia="zh-CN"/>
        </w:rPr>
        <w:t xml:space="preserve">         /           </w:t>
      </w:r>
    </w:p>
    <w:p w14:paraId="78A1B739">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发包人要求的工程材料和工程设备质量标准、质量等级：</w:t>
      </w:r>
      <w:r>
        <w:rPr>
          <w:rFonts w:hint="eastAsia" w:ascii="仿宋" w:hAnsi="仿宋" w:eastAsia="仿宋" w:cs="仿宋"/>
          <w:u w:val="single"/>
          <w:lang w:eastAsia="zh-CN"/>
        </w:rPr>
        <w:t xml:space="preserve">         /           </w:t>
      </w:r>
    </w:p>
    <w:p w14:paraId="13ED1325">
      <w:pPr>
        <w:pStyle w:val="17"/>
        <w:rPr>
          <w:lang w:eastAsia="zh-CN" w:bidi="en-US"/>
        </w:rPr>
      </w:pPr>
    </w:p>
    <w:p w14:paraId="7FE32237">
      <w:pPr>
        <w:pStyle w:val="3"/>
        <w:tabs>
          <w:tab w:val="left" w:pos="420"/>
        </w:tabs>
        <w:spacing w:before="0" w:after="0" w:line="360" w:lineRule="auto"/>
        <w:rPr>
          <w:rFonts w:ascii="仿宋" w:hAnsi="仿宋" w:eastAsia="仿宋" w:cs="仿宋"/>
          <w:b w:val="0"/>
          <w:bCs w:val="0"/>
          <w:i w:val="0"/>
          <w:sz w:val="24"/>
          <w:szCs w:val="24"/>
          <w:lang w:eastAsia="zh-CN"/>
        </w:rPr>
      </w:pPr>
      <w:bookmarkStart w:id="970" w:name="_Toc16777"/>
      <w:bookmarkStart w:id="971" w:name="_Toc23268"/>
      <w:bookmarkStart w:id="972" w:name="_Toc194073256"/>
      <w:bookmarkStart w:id="973" w:name="_Toc18770"/>
      <w:r>
        <w:rPr>
          <w:rFonts w:hint="eastAsia" w:ascii="仿宋" w:hAnsi="仿宋" w:eastAsia="仿宋" w:cs="仿宋"/>
          <w:b w:val="0"/>
          <w:bCs w:val="0"/>
          <w:i w:val="0"/>
          <w:sz w:val="24"/>
          <w:szCs w:val="24"/>
          <w:lang w:eastAsia="zh-CN"/>
        </w:rPr>
        <w:t>57. 设备及工器具的验收、工程材料和工程设备的检验试验</w:t>
      </w:r>
      <w:bookmarkEnd w:id="970"/>
      <w:bookmarkEnd w:id="971"/>
      <w:bookmarkEnd w:id="972"/>
      <w:bookmarkEnd w:id="973"/>
    </w:p>
    <w:p w14:paraId="5BE64900">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57.1设备及工器具的验收</w:t>
      </w:r>
    </w:p>
    <w:p w14:paraId="31CFCC85">
      <w:pPr>
        <w:spacing w:line="360" w:lineRule="auto"/>
        <w:ind w:firstLine="480" w:firstLineChars="200"/>
        <w:rPr>
          <w:rFonts w:ascii="仿宋" w:hAnsi="仿宋" w:eastAsia="仿宋" w:cs="仿宋"/>
          <w:lang w:eastAsia="zh-CN"/>
        </w:rPr>
      </w:pPr>
      <w:r>
        <w:rPr>
          <w:rFonts w:hint="eastAsia" w:ascii="仿宋" w:hAnsi="仿宋" w:eastAsia="仿宋" w:cs="仿宋"/>
        </w:rPr>
        <w:sym w:font="Wingdings 2" w:char="F052"/>
      </w:r>
      <w:r>
        <w:rPr>
          <w:rFonts w:hint="eastAsia" w:ascii="仿宋" w:hAnsi="仿宋" w:eastAsia="仿宋" w:cs="仿宋"/>
          <w:lang w:eastAsia="zh-CN"/>
        </w:rPr>
        <w:t>发包人不委托承包人购置设备及工器具，本条不适用。</w:t>
      </w:r>
    </w:p>
    <w:p w14:paraId="4D913655">
      <w:pPr>
        <w:spacing w:line="360" w:lineRule="auto"/>
        <w:ind w:firstLine="480" w:firstLineChars="200"/>
        <w:rPr>
          <w:rFonts w:ascii="仿宋" w:hAnsi="仿宋" w:eastAsia="仿宋" w:cs="仿宋"/>
          <w:lang w:eastAsia="zh-CN"/>
        </w:rPr>
      </w:pPr>
      <w:r>
        <w:rPr>
          <w:rFonts w:hint="eastAsia" w:ascii="仿宋" w:hAnsi="仿宋" w:eastAsia="仿宋" w:cs="仿宋"/>
        </w:rPr>
        <w:sym w:font="Wingdings 2" w:char="F0A3"/>
      </w:r>
      <w:r>
        <w:rPr>
          <w:rFonts w:hint="eastAsia" w:ascii="仿宋" w:hAnsi="仿宋" w:eastAsia="仿宋" w:cs="仿宋"/>
          <w:lang w:eastAsia="zh-CN"/>
        </w:rPr>
        <w:t>发包人委托承包人购置设备及工器具</w:t>
      </w:r>
    </w:p>
    <w:p w14:paraId="40E1A2FC">
      <w:pPr>
        <w:spacing w:line="360" w:lineRule="auto"/>
        <w:ind w:firstLine="480" w:firstLineChars="200"/>
        <w:rPr>
          <w:rFonts w:ascii="仿宋" w:hAnsi="仿宋" w:eastAsia="仿宋" w:cs="仿宋"/>
          <w:lang w:eastAsia="zh-CN"/>
        </w:rPr>
      </w:pPr>
      <w:r>
        <w:rPr>
          <w:rFonts w:hint="eastAsia" w:ascii="仿宋" w:hAnsi="仿宋" w:eastAsia="仿宋" w:cs="仿宋"/>
        </w:rPr>
        <w:sym w:font="Wingdings 2" w:char="F0A3"/>
      </w:r>
      <w:r>
        <w:rPr>
          <w:rFonts w:hint="eastAsia" w:ascii="仿宋" w:hAnsi="仿宋" w:eastAsia="仿宋" w:cs="仿宋"/>
          <w:lang w:eastAsia="zh-CN"/>
        </w:rPr>
        <w:t xml:space="preserve"> 按通用条款约定。</w:t>
      </w:r>
    </w:p>
    <w:p w14:paraId="6E9BDC47">
      <w:pPr>
        <w:spacing w:line="360" w:lineRule="auto"/>
        <w:ind w:firstLine="480" w:firstLineChars="200"/>
        <w:rPr>
          <w:rFonts w:ascii="仿宋" w:hAnsi="仿宋" w:eastAsia="仿宋" w:cs="仿宋"/>
          <w:u w:val="single"/>
          <w:lang w:eastAsia="zh-CN"/>
        </w:rPr>
      </w:pPr>
      <w:r>
        <w:rPr>
          <w:rFonts w:hint="eastAsia" w:ascii="仿宋" w:hAnsi="仿宋" w:eastAsia="仿宋" w:cs="仿宋"/>
        </w:rPr>
        <w:sym w:font="Wingdings 2" w:char="F0A3"/>
      </w:r>
      <w:r>
        <w:rPr>
          <w:rFonts w:hint="eastAsia" w:ascii="仿宋" w:hAnsi="仿宋" w:eastAsia="仿宋" w:cs="仿宋"/>
          <w:lang w:eastAsia="zh-CN"/>
        </w:rPr>
        <w:t xml:space="preserve"> 另作约定：</w:t>
      </w:r>
      <w:r>
        <w:rPr>
          <w:rFonts w:ascii="仿宋" w:hAnsi="仿宋" w:eastAsia="仿宋" w:cs="仿宋"/>
          <w:u w:val="single"/>
          <w:lang w:eastAsia="zh-CN"/>
        </w:rPr>
        <w:t xml:space="preserve">  /  </w:t>
      </w:r>
      <w:r>
        <w:rPr>
          <w:rFonts w:hint="eastAsia" w:ascii="仿宋" w:hAnsi="仿宋" w:eastAsia="仿宋" w:cs="仿宋"/>
          <w:u w:val="single"/>
          <w:lang w:eastAsia="zh-CN"/>
        </w:rPr>
        <w:t>。</w:t>
      </w:r>
    </w:p>
    <w:p w14:paraId="746048C1">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57.3工程</w:t>
      </w:r>
      <w:r>
        <w:rPr>
          <w:rFonts w:hint="eastAsia" w:ascii="仿宋" w:hAnsi="仿宋" w:eastAsia="仿宋" w:cs="仿宋"/>
          <w:bCs/>
          <w:lang w:eastAsia="zh-CN"/>
        </w:rPr>
        <w:t>材料和工程设备的见证取样与不见证取样检验试验</w:t>
      </w:r>
    </w:p>
    <w:p w14:paraId="218A891E">
      <w:pPr>
        <w:spacing w:line="360" w:lineRule="auto"/>
        <w:ind w:firstLine="480" w:firstLineChars="200"/>
        <w:rPr>
          <w:rFonts w:ascii="仿宋" w:hAnsi="仿宋" w:eastAsia="仿宋" w:cs="仿宋"/>
          <w:lang w:eastAsia="zh-CN"/>
        </w:rPr>
      </w:pPr>
      <w:r>
        <w:rPr>
          <w:rFonts w:ascii="仿宋" w:hAnsi="仿宋" w:eastAsia="仿宋" w:cs="仿宋"/>
          <w:lang w:eastAsia="zh-CN"/>
        </w:rPr>
        <w:t xml:space="preserve">见证取样检验试验的工程材料和工程设备约定： </w:t>
      </w:r>
    </w:p>
    <w:p w14:paraId="6FF7FB7C">
      <w:pPr>
        <w:spacing w:line="360" w:lineRule="auto"/>
        <w:ind w:firstLine="480" w:firstLineChars="200"/>
        <w:rPr>
          <w:rFonts w:ascii="仿宋" w:hAnsi="仿宋" w:eastAsia="仿宋" w:cs="仿宋"/>
          <w:u w:val="single"/>
          <w:lang w:eastAsia="zh-CN"/>
        </w:rPr>
      </w:pPr>
      <w:r>
        <w:rPr>
          <w:rFonts w:ascii="仿宋" w:hAnsi="仿宋" w:eastAsia="仿宋" w:cs="仿宋"/>
          <w:lang w:eastAsia="zh-CN"/>
        </w:rPr>
        <w:t>①种类：</w:t>
      </w:r>
      <w:r>
        <w:rPr>
          <w:rFonts w:hint="eastAsia" w:ascii="仿宋" w:hAnsi="仿宋" w:eastAsia="仿宋" w:cs="仿宋"/>
          <w:u w:val="single"/>
          <w:lang w:eastAsia="zh-CN"/>
        </w:rPr>
        <w:t xml:space="preserve"> 依据有关法律、法规、规范和工程建设强制性标准以及结构安全有要求进行见证取样的进入施工现场的建筑材料、设备和构配件。  </w:t>
      </w:r>
    </w:p>
    <w:p w14:paraId="73CE3753">
      <w:pPr>
        <w:spacing w:line="360" w:lineRule="auto"/>
        <w:ind w:firstLine="480" w:firstLineChars="200"/>
        <w:rPr>
          <w:rFonts w:ascii="仿宋" w:hAnsi="仿宋" w:eastAsia="仿宋" w:cs="仿宋"/>
          <w:u w:val="single"/>
          <w:lang w:eastAsia="zh-CN"/>
        </w:rPr>
      </w:pPr>
      <w:r>
        <w:rPr>
          <w:rFonts w:ascii="仿宋" w:hAnsi="仿宋" w:eastAsia="仿宋" w:cs="仿宋"/>
          <w:lang w:eastAsia="zh-CN"/>
        </w:rPr>
        <w:t>②检测机构：</w:t>
      </w:r>
      <w:r>
        <w:rPr>
          <w:rFonts w:hint="eastAsia" w:ascii="仿宋" w:hAnsi="仿宋" w:eastAsia="仿宋" w:cs="仿宋"/>
          <w:u w:val="single"/>
          <w:lang w:eastAsia="zh-CN"/>
        </w:rPr>
        <w:t xml:space="preserve"> 由发包人委托具有相应资格的检测机构实施。  </w:t>
      </w:r>
    </w:p>
    <w:p w14:paraId="3612CD70">
      <w:pPr>
        <w:spacing w:line="360" w:lineRule="auto"/>
        <w:ind w:firstLine="480" w:firstLineChars="200"/>
        <w:rPr>
          <w:rFonts w:ascii="仿宋" w:hAnsi="仿宋" w:eastAsia="仿宋" w:cs="仿宋"/>
          <w:lang w:eastAsia="zh-CN"/>
        </w:rPr>
      </w:pPr>
      <w:r>
        <w:rPr>
          <w:rFonts w:ascii="仿宋" w:hAnsi="仿宋" w:eastAsia="仿宋" w:cs="仿宋"/>
          <w:lang w:eastAsia="zh-CN"/>
        </w:rPr>
        <w:t>③补充条款：承包人采购的材料需在材料到货前3天将进场计划报发包人和监理</w:t>
      </w:r>
      <w:r>
        <w:rPr>
          <w:rFonts w:hint="eastAsia" w:ascii="仿宋" w:hAnsi="仿宋" w:eastAsia="仿宋" w:cs="仿宋"/>
          <w:lang w:eastAsia="zh-CN"/>
        </w:rPr>
        <w:t>人代表</w:t>
      </w:r>
      <w:r>
        <w:rPr>
          <w:rFonts w:ascii="仿宋" w:hAnsi="仿宋" w:eastAsia="仿宋" w:cs="仿宋"/>
          <w:lang w:eastAsia="zh-CN"/>
        </w:rPr>
        <w:t>，由监理</w:t>
      </w:r>
      <w:r>
        <w:rPr>
          <w:rFonts w:hint="eastAsia" w:ascii="仿宋" w:hAnsi="仿宋" w:eastAsia="仿宋" w:cs="仿宋"/>
          <w:lang w:eastAsia="zh-CN"/>
        </w:rPr>
        <w:t>人代表</w:t>
      </w:r>
      <w:r>
        <w:rPr>
          <w:rFonts w:ascii="仿宋" w:hAnsi="仿宋" w:eastAsia="仿宋" w:cs="仿宋"/>
          <w:lang w:eastAsia="zh-CN"/>
        </w:rPr>
        <w:t>按规定确定材料检验抽样方案；材料到场后，承包人按监理</w:t>
      </w:r>
      <w:r>
        <w:rPr>
          <w:rFonts w:hint="eastAsia" w:ascii="仿宋" w:hAnsi="仿宋" w:eastAsia="仿宋" w:cs="仿宋"/>
          <w:lang w:eastAsia="zh-CN"/>
        </w:rPr>
        <w:t>人代表</w:t>
      </w:r>
      <w:r>
        <w:rPr>
          <w:rFonts w:ascii="仿宋" w:hAnsi="仿宋" w:eastAsia="仿宋" w:cs="仿宋"/>
          <w:lang w:eastAsia="zh-CN"/>
        </w:rPr>
        <w:t>确定的抽样方案，在监理见证人员见证下抽样，按发包人与检测机构约定的格式要求打印检测委托清单一式四份；监理</w:t>
      </w:r>
      <w:r>
        <w:rPr>
          <w:rFonts w:hint="eastAsia" w:ascii="仿宋" w:hAnsi="仿宋" w:eastAsia="仿宋" w:cs="仿宋"/>
          <w:lang w:eastAsia="zh-CN"/>
        </w:rPr>
        <w:t>工程师</w:t>
      </w:r>
      <w:r>
        <w:rPr>
          <w:rFonts w:ascii="仿宋" w:hAnsi="仿宋" w:eastAsia="仿宋" w:cs="仿宋"/>
          <w:lang w:eastAsia="zh-CN"/>
        </w:rPr>
        <w:t>和发包人现场代表负责监督、见证抽样，在样品抽取后贴封条，签发检测委托清单；样品封条方式根据具体情况确定，监理</w:t>
      </w:r>
      <w:r>
        <w:rPr>
          <w:rFonts w:hint="eastAsia" w:ascii="仿宋" w:hAnsi="仿宋" w:eastAsia="仿宋" w:cs="仿宋"/>
          <w:lang w:eastAsia="zh-CN"/>
        </w:rPr>
        <w:t>工程师</w:t>
      </w:r>
      <w:r>
        <w:rPr>
          <w:rFonts w:ascii="仿宋" w:hAnsi="仿宋" w:eastAsia="仿宋" w:cs="仿宋"/>
          <w:lang w:eastAsia="zh-CN"/>
        </w:rPr>
        <w:t>负责对抽样、加封过程进行拍照；承包人负责将已加封条的样品送达检测机构，运送样品所需的费用由承包人负责，包含在</w:t>
      </w:r>
      <w:r>
        <w:rPr>
          <w:rFonts w:hint="eastAsia" w:ascii="仿宋" w:hAnsi="仿宋" w:eastAsia="仿宋" w:cs="仿宋"/>
          <w:lang w:eastAsia="zh-CN"/>
        </w:rPr>
        <w:t>承包人中标下浮率</w:t>
      </w:r>
      <w:r>
        <w:rPr>
          <w:rFonts w:ascii="仿宋" w:hAnsi="仿宋" w:eastAsia="仿宋" w:cs="仿宋"/>
          <w:lang w:eastAsia="zh-CN"/>
        </w:rPr>
        <w:t>中</w:t>
      </w:r>
      <w:r>
        <w:rPr>
          <w:rFonts w:hint="eastAsia" w:ascii="仿宋" w:hAnsi="仿宋" w:eastAsia="仿宋" w:cs="仿宋"/>
          <w:lang w:eastAsia="zh-CN"/>
        </w:rPr>
        <w:t>，发包人不再另行计列</w:t>
      </w:r>
      <w:r>
        <w:rPr>
          <w:rFonts w:ascii="仿宋" w:hAnsi="仿宋" w:eastAsia="仿宋" w:cs="仿宋"/>
          <w:lang w:eastAsia="zh-CN"/>
        </w:rPr>
        <w:t>；承包人需及时将样品送达检测机构，确保不因此而影响工程施工。</w:t>
      </w:r>
    </w:p>
    <w:p w14:paraId="475E10C0">
      <w:pPr>
        <w:spacing w:line="360" w:lineRule="auto"/>
        <w:ind w:firstLine="480" w:firstLineChars="200"/>
        <w:rPr>
          <w:rFonts w:ascii="仿宋" w:hAnsi="仿宋" w:eastAsia="仿宋" w:cs="仿宋"/>
          <w:lang w:eastAsia="zh-CN"/>
        </w:rPr>
      </w:pPr>
      <w:r>
        <w:rPr>
          <w:rFonts w:ascii="仿宋" w:hAnsi="仿宋" w:eastAsia="仿宋" w:cs="仿宋"/>
          <w:lang w:eastAsia="zh-CN"/>
        </w:rPr>
        <w:t>④补充条款：样品检验合格的材料，经监理</w:t>
      </w:r>
      <w:r>
        <w:rPr>
          <w:rFonts w:hint="eastAsia" w:ascii="仿宋" w:hAnsi="仿宋" w:eastAsia="仿宋" w:cs="仿宋"/>
          <w:lang w:eastAsia="zh-CN"/>
        </w:rPr>
        <w:t>人代表</w:t>
      </w:r>
      <w:r>
        <w:rPr>
          <w:rFonts w:ascii="仿宋" w:hAnsi="仿宋" w:eastAsia="仿宋" w:cs="仿宋"/>
          <w:lang w:eastAsia="zh-CN"/>
        </w:rPr>
        <w:t>审核同意后方可在合同工程使用，检验报告交给承包人作为质量验收资料；样品检验不合格的，按规定扩大抽样检验或退场处理。</w:t>
      </w:r>
    </w:p>
    <w:p w14:paraId="07167E3D">
      <w:pPr>
        <w:spacing w:line="400" w:lineRule="exact"/>
        <w:ind w:firstLine="480" w:firstLineChars="200"/>
        <w:rPr>
          <w:rFonts w:ascii="仿宋" w:hAnsi="仿宋" w:eastAsia="仿宋" w:cs="仿宋"/>
          <w:lang w:eastAsia="zh-CN"/>
        </w:rPr>
      </w:pPr>
    </w:p>
    <w:p w14:paraId="513AAF0C">
      <w:pPr>
        <w:pStyle w:val="3"/>
        <w:spacing w:line="360" w:lineRule="auto"/>
        <w:rPr>
          <w:rFonts w:ascii="仿宋" w:hAnsi="仿宋" w:eastAsia="仿宋" w:cs="仿宋"/>
          <w:b w:val="0"/>
          <w:bCs w:val="0"/>
          <w:i w:val="0"/>
          <w:iCs w:val="0"/>
          <w:sz w:val="24"/>
          <w:szCs w:val="24"/>
          <w:lang w:eastAsia="zh-CN"/>
        </w:rPr>
      </w:pPr>
      <w:bookmarkStart w:id="974" w:name="_Toc194073257"/>
      <w:bookmarkStart w:id="975" w:name="_Toc4214"/>
      <w:bookmarkStart w:id="976" w:name="_Toc6736"/>
      <w:r>
        <w:rPr>
          <w:rFonts w:hint="eastAsia" w:ascii="仿宋" w:hAnsi="仿宋" w:eastAsia="仿宋" w:cs="仿宋"/>
          <w:b w:val="0"/>
          <w:bCs w:val="0"/>
          <w:i w:val="0"/>
          <w:iCs w:val="0"/>
          <w:sz w:val="24"/>
          <w:szCs w:val="24"/>
          <w:lang w:eastAsia="zh-CN"/>
        </w:rPr>
        <w:t>58.  施工设备和临时设施</w:t>
      </w:r>
      <w:bookmarkEnd w:id="974"/>
      <w:bookmarkEnd w:id="975"/>
      <w:bookmarkEnd w:id="976"/>
    </w:p>
    <w:p w14:paraId="304EE2E0">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58.1 承包人配置的施工设备和临时设施</w:t>
      </w:r>
    </w:p>
    <w:p w14:paraId="71FE3C82">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按通用条款约定，承包人承担修建临时设施的费用。</w:t>
      </w:r>
    </w:p>
    <w:p w14:paraId="08FB6944">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另作约定：</w:t>
      </w:r>
    </w:p>
    <w:p w14:paraId="15B46D8F">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1）承包人应按合同工程进度计划的要求，及时配置施工设备和修建临时设施并自行承担修建临时设施的费用。如红线范围内临时场地不能满足施工需要，无论发包人是否可协调红线外场地给承包人使用，所有的费用均由承包人承担。 </w:t>
      </w:r>
    </w:p>
    <w:p w14:paraId="30DD98D6">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（2）需要临时占地的，应由承包人办理申请手续并承担相应费用，相关费用含在承包人中标下浮率中，发包人不再另行计列； 由承包人应合理考虑施工现场平面布置图，后期因临时设施（包含办公用房、道路等）多次搬迁而产生的费用，由承包人承担，相关费用已含在承包人中标下浮率中，发包人不再另行计列。 </w:t>
      </w:r>
    </w:p>
    <w:p w14:paraId="59C0B7A2">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（3）进入施工场地的承包人施工设备，需经监理人核查后才能投入使用。承包人更换合同约定范围施工设备的，应经监理人同意并由其报发包人批准后方可实施。 </w:t>
      </w:r>
    </w:p>
    <w:p w14:paraId="3CD48753">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（4）施工水电费（包括承包人管理范围内的专业单位、分包单位的水电费）由承包人向有关部门缴纳，发包人协助办理相关手续，承包人不得向发包人收取费用。</w:t>
      </w:r>
    </w:p>
    <w:p w14:paraId="0DC2990E">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58.2 发包人提供的施工设备和临时设施</w:t>
      </w:r>
    </w:p>
    <w:p w14:paraId="79A8A6EE">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发包人提供施工设备和临时设施的约定：</w:t>
      </w:r>
      <w:r>
        <w:rPr>
          <w:rFonts w:hint="eastAsia" w:ascii="仿宋" w:hAnsi="仿宋" w:eastAsia="仿宋" w:cs="仿宋"/>
          <w:u w:val="single"/>
          <w:lang w:eastAsia="zh-CN"/>
        </w:rPr>
        <w:t xml:space="preserve">   /  </w:t>
      </w:r>
      <w:r>
        <w:rPr>
          <w:rFonts w:hint="eastAsia" w:ascii="仿宋" w:hAnsi="仿宋" w:eastAsia="仿宋" w:cs="仿宋"/>
          <w:lang w:eastAsia="zh-CN"/>
        </w:rPr>
        <w:t>。</w:t>
      </w:r>
    </w:p>
    <w:p w14:paraId="2EDA3263">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双方协商一致，58.2 款补充以下约定： </w:t>
      </w:r>
    </w:p>
    <w:p w14:paraId="70F11EE7">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1、承包人需自行负责基础施工质量,不能以地质勘探报告不详等理由推卸责任，因各种原因（包括地质原因）造成桩质量不合格需要复打、补桩或采取其他处理措施的，均由承包人负责承担。 </w:t>
      </w:r>
    </w:p>
    <w:p w14:paraId="26CC0FEA">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2、施工用水、用电及排水、排污情况： </w:t>
      </w:r>
    </w:p>
    <w:p w14:paraId="13FFD2A5">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1）施工临时供电: </w:t>
      </w:r>
    </w:p>
    <w:p w14:paraId="41565F23">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若前期临电暂未开通前承包人须自备发电机供电或自行协调采取其它接电方案，有关费用已包含在承包人中标下浮率中。由承包人负责临电设备（高压室及箱式变、高压电缆走廊等）的日常管理，负责电费缴交及收取其他单位电费（若总表与各分表读数出现偏差则按各分表读数按比例折算），对场内原有电缆进行保护的费用含在承包人中标下浮率中。 </w:t>
      </w:r>
    </w:p>
    <w:p w14:paraId="06F1D49A">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2）施工临时供水： </w:t>
      </w:r>
    </w:p>
    <w:p w14:paraId="4219316F">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为满足施工临水及保证工地用水，承包人需考虑在施工现场设置储水池，确保用水高峰期有水用。后期办理完成市政临水，由承包人负责管理，对外缴交水费。如在进场施工初期，发包人不能提供临水时或提供的临水不能满足现场施工需要，则需承包人自行解决用水问题。相关费用含在承包人中标下浮率中。由承包人负责给水设施的日常管理，负责水费缴交及收取其他单位水费（若总表与各分表读数出现偏差则按各分表读数按比例折算），由此产生的相关费用含在承包人中标下浮率中。</w:t>
      </w:r>
    </w:p>
    <w:p w14:paraId="69DD9206">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3）水电费管理及缴纳由承包人负责，直至备案移交物业管理单位。</w:t>
      </w:r>
    </w:p>
    <w:p w14:paraId="0E541FBB">
      <w:pPr>
        <w:spacing w:line="400" w:lineRule="exact"/>
        <w:ind w:firstLine="480" w:firstLineChars="200"/>
        <w:rPr>
          <w:rFonts w:ascii="仿宋" w:hAnsi="仿宋" w:eastAsia="仿宋"/>
          <w:lang w:eastAsia="zh-CN"/>
        </w:rPr>
      </w:pPr>
    </w:p>
    <w:p w14:paraId="6AFAE6EE">
      <w:pPr>
        <w:pStyle w:val="3"/>
        <w:tabs>
          <w:tab w:val="left" w:pos="420"/>
        </w:tabs>
        <w:spacing w:before="0" w:after="0" w:line="360" w:lineRule="auto"/>
        <w:rPr>
          <w:rFonts w:ascii="仿宋" w:hAnsi="仿宋" w:eastAsia="仿宋" w:cs="仿宋"/>
          <w:b w:val="0"/>
          <w:bCs w:val="0"/>
          <w:i w:val="0"/>
          <w:iCs w:val="0"/>
          <w:sz w:val="24"/>
          <w:szCs w:val="24"/>
          <w:lang w:eastAsia="zh-CN"/>
        </w:rPr>
      </w:pPr>
      <w:bookmarkStart w:id="977" w:name="_Toc24512"/>
      <w:bookmarkStart w:id="978" w:name="_Toc32547"/>
      <w:bookmarkStart w:id="979" w:name="_Toc194073258"/>
      <w:bookmarkStart w:id="980" w:name="_Toc20002"/>
      <w:r>
        <w:rPr>
          <w:rFonts w:hint="eastAsia" w:ascii="仿宋" w:hAnsi="仿宋" w:eastAsia="仿宋" w:cs="仿宋"/>
          <w:b w:val="0"/>
          <w:bCs w:val="0"/>
          <w:i w:val="0"/>
          <w:iCs w:val="0"/>
          <w:sz w:val="24"/>
          <w:szCs w:val="24"/>
          <w:lang w:eastAsia="zh-CN"/>
        </w:rPr>
        <w:t>★60.  隐蔽工程和中间验收</w:t>
      </w:r>
      <w:bookmarkEnd w:id="977"/>
      <w:bookmarkEnd w:id="978"/>
      <w:bookmarkEnd w:id="979"/>
      <w:bookmarkEnd w:id="980"/>
    </w:p>
    <w:p w14:paraId="12DA7D04">
      <w:pPr>
        <w:spacing w:line="360" w:lineRule="auto"/>
        <w:ind w:firstLine="480" w:firstLineChars="200"/>
        <w:rPr>
          <w:rFonts w:ascii="仿宋" w:hAnsi="仿宋" w:eastAsia="仿宋"/>
          <w:lang w:eastAsia="zh-CN"/>
        </w:rPr>
      </w:pPr>
      <w:r>
        <w:rPr>
          <w:rFonts w:hint="eastAsia" w:ascii="仿宋" w:hAnsi="仿宋" w:eastAsia="仿宋"/>
          <w:lang w:eastAsia="zh-CN"/>
        </w:rPr>
        <w:t>60.1 隐蔽工程或中间验收的通知</w:t>
      </w:r>
    </w:p>
    <w:p w14:paraId="4D8B31EF">
      <w:pPr>
        <w:spacing w:line="360" w:lineRule="auto"/>
        <w:ind w:firstLine="480" w:firstLineChars="200"/>
        <w:rPr>
          <w:rFonts w:ascii="仿宋" w:hAnsi="仿宋" w:eastAsia="仿宋"/>
          <w:lang w:eastAsia="zh-CN"/>
        </w:rPr>
      </w:pPr>
      <w:r>
        <w:rPr>
          <w:rFonts w:hint="eastAsia" w:ascii="仿宋" w:hAnsi="仿宋" w:eastAsia="仿宋"/>
          <w:lang w:eastAsia="zh-CN"/>
        </w:rPr>
        <w:t>隐蔽工程或中间验收部位未经监理人代表验收合格，不得隐蔽或继续施工，否则该部分工程被视为不合格，由此所产生的返工费用由承包人承担。</w:t>
      </w:r>
    </w:p>
    <w:p w14:paraId="0E87B3AF">
      <w:pPr>
        <w:spacing w:line="360" w:lineRule="auto"/>
        <w:ind w:firstLine="480" w:firstLineChars="200"/>
        <w:rPr>
          <w:rFonts w:ascii="仿宋" w:hAnsi="仿宋" w:eastAsia="仿宋"/>
          <w:lang w:eastAsia="zh-CN"/>
        </w:rPr>
      </w:pPr>
      <w:r>
        <w:rPr>
          <w:rFonts w:hint="eastAsia" w:ascii="仿宋" w:hAnsi="仿宋" w:eastAsia="仿宋"/>
          <w:lang w:eastAsia="zh-CN"/>
        </w:rPr>
        <w:t>中间验收的部位有：按国家、广东省、广州市有关规定执行。</w:t>
      </w:r>
    </w:p>
    <w:p w14:paraId="612900D1">
      <w:pPr>
        <w:spacing w:line="400" w:lineRule="exact"/>
        <w:ind w:firstLine="480" w:firstLineChars="200"/>
        <w:rPr>
          <w:rFonts w:ascii="仿宋" w:hAnsi="仿宋" w:eastAsia="仿宋"/>
          <w:lang w:eastAsia="zh-CN"/>
        </w:rPr>
      </w:pPr>
    </w:p>
    <w:p w14:paraId="01D819A6">
      <w:pPr>
        <w:pStyle w:val="3"/>
        <w:tabs>
          <w:tab w:val="left" w:pos="420"/>
        </w:tabs>
        <w:spacing w:before="0" w:after="0" w:line="360" w:lineRule="auto"/>
        <w:rPr>
          <w:rFonts w:ascii="仿宋" w:hAnsi="仿宋" w:eastAsia="仿宋" w:cs="仿宋"/>
          <w:b w:val="0"/>
          <w:bCs w:val="0"/>
          <w:i w:val="0"/>
          <w:sz w:val="24"/>
          <w:szCs w:val="24"/>
          <w:lang w:eastAsia="zh-CN"/>
        </w:rPr>
      </w:pPr>
      <w:bookmarkStart w:id="981" w:name="_Toc19439"/>
      <w:bookmarkStart w:id="982" w:name="_Toc194073259"/>
      <w:bookmarkStart w:id="983" w:name="_Toc2098"/>
      <w:bookmarkStart w:id="984" w:name="_Toc9471"/>
      <w:r>
        <w:rPr>
          <w:rFonts w:hint="eastAsia" w:ascii="仿宋" w:hAnsi="仿宋" w:eastAsia="仿宋" w:cs="仿宋"/>
          <w:b w:val="0"/>
          <w:bCs w:val="0"/>
          <w:i w:val="0"/>
          <w:sz w:val="24"/>
          <w:szCs w:val="24"/>
          <w:lang w:eastAsia="zh-CN"/>
        </w:rPr>
        <w:t>★63. 工程变更</w:t>
      </w:r>
      <w:bookmarkEnd w:id="981"/>
      <w:bookmarkEnd w:id="982"/>
      <w:bookmarkEnd w:id="983"/>
      <w:bookmarkEnd w:id="984"/>
    </w:p>
    <w:p w14:paraId="74F0B63A">
      <w:pPr>
        <w:spacing w:line="360" w:lineRule="auto"/>
        <w:ind w:firstLine="480" w:firstLineChars="200"/>
        <w:rPr>
          <w:rFonts w:ascii="仿宋" w:hAnsi="仿宋" w:eastAsia="仿宋"/>
          <w:lang w:eastAsia="zh-CN"/>
        </w:rPr>
      </w:pPr>
      <w:bookmarkStart w:id="985" w:name="_Toc287"/>
      <w:r>
        <w:rPr>
          <w:rFonts w:hint="eastAsia" w:ascii="仿宋" w:hAnsi="仿宋" w:eastAsia="仿宋"/>
          <w:lang w:eastAsia="zh-CN"/>
        </w:rPr>
        <w:t>63.4 承包人提出工程变更建议</w:t>
      </w:r>
      <w:bookmarkEnd w:id="985"/>
    </w:p>
    <w:p w14:paraId="7A6B737F">
      <w:pPr>
        <w:spacing w:line="360" w:lineRule="auto"/>
        <w:ind w:firstLine="480" w:firstLineChars="200"/>
        <w:rPr>
          <w:rFonts w:ascii="仿宋" w:hAnsi="仿宋" w:eastAsia="仿宋"/>
          <w:lang w:eastAsia="zh-CN"/>
        </w:rPr>
      </w:pPr>
      <w:r>
        <w:rPr>
          <w:rFonts w:hint="eastAsia" w:ascii="仿宋" w:hAnsi="仿宋" w:eastAsia="仿宋"/>
          <w:lang w:eastAsia="zh-CN"/>
        </w:rPr>
        <w:t>发包人采纳承包人建议带来利益的奖励约定：</w:t>
      </w:r>
      <w:r>
        <w:rPr>
          <w:rFonts w:hint="eastAsia" w:ascii="仿宋" w:hAnsi="仿宋" w:eastAsia="仿宋"/>
          <w:u w:val="single"/>
          <w:lang w:eastAsia="zh-CN"/>
        </w:rPr>
        <w:t xml:space="preserve">    /    </w:t>
      </w:r>
      <w:r>
        <w:rPr>
          <w:rFonts w:hint="eastAsia" w:ascii="仿宋" w:hAnsi="仿宋" w:eastAsia="仿宋"/>
          <w:lang w:eastAsia="zh-CN"/>
        </w:rPr>
        <w:t>。</w:t>
      </w:r>
    </w:p>
    <w:p w14:paraId="77F906EE">
      <w:pPr>
        <w:spacing w:line="360" w:lineRule="auto"/>
        <w:ind w:firstLine="480" w:firstLineChars="200"/>
        <w:rPr>
          <w:rFonts w:ascii="仿宋" w:hAnsi="仿宋" w:eastAsia="仿宋"/>
          <w:lang w:eastAsia="zh-CN"/>
        </w:rPr>
      </w:pPr>
      <w:r>
        <w:rPr>
          <w:rFonts w:hint="eastAsia" w:ascii="仿宋" w:hAnsi="仿宋" w:eastAsia="仿宋"/>
          <w:lang w:eastAsia="zh-CN"/>
        </w:rPr>
        <w:t xml:space="preserve">63.5 承包人提出工程变更建议 </w:t>
      </w:r>
    </w:p>
    <w:p w14:paraId="2BE5726D">
      <w:pPr>
        <w:spacing w:line="360" w:lineRule="auto"/>
        <w:ind w:firstLine="480" w:firstLineChars="200"/>
        <w:rPr>
          <w:rFonts w:ascii="仿宋" w:hAnsi="仿宋" w:eastAsia="仿宋"/>
          <w:lang w:eastAsia="zh-CN"/>
        </w:rPr>
      </w:pPr>
      <w:r>
        <w:rPr>
          <w:rFonts w:hint="eastAsia" w:ascii="仿宋" w:hAnsi="仿宋" w:eastAsia="仿宋"/>
          <w:lang w:eastAsia="zh-CN"/>
        </w:rPr>
        <w:t xml:space="preserve">双方协商一致，63.5 款增加以下约定： </w:t>
      </w:r>
    </w:p>
    <w:p w14:paraId="0700CB71">
      <w:pPr>
        <w:spacing w:line="360" w:lineRule="auto"/>
        <w:ind w:firstLine="480" w:firstLineChars="200"/>
        <w:rPr>
          <w:rFonts w:ascii="仿宋" w:hAnsi="仿宋" w:eastAsia="仿宋"/>
          <w:lang w:eastAsia="zh-CN"/>
        </w:rPr>
      </w:pPr>
      <w:r>
        <w:rPr>
          <w:rFonts w:hint="eastAsia" w:ascii="仿宋" w:hAnsi="仿宋" w:eastAsia="仿宋"/>
          <w:lang w:eastAsia="zh-CN"/>
        </w:rPr>
        <w:t xml:space="preserve">本合同工程变更是指本项目施工图预算审定后发生的工程变更。以下工程变更由承包人自行承担变更增加费用，工期也不予顺延： </w:t>
      </w:r>
    </w:p>
    <w:p w14:paraId="7E7A35F7">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1）因承包人自身的设计、施工图预算编制质量、采购、施工、竣工试验、竣工后试验存在的缺陷，由承包人自费修正、调整和完善等问题所导致的变更，如费用增加的结算时不予增加费用，费用减少的，结算时按实结算。其他设计变更指令，按合同约定的变更结算原则计算。 </w:t>
      </w:r>
    </w:p>
    <w:p w14:paraId="7D95ED29">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（2）设计质量造成的工程变更，包括但不限于设计成果不完善、设计图纸不准确、设计文件有错误、设计图纸不详细等； </w:t>
      </w:r>
    </w:p>
    <w:p w14:paraId="3AF0E622">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（3）施工图预算编制质量，包括但不限于施工图预算漏计、少算，综合单价、人工工日、机械台班及主材价格偏低，施工方案及施工措施不合理等情况。</w:t>
      </w:r>
    </w:p>
    <w:p w14:paraId="131ADE06">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上述变更，如费用增加，发包人不另行增加费用；费用减少，结算时按实结算。 </w:t>
      </w:r>
    </w:p>
    <w:p w14:paraId="52234992">
      <w:pPr>
        <w:spacing w:line="360" w:lineRule="auto"/>
        <w:ind w:firstLine="480" w:firstLineChars="200"/>
        <w:rPr>
          <w:rFonts w:ascii="仿宋" w:hAnsi="仿宋" w:eastAsia="仿宋"/>
          <w:lang w:eastAsia="zh-CN"/>
        </w:rPr>
      </w:pPr>
      <w:r>
        <w:rPr>
          <w:rFonts w:hint="eastAsia" w:ascii="仿宋" w:hAnsi="仿宋" w:eastAsia="仿宋"/>
          <w:lang w:eastAsia="zh-CN"/>
        </w:rPr>
        <w:t xml:space="preserve">63.6 补充条款:工程变更的确认 </w:t>
      </w:r>
    </w:p>
    <w:p w14:paraId="7038E9B2">
      <w:pPr>
        <w:spacing w:line="360" w:lineRule="auto"/>
        <w:ind w:firstLine="480" w:firstLineChars="200"/>
        <w:rPr>
          <w:rFonts w:ascii="仿宋" w:hAnsi="仿宋" w:eastAsia="仿宋"/>
          <w:lang w:eastAsia="zh-CN"/>
        </w:rPr>
      </w:pPr>
      <w:r>
        <w:rPr>
          <w:rFonts w:hint="eastAsia" w:ascii="仿宋" w:hAnsi="仿宋" w:eastAsia="仿宋" w:cs="仿宋"/>
          <w:lang w:eastAsia="zh-CN"/>
        </w:rPr>
        <w:t>63</w:t>
      </w:r>
      <w:r>
        <w:rPr>
          <w:rFonts w:hint="eastAsia" w:ascii="仿宋" w:hAnsi="仿宋" w:eastAsia="仿宋"/>
          <w:lang w:eastAsia="zh-CN"/>
        </w:rPr>
        <w:t xml:space="preserve">.6.1 所有的设计变更及现场签证都需经过事前审批方可实施。 </w:t>
      </w:r>
    </w:p>
    <w:p w14:paraId="497AD97C">
      <w:pPr>
        <w:spacing w:line="360" w:lineRule="auto"/>
        <w:ind w:firstLine="480" w:firstLineChars="200"/>
        <w:rPr>
          <w:rFonts w:ascii="仿宋" w:hAnsi="仿宋" w:eastAsia="仿宋"/>
          <w:lang w:eastAsia="zh-CN"/>
        </w:rPr>
      </w:pPr>
      <w:r>
        <w:rPr>
          <w:rFonts w:hint="eastAsia" w:ascii="仿宋" w:hAnsi="仿宋" w:eastAsia="仿宋"/>
          <w:lang w:eastAsia="zh-CN"/>
        </w:rPr>
        <w:t xml:space="preserve">63.6.2 设计变更文件必须盖有设计单位的出图章和发包人代表签字并盖公章； </w:t>
      </w:r>
    </w:p>
    <w:p w14:paraId="12921216">
      <w:pPr>
        <w:spacing w:line="360" w:lineRule="auto"/>
        <w:ind w:firstLine="480" w:firstLineChars="200"/>
        <w:rPr>
          <w:rFonts w:ascii="仿宋" w:hAnsi="仿宋" w:eastAsia="仿宋"/>
          <w:lang w:eastAsia="zh-CN"/>
        </w:rPr>
      </w:pPr>
      <w:r>
        <w:rPr>
          <w:rFonts w:hint="eastAsia" w:ascii="仿宋" w:hAnsi="仿宋" w:eastAsia="仿宋"/>
          <w:lang w:eastAsia="zh-CN"/>
        </w:rPr>
        <w:t xml:space="preserve">63.6.3 发包人书面通知变更的指令性文件应有发包人代表签字并盖有公章； </w:t>
      </w:r>
    </w:p>
    <w:p w14:paraId="4CE52242">
      <w:pPr>
        <w:spacing w:line="360" w:lineRule="auto"/>
        <w:ind w:firstLine="480" w:firstLineChars="200"/>
        <w:rPr>
          <w:rFonts w:ascii="仿宋" w:hAnsi="仿宋" w:eastAsia="仿宋"/>
          <w:lang w:eastAsia="zh-CN"/>
        </w:rPr>
      </w:pPr>
      <w:r>
        <w:rPr>
          <w:rFonts w:hint="eastAsia" w:ascii="仿宋" w:hAnsi="仿宋" w:eastAsia="仿宋"/>
          <w:lang w:eastAsia="zh-CN"/>
        </w:rPr>
        <w:t>63.6.4 施工变更文件必须由承包人项目经理签字和加盖项目部印章、监理单位总监代表以上监理人员出具审核意见和签字，并加盖监理单位印章以及发包人现场代表签字并加盖发包人公章；施工变更文件涉及合同价款调整或工期变动时，必须随变更报告附变更工程价款或工期计算书，除履行上述手续外，还需经总监理工程师和发包人的有关审核人签字并盖公章。</w:t>
      </w:r>
    </w:p>
    <w:p w14:paraId="046A8A12">
      <w:pPr>
        <w:spacing w:line="360" w:lineRule="auto"/>
        <w:ind w:firstLine="480" w:firstLineChars="200"/>
        <w:rPr>
          <w:rFonts w:ascii="仿宋" w:hAnsi="仿宋" w:eastAsia="仿宋"/>
          <w:lang w:eastAsia="zh-CN"/>
        </w:rPr>
      </w:pPr>
      <w:r>
        <w:rPr>
          <w:rFonts w:hint="eastAsia" w:ascii="仿宋" w:hAnsi="仿宋" w:eastAsia="仿宋"/>
          <w:lang w:eastAsia="zh-CN"/>
        </w:rPr>
        <w:t xml:space="preserve">63.6.5 设计变更文件（或指令）涉及合同价款和工期调整时，承包人接到设计变更（或指令）有效文件后在 14 天内申报涉及变更的工程价款和工期调整报告，否则发包人有权视作变更不涉及价款和工期增加。 </w:t>
      </w:r>
    </w:p>
    <w:p w14:paraId="4E87C1DF">
      <w:pPr>
        <w:spacing w:line="360" w:lineRule="auto"/>
        <w:ind w:firstLine="480" w:firstLineChars="200"/>
        <w:rPr>
          <w:rFonts w:ascii="仿宋" w:hAnsi="仿宋" w:eastAsia="仿宋"/>
          <w:lang w:eastAsia="zh-CN"/>
        </w:rPr>
      </w:pPr>
      <w:r>
        <w:rPr>
          <w:rFonts w:hint="eastAsia" w:ascii="仿宋" w:hAnsi="仿宋" w:eastAsia="仿宋"/>
          <w:lang w:eastAsia="zh-CN"/>
        </w:rPr>
        <w:t xml:space="preserve">63.6.6 发包人有增减项目的权力，减少的项目，发包人不予补偿。所有的工程变更必须以发包人、监理单位的书面意见为实施依据，严格执行天河区住建局、发包人制定的相关工程变更管理办法，否则所增加的工程造价发包人有权不予承认。 </w:t>
      </w:r>
    </w:p>
    <w:p w14:paraId="1821F357">
      <w:pPr>
        <w:spacing w:line="360" w:lineRule="auto"/>
        <w:ind w:firstLine="480" w:firstLineChars="200"/>
        <w:rPr>
          <w:rFonts w:ascii="仿宋" w:hAnsi="仿宋" w:eastAsia="仿宋"/>
          <w:lang w:eastAsia="zh-CN"/>
        </w:rPr>
      </w:pPr>
      <w:r>
        <w:rPr>
          <w:rFonts w:hint="eastAsia" w:ascii="仿宋" w:hAnsi="仿宋" w:eastAsia="仿宋"/>
          <w:lang w:eastAsia="zh-CN"/>
        </w:rPr>
        <w:t xml:space="preserve">63.6.6 承包人应根据完成施工图审查备案后的施工图设计进行施工，如果施工过程中出现的由于施工图文件的错、漏、碰等原因造成的需进行设计更改（包括专项工程设计更改）以及为了完善相关工程施工组织文件内容、设计规范、验收规范等而进行的设计调整或增补，承包人应自行承担由此导致的工程费用的增加；导致减少的工程费用则按完善变更程序后进行费用核减。如发包人或批准设计后新实施的规范要求的原因导致的设计变更，发包人承担因相应设计变更导致的工程费用增加。 </w:t>
      </w:r>
    </w:p>
    <w:p w14:paraId="6E256BEC">
      <w:pPr>
        <w:spacing w:line="360" w:lineRule="auto"/>
        <w:ind w:firstLine="480" w:firstLineChars="200"/>
        <w:rPr>
          <w:rFonts w:ascii="仿宋" w:hAnsi="仿宋" w:eastAsia="仿宋"/>
          <w:lang w:eastAsia="zh-CN"/>
        </w:rPr>
      </w:pPr>
      <w:r>
        <w:rPr>
          <w:rFonts w:hint="eastAsia" w:ascii="仿宋" w:hAnsi="仿宋" w:eastAsia="仿宋"/>
          <w:lang w:eastAsia="zh-CN"/>
        </w:rPr>
        <w:t xml:space="preserve">63.6.7 在施工中如发包人需对经完成施工图审查备案的设计文件进行变更，应提前 14 天以书面形式向承包人发出变更通知。承包人应对相应变更编制预算，用以成本控制，若由发包人提出的变更导致施工费超出本合同投资目标限额，承包人应及时优化设计。 </w:t>
      </w:r>
    </w:p>
    <w:p w14:paraId="30C7ABF6">
      <w:pPr>
        <w:spacing w:line="360" w:lineRule="auto"/>
        <w:ind w:firstLine="480" w:firstLineChars="200"/>
        <w:rPr>
          <w:rFonts w:ascii="仿宋" w:hAnsi="仿宋" w:eastAsia="仿宋"/>
          <w:lang w:eastAsia="zh-CN"/>
        </w:rPr>
      </w:pPr>
      <w:r>
        <w:rPr>
          <w:rFonts w:hint="eastAsia" w:ascii="仿宋" w:hAnsi="仿宋" w:eastAsia="仿宋"/>
          <w:lang w:eastAsia="zh-CN"/>
        </w:rPr>
        <w:t>63.6.8 施工中承包人不得擅自对发包人已评审确认的施工设计图纸进行变更。因承包人擅自变更设计发生的费用和由此导致发包人的直接损失，由承包人承担，延误的工期不予顺延。</w:t>
      </w:r>
    </w:p>
    <w:p w14:paraId="70D8E855">
      <w:pPr>
        <w:spacing w:line="360" w:lineRule="auto"/>
        <w:ind w:firstLine="480" w:firstLineChars="200"/>
        <w:rPr>
          <w:rFonts w:ascii="仿宋" w:hAnsi="仿宋" w:eastAsia="仿宋"/>
          <w:lang w:eastAsia="zh-CN"/>
        </w:rPr>
      </w:pPr>
      <w:r>
        <w:rPr>
          <w:rFonts w:hint="eastAsia" w:ascii="仿宋" w:hAnsi="仿宋" w:eastAsia="仿宋"/>
          <w:lang w:eastAsia="zh-CN"/>
        </w:rPr>
        <w:t xml:space="preserve">63.6.9 承包人在施工中提出的合理化建议涉及到对设计图纸或施工组织设计的更改及对材料、设备的换用，须经总监理工程师及发包人同意。未经同意擅自更改或换用时，承包人承担由此发生的费用，并赔偿发包人的有关损失，延误的工期不予顺延。 </w:t>
      </w:r>
    </w:p>
    <w:p w14:paraId="19798942">
      <w:pPr>
        <w:spacing w:line="360" w:lineRule="auto"/>
        <w:ind w:firstLine="480" w:firstLineChars="200"/>
        <w:rPr>
          <w:rFonts w:ascii="仿宋" w:hAnsi="仿宋" w:eastAsia="仿宋"/>
          <w:lang w:eastAsia="zh-CN"/>
        </w:rPr>
      </w:pPr>
      <w:r>
        <w:rPr>
          <w:rFonts w:hint="eastAsia" w:ascii="仿宋" w:hAnsi="仿宋" w:eastAsia="仿宋"/>
          <w:lang w:eastAsia="zh-CN"/>
        </w:rPr>
        <w:t xml:space="preserve">63.6.10 承包人对自身的设计、采购、施工、工程质量存在的缺陷，应自费修正、调整和完善，不属于变更。 </w:t>
      </w:r>
    </w:p>
    <w:p w14:paraId="1575EA9A">
      <w:pPr>
        <w:spacing w:line="360" w:lineRule="auto"/>
        <w:ind w:firstLine="480" w:firstLineChars="200"/>
        <w:rPr>
          <w:rFonts w:ascii="仿宋" w:hAnsi="仿宋" w:eastAsia="仿宋"/>
          <w:lang w:eastAsia="zh-CN"/>
        </w:rPr>
      </w:pPr>
      <w:r>
        <w:rPr>
          <w:rFonts w:hint="eastAsia" w:ascii="仿宋" w:hAnsi="仿宋" w:eastAsia="仿宋"/>
          <w:lang w:eastAsia="zh-CN"/>
        </w:rPr>
        <w:t>因本项目为设计施工总承包项目，若因承包人设计工作原因导致发生缺项、漏项等工程责任事件，则即使相应的图纸、造价文件等已经过监理及发包人的审核，发包人仍有权要求承包人按经合同主体各方确认的工程使用要求（设计要求）进行修改、完善，</w:t>
      </w:r>
      <w:r>
        <w:rPr>
          <w:rFonts w:hint="eastAsia" w:ascii="仿宋" w:hAnsi="仿宋" w:eastAsia="仿宋" w:cs="仿宋"/>
          <w:lang w:eastAsia="zh-CN"/>
        </w:rPr>
        <w:t>相关费用含在承包人中标下浮率中</w:t>
      </w:r>
      <w:r>
        <w:rPr>
          <w:rFonts w:hint="eastAsia" w:ascii="仿宋" w:hAnsi="仿宋" w:eastAsia="仿宋"/>
          <w:lang w:eastAsia="zh-CN"/>
        </w:rPr>
        <w:t>，发包人不再另行计列。</w:t>
      </w:r>
    </w:p>
    <w:p w14:paraId="4C945AAB">
      <w:pPr>
        <w:pStyle w:val="42"/>
        <w:spacing w:line="360" w:lineRule="auto"/>
        <w:ind w:firstLine="400"/>
        <w:rPr>
          <w:lang w:eastAsia="zh-CN"/>
        </w:rPr>
      </w:pPr>
    </w:p>
    <w:p w14:paraId="682B6D83">
      <w:pPr>
        <w:pStyle w:val="3"/>
        <w:tabs>
          <w:tab w:val="left" w:pos="420"/>
        </w:tabs>
        <w:spacing w:before="0" w:after="0" w:line="360" w:lineRule="auto"/>
        <w:rPr>
          <w:rFonts w:ascii="仿宋" w:hAnsi="仿宋" w:eastAsia="仿宋" w:cs="仿宋"/>
          <w:b w:val="0"/>
          <w:bCs w:val="0"/>
          <w:i w:val="0"/>
          <w:sz w:val="24"/>
          <w:szCs w:val="24"/>
          <w:lang w:eastAsia="zh-CN"/>
        </w:rPr>
      </w:pPr>
      <w:bookmarkStart w:id="986" w:name="_Toc194073260"/>
      <w:bookmarkStart w:id="987" w:name="_Toc30576"/>
      <w:bookmarkStart w:id="988" w:name="_Toc19339"/>
      <w:bookmarkStart w:id="989" w:name="_Toc21856"/>
      <w:r>
        <w:rPr>
          <w:rFonts w:hint="eastAsia" w:ascii="仿宋" w:hAnsi="仿宋" w:eastAsia="仿宋" w:cs="仿宋"/>
          <w:b w:val="0"/>
          <w:bCs w:val="0"/>
          <w:i w:val="0"/>
          <w:sz w:val="24"/>
          <w:szCs w:val="24"/>
          <w:lang w:eastAsia="zh-CN"/>
        </w:rPr>
        <w:t>64. 竣工验收条件</w:t>
      </w:r>
      <w:bookmarkEnd w:id="986"/>
      <w:bookmarkEnd w:id="987"/>
      <w:bookmarkEnd w:id="988"/>
      <w:bookmarkEnd w:id="989"/>
    </w:p>
    <w:p w14:paraId="74BC8BEC">
      <w:pPr>
        <w:spacing w:line="360" w:lineRule="auto"/>
        <w:ind w:left="137" w:leftChars="57" w:firstLine="360" w:firstLineChars="150"/>
        <w:rPr>
          <w:rFonts w:ascii="仿宋" w:hAnsi="仿宋" w:eastAsia="仿宋" w:cs="仿宋"/>
          <w:lang w:eastAsia="zh-CN"/>
        </w:rPr>
      </w:pPr>
      <w:r>
        <w:rPr>
          <w:rFonts w:hint="eastAsia" w:ascii="仿宋" w:hAnsi="仿宋" w:eastAsia="仿宋"/>
          <w:lang w:eastAsia="zh-CN"/>
        </w:rPr>
        <w:t xml:space="preserve">64.1 竣工验收条件 </w:t>
      </w:r>
    </w:p>
    <w:p w14:paraId="5A32322E">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（6）竣工资料应当符合基本建设项目档案管理的要求：</w:t>
      </w:r>
    </w:p>
    <w:p w14:paraId="59F6199D">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□国家档案局、国家计委关于印发《基本建设项目档案资料管理暂行规定》的通知（国档发［1988］4号）；</w:t>
      </w:r>
    </w:p>
    <w:p w14:paraId="620ADE30">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□广东省档案局实施《基本建设项目档案资料管理暂行规定》细则；</w:t>
      </w:r>
    </w:p>
    <w:p w14:paraId="190244C6">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☑其它约定：</w:t>
      </w:r>
      <w:r>
        <w:rPr>
          <w:rFonts w:hint="eastAsia" w:ascii="仿宋" w:hAnsi="仿宋" w:eastAsia="仿宋" w:cs="仿宋"/>
          <w:u w:val="single"/>
          <w:lang w:eastAsia="zh-CN"/>
        </w:rPr>
        <w:t xml:space="preserve"> 广州市城建档案部门相关规定。  </w:t>
      </w:r>
    </w:p>
    <w:p w14:paraId="211A8789">
      <w:pPr>
        <w:spacing w:line="360" w:lineRule="auto"/>
        <w:ind w:firstLine="480" w:firstLineChars="200"/>
        <w:rPr>
          <w:rFonts w:ascii="仿宋" w:hAnsi="仿宋" w:eastAsia="仿宋" w:cs="仿宋"/>
          <w:u w:val="single"/>
          <w:lang w:eastAsia="zh-CN"/>
        </w:rPr>
      </w:pPr>
    </w:p>
    <w:p w14:paraId="51F84F1D">
      <w:pPr>
        <w:pStyle w:val="3"/>
        <w:tabs>
          <w:tab w:val="left" w:pos="420"/>
        </w:tabs>
        <w:spacing w:before="0" w:after="0" w:line="360" w:lineRule="auto"/>
        <w:rPr>
          <w:rFonts w:ascii="仿宋" w:hAnsi="仿宋" w:eastAsia="仿宋" w:cs="仿宋"/>
          <w:b w:val="0"/>
          <w:bCs w:val="0"/>
          <w:i w:val="0"/>
          <w:iCs w:val="0"/>
          <w:sz w:val="24"/>
          <w:szCs w:val="24"/>
          <w:lang w:eastAsia="zh-CN"/>
        </w:rPr>
      </w:pPr>
      <w:bookmarkStart w:id="990" w:name="_Toc194073261"/>
      <w:bookmarkStart w:id="991" w:name="_Toc11618"/>
      <w:bookmarkStart w:id="992" w:name="_Toc8942"/>
      <w:bookmarkStart w:id="993" w:name="_Toc16769"/>
      <w:r>
        <w:rPr>
          <w:rFonts w:hint="eastAsia" w:ascii="仿宋" w:hAnsi="仿宋" w:eastAsia="仿宋" w:cs="仿宋"/>
          <w:b w:val="0"/>
          <w:bCs w:val="0"/>
          <w:i w:val="0"/>
          <w:iCs w:val="0"/>
          <w:sz w:val="24"/>
          <w:szCs w:val="24"/>
          <w:lang w:eastAsia="zh-CN"/>
        </w:rPr>
        <w:t>★65. 竣工验收</w:t>
      </w:r>
      <w:bookmarkEnd w:id="990"/>
      <w:bookmarkEnd w:id="991"/>
      <w:bookmarkEnd w:id="992"/>
      <w:bookmarkEnd w:id="993"/>
    </w:p>
    <w:p w14:paraId="3CBC7784">
      <w:pPr>
        <w:spacing w:line="360" w:lineRule="auto"/>
        <w:ind w:left="137" w:leftChars="57" w:firstLine="360" w:firstLineChars="150"/>
        <w:rPr>
          <w:rFonts w:ascii="仿宋" w:hAnsi="仿宋" w:eastAsia="仿宋" w:cs="仿宋"/>
          <w:lang w:eastAsia="zh-CN"/>
        </w:rPr>
      </w:pPr>
      <w:r>
        <w:rPr>
          <w:rFonts w:hint="eastAsia" w:ascii="仿宋" w:hAnsi="仿宋" w:eastAsia="仿宋"/>
          <w:lang w:eastAsia="zh-CN"/>
        </w:rPr>
        <w:t>★ 65.1 竣工验收标准</w:t>
      </w:r>
    </w:p>
    <w:p w14:paraId="3A891286">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合同工程竣工验收标准： 按照国家、行业和广东省、广州市有关规定执行。</w:t>
      </w:r>
    </w:p>
    <w:p w14:paraId="55F91226">
      <w:pPr>
        <w:spacing w:line="360" w:lineRule="auto"/>
        <w:ind w:left="137" w:leftChars="57" w:firstLine="360" w:firstLineChars="150"/>
        <w:rPr>
          <w:rFonts w:ascii="仿宋" w:hAnsi="仿宋" w:eastAsia="仿宋" w:cs="仿宋"/>
          <w:lang w:eastAsia="zh-CN"/>
        </w:rPr>
      </w:pPr>
      <w:r>
        <w:rPr>
          <w:rFonts w:hint="eastAsia" w:ascii="仿宋" w:hAnsi="仿宋" w:eastAsia="仿宋" w:cs="仿宋"/>
          <w:lang w:eastAsia="zh-CN"/>
        </w:rPr>
        <w:t>65.6 接收工程</w:t>
      </w:r>
    </w:p>
    <w:p w14:paraId="4C51B78D">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双方协商一致，增加 65.6.1、65.6.2 款： </w:t>
      </w:r>
    </w:p>
    <w:p w14:paraId="7ECC0C47">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65.6.1 承包人应于工程竣工验收合格之日起 15 天内按要求提供相关资料，整理汇编成工程移交手册，协助项目产权管理单位尽快熟悉工程项目各部分（建筑单体、小区市政、周边管线等）、各系统（电梯、消防、空调、供水、供电、弱电等）、市政道路的情况，为项目产权管理单位的接收、使用、维护、管理作准备。移交手册包括但不限于以下内容： </w:t>
      </w:r>
    </w:p>
    <w:p w14:paraId="3DCD84D0">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（1）工程项目各部分、各系统的工程概况； </w:t>
      </w:r>
    </w:p>
    <w:p w14:paraId="18DBC5FA">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（2）工程项目全部的图纸及清单； </w:t>
      </w:r>
    </w:p>
    <w:p w14:paraId="59D087EE">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（3）工程项目的承包人、主要材料设备供货商清单、联系人及电话； </w:t>
      </w:r>
    </w:p>
    <w:p w14:paraId="2468F305">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（4）主要材料设备的数量； </w:t>
      </w:r>
    </w:p>
    <w:p w14:paraId="3CE742A3">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（5）工程、材料、设备的保修书（包括保修内容、期限、联系人、电话等）； </w:t>
      </w:r>
    </w:p>
    <w:p w14:paraId="0A2050BA">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（6）各系统的设计功能、使用功能或使用说明； </w:t>
      </w:r>
    </w:p>
    <w:p w14:paraId="280C340E">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（7）电梯、空调、发电机等主要设备的运行参数。 </w:t>
      </w:r>
    </w:p>
    <w:p w14:paraId="586FC756">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65.6.2 承包人应在进行本条第 65.6.1 款工作的同时编写工程项目移交计划，并于本条第 65.6.1 款工作完成之日起 3 天内组织发包人、承包人、项目产权管理单位按如下程序进行工程项目移交：</w:t>
      </w:r>
    </w:p>
    <w:p w14:paraId="547AD6C2">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（1）按移交手册的资料清单移交图纸、资料； </w:t>
      </w:r>
    </w:p>
    <w:p w14:paraId="6C70D1BE">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（2）按移交手册的数量清单清点主要材料设备的数量； </w:t>
      </w:r>
    </w:p>
    <w:p w14:paraId="65ACFBF1">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（3）按移交手册的设计、使用功能说明进行必要的功能性试验（或组织各方参加政府指定机构、第三方检测机构进行的功能性试验）； </w:t>
      </w:r>
    </w:p>
    <w:p w14:paraId="226D51A3">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（4）按移交手册的说明进行系统的试运行（或组织各方参加政府指定机构、第三方检测机构进行的功能性试验），测试主要设备的运行参数； </w:t>
      </w:r>
    </w:p>
    <w:p w14:paraId="32B0F807">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（5）组织发包人、承包人、项目产权管理单位各方对上述移交过程进行签认； </w:t>
      </w:r>
    </w:p>
    <w:p w14:paraId="15346820">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（6）对移交过程中发现的质量问题进行记录并及时组织责任方进行维修，验收合格后重新组织移交；</w:t>
      </w:r>
    </w:p>
    <w:p w14:paraId="0A21F66B">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（7）对于某些在操作上有专门要求的机电系统（如消防、智能化等）编制培训计划，并按合同要求对项目产权管理单位人员进行培训。</w:t>
      </w:r>
    </w:p>
    <w:p w14:paraId="7BD5AA29">
      <w:pPr>
        <w:spacing w:line="360" w:lineRule="auto"/>
        <w:ind w:left="137" w:leftChars="57" w:firstLine="360" w:firstLineChars="150"/>
        <w:rPr>
          <w:rFonts w:ascii="仿宋" w:hAnsi="仿宋" w:eastAsia="仿宋" w:cs="仿宋"/>
          <w:lang w:eastAsia="zh-CN"/>
        </w:rPr>
      </w:pPr>
      <w:r>
        <w:rPr>
          <w:rFonts w:hint="eastAsia" w:ascii="仿宋" w:hAnsi="仿宋" w:eastAsia="仿宋" w:cs="仿宋"/>
          <w:lang w:eastAsia="zh-CN"/>
        </w:rPr>
        <w:t>★65.8 单项工程和工程部位验收</w:t>
      </w:r>
    </w:p>
    <w:p w14:paraId="1FD44431">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合同工程无单项工程、无工程部位提前验收的，本款不适用。</w:t>
      </w:r>
    </w:p>
    <w:p w14:paraId="2DA09412">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合同工程单项工程或工程部位需提前验收的，各单项工程或工程部位的名称、竣工验收时间和范围如下：</w:t>
      </w:r>
    </w:p>
    <w:p w14:paraId="07851659">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①</w:t>
      </w:r>
      <w:r>
        <w:rPr>
          <w:rFonts w:hint="eastAsia" w:ascii="仿宋" w:hAnsi="仿宋" w:eastAsia="仿宋" w:cs="仿宋"/>
          <w:u w:val="single"/>
          <w:lang w:eastAsia="zh-CN"/>
        </w:rPr>
        <w:t xml:space="preserve">      /    </w:t>
      </w:r>
      <w:r>
        <w:rPr>
          <w:rFonts w:hint="eastAsia" w:ascii="仿宋" w:hAnsi="仿宋" w:eastAsia="仿宋" w:cs="仿宋"/>
          <w:lang w:eastAsia="zh-CN"/>
        </w:rPr>
        <w:t>（名称）工程或部位，竣工验收时间为</w:t>
      </w:r>
      <w:r>
        <w:rPr>
          <w:rFonts w:hint="eastAsia" w:ascii="仿宋" w:hAnsi="仿宋" w:eastAsia="仿宋" w:cs="仿宋"/>
          <w:u w:val="single"/>
          <w:lang w:eastAsia="zh-CN"/>
        </w:rPr>
        <w:t xml:space="preserve">    /     </w:t>
      </w:r>
      <w:r>
        <w:rPr>
          <w:rFonts w:hint="eastAsia" w:ascii="仿宋" w:hAnsi="仿宋" w:eastAsia="仿宋" w:cs="仿宋"/>
          <w:lang w:eastAsia="zh-CN"/>
        </w:rPr>
        <w:t>，其范围包括：</w:t>
      </w:r>
      <w:r>
        <w:rPr>
          <w:rFonts w:hint="eastAsia" w:ascii="仿宋" w:hAnsi="仿宋" w:eastAsia="仿宋" w:cs="仿宋"/>
          <w:u w:val="single"/>
          <w:lang w:eastAsia="zh-CN"/>
        </w:rPr>
        <w:t xml:space="preserve">  /；</w:t>
      </w:r>
      <w:r>
        <w:rPr>
          <w:rFonts w:hint="eastAsia" w:ascii="仿宋" w:hAnsi="仿宋" w:eastAsia="仿宋" w:cs="仿宋"/>
          <w:lang w:eastAsia="zh-CN"/>
        </w:rPr>
        <w:t xml:space="preserve">                                             </w:t>
      </w:r>
    </w:p>
    <w:p w14:paraId="2DA9E310">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②</w:t>
      </w:r>
      <w:r>
        <w:rPr>
          <w:rFonts w:hint="eastAsia" w:ascii="仿宋" w:hAnsi="仿宋" w:eastAsia="仿宋" w:cs="仿宋"/>
          <w:u w:val="single"/>
          <w:lang w:eastAsia="zh-CN"/>
        </w:rPr>
        <w:t xml:space="preserve">     /      </w:t>
      </w:r>
      <w:r>
        <w:rPr>
          <w:rFonts w:hint="eastAsia" w:ascii="仿宋" w:hAnsi="仿宋" w:eastAsia="仿宋" w:cs="仿宋"/>
          <w:lang w:eastAsia="zh-CN"/>
        </w:rPr>
        <w:t>（名称）工程或部位，竣工验收时间为</w:t>
      </w:r>
      <w:r>
        <w:rPr>
          <w:rFonts w:hint="eastAsia" w:ascii="仿宋" w:hAnsi="仿宋" w:eastAsia="仿宋" w:cs="仿宋"/>
          <w:u w:val="single"/>
          <w:lang w:eastAsia="zh-CN"/>
        </w:rPr>
        <w:t xml:space="preserve">     /   </w:t>
      </w:r>
      <w:r>
        <w:rPr>
          <w:rFonts w:hint="eastAsia" w:ascii="仿宋" w:hAnsi="仿宋" w:eastAsia="仿宋" w:cs="仿宋"/>
          <w:lang w:eastAsia="zh-CN"/>
        </w:rPr>
        <w:t>，其范围包括：</w:t>
      </w:r>
      <w:r>
        <w:rPr>
          <w:rFonts w:hint="eastAsia" w:ascii="仿宋" w:hAnsi="仿宋" w:eastAsia="仿宋" w:cs="仿宋"/>
          <w:u w:val="single"/>
          <w:lang w:eastAsia="zh-CN"/>
        </w:rPr>
        <w:t xml:space="preserve">  / 。</w:t>
      </w:r>
      <w:r>
        <w:rPr>
          <w:rFonts w:hint="eastAsia" w:ascii="仿宋" w:hAnsi="仿宋" w:eastAsia="仿宋" w:cs="仿宋"/>
          <w:lang w:eastAsia="zh-CN"/>
        </w:rPr>
        <w:t xml:space="preserve">                                         </w:t>
      </w:r>
    </w:p>
    <w:p w14:paraId="15DE7A69">
      <w:pPr>
        <w:spacing w:line="360" w:lineRule="auto"/>
        <w:rPr>
          <w:rFonts w:ascii="仿宋" w:hAnsi="仿宋" w:eastAsia="仿宋"/>
          <w:lang w:eastAsia="zh-CN"/>
        </w:rPr>
      </w:pPr>
      <w:r>
        <w:rPr>
          <w:rFonts w:hint="eastAsia" w:ascii="仿宋" w:hAnsi="仿宋" w:eastAsia="仿宋" w:cs="仿宋"/>
          <w:lang w:eastAsia="zh-CN"/>
        </w:rPr>
        <w:t xml:space="preserve">    65.9 施工期运行</w:t>
      </w:r>
    </w:p>
    <w:p w14:paraId="74FCA8D5">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合同工程无单项工程、无工程部位在施工期运行的，本款不适用。</w:t>
      </w:r>
    </w:p>
    <w:p w14:paraId="363C45D6">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合同工程单项工程或工程部位需在施工期运行的，各单项工程或工程部位的名称、运行时间如下：</w:t>
      </w:r>
    </w:p>
    <w:p w14:paraId="420619A7">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①</w:t>
      </w:r>
      <w:r>
        <w:rPr>
          <w:rFonts w:hint="eastAsia" w:ascii="仿宋" w:hAnsi="仿宋" w:eastAsia="仿宋" w:cs="仿宋"/>
          <w:u w:val="single"/>
          <w:lang w:eastAsia="zh-CN"/>
        </w:rPr>
        <w:t xml:space="preserve">      /   </w:t>
      </w:r>
      <w:r>
        <w:rPr>
          <w:rFonts w:hint="eastAsia" w:ascii="仿宋" w:hAnsi="仿宋" w:eastAsia="仿宋" w:cs="仿宋"/>
          <w:lang w:eastAsia="zh-CN"/>
        </w:rPr>
        <w:t>（名称）工程或部位，运行时间为</w:t>
      </w:r>
      <w:r>
        <w:rPr>
          <w:rFonts w:hint="eastAsia" w:ascii="仿宋" w:hAnsi="仿宋" w:eastAsia="仿宋" w:cs="仿宋"/>
          <w:u w:val="single"/>
          <w:lang w:eastAsia="zh-CN"/>
        </w:rPr>
        <w:t xml:space="preserve">    /   </w:t>
      </w:r>
      <w:r>
        <w:rPr>
          <w:rFonts w:hint="eastAsia" w:ascii="仿宋" w:hAnsi="仿宋" w:eastAsia="仿宋" w:cs="仿宋"/>
          <w:lang w:eastAsia="zh-CN"/>
        </w:rPr>
        <w:t>；</w:t>
      </w:r>
    </w:p>
    <w:p w14:paraId="25DFB015">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②</w:t>
      </w:r>
      <w:r>
        <w:rPr>
          <w:rFonts w:hint="eastAsia" w:ascii="仿宋" w:hAnsi="仿宋" w:eastAsia="仿宋" w:cs="仿宋"/>
          <w:u w:val="single"/>
          <w:lang w:eastAsia="zh-CN"/>
        </w:rPr>
        <w:t xml:space="preserve">    /    </w:t>
      </w:r>
      <w:r>
        <w:rPr>
          <w:rFonts w:hint="eastAsia" w:ascii="仿宋" w:hAnsi="仿宋" w:eastAsia="仿宋" w:cs="仿宋"/>
          <w:lang w:eastAsia="zh-CN"/>
        </w:rPr>
        <w:t xml:space="preserve"> （名称）工程或部位，运行时间为</w:t>
      </w:r>
      <w:r>
        <w:rPr>
          <w:rFonts w:hint="eastAsia" w:ascii="仿宋" w:hAnsi="仿宋" w:eastAsia="仿宋" w:cs="仿宋"/>
          <w:u w:val="single"/>
          <w:lang w:eastAsia="zh-CN"/>
        </w:rPr>
        <w:t xml:space="preserve">   /    </w:t>
      </w:r>
      <w:r>
        <w:rPr>
          <w:rFonts w:hint="eastAsia" w:ascii="仿宋" w:hAnsi="仿宋" w:eastAsia="仿宋" w:cs="仿宋"/>
          <w:lang w:eastAsia="zh-CN"/>
        </w:rPr>
        <w:t>。</w:t>
      </w:r>
    </w:p>
    <w:p w14:paraId="0E0F52F9">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根据项目情况，按经发包人确认的设计方案及施工组织方案执行。</w:t>
      </w:r>
    </w:p>
    <w:p w14:paraId="2CF9BB67">
      <w:pPr>
        <w:spacing w:line="360" w:lineRule="auto"/>
        <w:ind w:firstLine="120" w:firstLineChars="50"/>
        <w:rPr>
          <w:rFonts w:ascii="仿宋" w:hAnsi="仿宋" w:eastAsia="仿宋" w:cs="仿宋"/>
          <w:lang w:eastAsia="zh-CN"/>
        </w:rPr>
      </w:pPr>
      <w:r>
        <w:rPr>
          <w:rFonts w:hint="eastAsia" w:ascii="仿宋" w:hAnsi="仿宋" w:eastAsia="仿宋" w:cs="仿宋"/>
          <w:lang w:eastAsia="zh-CN"/>
        </w:rPr>
        <w:t>65.10 竣工清场</w:t>
      </w:r>
    </w:p>
    <w:p w14:paraId="546B035D">
      <w:pPr>
        <w:spacing w:line="360" w:lineRule="auto"/>
        <w:ind w:firstLine="480" w:firstLineChars="200"/>
        <w:rPr>
          <w:rFonts w:ascii="仿宋" w:hAnsi="仿宋" w:eastAsia="仿宋"/>
          <w:lang w:eastAsia="zh-CN"/>
        </w:rPr>
      </w:pPr>
      <w:r>
        <w:rPr>
          <w:rFonts w:hint="eastAsia" w:ascii="仿宋" w:hAnsi="仿宋" w:eastAsia="仿宋" w:cs="仿宋"/>
          <w:lang w:eastAsia="zh-CN"/>
        </w:rPr>
        <w:t>□ 按通用条款约定。</w:t>
      </w:r>
    </w:p>
    <w:p w14:paraId="6EE8B12C">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 另作约定： </w:t>
      </w:r>
    </w:p>
    <w:p w14:paraId="4B3490F3">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（1）除按通用条款约定执行外，还须符合精保洁要求，精保洁次数按发包人要求次数为准， 费用由承包人承担。 </w:t>
      </w:r>
    </w:p>
    <w:p w14:paraId="1C62EB1E">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（2）承包人必须在工程竣工初验之日起 30 天内或发包人规定的时间内（发包人将提前通知承包人），无条件清退所有施工场地。拒不清退的，发包人有权要求承包人承担 1 次较大违约责任处罚，发包人还有权暂停计价支付、工程结算等工作，并由承包人承担由此而产生的一切后果（包括发包人因此而被第三方索赔所产生的损失）。 </w:t>
      </w:r>
    </w:p>
    <w:p w14:paraId="26683878">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对于临时房屋及设施，发包人认为有必要保留的，承包人在清退场地时应无条件保持完好并移交给发包人使用，并不得提出任何费用要求及其他要求。</w:t>
      </w:r>
    </w:p>
    <w:p w14:paraId="59065485">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65.11施工队伍的撤离</w:t>
      </w:r>
    </w:p>
    <w:p w14:paraId="67A4FD3E">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按通用条款约定，承包人的人员和施工设备全部撤离施工现场。</w:t>
      </w:r>
    </w:p>
    <w:p w14:paraId="3B1C13E0">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 另作约定： </w:t>
      </w:r>
    </w:p>
    <w:p w14:paraId="2FB382BA">
      <w:pPr>
        <w:spacing w:line="360" w:lineRule="auto"/>
        <w:rPr>
          <w:rFonts w:ascii="仿宋" w:hAnsi="仿宋" w:eastAsia="仿宋" w:cs="仿宋"/>
          <w:lang w:eastAsia="zh-CN"/>
        </w:rPr>
      </w:pPr>
      <w:r>
        <w:rPr>
          <w:rFonts w:hint="eastAsia" w:ascii="仿宋" w:hAnsi="仿宋" w:eastAsia="仿宋" w:cs="仿宋"/>
          <w:lang w:eastAsia="zh-CN"/>
        </w:rPr>
        <w:t xml:space="preserve">  </w:t>
      </w:r>
    </w:p>
    <w:p w14:paraId="6A5BF0A1">
      <w:pPr>
        <w:pStyle w:val="3"/>
        <w:tabs>
          <w:tab w:val="left" w:pos="420"/>
        </w:tabs>
        <w:spacing w:before="0" w:after="0" w:line="360" w:lineRule="auto"/>
        <w:rPr>
          <w:rFonts w:ascii="仿宋" w:hAnsi="仿宋" w:eastAsia="仿宋" w:cs="仿宋"/>
          <w:b w:val="0"/>
          <w:bCs w:val="0"/>
          <w:i w:val="0"/>
          <w:iCs w:val="0"/>
          <w:sz w:val="24"/>
          <w:szCs w:val="24"/>
          <w:lang w:eastAsia="zh-CN"/>
        </w:rPr>
      </w:pPr>
      <w:bookmarkStart w:id="994" w:name="_Toc11939"/>
      <w:bookmarkStart w:id="995" w:name="_Toc194073262"/>
      <w:bookmarkStart w:id="996" w:name="_Toc29204"/>
      <w:bookmarkStart w:id="997" w:name="_Toc28865"/>
      <w:r>
        <w:rPr>
          <w:rFonts w:hint="eastAsia" w:ascii="仿宋" w:hAnsi="仿宋" w:eastAsia="仿宋" w:cs="仿宋"/>
          <w:b w:val="0"/>
          <w:bCs w:val="0"/>
          <w:i w:val="0"/>
          <w:iCs w:val="0"/>
          <w:sz w:val="24"/>
          <w:szCs w:val="24"/>
          <w:lang w:eastAsia="zh-CN"/>
        </w:rPr>
        <w:t>66.  缺陷责任与质量保修</w:t>
      </w:r>
      <w:bookmarkEnd w:id="994"/>
      <w:bookmarkEnd w:id="995"/>
      <w:bookmarkEnd w:id="996"/>
      <w:bookmarkEnd w:id="997"/>
    </w:p>
    <w:p w14:paraId="75AEF3AB">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66.1 缺陷责任期计算</w:t>
      </w:r>
    </w:p>
    <w:p w14:paraId="596018D1">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缺陷责任期： 本工程缺陷责任期自竣工联合验收合格且移交完成之日起计算，缺陷责任期两年，质量保证金的返还按合同专用条款第89.3款约定执行。</w:t>
      </w:r>
    </w:p>
    <w:p w14:paraId="3206C3E0">
      <w:pPr>
        <w:spacing w:line="360" w:lineRule="auto"/>
        <w:ind w:firstLine="480" w:firstLineChars="200"/>
        <w:rPr>
          <w:rFonts w:ascii="仿宋" w:hAnsi="仿宋" w:eastAsia="仿宋"/>
          <w:lang w:eastAsia="zh-CN"/>
        </w:rPr>
      </w:pPr>
      <w:bookmarkStart w:id="998" w:name="_Toc28346"/>
      <w:r>
        <w:rPr>
          <w:rFonts w:hint="eastAsia" w:ascii="仿宋" w:hAnsi="仿宋" w:eastAsia="仿宋" w:cs="仿宋"/>
          <w:lang w:eastAsia="zh-CN"/>
        </w:rPr>
        <w:t>66.8 质量保修期计算</w:t>
      </w:r>
      <w:bookmarkEnd w:id="998"/>
    </w:p>
    <w:p w14:paraId="2D112DDF">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质量保修期：质量保修期从竣工联合验收合格且移交完成之日起计算，保修期限按中华人民共和国国务院令[2000]279号《建筑工程质量管理条例》的规定执行。结合具体工程约定质量保修期如下： </w:t>
      </w:r>
    </w:p>
    <w:p w14:paraId="1FE42D8B">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(1)土建工程基础及主体结构按设计文件规定的使用年限，屋面防水工程、有防水要求的卫生间、房间和外墙面的防渗漏工程为伍年；</w:t>
      </w:r>
    </w:p>
    <w:p w14:paraId="5AD9075A">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(2)电气管线、上下水管线安装、设备安装和装修工程为贰年；</w:t>
      </w:r>
    </w:p>
    <w:p w14:paraId="059EADDA">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(3)供热及供冷为贰个采暖期及供冷期；</w:t>
      </w:r>
    </w:p>
    <w:p w14:paraId="5B803029">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（4）电梯工程为叁年；</w:t>
      </w:r>
    </w:p>
    <w:p w14:paraId="291ABFE7">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(5)其他约定：土建工程除基础及主体结构按设计文件规定外，其余保修期为贰年。</w:t>
      </w:r>
    </w:p>
    <w:p w14:paraId="59EAB149">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工程质量保修补充约定：因承包人原因造成工程的缺陷或损坏，承包人拒绝维修或未能在合理期限内修复缺陷或损坏，发包人有权自行修复或委托第三方修复，所需费用由承包人承担。</w:t>
      </w:r>
    </w:p>
    <w:p w14:paraId="4412B45E">
      <w:pPr>
        <w:spacing w:line="360" w:lineRule="auto"/>
        <w:ind w:firstLine="480" w:firstLineChars="200"/>
        <w:rPr>
          <w:rFonts w:ascii="仿宋" w:hAnsi="仿宋" w:eastAsia="仿宋" w:cs="仿宋"/>
          <w:lang w:eastAsia="zh-CN"/>
        </w:rPr>
      </w:pPr>
    </w:p>
    <w:p w14:paraId="1DB5D600">
      <w:pPr>
        <w:pStyle w:val="3"/>
        <w:tabs>
          <w:tab w:val="left" w:pos="420"/>
        </w:tabs>
        <w:spacing w:before="0" w:after="0" w:line="360" w:lineRule="auto"/>
        <w:rPr>
          <w:rFonts w:ascii="仿宋" w:hAnsi="仿宋" w:eastAsia="仿宋" w:cs="仿宋"/>
          <w:b w:val="0"/>
          <w:bCs w:val="0"/>
          <w:i w:val="0"/>
          <w:sz w:val="24"/>
          <w:szCs w:val="24"/>
          <w:lang w:eastAsia="zh-CN"/>
        </w:rPr>
      </w:pPr>
      <w:bookmarkStart w:id="999" w:name="_Toc14541"/>
      <w:bookmarkStart w:id="1000" w:name="_Toc194073263"/>
      <w:bookmarkStart w:id="1001" w:name="_Toc1479"/>
      <w:r>
        <w:rPr>
          <w:rFonts w:hint="eastAsia" w:ascii="仿宋" w:hAnsi="仿宋" w:eastAsia="仿宋" w:cs="仿宋"/>
          <w:b w:val="0"/>
          <w:bCs w:val="0"/>
          <w:i w:val="0"/>
          <w:sz w:val="24"/>
          <w:szCs w:val="24"/>
          <w:lang w:eastAsia="zh-CN"/>
        </w:rPr>
        <w:t>68.  联合体牵头人项目管理费</w:t>
      </w:r>
      <w:bookmarkEnd w:id="999"/>
      <w:bookmarkEnd w:id="1000"/>
      <w:bookmarkEnd w:id="1001"/>
    </w:p>
    <w:p w14:paraId="2F518856">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承包人为非联合体的，本条不适用。</w:t>
      </w:r>
    </w:p>
    <w:p w14:paraId="6F86CE9D">
      <w:pPr>
        <w:spacing w:line="360" w:lineRule="auto"/>
        <w:ind w:firstLine="480" w:firstLineChars="200"/>
        <w:rPr>
          <w:rFonts w:ascii="仿宋" w:hAnsi="仿宋" w:eastAsia="仿宋" w:cs="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 xml:space="preserve"> 承包人为联合体的，牵头人项目管理费的约定：由联合体单位内部协议确定。</w:t>
      </w:r>
    </w:p>
    <w:p w14:paraId="4AD653E7">
      <w:pPr>
        <w:spacing w:line="360" w:lineRule="auto"/>
        <w:ind w:firstLine="480" w:firstLineChars="200"/>
        <w:rPr>
          <w:rFonts w:ascii="仿宋" w:hAnsi="仿宋" w:eastAsia="仿宋" w:cs="仿宋"/>
          <w:lang w:eastAsia="zh-CN"/>
        </w:rPr>
      </w:pPr>
    </w:p>
    <w:p w14:paraId="6EEEA440">
      <w:pPr>
        <w:pStyle w:val="3"/>
        <w:spacing w:line="360" w:lineRule="auto"/>
        <w:rPr>
          <w:rFonts w:ascii="仿宋" w:hAnsi="仿宋" w:eastAsia="仿宋" w:cs="仿宋"/>
          <w:b w:val="0"/>
          <w:bCs w:val="0"/>
          <w:i w:val="0"/>
          <w:sz w:val="24"/>
          <w:szCs w:val="24"/>
          <w:lang w:eastAsia="zh-CN"/>
        </w:rPr>
      </w:pPr>
      <w:bookmarkStart w:id="1002" w:name="_Toc19241"/>
      <w:bookmarkStart w:id="1003" w:name="_Toc31615"/>
      <w:bookmarkStart w:id="1004" w:name="_Toc194073264"/>
      <w:bookmarkStart w:id="1005" w:name="_Toc9557"/>
      <w:r>
        <w:rPr>
          <w:rFonts w:hint="eastAsia" w:ascii="仿宋" w:hAnsi="仿宋" w:eastAsia="仿宋" w:cs="仿宋"/>
          <w:b w:val="0"/>
          <w:bCs w:val="0"/>
          <w:i w:val="0"/>
          <w:sz w:val="24"/>
          <w:szCs w:val="24"/>
          <w:lang w:eastAsia="zh-CN"/>
        </w:rPr>
        <w:t>★69.  合同价格的约定与调整</w:t>
      </w:r>
      <w:bookmarkEnd w:id="1002"/>
      <w:bookmarkEnd w:id="1003"/>
      <w:bookmarkEnd w:id="1004"/>
      <w:bookmarkEnd w:id="1005"/>
    </w:p>
    <w:p w14:paraId="3874444F">
      <w:pPr>
        <w:spacing w:line="360" w:lineRule="auto"/>
        <w:ind w:firstLine="240" w:firstLineChars="100"/>
        <w:rPr>
          <w:rFonts w:ascii="仿宋" w:hAnsi="仿宋" w:eastAsia="仿宋" w:cs="仿宋"/>
          <w:lang w:eastAsia="zh-CN"/>
        </w:rPr>
      </w:pPr>
      <w:r>
        <w:rPr>
          <w:rFonts w:hint="eastAsia" w:ascii="仿宋" w:hAnsi="仿宋" w:eastAsia="仿宋" w:cs="仿宋"/>
          <w:lang w:eastAsia="zh-CN"/>
        </w:rPr>
        <w:t>69.2合同价格的形式</w:t>
      </w:r>
    </w:p>
    <w:p w14:paraId="2BBB9726">
      <w:pPr>
        <w:spacing w:line="360" w:lineRule="auto"/>
        <w:ind w:firstLine="480" w:firstLineChars="200"/>
        <w:rPr>
          <w:rFonts w:ascii="仿宋" w:hAnsi="仿宋" w:eastAsia="仿宋" w:cs="仿宋"/>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 xml:space="preserve"> 总价合同＋部分单价合同。其中，总价合同、单价合同的适用工程范围按专用条款第72条。</w:t>
      </w:r>
    </w:p>
    <w:p w14:paraId="27272C38">
      <w:pPr>
        <w:spacing w:line="360" w:lineRule="auto"/>
        <w:ind w:firstLine="480" w:firstLineChars="200"/>
        <w:rPr>
          <w:rFonts w:ascii="仿宋" w:hAnsi="仿宋" w:eastAsia="仿宋"/>
          <w:lang w:eastAsia="zh-CN"/>
        </w:rPr>
      </w:pPr>
      <w:r>
        <w:rPr>
          <w:rFonts w:hint="eastAsia" w:ascii="仿宋" w:hAnsi="仿宋" w:eastAsia="仿宋" w:cs="仿宋"/>
          <w:lang w:eastAsia="zh-CN"/>
        </w:rPr>
        <w:t>69.3 合同价款的调整事项</w:t>
      </w:r>
    </w:p>
    <w:p w14:paraId="5D071572">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（2）可调价变更的量化指标。</w:t>
      </w:r>
    </w:p>
    <w:p w14:paraId="6D06EC24">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① 相对于合同基础资料的重大调整量化指标：</w:t>
      </w:r>
      <w:r>
        <w:rPr>
          <w:rFonts w:hint="eastAsia" w:ascii="仿宋" w:hAnsi="仿宋" w:eastAsia="仿宋" w:cs="仿宋"/>
          <w:u w:val="single"/>
          <w:lang w:eastAsia="zh-CN"/>
        </w:rPr>
        <w:t xml:space="preserve">  含在承包人中标下浮率中 </w:t>
      </w:r>
      <w:r>
        <w:rPr>
          <w:rFonts w:hint="eastAsia" w:ascii="仿宋" w:hAnsi="仿宋" w:eastAsia="仿宋" w:cs="仿宋"/>
          <w:lang w:eastAsia="zh-CN"/>
        </w:rPr>
        <w:t xml:space="preserve"> 。</w:t>
      </w:r>
    </w:p>
    <w:p w14:paraId="259952BC">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② 重大地质变化量化指标：</w:t>
      </w:r>
      <w:r>
        <w:rPr>
          <w:rFonts w:hint="eastAsia" w:ascii="仿宋" w:hAnsi="仿宋" w:eastAsia="仿宋" w:cs="仿宋"/>
          <w:u w:val="single"/>
          <w:lang w:eastAsia="zh-CN"/>
        </w:rPr>
        <w:t xml:space="preserve"> 含在承包人中标下浮率中</w:t>
      </w:r>
      <w:r>
        <w:rPr>
          <w:rFonts w:hint="eastAsia" w:ascii="仿宋" w:hAnsi="仿宋" w:eastAsia="仿宋" w:cs="仿宋"/>
          <w:lang w:eastAsia="zh-CN"/>
        </w:rPr>
        <w:t>。</w:t>
      </w:r>
    </w:p>
    <w:p w14:paraId="7C541DDB">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③ 不可抗力导致工程费增减额的承担比例：</w:t>
      </w:r>
      <w:r>
        <w:rPr>
          <w:rFonts w:hint="eastAsia" w:ascii="仿宋" w:hAnsi="仿宋" w:eastAsia="仿宋" w:cs="仿宋"/>
          <w:u w:val="single"/>
          <w:lang w:eastAsia="zh-CN"/>
        </w:rPr>
        <w:t xml:space="preserve"> 根据合同相应的条款确定   </w:t>
      </w:r>
      <w:r>
        <w:rPr>
          <w:rFonts w:hint="eastAsia" w:ascii="仿宋" w:hAnsi="仿宋" w:eastAsia="仿宋" w:cs="仿宋"/>
          <w:lang w:eastAsia="zh-CN"/>
        </w:rPr>
        <w:t>。</w:t>
      </w:r>
    </w:p>
    <w:p w14:paraId="37BB6242">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（6）其他调整事项：</w:t>
      </w:r>
    </w:p>
    <w:p w14:paraId="05FFA27D">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后继法律变化事件；</w:t>
      </w:r>
    </w:p>
    <w:p w14:paraId="6244DF82">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工程变更事件；</w:t>
      </w:r>
    </w:p>
    <w:p w14:paraId="05EC2115">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费用索赔事件；</w:t>
      </w:r>
    </w:p>
    <w:p w14:paraId="1CAB9885">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现场签证事件；</w:t>
      </w:r>
    </w:p>
    <w:p w14:paraId="6B04D486">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物价涨落事件；</w:t>
      </w:r>
    </w:p>
    <w:p w14:paraId="79ACF4AC">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收费减免：本项目如能办理到相关的收费减免（如余泥渣土排放费等）；</w:t>
      </w:r>
    </w:p>
    <w:p w14:paraId="4F2C0B48">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税率调整。</w:t>
      </w:r>
    </w:p>
    <w:p w14:paraId="1317D526">
      <w:pPr>
        <w:pStyle w:val="42"/>
        <w:spacing w:line="360" w:lineRule="auto"/>
        <w:ind w:firstLine="400"/>
        <w:rPr>
          <w:lang w:eastAsia="zh-CN"/>
        </w:rPr>
      </w:pPr>
    </w:p>
    <w:p w14:paraId="137FB46D">
      <w:pPr>
        <w:pStyle w:val="3"/>
        <w:tabs>
          <w:tab w:val="left" w:pos="420"/>
        </w:tabs>
        <w:spacing w:before="0" w:after="0" w:line="360" w:lineRule="auto"/>
        <w:rPr>
          <w:rFonts w:ascii="仿宋" w:hAnsi="仿宋" w:eastAsia="仿宋" w:cs="仿宋"/>
          <w:b w:val="0"/>
          <w:bCs w:val="0"/>
          <w:i w:val="0"/>
          <w:sz w:val="24"/>
          <w:szCs w:val="24"/>
          <w:lang w:eastAsia="zh-CN"/>
        </w:rPr>
      </w:pPr>
      <w:bookmarkStart w:id="1006" w:name="_Toc19950"/>
      <w:bookmarkStart w:id="1007" w:name="_Toc194073265"/>
      <w:bookmarkStart w:id="1008" w:name="_Toc9738"/>
      <w:bookmarkStart w:id="1009" w:name="_Toc5623"/>
      <w:r>
        <w:rPr>
          <w:rFonts w:hint="eastAsia" w:ascii="仿宋" w:hAnsi="仿宋" w:eastAsia="仿宋" w:cs="仿宋"/>
          <w:b w:val="0"/>
          <w:bCs w:val="0"/>
          <w:i w:val="0"/>
          <w:sz w:val="24"/>
          <w:szCs w:val="24"/>
          <w:lang w:eastAsia="zh-CN"/>
        </w:rPr>
        <w:t>★71.  工作量或工程量</w:t>
      </w:r>
      <w:bookmarkEnd w:id="1006"/>
      <w:bookmarkEnd w:id="1007"/>
      <w:bookmarkEnd w:id="1008"/>
      <w:bookmarkEnd w:id="1009"/>
    </w:p>
    <w:p w14:paraId="1F21F6DB">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71.1 清单工程量包括的工作内容</w:t>
      </w:r>
    </w:p>
    <w:p w14:paraId="321FF25C">
      <w:pPr>
        <w:spacing w:line="360" w:lineRule="auto"/>
        <w:ind w:firstLine="480" w:firstLineChars="200"/>
        <w:rPr>
          <w:rFonts w:ascii="仿宋" w:hAnsi="仿宋" w:eastAsia="仿宋"/>
          <w:lang w:eastAsia="zh-CN"/>
        </w:rPr>
      </w:pPr>
      <w:r>
        <w:rPr>
          <w:rFonts w:hint="eastAsia" w:ascii="仿宋" w:hAnsi="仿宋" w:eastAsia="仿宋" w:cs="仿宋"/>
          <w:lang w:eastAsia="zh-CN"/>
        </w:rPr>
        <w:t>□  按通用条款约定。</w:t>
      </w:r>
    </w:p>
    <w:p w14:paraId="5127AC62">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 xml:space="preserve"> 另作约定：</w:t>
      </w:r>
      <w:r>
        <w:rPr>
          <w:rFonts w:hint="eastAsia" w:ascii="仿宋" w:hAnsi="仿宋" w:eastAsia="仿宋" w:cs="仿宋"/>
          <w:u w:val="single"/>
          <w:lang w:eastAsia="zh-CN"/>
        </w:rPr>
        <w:t xml:space="preserve">  以施工图预算为准。   </w:t>
      </w:r>
    </w:p>
    <w:p w14:paraId="6B89C079">
      <w:pPr>
        <w:spacing w:line="360" w:lineRule="auto"/>
        <w:ind w:firstLine="600" w:firstLineChars="250"/>
        <w:rPr>
          <w:rFonts w:ascii="仿宋" w:hAnsi="仿宋" w:eastAsia="仿宋" w:cs="仿宋"/>
          <w:u w:val="single"/>
          <w:lang w:eastAsia="zh-CN"/>
        </w:rPr>
      </w:pPr>
    </w:p>
    <w:p w14:paraId="37B1EF09">
      <w:pPr>
        <w:pStyle w:val="3"/>
        <w:spacing w:line="360" w:lineRule="auto"/>
        <w:rPr>
          <w:lang w:eastAsia="zh-CN"/>
        </w:rPr>
      </w:pPr>
      <w:bookmarkStart w:id="1010" w:name="_Toc194073266"/>
      <w:bookmarkStart w:id="1011" w:name="_Toc12603"/>
      <w:bookmarkStart w:id="1012" w:name="_Toc4038"/>
      <w:bookmarkStart w:id="1013" w:name="_Toc21659"/>
      <w:r>
        <w:rPr>
          <w:rFonts w:hint="eastAsia" w:ascii="仿宋" w:hAnsi="仿宋" w:eastAsia="仿宋" w:cs="仿宋"/>
          <w:b w:val="0"/>
          <w:bCs w:val="0"/>
          <w:i w:val="0"/>
          <w:iCs w:val="0"/>
          <w:sz w:val="24"/>
          <w:szCs w:val="24"/>
          <w:lang w:eastAsia="zh-CN"/>
        </w:rPr>
        <w:t>★72.  计量和计价</w:t>
      </w:r>
      <w:bookmarkEnd w:id="1010"/>
      <w:bookmarkEnd w:id="1011"/>
      <w:bookmarkEnd w:id="1012"/>
      <w:bookmarkEnd w:id="1013"/>
    </w:p>
    <w:p w14:paraId="6A08CBD3">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72.1.1 工程勘察费的计量规则与计价办法</w:t>
      </w:r>
    </w:p>
    <w:p w14:paraId="44828F78">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总价合同：</w:t>
      </w:r>
    </w:p>
    <w:p w14:paraId="1183E021">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计量规则与计价办法：按协议书约定的价格总价包干，除合同约定允许调整的事项外，合同总价不予调整。</w:t>
      </w:r>
    </w:p>
    <w:p w14:paraId="7FC2C9C3">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□另作约定：</w:t>
      </w:r>
      <w:r>
        <w:rPr>
          <w:rFonts w:ascii="仿宋" w:hAnsi="仿宋" w:eastAsia="仿宋" w:cs="仿宋"/>
          <w:u w:val="single"/>
          <w:lang w:eastAsia="zh-CN"/>
        </w:rPr>
        <w:t xml:space="preserve">  /  </w:t>
      </w:r>
      <w:r>
        <w:rPr>
          <w:rFonts w:hint="eastAsia" w:ascii="仿宋" w:hAnsi="仿宋" w:eastAsia="仿宋" w:cs="仿宋"/>
          <w:u w:val="single"/>
          <w:lang w:eastAsia="zh-CN"/>
        </w:rPr>
        <w:t>。</w:t>
      </w:r>
    </w:p>
    <w:p w14:paraId="518B8686">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72.1.2 工程设计费的计量规则与计价：</w:t>
      </w:r>
    </w:p>
    <w:p w14:paraId="2F49BA49">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总价合同：按协议书约定的价格总价包干，除合同约定允许调整的事项外，总价不予调整。</w:t>
      </w:r>
    </w:p>
    <w:p w14:paraId="183935F6">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另作约定：</w:t>
      </w:r>
      <w:r>
        <w:rPr>
          <w:rFonts w:ascii="仿宋" w:hAnsi="仿宋" w:eastAsia="仿宋" w:cs="仿宋"/>
          <w:u w:val="single"/>
          <w:lang w:eastAsia="zh-CN"/>
        </w:rPr>
        <w:t xml:space="preserve">  /  </w:t>
      </w:r>
      <w:r>
        <w:rPr>
          <w:rFonts w:hint="eastAsia" w:ascii="仿宋" w:hAnsi="仿宋" w:eastAsia="仿宋" w:cs="仿宋"/>
          <w:u w:val="single"/>
          <w:lang w:eastAsia="zh-CN"/>
        </w:rPr>
        <w:t>。</w:t>
      </w:r>
    </w:p>
    <w:p w14:paraId="50A44817">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72.1.3 BIM 技术应用费的计量规则与计价办法</w:t>
      </w:r>
    </w:p>
    <w:p w14:paraId="6308BC1E">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总价合同：按协议书约定的价格总价包干，除合同约定允许调整的事项外，总价不予调整。</w:t>
      </w:r>
    </w:p>
    <w:p w14:paraId="7D25381C">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另作约定：</w:t>
      </w:r>
      <w:r>
        <w:rPr>
          <w:rFonts w:ascii="仿宋" w:hAnsi="仿宋" w:eastAsia="仿宋" w:cs="仿宋"/>
          <w:u w:val="single"/>
          <w:lang w:eastAsia="zh-CN"/>
        </w:rPr>
        <w:t xml:space="preserve">  /  </w:t>
      </w:r>
      <w:r>
        <w:rPr>
          <w:rFonts w:hint="eastAsia" w:ascii="仿宋" w:hAnsi="仿宋" w:eastAsia="仿宋" w:cs="仿宋"/>
          <w:u w:val="single"/>
          <w:lang w:eastAsia="zh-CN"/>
        </w:rPr>
        <w:t>。</w:t>
      </w:r>
    </w:p>
    <w:p w14:paraId="66B56614">
      <w:pPr>
        <w:spacing w:line="360" w:lineRule="auto"/>
        <w:ind w:firstLine="480" w:firstLineChars="200"/>
        <w:rPr>
          <w:rFonts w:ascii="仿宋" w:hAnsi="仿宋" w:eastAsia="仿宋" w:cs="仿宋"/>
          <w:lang w:eastAsia="zh-CN"/>
        </w:rPr>
      </w:pPr>
      <w:r>
        <w:rPr>
          <w:rFonts w:ascii="仿宋" w:hAnsi="仿宋" w:eastAsia="仿宋" w:cs="仿宋"/>
          <w:lang w:eastAsia="zh-CN"/>
        </w:rPr>
        <w:t>72.1.5 建筑安装工程费的工程量计算规则和计价</w:t>
      </w:r>
      <w:r>
        <w:rPr>
          <w:rFonts w:hint="eastAsia" w:ascii="仿宋" w:hAnsi="仿宋" w:eastAsia="仿宋" w:cs="仿宋"/>
          <w:lang w:eastAsia="zh-CN"/>
        </w:rPr>
        <w:t>：</w:t>
      </w:r>
    </w:p>
    <w:p w14:paraId="41C6EE22">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1.关于施工图预算编制原则：</w:t>
      </w:r>
    </w:p>
    <w:p w14:paraId="3D2DCA61">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（1）分部分项工程费</w:t>
      </w:r>
    </w:p>
    <w:p w14:paraId="5BC839E9">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A、计价依据</w:t>
      </w:r>
    </w:p>
    <w:p w14:paraId="14A4F08F">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1）本项目招标文件；</w:t>
      </w:r>
    </w:p>
    <w:p w14:paraId="56EED173">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2）本项目投标文件（中标下浮率）；</w:t>
      </w:r>
    </w:p>
    <w:p w14:paraId="24CC4665">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3）经审查合格的施工图设计文件；</w:t>
      </w:r>
    </w:p>
    <w:p w14:paraId="6F918CD0">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4）经审定的初步设计概算；</w:t>
      </w:r>
    </w:p>
    <w:p w14:paraId="6A111853">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5）《建设工程工程量清单计价规范》（GB50500-2013）（施工图预算审定之前，国家标准如有更新，按最新的国家标准执行）；</w:t>
      </w:r>
    </w:p>
    <w:p w14:paraId="32ACAFDE">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6）《广东省建设工程计价依据（2018）》、《广东省房屋建筑与装饰工程综合定额（2018）》、《广东省通用安装工程综合定额（2018）》、《广东省市政工程综合定额（2018）》、《广东省园林绿化工程综合定额（2018）》（本合同约定的全部定额标准均包含其配套定额勘误，下同）；</w:t>
      </w:r>
    </w:p>
    <w:p w14:paraId="66197171">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7）《广州地区建设工程常用材料税前综合价格》(以下简称“《综合价格》”)；</w:t>
      </w:r>
    </w:p>
    <w:p w14:paraId="69BB7500">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8）省市相关文件要求。</w:t>
      </w:r>
    </w:p>
    <w:p w14:paraId="14CADE2A">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9）发包人和承包人共同约定的其他依据。</w:t>
      </w:r>
    </w:p>
    <w:p w14:paraId="1C002977">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B、确定工程量</w:t>
      </w:r>
    </w:p>
    <w:p w14:paraId="0228071B">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以经审查通过后的施工图为依据，按工程量计算规范（GB50854～50862-2013）（施工图预算审定之前，国家标准如有更新，按最新的国家标准执行）计算工程量，最终以经发包人确认的竣工图为依据结算（施工图预算漏计、少算的费用，发包人不予追加，由承包人自行承担）。</w:t>
      </w:r>
    </w:p>
    <w:p w14:paraId="68E8361B">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C、确定综合单价</w:t>
      </w:r>
    </w:p>
    <w:p w14:paraId="3127268C">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1）确定人、材、机价格</w:t>
      </w:r>
    </w:p>
    <w:p w14:paraId="661CDF89">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人、材、机价格执行广州市建设工程造价管理站颁布的《广州市建设工程价格信息及有关计价办法的通知》</w:t>
      </w:r>
    </w:p>
    <w:p w14:paraId="01FFC793">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①施工图审查通过时点（注：基坑支护工程以发包人确认并正式下发相应施工蓝图时点为准）当月广州市建设工程造价管理站发布的《综合价格》中有相应材料综合价格的，则按《综合价格》中相应材料综合价格执行。《综合价格》中可能有材料或者设备单价但涉及品质、效果的材料设备单价按照发包人审核确定的实物样板以及品质（或者技术）要求，根据本款第②确定主材价，具体材料设备类型如下：石材、瓷砖、卫生洁具、开关插座面板、灯具、窗帘（如有）、木地板、地毯、木饰面、门、门锁等。</w:t>
      </w:r>
    </w:p>
    <w:p w14:paraId="1B88F924">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②施工图审查通过时点（注：基坑支护工程以发包人确认并正式下发相应施工蓝图时点为准）当月《综合价格》中没有的，由发包人、监理单位及承包人根据合理的市场价格水平协商确定。</w:t>
      </w:r>
    </w:p>
    <w:p w14:paraId="13324F9E">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2）综合单价编制方式</w:t>
      </w:r>
    </w:p>
    <w:p w14:paraId="2B9F85DB">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按照下列标准确定人工、材料和机械的消耗量：</w:t>
      </w:r>
    </w:p>
    <w:p w14:paraId="3AF9D608">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《广东省房屋建筑与装饰工程综合定额（2018）》；</w:t>
      </w:r>
    </w:p>
    <w:p w14:paraId="36F69887">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《广东省通用安装工程综合定额（2018）》；</w:t>
      </w:r>
    </w:p>
    <w:p w14:paraId="1BA1A2AA">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《广东省市政工程工程综合定额（2018）》；</w:t>
      </w:r>
    </w:p>
    <w:p w14:paraId="15F2BC1B">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《广东省园林绿化工程综合定额（2018）》。</w:t>
      </w:r>
    </w:p>
    <w:p w14:paraId="263CF42F">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上述定额查找不到的可参考其他相关定额或由发包人与承包人协商确定。</w:t>
      </w:r>
    </w:p>
    <w:p w14:paraId="185A7BF7">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（2）措施项目费</w:t>
      </w:r>
    </w:p>
    <w:p w14:paraId="53F3190B">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1）按工程量及综合单价确定原则及相关规范、文件计取。</w:t>
      </w:r>
    </w:p>
    <w:p w14:paraId="0C97D29E">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2）结算时按补充合同价格清单确定的措施项目费总价包干（专业工程暂估价结算原则执行专用条款第75款）。</w:t>
      </w:r>
    </w:p>
    <w:p w14:paraId="686DDC2E">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（3）其他项目费</w:t>
      </w:r>
    </w:p>
    <w:p w14:paraId="219A040E">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1）第三方建设工程质量、安全监测、材料检验试验业务由发包人依法委托，不在本合同承包范围。</w:t>
      </w:r>
    </w:p>
    <w:p w14:paraId="531711AB">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2）预算包干费按相关规定计取，结算时按补充合同价格清单确定的预算包干费金额进行包干，不作调整。</w:t>
      </w:r>
    </w:p>
    <w:p w14:paraId="00AD2A95">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3）暂列金额按规定计取。</w:t>
      </w:r>
    </w:p>
    <w:p w14:paraId="075B2E01">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4）规费、税金：有关规费和税金项目，按相关规定计取。 </w:t>
      </w:r>
    </w:p>
    <w:p w14:paraId="69C2D7F0">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（4）本项目施工图预算采用分阶段编报方式，每阶段（或节点）施工图审查通过后20天内应提交施工图预算书。 </w:t>
      </w:r>
    </w:p>
    <w:p w14:paraId="05EB6765">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5）承包人应严格按批准的限额设计指标完成设计工作，并进行相应经济分析。编制施工图预算时，在项目清单内主材取价必须列明主材、设备的品牌、厂家以及规格或质量等级等内容，经发包人审批同意后方可采购使用。 </w:t>
      </w:r>
    </w:p>
    <w:p w14:paraId="11E7EA23">
      <w:pPr>
        <w:spacing w:line="360" w:lineRule="auto"/>
        <w:ind w:firstLine="480" w:firstLineChars="200"/>
        <w:rPr>
          <w:rFonts w:ascii="仿宋" w:hAnsi="仿宋" w:eastAsia="仿宋" w:cs="仿宋"/>
          <w:lang w:eastAsia="zh-CN"/>
        </w:rPr>
      </w:pPr>
      <w:bookmarkStart w:id="1014" w:name="_Hlk197509685"/>
      <w:r>
        <w:rPr>
          <w:rFonts w:hint="eastAsia" w:ascii="仿宋" w:hAnsi="仿宋" w:eastAsia="仿宋" w:cs="仿宋"/>
          <w:lang w:eastAsia="zh-CN"/>
        </w:rPr>
        <w:t>2.施工图预算的审核</w:t>
      </w:r>
    </w:p>
    <w:p w14:paraId="179B74B0">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1）发包人审核承包人提交的施工图预算书，若承包人不能按合同约定的时间提交预算编制成果文件或其质量不能满足规定成果文件要求，经发包人催告后仍不能如期提交或质量不达标，发包人可委托第三方造价咨询单位编制施工图预算书，承包人需按要求提供相关资料及配合工作，并在收到第三方造价咨询单位编制的施工图预算书30天内完成校对并确认，若超过规定时间则视为承包人同意第三方造价咨询单位编制的施工图预算结果。造价咨询费用由承包人支付或在进度款中扣除。因承包人送审预算延迟、核对预算延迟，或对数延误产生的后果由承包人承担。</w:t>
      </w:r>
    </w:p>
    <w:p w14:paraId="45513DBF">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（2）预算审核确定方式 </w:t>
      </w:r>
    </w:p>
    <w:p w14:paraId="4E1B383D">
      <w:pPr>
        <w:spacing w:line="360" w:lineRule="auto"/>
        <w:ind w:firstLine="480" w:firstLineChars="200"/>
        <w:rPr>
          <w:rFonts w:hint="eastAsia" w:ascii="仿宋" w:hAnsi="仿宋" w:eastAsia="仿宋" w:cs="仿宋"/>
          <w:lang w:eastAsia="zh-CN"/>
        </w:rPr>
      </w:pPr>
      <w:bookmarkStart w:id="1015" w:name="OLE_LINK12"/>
      <w:r>
        <w:rPr>
          <w:rFonts w:hint="eastAsia" w:ascii="仿宋" w:hAnsi="仿宋" w:eastAsia="仿宋" w:cs="仿宋"/>
          <w:lang w:eastAsia="zh-CN"/>
        </w:rPr>
        <w:t>承包人需按照发包人要求，配合发包人进行施工图预算审核。承包人在收到审核意见后30天内完成校对并确认，承包人对审核若有异议，则双方进行对数。如承包人未在规定时间内提出复核意见，则视为承包人同意审核结果；如对数后承包人仍未在规定时间内确认审核结果的，则承包人必须按发包人审核意见进行确认。</w:t>
      </w:r>
      <w:bookmarkEnd w:id="1015"/>
    </w:p>
    <w:bookmarkEnd w:id="1014"/>
    <w:p w14:paraId="028028FF">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3.合同价款的确定</w:t>
      </w:r>
    </w:p>
    <w:p w14:paraId="21B5E96F">
      <w:pPr>
        <w:spacing w:line="360" w:lineRule="auto"/>
        <w:ind w:firstLine="480" w:firstLineChars="200"/>
        <w:rPr>
          <w:rFonts w:ascii="仿宋" w:hAnsi="仿宋" w:eastAsia="仿宋" w:cs="仿宋"/>
          <w:lang w:eastAsia="zh-CN"/>
        </w:rPr>
      </w:pPr>
      <w:bookmarkStart w:id="1016" w:name="_Hlk197511739"/>
      <w:r>
        <w:rPr>
          <w:rFonts w:hint="eastAsia" w:ascii="仿宋" w:hAnsi="仿宋" w:eastAsia="仿宋" w:cs="仿宋"/>
          <w:lang w:eastAsia="zh-CN"/>
        </w:rPr>
        <w:t>本项目施工图审查通过后，根据最终确认的施工图纸，按合同约定的方法，采用工程量清单模式编制施工图预算。施工图预算经审定后，以经审定的施工图预算结合合同约定下浮率及施工费中标下浮率调整签约合同价并签订补充合同，补充合同施工费=(分部分项工程费总价+措施费项目总价+其他项目费)×（1-合同约定下浮率）×（1-施工费中标下浮率）+税金（上述两个下浮率须体现在各综合单价水平、有关费率中。绿色施工安全防护措施费、暂估价、暂列金等非竞争性费用按审定施工图预算的相应金额计列、不作下浮），以此作为后续工程计量支付的依据。结算时工程量按实结算（施工图预算漏计、少算的费用，发包人不予追加，由承包人自行承担），补充合同价格清单综合单价包干，措施项目费总价包干。</w:t>
      </w:r>
      <w:bookmarkStart w:id="1017" w:name="OLE_LINK14"/>
      <w:r>
        <w:rPr>
          <w:rFonts w:hint="eastAsia" w:ascii="仿宋" w:hAnsi="仿宋" w:eastAsia="仿宋" w:cs="仿宋"/>
          <w:lang w:eastAsia="zh-CN"/>
        </w:rPr>
        <w:t>本合同施工费结算金额不得超过审定概算的建安工程费及相应预备费之和，</w:t>
      </w:r>
      <w:bookmarkEnd w:id="1017"/>
      <w:bookmarkStart w:id="1018" w:name="OLE_LINK13"/>
      <w:r>
        <w:rPr>
          <w:rFonts w:hint="eastAsia" w:ascii="仿宋" w:hAnsi="仿宋" w:eastAsia="仿宋" w:cs="仿宋"/>
          <w:lang w:eastAsia="zh-CN"/>
        </w:rPr>
        <w:t>最终结算以经发包人确认的有权审核部门的结算终审金额为准。</w:t>
      </w:r>
    </w:p>
    <w:bookmarkEnd w:id="1016"/>
    <w:bookmarkEnd w:id="1018"/>
    <w:p w14:paraId="3FFFFE95">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4.工程项目实施期间和结算时，依据批准的施工图设计文件或监理单位和发包人现场签证确认或设计变更产生施工图预算中没有的工程项目，视为新增及变更项目，按专用条款第79条款约定定价。</w:t>
      </w:r>
    </w:p>
    <w:p w14:paraId="731C49BF">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5.承包人应当在设计变更发生后14天内，将调整原因、金额以书面形式通知监理人代表和发包人代表，经发包人规定的审批流程确认后调整金额后作为追加合同价款。 </w:t>
      </w:r>
    </w:p>
    <w:p w14:paraId="6B33E632">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6.对各合同内发包人委托第三方检测、监测、测量的工作，凡需互相配合协作的，承包人应按发包人的指令积极予以配合和提供方便（如施工水电、施工通道、场地等），不得借故收取额外费用，水电费由使用方负责。</w:t>
      </w:r>
    </w:p>
    <w:p w14:paraId="406C5CD7">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7.临时用水、临时用电费用由承包人自行解决，相关费用含在安全防护、文明施工措施费/绿色施工安全防护措施费中，发包人不另行计列。</w:t>
      </w:r>
    </w:p>
    <w:p w14:paraId="503C956A">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9.该工程所涉及开挖市政道路及人行道砖，承包人须负责向相关部门申报开挖并缴纳相应的费用，相关费用含在承包人中标下浮率中，发包人不再另行计列。 </w:t>
      </w:r>
    </w:p>
    <w:p w14:paraId="30200C7A">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72.1.6 其他服务项目费用的计量规则与计价办法</w:t>
      </w:r>
    </w:p>
    <w:p w14:paraId="1478EA47">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按通用条款72.1.6规定。</w:t>
      </w:r>
    </w:p>
    <w:p w14:paraId="0272F375">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另作约定：</w:t>
      </w:r>
      <w:r>
        <w:rPr>
          <w:rFonts w:hint="eastAsia" w:ascii="仿宋" w:hAnsi="仿宋" w:eastAsia="仿宋" w:cs="仿宋"/>
          <w:u w:val="single"/>
          <w:lang w:eastAsia="zh-CN"/>
        </w:rPr>
        <w:t xml:space="preserve">  /  。</w:t>
      </w:r>
    </w:p>
    <w:p w14:paraId="2B186582">
      <w:pPr>
        <w:pStyle w:val="42"/>
        <w:spacing w:line="360" w:lineRule="auto"/>
        <w:ind w:firstLine="480"/>
        <w:rPr>
          <w:rFonts w:ascii="仿宋" w:hAnsi="仿宋" w:eastAsia="仿宋" w:cs="仿宋"/>
          <w:i/>
          <w:iCs/>
          <w:sz w:val="24"/>
          <w:szCs w:val="24"/>
          <w:lang w:eastAsia="zh-CN"/>
        </w:rPr>
      </w:pPr>
    </w:p>
    <w:p w14:paraId="28179E5E">
      <w:pPr>
        <w:pStyle w:val="3"/>
        <w:tabs>
          <w:tab w:val="left" w:pos="420"/>
        </w:tabs>
        <w:spacing w:before="0" w:after="0" w:line="360" w:lineRule="auto"/>
        <w:rPr>
          <w:rFonts w:ascii="仿宋" w:hAnsi="仿宋" w:eastAsia="仿宋"/>
          <w:i w:val="0"/>
          <w:sz w:val="24"/>
          <w:szCs w:val="24"/>
          <w:lang w:eastAsia="zh-CN"/>
        </w:rPr>
      </w:pPr>
      <w:bookmarkStart w:id="1019" w:name="_Toc194073267"/>
      <w:bookmarkStart w:id="1020" w:name="_Toc25930"/>
      <w:bookmarkStart w:id="1021" w:name="_Toc13046"/>
      <w:bookmarkStart w:id="1022" w:name="_Toc11203"/>
      <w:r>
        <w:rPr>
          <w:rFonts w:hint="eastAsia" w:ascii="仿宋" w:hAnsi="仿宋" w:eastAsia="仿宋" w:cs="仿宋"/>
          <w:b w:val="0"/>
          <w:bCs w:val="0"/>
          <w:sz w:val="24"/>
          <w:szCs w:val="24"/>
          <w:lang w:eastAsia="zh-CN"/>
        </w:rPr>
        <w:t>★</w:t>
      </w:r>
      <w:r>
        <w:rPr>
          <w:rFonts w:hint="eastAsia" w:ascii="仿宋" w:hAnsi="仿宋" w:eastAsia="仿宋" w:cs="仿宋"/>
          <w:b w:val="0"/>
          <w:bCs w:val="0"/>
          <w:i w:val="0"/>
          <w:sz w:val="24"/>
          <w:szCs w:val="24"/>
          <w:lang w:eastAsia="zh-CN"/>
        </w:rPr>
        <w:t>73.  暂列金额</w:t>
      </w:r>
      <w:bookmarkEnd w:id="1019"/>
      <w:bookmarkEnd w:id="1020"/>
      <w:bookmarkEnd w:id="1021"/>
      <w:bookmarkEnd w:id="1022"/>
    </w:p>
    <w:p w14:paraId="295A4734">
      <w:pPr>
        <w:spacing w:line="360" w:lineRule="auto"/>
        <w:ind w:firstLine="480" w:firstLineChars="200"/>
        <w:rPr>
          <w:rFonts w:ascii="仿宋" w:hAnsi="仿宋" w:eastAsia="仿宋" w:cs="仿宋"/>
          <w:lang w:eastAsia="zh-CN"/>
        </w:rPr>
      </w:pPr>
      <w:bookmarkStart w:id="1023" w:name="_Toc26979"/>
      <w:r>
        <w:rPr>
          <w:rFonts w:hint="eastAsia" w:ascii="仿宋" w:hAnsi="仿宋" w:eastAsia="仿宋" w:cs="仿宋"/>
          <w:lang w:eastAsia="zh-CN"/>
        </w:rPr>
        <w:t>73.1 暂列金额的用途</w:t>
      </w:r>
      <w:bookmarkEnd w:id="1023"/>
    </w:p>
    <w:p w14:paraId="4C1FFCD9">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暂列金额用于本合同工程变更、现场签证、材料调差等费用的支出。</w:t>
      </w:r>
    </w:p>
    <w:p w14:paraId="48C16740">
      <w:pPr>
        <w:pStyle w:val="3"/>
        <w:spacing w:line="360" w:lineRule="auto"/>
        <w:rPr>
          <w:rFonts w:ascii="仿宋" w:hAnsi="仿宋" w:eastAsia="仿宋" w:cs="仿宋"/>
          <w:b w:val="0"/>
          <w:bCs w:val="0"/>
          <w:i w:val="0"/>
          <w:iCs w:val="0"/>
          <w:sz w:val="24"/>
          <w:szCs w:val="24"/>
          <w:lang w:eastAsia="zh-CN"/>
        </w:rPr>
      </w:pPr>
      <w:bookmarkStart w:id="1024" w:name="_Toc194073268"/>
      <w:bookmarkStart w:id="1025" w:name="_Toc8878"/>
      <w:bookmarkStart w:id="1026" w:name="_Toc24320"/>
      <w:r>
        <w:rPr>
          <w:rFonts w:hint="eastAsia" w:ascii="仿宋" w:hAnsi="仿宋" w:eastAsia="仿宋" w:cs="仿宋"/>
          <w:b w:val="0"/>
          <w:bCs w:val="0"/>
          <w:i w:val="0"/>
          <w:iCs w:val="0"/>
          <w:sz w:val="24"/>
          <w:szCs w:val="24"/>
          <w:lang w:eastAsia="zh-CN"/>
        </w:rPr>
        <w:t>★75. 暂估价</w:t>
      </w:r>
      <w:bookmarkEnd w:id="1024"/>
      <w:bookmarkEnd w:id="1025"/>
      <w:bookmarkEnd w:id="1026"/>
    </w:p>
    <w:p w14:paraId="12C4FE2A">
      <w:pPr>
        <w:spacing w:line="360" w:lineRule="auto"/>
        <w:ind w:firstLine="480" w:firstLineChars="200"/>
        <w:rPr>
          <w:lang w:eastAsia="zh-CN"/>
        </w:rPr>
      </w:pPr>
      <w:r>
        <w:rPr>
          <w:rFonts w:hint="eastAsia" w:ascii="仿宋" w:hAnsi="仿宋" w:eastAsia="仿宋" w:cs="仿宋"/>
          <w:lang w:eastAsia="zh-CN"/>
        </w:rPr>
        <w:t>本项目外电工程在施工图预算中以暂估价形式开列。</w:t>
      </w:r>
    </w:p>
    <w:p w14:paraId="08979412">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★75.1 依法必须招标的工程材料、工程设备或专业工程暂估价的约定</w:t>
      </w:r>
    </w:p>
    <w:p w14:paraId="75C62A07">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合同双方当事人的权利、义务</w:t>
      </w:r>
    </w:p>
    <w:p w14:paraId="59EB52E6">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工程材料、工程设备：</w:t>
      </w:r>
      <w:r>
        <w:rPr>
          <w:rFonts w:hint="eastAsia" w:ascii="仿宋" w:hAnsi="仿宋" w:eastAsia="仿宋" w:cs="仿宋"/>
          <w:u w:val="single"/>
          <w:lang w:eastAsia="zh-CN"/>
        </w:rPr>
        <w:t xml:space="preserve"> / 。</w:t>
      </w:r>
    </w:p>
    <w:p w14:paraId="1E98274D">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专业工程：</w:t>
      </w:r>
      <w:r>
        <w:rPr>
          <w:rFonts w:hint="eastAsia" w:ascii="仿宋" w:hAnsi="仿宋" w:eastAsia="仿宋" w:cs="仿宋"/>
          <w:u w:val="single"/>
          <w:lang w:eastAsia="zh-CN"/>
        </w:rPr>
        <w:t xml:space="preserve"> 由承包人通过公开招标方式（招标文件、招标控制价及合同模版等须报发包人审查）确定实施单位并签订合同，招标代理费含在承包人中标下浮率中，发包人不另行计列。</w:t>
      </w:r>
      <w:bookmarkStart w:id="1027" w:name="_Hlk195514220"/>
      <w:r>
        <w:rPr>
          <w:rFonts w:hint="eastAsia" w:ascii="仿宋" w:hAnsi="仿宋" w:eastAsia="仿宋" w:cs="仿宋"/>
          <w:u w:val="single"/>
          <w:lang w:eastAsia="zh-CN"/>
        </w:rPr>
        <w:t>暂估价工程结算时</w:t>
      </w:r>
      <w:bookmarkEnd w:id="1027"/>
      <w:r>
        <w:rPr>
          <w:rFonts w:hint="eastAsia" w:ascii="仿宋" w:hAnsi="仿宋" w:eastAsia="仿宋" w:cs="仿宋"/>
          <w:u w:val="single"/>
          <w:lang w:eastAsia="zh-CN"/>
        </w:rPr>
        <w:t>按照相应合同的分部分项工程综合单价包干、措施费总价包干，工程量按实结算，合同价款调整原则按照专用条款第79条款执行。</w:t>
      </w:r>
    </w:p>
    <w:p w14:paraId="40D5EDFB">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75.3 依法不需要招标的专业工程暂估价的约定</w:t>
      </w:r>
    </w:p>
    <w:p w14:paraId="43464456">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按通用条款约定，由造价咨询人与承包人确定。</w:t>
      </w:r>
    </w:p>
    <w:p w14:paraId="53146035">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 另作约定：</w:t>
      </w:r>
      <w:r>
        <w:rPr>
          <w:rFonts w:hint="eastAsia" w:ascii="仿宋" w:hAnsi="仿宋" w:eastAsia="仿宋" w:cs="仿宋"/>
          <w:u w:val="single"/>
          <w:lang w:eastAsia="zh-CN"/>
        </w:rPr>
        <w:t>由承包人通过内部招采方式（竞标文件、竞标控制价及合同模版等须报发包人审查）确定实施单位并签订合同。暂估价工程结算时按照相应合同的分部分项工程综合单价包干、措施费总价包干，工程量按实结算，合同价款调整原则按照专用条款第79条款执行。</w:t>
      </w:r>
    </w:p>
    <w:p w14:paraId="6FC42833">
      <w:pPr>
        <w:pStyle w:val="3"/>
        <w:tabs>
          <w:tab w:val="left" w:pos="420"/>
        </w:tabs>
        <w:spacing w:before="0" w:after="0" w:line="360" w:lineRule="auto"/>
        <w:rPr>
          <w:rFonts w:ascii="仿宋" w:hAnsi="仿宋" w:eastAsia="仿宋" w:cs="仿宋"/>
          <w:b w:val="0"/>
          <w:bCs w:val="0"/>
          <w:i w:val="0"/>
          <w:sz w:val="24"/>
          <w:szCs w:val="24"/>
          <w:lang w:eastAsia="zh-CN"/>
        </w:rPr>
      </w:pPr>
      <w:bookmarkStart w:id="1028" w:name="_Toc3646"/>
      <w:bookmarkStart w:id="1029" w:name="_Toc31149"/>
      <w:bookmarkStart w:id="1030" w:name="_Toc194073269"/>
      <w:bookmarkStart w:id="1031" w:name="_Toc1372"/>
      <w:r>
        <w:rPr>
          <w:rFonts w:hint="eastAsia" w:ascii="仿宋" w:hAnsi="仿宋" w:eastAsia="仿宋" w:cs="仿宋"/>
          <w:b w:val="0"/>
          <w:bCs w:val="0"/>
          <w:i w:val="0"/>
          <w:iCs w:val="0"/>
          <w:sz w:val="24"/>
          <w:szCs w:val="24"/>
          <w:lang w:eastAsia="zh-CN"/>
        </w:rPr>
        <w:t>★</w:t>
      </w:r>
      <w:r>
        <w:rPr>
          <w:rFonts w:hint="eastAsia" w:ascii="仿宋" w:hAnsi="仿宋" w:eastAsia="仿宋" w:cs="仿宋"/>
          <w:b w:val="0"/>
          <w:bCs w:val="0"/>
          <w:i w:val="0"/>
          <w:sz w:val="24"/>
          <w:szCs w:val="24"/>
          <w:lang w:eastAsia="zh-CN"/>
        </w:rPr>
        <w:t>76.  提前竣工奖与误期赔偿费</w:t>
      </w:r>
      <w:bookmarkEnd w:id="1028"/>
      <w:bookmarkEnd w:id="1029"/>
      <w:bookmarkEnd w:id="1030"/>
      <w:bookmarkEnd w:id="1031"/>
    </w:p>
    <w:p w14:paraId="6EF5C21B">
      <w:pPr>
        <w:spacing w:line="360" w:lineRule="auto"/>
        <w:ind w:firstLine="480" w:firstLineChars="200"/>
        <w:rPr>
          <w:rFonts w:ascii="仿宋" w:hAnsi="仿宋" w:eastAsia="仿宋"/>
          <w:lang w:eastAsia="zh-CN"/>
        </w:rPr>
      </w:pPr>
      <w:r>
        <w:rPr>
          <w:rFonts w:hint="eastAsia" w:ascii="仿宋" w:hAnsi="仿宋" w:eastAsia="仿宋"/>
          <w:lang w:eastAsia="zh-CN"/>
        </w:rPr>
        <w:t>76.1 提前竣工奖</w:t>
      </w:r>
    </w:p>
    <w:p w14:paraId="161B7202">
      <w:pPr>
        <w:spacing w:line="360" w:lineRule="auto"/>
        <w:ind w:firstLine="480" w:firstLineChars="200"/>
        <w:rPr>
          <w:rFonts w:ascii="仿宋" w:hAnsi="仿宋" w:eastAsia="仿宋"/>
          <w:lang w:eastAsia="zh-CN"/>
        </w:rPr>
      </w:pPr>
      <w:r>
        <w:rPr>
          <w:rFonts w:hint="eastAsia" w:ascii="仿宋" w:hAnsi="仿宋" w:eastAsia="仿宋"/>
          <w:lang w:eastAsia="zh-CN"/>
        </w:rPr>
        <w:t>（1）提前竣工奖额度</w:t>
      </w:r>
    </w:p>
    <w:p w14:paraId="388AC873">
      <w:pPr>
        <w:spacing w:line="360" w:lineRule="auto"/>
        <w:ind w:firstLine="480" w:firstLineChars="200"/>
        <w:rPr>
          <w:rFonts w:ascii="仿宋" w:hAnsi="仿宋" w:eastAsia="仿宋"/>
          <w:lang w:eastAsia="zh-CN"/>
        </w:rPr>
      </w:pPr>
      <w:r>
        <w:rPr>
          <w:rFonts w:hint="eastAsia" w:ascii="仿宋" w:hAnsi="仿宋" w:eastAsia="仿宋"/>
          <w:lang w:eastAsia="zh-CN"/>
        </w:rPr>
        <w:t>☑ 未约定提前竣工奖的，本款不适用。</w:t>
      </w:r>
    </w:p>
    <w:p w14:paraId="04EF95C1">
      <w:pPr>
        <w:spacing w:line="360" w:lineRule="auto"/>
        <w:ind w:firstLine="480" w:firstLineChars="200"/>
        <w:rPr>
          <w:rFonts w:ascii="仿宋" w:hAnsi="仿宋" w:eastAsia="仿宋"/>
          <w:lang w:eastAsia="zh-CN"/>
        </w:rPr>
      </w:pPr>
      <w:r>
        <w:rPr>
          <w:rFonts w:hint="eastAsia" w:ascii="仿宋" w:hAnsi="仿宋" w:eastAsia="仿宋"/>
          <w:lang w:eastAsia="zh-CN"/>
        </w:rPr>
        <w:t>□ 约定提前竣工奖的，每日历天应奖额度为</w:t>
      </w:r>
      <w:r>
        <w:rPr>
          <w:rFonts w:hint="eastAsia" w:ascii="仿宋" w:hAnsi="仿宋" w:eastAsia="仿宋"/>
          <w:u w:val="single"/>
          <w:lang w:eastAsia="zh-CN"/>
        </w:rPr>
        <w:t xml:space="preserve">    /   </w:t>
      </w:r>
      <w:r>
        <w:rPr>
          <w:rFonts w:hint="eastAsia" w:ascii="仿宋" w:hAnsi="仿宋" w:eastAsia="仿宋"/>
          <w:lang w:eastAsia="zh-CN"/>
        </w:rPr>
        <w:t>元。</w:t>
      </w:r>
    </w:p>
    <w:p w14:paraId="4257EAF5">
      <w:pPr>
        <w:spacing w:line="360" w:lineRule="auto"/>
        <w:ind w:firstLine="480" w:firstLineChars="200"/>
        <w:rPr>
          <w:rFonts w:ascii="仿宋" w:hAnsi="仿宋" w:eastAsia="仿宋"/>
          <w:lang w:eastAsia="zh-CN"/>
        </w:rPr>
      </w:pPr>
      <w:r>
        <w:rPr>
          <w:rFonts w:hint="eastAsia" w:ascii="仿宋" w:hAnsi="仿宋" w:eastAsia="仿宋"/>
          <w:lang w:eastAsia="zh-CN"/>
        </w:rPr>
        <w:t xml:space="preserve">（2）提前竣工奖的最高限额 </w:t>
      </w:r>
    </w:p>
    <w:p w14:paraId="57D48927">
      <w:pPr>
        <w:spacing w:line="360" w:lineRule="auto"/>
        <w:ind w:firstLine="480" w:firstLineChars="200"/>
        <w:rPr>
          <w:rFonts w:ascii="仿宋" w:hAnsi="仿宋" w:eastAsia="仿宋"/>
          <w:lang w:eastAsia="zh-CN"/>
        </w:rPr>
      </w:pPr>
      <w:r>
        <w:rPr>
          <w:rFonts w:hint="eastAsia" w:ascii="仿宋" w:hAnsi="仿宋" w:eastAsia="仿宋"/>
          <w:lang w:eastAsia="zh-CN"/>
        </w:rPr>
        <w:t>□按通用条款约定为合同价款的5%，即</w:t>
      </w:r>
      <w:r>
        <w:rPr>
          <w:rFonts w:hint="eastAsia" w:ascii="仿宋" w:hAnsi="仿宋" w:eastAsia="仿宋"/>
          <w:u w:val="single"/>
          <w:lang w:eastAsia="zh-CN"/>
        </w:rPr>
        <w:t xml:space="preserve">    /     </w:t>
      </w:r>
      <w:r>
        <w:rPr>
          <w:rFonts w:hint="eastAsia" w:ascii="仿宋" w:hAnsi="仿宋" w:eastAsia="仿宋"/>
          <w:lang w:eastAsia="zh-CN"/>
        </w:rPr>
        <w:t>元。</w:t>
      </w:r>
    </w:p>
    <w:p w14:paraId="5BB95EB2">
      <w:pPr>
        <w:spacing w:line="360" w:lineRule="auto"/>
        <w:ind w:firstLine="480" w:firstLineChars="200"/>
        <w:rPr>
          <w:rFonts w:ascii="仿宋" w:hAnsi="仿宋" w:eastAsia="仿宋"/>
          <w:lang w:eastAsia="zh-CN"/>
        </w:rPr>
      </w:pPr>
      <w:r>
        <w:rPr>
          <w:rFonts w:hint="eastAsia" w:ascii="仿宋" w:hAnsi="仿宋" w:eastAsia="仿宋"/>
          <w:lang w:eastAsia="zh-CN"/>
        </w:rPr>
        <w:t xml:space="preserve">☑另作约定： 不设提前竣工奖，本款不适用。 </w:t>
      </w:r>
    </w:p>
    <w:p w14:paraId="434E8620">
      <w:pPr>
        <w:spacing w:line="360" w:lineRule="auto"/>
        <w:ind w:firstLine="480" w:firstLineChars="200"/>
        <w:rPr>
          <w:rFonts w:ascii="仿宋" w:hAnsi="仿宋" w:eastAsia="仿宋"/>
          <w:lang w:eastAsia="zh-CN"/>
        </w:rPr>
      </w:pPr>
      <w:r>
        <w:rPr>
          <w:rFonts w:hint="eastAsia" w:ascii="仿宋" w:hAnsi="仿宋" w:eastAsia="仿宋" w:cs="仿宋"/>
          <w:lang w:eastAsia="zh-CN"/>
        </w:rPr>
        <w:t>76.2 误期赔偿费</w:t>
      </w:r>
    </w:p>
    <w:p w14:paraId="330DC8EA">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① 每日历天应赔偿额度：见合同专用条款第 95 款</w:t>
      </w:r>
    </w:p>
    <w:p w14:paraId="58C21BA8">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② 误期赔偿费的最高限额</w:t>
      </w:r>
    </w:p>
    <w:p w14:paraId="63D3B10D">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按通用条款约定为合同价款的 5%。</w:t>
      </w:r>
    </w:p>
    <w:p w14:paraId="70142688">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另作约定：无最高限额。</w:t>
      </w:r>
    </w:p>
    <w:p w14:paraId="35E00A52">
      <w:pPr>
        <w:spacing w:line="360" w:lineRule="auto"/>
        <w:ind w:firstLine="480" w:firstLineChars="200"/>
        <w:rPr>
          <w:rFonts w:ascii="仿宋" w:hAnsi="仿宋" w:eastAsia="仿宋" w:cs="仿宋"/>
          <w:u w:val="single"/>
          <w:lang w:eastAsia="zh-CN"/>
        </w:rPr>
      </w:pPr>
    </w:p>
    <w:p w14:paraId="5B8343C6">
      <w:pPr>
        <w:pStyle w:val="3"/>
        <w:tabs>
          <w:tab w:val="left" w:pos="420"/>
        </w:tabs>
        <w:spacing w:before="0" w:after="0" w:line="360" w:lineRule="auto"/>
        <w:rPr>
          <w:rFonts w:ascii="仿宋" w:hAnsi="仿宋" w:eastAsia="仿宋"/>
          <w:b w:val="0"/>
          <w:bCs w:val="0"/>
          <w:i w:val="0"/>
          <w:sz w:val="24"/>
          <w:szCs w:val="24"/>
          <w:lang w:eastAsia="zh-CN"/>
        </w:rPr>
      </w:pPr>
      <w:bookmarkStart w:id="1032" w:name="_Toc3850"/>
      <w:bookmarkStart w:id="1033" w:name="_Toc194073270"/>
      <w:bookmarkStart w:id="1034" w:name="_Toc5473"/>
      <w:bookmarkStart w:id="1035" w:name="_Toc21377"/>
      <w:r>
        <w:rPr>
          <w:rFonts w:hint="eastAsia" w:ascii="仿宋" w:hAnsi="仿宋" w:eastAsia="仿宋" w:cs="仿宋"/>
          <w:b w:val="0"/>
          <w:bCs w:val="0"/>
          <w:i w:val="0"/>
          <w:sz w:val="24"/>
          <w:szCs w:val="24"/>
          <w:lang w:eastAsia="zh-CN"/>
        </w:rPr>
        <w:t>★77.  优质优价费用</w:t>
      </w:r>
      <w:bookmarkEnd w:id="1032"/>
      <w:bookmarkEnd w:id="1033"/>
      <w:bookmarkEnd w:id="1034"/>
      <w:bookmarkEnd w:id="1035"/>
    </w:p>
    <w:p w14:paraId="6870E2EC">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77.1优质优价费用的约定</w:t>
      </w:r>
    </w:p>
    <w:p w14:paraId="55A5A773">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优质优价费用的计算额度：</w:t>
      </w:r>
    </w:p>
    <w:p w14:paraId="0A52E5E8">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按通用条款约定计算，当合同工程同时获得上述多个奖项的，优质优价费用只按最高奖项的额度计算。国家级质量奖，优质优价费用率为</w:t>
      </w:r>
      <w:r>
        <w:rPr>
          <w:rFonts w:hint="eastAsia" w:ascii="仿宋" w:hAnsi="仿宋" w:eastAsia="仿宋" w:cs="仿宋"/>
          <w:u w:val="single"/>
          <w:lang w:eastAsia="zh-CN"/>
        </w:rPr>
        <w:t xml:space="preserve"> / </w:t>
      </w:r>
      <w:r>
        <w:rPr>
          <w:rFonts w:hint="eastAsia" w:ascii="仿宋" w:hAnsi="仿宋" w:eastAsia="仿宋" w:cs="仿宋"/>
          <w:lang w:eastAsia="zh-CN"/>
        </w:rPr>
        <w:t>%，计费基础为</w:t>
      </w:r>
      <w:r>
        <w:rPr>
          <w:rFonts w:hint="eastAsia" w:ascii="仿宋" w:hAnsi="仿宋" w:eastAsia="仿宋" w:cs="仿宋"/>
          <w:u w:val="single"/>
          <w:lang w:eastAsia="zh-CN"/>
        </w:rPr>
        <w:t xml:space="preserve"> / </w:t>
      </w:r>
      <w:r>
        <w:rPr>
          <w:rFonts w:hint="eastAsia" w:ascii="仿宋" w:hAnsi="仿宋" w:eastAsia="仿宋" w:cs="仿宋"/>
          <w:lang w:eastAsia="zh-CN"/>
        </w:rPr>
        <w:t>；省级质量奖，优质优价费用率为</w:t>
      </w:r>
      <w:r>
        <w:rPr>
          <w:rFonts w:hint="eastAsia" w:ascii="仿宋" w:hAnsi="仿宋" w:eastAsia="仿宋" w:cs="仿宋"/>
          <w:u w:val="single"/>
          <w:lang w:eastAsia="zh-CN"/>
        </w:rPr>
        <w:t xml:space="preserve"> / </w:t>
      </w:r>
      <w:r>
        <w:rPr>
          <w:rFonts w:hint="eastAsia" w:ascii="仿宋" w:hAnsi="仿宋" w:eastAsia="仿宋" w:cs="仿宋"/>
          <w:lang w:eastAsia="zh-CN"/>
        </w:rPr>
        <w:t>%，计费基础为</w:t>
      </w:r>
      <w:r>
        <w:rPr>
          <w:rFonts w:hint="eastAsia" w:ascii="仿宋" w:hAnsi="仿宋" w:eastAsia="仿宋" w:cs="仿宋"/>
          <w:u w:val="single"/>
          <w:lang w:eastAsia="zh-CN"/>
        </w:rPr>
        <w:t xml:space="preserve"> / </w:t>
      </w:r>
      <w:r>
        <w:rPr>
          <w:rFonts w:hint="eastAsia" w:ascii="仿宋" w:hAnsi="仿宋" w:eastAsia="仿宋" w:cs="仿宋"/>
          <w:lang w:eastAsia="zh-CN"/>
        </w:rPr>
        <w:t>；市级质量奖，优质优价费用率为</w:t>
      </w:r>
      <w:r>
        <w:rPr>
          <w:rFonts w:hint="eastAsia" w:ascii="仿宋" w:hAnsi="仿宋" w:eastAsia="仿宋" w:cs="仿宋"/>
          <w:u w:val="single"/>
          <w:lang w:eastAsia="zh-CN"/>
        </w:rPr>
        <w:t xml:space="preserve"> / </w:t>
      </w:r>
      <w:r>
        <w:rPr>
          <w:rFonts w:hint="eastAsia" w:ascii="仿宋" w:hAnsi="仿宋" w:eastAsia="仿宋" w:cs="仿宋"/>
          <w:lang w:eastAsia="zh-CN"/>
        </w:rPr>
        <w:t>%，计费基础为</w:t>
      </w:r>
      <w:r>
        <w:rPr>
          <w:rFonts w:hint="eastAsia" w:ascii="仿宋" w:hAnsi="仿宋" w:eastAsia="仿宋" w:cs="仿宋"/>
          <w:u w:val="single"/>
          <w:lang w:eastAsia="zh-CN"/>
        </w:rPr>
        <w:t xml:space="preserve"> / </w:t>
      </w:r>
      <w:r>
        <w:rPr>
          <w:rFonts w:hint="eastAsia" w:ascii="仿宋" w:hAnsi="仿宋" w:eastAsia="仿宋" w:cs="仿宋"/>
          <w:lang w:eastAsia="zh-CN"/>
        </w:rPr>
        <w:t>；精品工程</w:t>
      </w:r>
      <w:r>
        <w:rPr>
          <w:rFonts w:hint="eastAsia" w:ascii="仿宋" w:hAnsi="仿宋" w:eastAsia="仿宋" w:cs="仿宋"/>
          <w:u w:val="single"/>
          <w:lang w:eastAsia="zh-CN"/>
        </w:rPr>
        <w:t xml:space="preserve"> / </w:t>
      </w:r>
      <w:r>
        <w:rPr>
          <w:rFonts w:hint="eastAsia" w:ascii="仿宋" w:hAnsi="仿宋" w:eastAsia="仿宋" w:cs="仿宋"/>
          <w:lang w:eastAsia="zh-CN"/>
        </w:rPr>
        <w:t>，优质优价费用率为</w:t>
      </w:r>
      <w:r>
        <w:rPr>
          <w:rFonts w:hint="eastAsia" w:ascii="仿宋" w:hAnsi="仿宋" w:eastAsia="仿宋" w:cs="仿宋"/>
          <w:u w:val="single"/>
          <w:lang w:eastAsia="zh-CN"/>
        </w:rPr>
        <w:t xml:space="preserve"> / </w:t>
      </w:r>
      <w:r>
        <w:rPr>
          <w:rFonts w:hint="eastAsia" w:ascii="仿宋" w:hAnsi="仿宋" w:eastAsia="仿宋" w:cs="仿宋"/>
          <w:lang w:eastAsia="zh-CN"/>
        </w:rPr>
        <w:t>%，计费基础为</w:t>
      </w:r>
      <w:r>
        <w:rPr>
          <w:rFonts w:hint="eastAsia" w:ascii="仿宋" w:hAnsi="仿宋" w:eastAsia="仿宋" w:cs="仿宋"/>
          <w:u w:val="single"/>
          <w:lang w:eastAsia="zh-CN"/>
        </w:rPr>
        <w:t xml:space="preserve"> / </w:t>
      </w:r>
      <w:r>
        <w:rPr>
          <w:rFonts w:hint="eastAsia" w:ascii="仿宋" w:hAnsi="仿宋" w:eastAsia="仿宋" w:cs="仿宋"/>
          <w:lang w:eastAsia="zh-CN"/>
        </w:rPr>
        <w:t>；其它质量奖</w:t>
      </w:r>
      <w:r>
        <w:rPr>
          <w:rFonts w:hint="eastAsia" w:ascii="仿宋" w:hAnsi="仿宋" w:eastAsia="仿宋" w:cs="仿宋"/>
          <w:u w:val="single"/>
          <w:lang w:eastAsia="zh-CN"/>
        </w:rPr>
        <w:t xml:space="preserve"> / </w:t>
      </w:r>
      <w:r>
        <w:rPr>
          <w:rFonts w:hint="eastAsia" w:ascii="仿宋" w:hAnsi="仿宋" w:eastAsia="仿宋" w:cs="仿宋"/>
          <w:lang w:eastAsia="zh-CN"/>
        </w:rPr>
        <w:t xml:space="preserve">，优质优价费用率为 </w:t>
      </w:r>
      <w:r>
        <w:rPr>
          <w:rFonts w:hint="eastAsia" w:ascii="仿宋" w:hAnsi="仿宋" w:eastAsia="仿宋" w:cs="仿宋"/>
          <w:u w:val="single"/>
          <w:lang w:eastAsia="zh-CN"/>
        </w:rPr>
        <w:t xml:space="preserve"> / </w:t>
      </w:r>
      <w:r>
        <w:rPr>
          <w:rFonts w:hint="eastAsia" w:ascii="仿宋" w:hAnsi="仿宋" w:eastAsia="仿宋" w:cs="仿宋"/>
          <w:lang w:eastAsia="zh-CN"/>
        </w:rPr>
        <w:t>%，计费基础为</w:t>
      </w:r>
      <w:r>
        <w:rPr>
          <w:rFonts w:hint="eastAsia" w:ascii="仿宋" w:hAnsi="仿宋" w:eastAsia="仿宋" w:cs="仿宋"/>
          <w:u w:val="single"/>
          <w:lang w:eastAsia="zh-CN"/>
        </w:rPr>
        <w:t xml:space="preserve"> / </w:t>
      </w:r>
      <w:r>
        <w:rPr>
          <w:rFonts w:hint="eastAsia" w:ascii="仿宋" w:hAnsi="仿宋" w:eastAsia="仿宋" w:cs="仿宋"/>
          <w:lang w:eastAsia="zh-CN"/>
        </w:rPr>
        <w:t>。</w:t>
      </w:r>
    </w:p>
    <w:p w14:paraId="11DF52EF">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另作约定：</w:t>
      </w:r>
      <w:r>
        <w:rPr>
          <w:rFonts w:hint="eastAsia" w:ascii="仿宋" w:hAnsi="仿宋" w:eastAsia="仿宋" w:cs="仿宋"/>
          <w:u w:val="single"/>
          <w:lang w:eastAsia="zh-CN"/>
        </w:rPr>
        <w:t>本合同不计列优质优价费用</w:t>
      </w:r>
      <w:r>
        <w:rPr>
          <w:rFonts w:hint="eastAsia" w:ascii="仿宋" w:hAnsi="仿宋" w:eastAsia="仿宋" w:cs="仿宋"/>
          <w:lang w:eastAsia="zh-CN"/>
        </w:rPr>
        <w:t>。</w:t>
      </w:r>
    </w:p>
    <w:p w14:paraId="698DF92C">
      <w:pPr>
        <w:spacing w:line="360" w:lineRule="auto"/>
        <w:ind w:firstLine="480" w:firstLineChars="200"/>
        <w:rPr>
          <w:rFonts w:ascii="仿宋" w:hAnsi="仿宋" w:eastAsia="仿宋" w:cs="仿宋"/>
          <w:lang w:eastAsia="zh-CN"/>
        </w:rPr>
      </w:pPr>
    </w:p>
    <w:p w14:paraId="5A697671">
      <w:pPr>
        <w:pStyle w:val="3"/>
        <w:tabs>
          <w:tab w:val="left" w:pos="420"/>
        </w:tabs>
        <w:spacing w:before="0" w:after="0" w:line="360" w:lineRule="auto"/>
        <w:rPr>
          <w:rFonts w:ascii="仿宋" w:hAnsi="仿宋" w:eastAsia="仿宋" w:cs="仿宋"/>
          <w:b w:val="0"/>
          <w:bCs w:val="0"/>
          <w:i w:val="0"/>
          <w:sz w:val="24"/>
          <w:szCs w:val="24"/>
          <w:lang w:eastAsia="zh-CN"/>
        </w:rPr>
      </w:pPr>
      <w:bookmarkStart w:id="1036" w:name="_Toc30240"/>
      <w:bookmarkStart w:id="1037" w:name="_Toc12464"/>
      <w:bookmarkStart w:id="1038" w:name="_Toc194073271"/>
      <w:bookmarkStart w:id="1039" w:name="_Toc24850"/>
      <w:r>
        <w:rPr>
          <w:rFonts w:hint="eastAsia" w:ascii="仿宋" w:hAnsi="仿宋" w:eastAsia="仿宋" w:cs="仿宋"/>
          <w:b w:val="0"/>
          <w:bCs w:val="0"/>
          <w:i w:val="0"/>
          <w:sz w:val="24"/>
          <w:szCs w:val="24"/>
          <w:lang w:eastAsia="zh-CN"/>
        </w:rPr>
        <w:t>79.  可调价变更定价</w:t>
      </w:r>
      <w:bookmarkEnd w:id="1036"/>
      <w:bookmarkEnd w:id="1037"/>
      <w:bookmarkEnd w:id="1038"/>
      <w:bookmarkEnd w:id="1039"/>
    </w:p>
    <w:p w14:paraId="6A983BB6">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79.2 可调变更工作项目的定价</w:t>
      </w:r>
    </w:p>
    <w:p w14:paraId="183156E9">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□按通用条款第79.2款规定执行。</w:t>
      </w:r>
    </w:p>
    <w:p w14:paraId="079BA747">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(3)合同中没有相同也没有类似清单项目的，其计价依据、计量规则和计价方法：</w:t>
      </w:r>
    </w:p>
    <w:p w14:paraId="0496B169">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(4)“类似清单项目”的认定原则： </w:t>
      </w:r>
    </w:p>
    <w:p w14:paraId="3370B6CC">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□另作约定：</w:t>
      </w:r>
      <w:r>
        <w:rPr>
          <w:rFonts w:hint="eastAsia" w:ascii="仿宋" w:hAnsi="仿宋" w:eastAsia="仿宋" w:cs="仿宋"/>
          <w:u w:val="single"/>
          <w:lang w:eastAsia="zh-CN"/>
        </w:rPr>
        <w:t xml:space="preserve"> / </w:t>
      </w:r>
    </w:p>
    <w:p w14:paraId="673D2D57">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79.3 可调价变更实体项目的定价 </w:t>
      </w:r>
    </w:p>
    <w:p w14:paraId="7F1E418A">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□按通用条款第 79.3 款约定执行。 </w:t>
      </w:r>
    </w:p>
    <w:p w14:paraId="401789EE">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(3)合同中没有相同也没有类似清单项目的，其计价依据、计量规则和计价方法： </w:t>
      </w:r>
    </w:p>
    <w:p w14:paraId="3BA381C3">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(4)“类似清单项目”的认定原则： </w:t>
      </w:r>
    </w:p>
    <w:p w14:paraId="5EF0B299">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☑另作约定： 具体如下：</w:t>
      </w:r>
    </w:p>
    <w:p w14:paraId="35864382">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工程变更其工程量以经监理、发包人审核确认的依据《建设工程工程量清单计价规范》（GB50500—2013）（国家标准如有更新，按最新的国家标准执行）、计价办法、工程量计算规则、图纸等规定计量确认的实际工程量为准；其综合单价计算方法为：</w:t>
      </w:r>
    </w:p>
    <w:p w14:paraId="01A6F5DE">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① 补充合同价格清单中已有相同项目的适用的综合单价，则沿用。</w:t>
      </w:r>
    </w:p>
    <w:p w14:paraId="79400155">
      <w:pPr>
        <w:spacing w:line="360" w:lineRule="auto"/>
        <w:ind w:firstLine="480" w:firstLineChars="200"/>
        <w:rPr>
          <w:lang w:eastAsia="zh-CN"/>
        </w:rPr>
      </w:pPr>
      <w:r>
        <w:rPr>
          <w:rFonts w:hint="eastAsia" w:ascii="仿宋" w:hAnsi="仿宋" w:eastAsia="仿宋" w:cs="仿宋"/>
          <w:lang w:eastAsia="zh-CN"/>
        </w:rPr>
        <w:t>② 补充合同价格清单中已有类似项目的，则按类似项目的综合单价对相应子目、消耗量、单价等进行调整换算，原管理费、利润水平不变（若补充合同价格清单列出多个同类项目，则该类项目的单价换算取消耗量最少的、管理费和利润取费最低的综合单价进行分析换算）。换算时出现类似项目综合单价中没有的材料单价，按相应变更工程开始实施时所在月度发布的《广州地区建设工程常用材料税前综合价格》乘以[（1-合同约定下浮率）×（1-施工费中标下浮率）]计算，《综合价格》中没有的，由发包人、监理单位及承包人根据合理的市场价格水平协商确定。</w:t>
      </w:r>
    </w:p>
    <w:p w14:paraId="518C5145">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③ 补充合同价格清单中没有适用或类似的，则作为新增项目（是否为新增项目由发包人确定），采用定额计价办法进行计价并折算为综合单价，其综合单价依据广东省相关定额、广州市补充定额【定额使用的依次顺序为：① 本合同项目主体工程所属专业的定额、附属工程所属专业的定额；② 第①点所述定额中若个别分项项目没有定额可套用，则采用与该分项项目性质、功能、工艺相似或相近的其它定额换算；定额采用建设行政主管部门颁发的最新定额，若项目实施期间定额更新，建设行政主管部门对新旧定额的使用办法有规定的从其规定，规定不明确或不可操作的，由发包人和承包人根据实际情况签订补充合同或协议作出约定】及对应的工程计价办法计算确定。项目的人工、材料、机械台班价格按实际施工期间建设行政主管部门的有关规定及按相应变更工程开始实施时所在月度发布的《广州地区建设工程常用材料税前综合价格》计算，《综合价格》中没有的，由发包人、监理单位及承包人根据合理的市场价格水平协商确定。新增项目综合单价按照上述原则计算并乘以[（1-合同约定下浮率）×（1-施工费中标下浮率）]后确定。</w:t>
      </w:r>
    </w:p>
    <w:p w14:paraId="55A28DD9">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本合同工程变更价款以</w:t>
      </w:r>
      <w:r>
        <w:rPr>
          <w:rFonts w:hint="eastAsia" w:ascii="仿宋" w:hAnsi="仿宋" w:eastAsia="仿宋" w:cs="仿宋"/>
          <w:szCs w:val="21"/>
          <w:lang w:val="en-US" w:eastAsia="zh-CN"/>
        </w:rPr>
        <w:t>发包人确认的</w:t>
      </w:r>
      <w:r>
        <w:rPr>
          <w:rFonts w:hint="eastAsia" w:ascii="仿宋" w:hAnsi="仿宋" w:eastAsia="仿宋" w:cs="仿宋"/>
          <w:lang w:eastAsia="zh-CN"/>
        </w:rPr>
        <w:t>有权审核部门的结算终审金额为准。</w:t>
      </w:r>
    </w:p>
    <w:p w14:paraId="1D2BD7F1">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79.4 可调价变更措施项目的定价 </w:t>
      </w:r>
    </w:p>
    <w:p w14:paraId="4563539D">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□按通用条款第 79.4 款约定执行。 </w:t>
      </w:r>
    </w:p>
    <w:p w14:paraId="14A79AC3">
      <w:pPr>
        <w:spacing w:line="360" w:lineRule="auto"/>
        <w:ind w:firstLine="480" w:firstLineChars="200"/>
        <w:rPr>
          <w:rFonts w:ascii="仿宋" w:hAnsi="仿宋" w:eastAsia="仿宋" w:cs="仿宋"/>
          <w:highlight w:val="yellow"/>
          <w:lang w:eastAsia="zh-CN"/>
        </w:rPr>
      </w:pPr>
      <w:r>
        <w:rPr>
          <w:rFonts w:hint="eastAsia" w:ascii="仿宋" w:hAnsi="仿宋" w:eastAsia="仿宋" w:cs="仿宋"/>
          <w:lang w:eastAsia="zh-CN"/>
        </w:rPr>
        <w:t xml:space="preserve">☑另作约定：按照专用条款第72.1.5款相关约定执行。 </w:t>
      </w:r>
    </w:p>
    <w:p w14:paraId="116FE871">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79.6补充条款：</w:t>
      </w:r>
    </w:p>
    <w:p w14:paraId="3AE7F948">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发包人根据工程实施情况，有权对承包人的承包范围及内容进行适当调整（包括增加或减少部分工程）。</w:t>
      </w:r>
    </w:p>
    <w:p w14:paraId="6EBF47DF">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如发生不可抗力、政策变更或规划变更等工程实施情况导致承包范围发生变化的，发包人有权发出书面指令单方增加或缩减合同范围。如上述变更导致承包人履行合同义务的费用增加，发包人与承包人按照合同约定调整合同价款。如上述变更导致承包人承包范围减少的，除已发生的工程量按合同约定计价外，承包人无权向发包人另行提出其他任何补偿或赔偿要求。</w:t>
      </w:r>
    </w:p>
    <w:p w14:paraId="26BE8B2C">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承包人履行合同的质量、进度不符合合同约定或存在其他违约事实的，发包人有权直接减少承包人的承包范围直至解除合同，对此，承包人无权向发包人提出任何补偿或赔偿要求。</w:t>
      </w:r>
    </w:p>
    <w:p w14:paraId="7386A544">
      <w:pPr>
        <w:spacing w:line="360" w:lineRule="auto"/>
        <w:ind w:firstLine="480" w:firstLineChars="200"/>
        <w:rPr>
          <w:rFonts w:ascii="仿宋" w:hAnsi="仿宋" w:eastAsia="仿宋" w:cs="仿宋"/>
          <w:lang w:eastAsia="zh-CN"/>
        </w:rPr>
      </w:pPr>
    </w:p>
    <w:p w14:paraId="355B3C95">
      <w:pPr>
        <w:pStyle w:val="3"/>
        <w:tabs>
          <w:tab w:val="left" w:pos="420"/>
        </w:tabs>
        <w:spacing w:before="0" w:after="0" w:line="360" w:lineRule="auto"/>
        <w:rPr>
          <w:rFonts w:ascii="仿宋" w:hAnsi="仿宋" w:eastAsia="仿宋" w:cs="仿宋"/>
          <w:lang w:eastAsia="zh-CN"/>
        </w:rPr>
      </w:pPr>
      <w:bookmarkStart w:id="1040" w:name="_Toc21491"/>
      <w:bookmarkStart w:id="1041" w:name="_Toc10398"/>
      <w:bookmarkStart w:id="1042" w:name="_Toc21505"/>
      <w:bookmarkStart w:id="1043" w:name="_Toc47694439"/>
      <w:bookmarkStart w:id="1044" w:name="_Toc24578"/>
      <w:bookmarkStart w:id="1045" w:name="_Toc194073272"/>
      <w:bookmarkStart w:id="1046" w:name="_Toc23892"/>
      <w:r>
        <w:rPr>
          <w:rFonts w:hint="eastAsia" w:ascii="仿宋" w:hAnsi="仿宋" w:eastAsia="仿宋" w:cs="仿宋"/>
          <w:b w:val="0"/>
          <w:bCs w:val="0"/>
          <w:i w:val="0"/>
          <w:iCs w:val="0"/>
          <w:sz w:val="24"/>
          <w:szCs w:val="24"/>
          <w:lang w:eastAsia="zh-CN"/>
        </w:rPr>
        <w:t>★81.  现场签证价格的确定</w:t>
      </w:r>
      <w:bookmarkEnd w:id="1040"/>
      <w:bookmarkEnd w:id="1041"/>
      <w:bookmarkEnd w:id="1042"/>
      <w:bookmarkEnd w:id="1043"/>
      <w:bookmarkEnd w:id="1044"/>
      <w:bookmarkEnd w:id="1045"/>
      <w:bookmarkEnd w:id="1046"/>
    </w:p>
    <w:p w14:paraId="7AA3E00C">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81.3 现场签证报告的确认</w:t>
      </w:r>
    </w:p>
    <w:p w14:paraId="53CD5C84">
      <w:pPr>
        <w:spacing w:line="360" w:lineRule="auto"/>
        <w:ind w:firstLine="480" w:firstLineChars="200"/>
        <w:rPr>
          <w:rFonts w:ascii="仿宋" w:hAnsi="仿宋" w:eastAsia="仿宋"/>
          <w:lang w:eastAsia="zh-CN"/>
        </w:rPr>
      </w:pPr>
      <w:r>
        <w:rPr>
          <w:rFonts w:hint="eastAsia" w:ascii="仿宋" w:hAnsi="仿宋" w:eastAsia="仿宋" w:cs="仿宋"/>
          <w:lang w:eastAsia="zh-CN"/>
        </w:rPr>
        <w:t>提交现场签证报告的时间：</w:t>
      </w:r>
    </w:p>
    <w:p w14:paraId="5E549F85">
      <w:pPr>
        <w:spacing w:line="360" w:lineRule="auto"/>
        <w:ind w:firstLine="480" w:firstLineChars="200"/>
        <w:rPr>
          <w:rFonts w:ascii="仿宋" w:hAnsi="仿宋" w:eastAsia="仿宋"/>
          <w:lang w:eastAsia="zh-CN"/>
        </w:rPr>
      </w:pPr>
      <w:r>
        <w:rPr>
          <w:rFonts w:hint="eastAsia" w:ascii="仿宋" w:hAnsi="仿宋" w:eastAsia="仿宋" w:cs="仿宋"/>
          <w:lang w:eastAsia="zh-CN"/>
        </w:rPr>
        <w:t>□ 按通用条款的规定的时间提交。</w:t>
      </w:r>
    </w:p>
    <w:p w14:paraId="2D78F2CC">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另作约定：承包人收到监理人关于签证实施的指令并在签证工作完成后的3天内，向监理、发包人提交现场签证资料，相关审核审批流程及支付原则参照本合同工程变更相关条款办理。</w:t>
      </w:r>
    </w:p>
    <w:p w14:paraId="6ED0DAE0">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          </w:t>
      </w:r>
    </w:p>
    <w:p w14:paraId="6759B449">
      <w:pPr>
        <w:pStyle w:val="3"/>
        <w:tabs>
          <w:tab w:val="left" w:pos="420"/>
        </w:tabs>
        <w:spacing w:before="0" w:after="0" w:line="360" w:lineRule="auto"/>
        <w:rPr>
          <w:rFonts w:ascii="仿宋" w:hAnsi="仿宋" w:eastAsia="仿宋"/>
          <w:b w:val="0"/>
          <w:bCs w:val="0"/>
          <w:i w:val="0"/>
          <w:sz w:val="24"/>
          <w:szCs w:val="24"/>
          <w:lang w:eastAsia="zh-CN"/>
        </w:rPr>
      </w:pPr>
      <w:bookmarkStart w:id="1047" w:name="_Toc22534"/>
      <w:bookmarkStart w:id="1048" w:name="_Toc11608"/>
      <w:bookmarkStart w:id="1049" w:name="_Toc194073273"/>
      <w:bookmarkStart w:id="1050" w:name="_Toc4831"/>
      <w:r>
        <w:rPr>
          <w:rFonts w:hint="eastAsia" w:ascii="仿宋" w:hAnsi="仿宋" w:eastAsia="仿宋" w:cs="仿宋"/>
          <w:b w:val="0"/>
          <w:bCs w:val="0"/>
          <w:i w:val="0"/>
          <w:sz w:val="24"/>
          <w:szCs w:val="24"/>
          <w:lang w:eastAsia="zh-CN"/>
        </w:rPr>
        <w:t>★82.  物价涨落的价格调整</w:t>
      </w:r>
      <w:bookmarkEnd w:id="1047"/>
      <w:bookmarkEnd w:id="1048"/>
      <w:bookmarkEnd w:id="1049"/>
      <w:bookmarkEnd w:id="1050"/>
    </w:p>
    <w:p w14:paraId="3E01D76C">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82.1 物价涨落的价格调整</w:t>
      </w:r>
    </w:p>
    <w:p w14:paraId="4027A0A0">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□按通用条款第 82.3 款第 1 种方式对合同价格进行调整。</w:t>
      </w:r>
    </w:p>
    <w:p w14:paraId="182F922D">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□按通用条款第 82.3 款第 2 种方式对合同价格进行调整。</w:t>
      </w:r>
    </w:p>
    <w:p w14:paraId="439804E1">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☑另作约定：</w:t>
      </w:r>
    </w:p>
    <w:p w14:paraId="66B02085">
      <w:pPr>
        <w:spacing w:line="360" w:lineRule="auto"/>
        <w:ind w:firstLine="720" w:firstLineChars="300"/>
        <w:rPr>
          <w:rFonts w:ascii="仿宋" w:hAnsi="仿宋" w:eastAsia="仿宋" w:cs="仿宋"/>
          <w:lang w:eastAsia="zh-CN"/>
        </w:rPr>
      </w:pPr>
      <w:r>
        <w:rPr>
          <w:rFonts w:hint="eastAsia" w:ascii="仿宋" w:hAnsi="仿宋" w:eastAsia="仿宋" w:cs="仿宋"/>
          <w:lang w:eastAsia="zh-CN"/>
        </w:rPr>
        <w:t>因市场价格波动调整合同价格，采用以下方式对合同价格进行调整：</w:t>
      </w:r>
    </w:p>
    <w:p w14:paraId="16D26D5A">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（1）本工程主要材料，只调整分部分项工程清单中的主要材料，包括</w:t>
      </w:r>
      <w:r>
        <w:rPr>
          <w:rFonts w:hint="eastAsia" w:ascii="仿宋" w:hAnsi="仿宋" w:eastAsia="仿宋" w:cs="仿宋"/>
          <w:u w:val="single"/>
          <w:lang w:eastAsia="zh-CN"/>
        </w:rPr>
        <w:t>水泥、商品（预拌）混凝土、商品（预拌）砂浆、钢筋、预应力管桩。</w:t>
      </w:r>
      <w:r>
        <w:rPr>
          <w:rFonts w:hint="eastAsia" w:ascii="仿宋" w:hAnsi="仿宋" w:eastAsia="仿宋" w:cs="仿宋"/>
          <w:lang w:eastAsia="zh-CN"/>
        </w:rPr>
        <w:t>人工费及其他材料、机械、设备的价差均不予调整，上述价格的调整范围以当期广州市政府造价管理部门发布的综合价格为调整基准依据，没有发布综合价格的材料不做调整。</w:t>
      </w:r>
    </w:p>
    <w:p w14:paraId="1DBEDE26">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在施工期内，若广州市建设工程造价管理部门发布的材料综合价格与本项目施工图预算的材料综合价格比较，上下浮动率超过10％，超出部分的价差可以调整，具体计算公式为：</w:t>
      </w:r>
    </w:p>
    <w:p w14:paraId="18EEA4BF">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当价格上升时，价差调增＝（施工期材料综合价格－施工图预算材料综合价格×1.1）×当期材料数量×（1-合同约定下浮率）×（1-施工费中标下浮率）×（1＋9%（税率））</w:t>
      </w:r>
    </w:p>
    <w:p w14:paraId="1AD5B608">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当价格下跌时，价差调减＝（施工图预算材料综合价格×0.9－施工期材料综合价格）×当期材料数量×（1-合同约定下浮率）×（1-施工费中标下浮率）×（1＋9%（税率））</w:t>
      </w:r>
    </w:p>
    <w:p w14:paraId="0D84EAB2">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当期材料数量包含工程变更、现场签证、工程量偏差以及新增项目涉及的上述工程主要材料，按经监理人、发包人确定的当期已完成工程量计取。</w:t>
      </w:r>
    </w:p>
    <w:p w14:paraId="05E76C3E">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除上述工程主要材料外的其余材料（设备）和措施项目费（包括但不仅限于脚手架等）不因物价变化而调整。</w:t>
      </w:r>
    </w:p>
    <w:p w14:paraId="07A650A7">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（2）因承包人原因引起工期延长的，在延期阶段内，物价上涨的价差不得调增，物价下跌的价差必须调减。</w:t>
      </w:r>
    </w:p>
    <w:p w14:paraId="65C91B6F">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3）在针对补充合同价格清单的补充协议签订前，承包人按月整理涉及材料调差的基础性资料并报送监理、发包人审核确认；上述补充协议签订后，承包人除按月整理涉及材料调差的基础性资料并报送监理单位、发包人审核确认外，每半年可申报一次材料调差资料，经监理、发包人审核确认后，报政府主管部门审批（如需），签订相关补充协议。若材差调整为增加金额情形的，按照经审定的材差调整金额支付70%；若材差调整为减少金额情形的，按照经审定的材差调整金额在工程进度款中予以全部扣除。</w:t>
      </w:r>
    </w:p>
    <w:p w14:paraId="3AD991BF">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（4）材差调整金额以</w:t>
      </w:r>
      <w:r>
        <w:rPr>
          <w:rFonts w:hint="eastAsia" w:ascii="仿宋" w:hAnsi="仿宋" w:eastAsia="仿宋" w:cs="仿宋"/>
          <w:szCs w:val="21"/>
          <w:lang w:val="en-US" w:eastAsia="zh-CN"/>
        </w:rPr>
        <w:t>发包人确认的</w:t>
      </w:r>
      <w:r>
        <w:rPr>
          <w:rFonts w:hint="eastAsia" w:ascii="仿宋" w:hAnsi="仿宋" w:eastAsia="仿宋" w:cs="仿宋"/>
          <w:lang w:eastAsia="zh-CN"/>
        </w:rPr>
        <w:t>有权审核部门的结算终审金额为准。</w:t>
      </w:r>
    </w:p>
    <w:p w14:paraId="4DB23AED">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82.2 人工费的调整方法</w:t>
      </w:r>
    </w:p>
    <w:p w14:paraId="3021F13E">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按通用条款第 82.2 款约定进行调整。</w:t>
      </w:r>
    </w:p>
    <w:p w14:paraId="7AC273C1">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人工单价调整条件的约定：人工单价任何情况下不作调整。</w:t>
      </w:r>
    </w:p>
    <w:p w14:paraId="30B75E17">
      <w:pPr>
        <w:pStyle w:val="42"/>
        <w:spacing w:line="360" w:lineRule="auto"/>
        <w:ind w:firstLine="400"/>
        <w:rPr>
          <w:lang w:eastAsia="zh-CN" w:bidi="en-US"/>
        </w:rPr>
      </w:pPr>
    </w:p>
    <w:p w14:paraId="705590A2">
      <w:pPr>
        <w:pStyle w:val="3"/>
        <w:tabs>
          <w:tab w:val="left" w:pos="420"/>
        </w:tabs>
        <w:spacing w:before="0" w:after="0" w:line="360" w:lineRule="auto"/>
        <w:rPr>
          <w:rFonts w:ascii="仿宋" w:hAnsi="仿宋" w:eastAsia="仿宋"/>
          <w:b w:val="0"/>
          <w:bCs w:val="0"/>
          <w:i w:val="0"/>
          <w:sz w:val="24"/>
          <w:szCs w:val="24"/>
          <w:lang w:eastAsia="zh-CN"/>
        </w:rPr>
      </w:pPr>
      <w:bookmarkStart w:id="1051" w:name="_Toc194073274"/>
      <w:bookmarkStart w:id="1052" w:name="_Toc13797"/>
      <w:bookmarkStart w:id="1053" w:name="_Toc4152"/>
      <w:bookmarkStart w:id="1054" w:name="_Toc26550"/>
      <w:r>
        <w:rPr>
          <w:rFonts w:hint="eastAsia" w:ascii="仿宋" w:hAnsi="仿宋" w:eastAsia="仿宋" w:cs="仿宋"/>
          <w:bCs w:val="0"/>
          <w:i w:val="0"/>
          <w:sz w:val="24"/>
          <w:szCs w:val="24"/>
          <w:lang w:eastAsia="zh-CN"/>
        </w:rPr>
        <w:t>★</w:t>
      </w:r>
      <w:r>
        <w:rPr>
          <w:rFonts w:hint="eastAsia" w:ascii="仿宋" w:hAnsi="仿宋" w:eastAsia="仿宋" w:cs="仿宋"/>
          <w:b w:val="0"/>
          <w:bCs w:val="0"/>
          <w:i w:val="0"/>
          <w:sz w:val="24"/>
          <w:szCs w:val="24"/>
          <w:lang w:eastAsia="zh-CN"/>
        </w:rPr>
        <w:t>83.  支付事项</w:t>
      </w:r>
      <w:bookmarkEnd w:id="1051"/>
      <w:bookmarkEnd w:id="1052"/>
      <w:bookmarkEnd w:id="1053"/>
      <w:bookmarkEnd w:id="1054"/>
    </w:p>
    <w:p w14:paraId="6335D32A">
      <w:pPr>
        <w:spacing w:line="360" w:lineRule="auto"/>
        <w:ind w:firstLine="480" w:firstLineChars="200"/>
        <w:rPr>
          <w:rFonts w:ascii="仿宋" w:hAnsi="仿宋" w:eastAsia="仿宋" w:cs="仿宋"/>
          <w:strike/>
          <w:lang w:eastAsia="zh-CN"/>
        </w:rPr>
      </w:pPr>
      <w:r>
        <w:rPr>
          <w:rFonts w:hint="eastAsia" w:ascii="仿宋" w:hAnsi="仿宋" w:eastAsia="仿宋" w:cs="仿宋"/>
          <w:lang w:eastAsia="zh-CN"/>
        </w:rPr>
        <w:t>83.2 计算利息的利率</w:t>
      </w:r>
    </w:p>
    <w:p w14:paraId="6F052AE0">
      <w:pPr>
        <w:spacing w:line="360" w:lineRule="auto"/>
        <w:ind w:firstLine="480" w:firstLineChars="200"/>
        <w:rPr>
          <w:rFonts w:ascii="仿宋" w:hAnsi="仿宋" w:eastAsia="仿宋"/>
          <w:lang w:eastAsia="zh-CN"/>
        </w:rPr>
      </w:pPr>
      <w:r>
        <w:rPr>
          <w:rFonts w:hint="eastAsia" w:ascii="仿宋" w:hAnsi="仿宋" w:eastAsia="仿宋" w:cs="仿宋"/>
          <w:lang w:eastAsia="zh-CN"/>
        </w:rPr>
        <w:sym w:font="Wingdings 2" w:char="F0A3"/>
      </w:r>
      <w:r>
        <w:rPr>
          <w:rFonts w:hint="eastAsia" w:ascii="仿宋" w:hAnsi="仿宋" w:eastAsia="仿宋" w:cs="仿宋"/>
          <w:lang w:eastAsia="zh-CN"/>
        </w:rPr>
        <w:t xml:space="preserve"> </w:t>
      </w:r>
      <w:r>
        <w:rPr>
          <w:rFonts w:hint="eastAsia" w:ascii="仿宋" w:hAnsi="仿宋" w:eastAsia="仿宋" w:cs="仿宋"/>
          <w:lang w:eastAsia="zh-CN" w:bidi="ar-SA"/>
        </w:rPr>
        <w:t>全国银行间同业拆借中心公布的贷款市场报价利率（LPR）</w:t>
      </w:r>
    </w:p>
    <w:p w14:paraId="566DA90F">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 另作约定：</w:t>
      </w:r>
      <w:r>
        <w:rPr>
          <w:rFonts w:hint="eastAsia" w:ascii="仿宋" w:hAnsi="仿宋" w:eastAsia="仿宋" w:cs="仿宋"/>
          <w:u w:val="single"/>
          <w:lang w:eastAsia="zh-CN"/>
        </w:rPr>
        <w:t xml:space="preserve"> 发包人不支付利息。 </w:t>
      </w:r>
    </w:p>
    <w:p w14:paraId="27CA34B8">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83.5 其他约定：若为联合体的，承包人联合体各方根据各自主要负责的工作量完成情况，按合同约定的支付方式各自提交符合发包人要求的请款材料、各自等额合法有效的增值税专用发票以申请相应费用，发包人向联合体各方分别支付。</w:t>
      </w:r>
    </w:p>
    <w:p w14:paraId="2F061BAE">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双方协商一致，增加 83.6、83.7 款：</w:t>
      </w:r>
    </w:p>
    <w:p w14:paraId="6646C159">
      <w:pPr>
        <w:spacing w:line="360" w:lineRule="auto"/>
        <w:ind w:firstLine="480" w:firstLineChars="200"/>
        <w:rPr>
          <w:rFonts w:ascii="仿宋" w:hAnsi="仿宋" w:eastAsia="仿宋" w:cs="仿宋"/>
          <w:u w:val="single"/>
          <w:lang w:eastAsia="zh-CN"/>
        </w:rPr>
      </w:pPr>
      <w:r>
        <w:rPr>
          <w:rFonts w:hint="eastAsia" w:ascii="仿宋" w:hAnsi="仿宋" w:eastAsia="仿宋" w:cs="仿宋"/>
          <w:u w:val="single"/>
          <w:lang w:eastAsia="zh-CN"/>
        </w:rPr>
        <w:t>83.6 工程变更价款的支付</w:t>
      </w:r>
    </w:p>
    <w:p w14:paraId="4765D9C5">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工程变更经监理、发包人审核，并按天河区住建局、发包人相关工程变更管理办法审批后，根据审批结果签订相关补充协议，调整合同价款，工程变更价款按70%支付。工程变更价款以</w:t>
      </w:r>
      <w:r>
        <w:rPr>
          <w:rFonts w:hint="eastAsia" w:ascii="仿宋" w:hAnsi="仿宋" w:eastAsia="仿宋" w:cs="仿宋"/>
          <w:szCs w:val="21"/>
          <w:lang w:val="en-US" w:eastAsia="zh-CN"/>
        </w:rPr>
        <w:t>发包人确认的</w:t>
      </w:r>
      <w:r>
        <w:rPr>
          <w:rFonts w:hint="eastAsia" w:ascii="仿宋" w:hAnsi="仿宋" w:eastAsia="仿宋" w:cs="仿宋"/>
          <w:lang w:eastAsia="zh-CN"/>
        </w:rPr>
        <w:t>有权审核部门的结算终审金额为准。</w:t>
      </w:r>
    </w:p>
    <w:p w14:paraId="2B24896D">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83.7 支付的其他约定</w:t>
      </w:r>
    </w:p>
    <w:p w14:paraId="76BC3EE5">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1）税金按政府及税务部门有关规定计算，根据当期施工进度款与进度款一并按月支付。发包人每次付款前，承包人均需按发包人相关管理制度办理书面支付申请手续，并提供等额合法有效的增值税专用发票，否则发包人有权顺延支付合同款项且不构成违约，承包人仍须按照本合同约定履行义务。</w:t>
      </w:r>
    </w:p>
    <w:p w14:paraId="597B7E90">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2）因承包人提供的发票不规范、不合法引发的税务及其他一切法律责任由承包人承担，且承包人还应向发包人承担赔偿责任，包括但不限于承担相关税款、滞纳金、罚款（本合同项所述“罚款”为含税金额）及赔偿相关损失等。</w:t>
      </w:r>
    </w:p>
    <w:p w14:paraId="5CCA8D3C">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3）发包人支付本合同项下款项需向政府部门申请拨付（如有），则各阶段支付条件还应包括发包人向相关政府部门申请款项获得批准且得到拨付，付款时间应相应根据拨付时间顺延。承包人不可撤销地承诺，若政府部门审定、拨付本合同项下相关费用时间超过上述约定支付期限的，承包人无权以任何理由要求发包人承担任何违约责任。</w:t>
      </w:r>
    </w:p>
    <w:p w14:paraId="351ACF64">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（4）合同履行期间,遇国家税收政策调整，按照国家政策相应执行。本合同中不含税价格不因国家税率变化而变化,若在合同履行期间,遇国家税率调整的,则价税合计相应调整,以开具发票的时间为准。</w:t>
      </w:r>
    </w:p>
    <w:p w14:paraId="2C2CC1FA">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（5）本合同涉及的各项违约处罚，发包人在合同进度款或合同结算时从应支付的价款中予以扣减。</w:t>
      </w:r>
    </w:p>
    <w:p w14:paraId="0D132708">
      <w:pPr>
        <w:spacing w:line="360" w:lineRule="auto"/>
        <w:rPr>
          <w:rFonts w:ascii="仿宋" w:hAnsi="仿宋" w:eastAsia="仿宋" w:cs="仿宋"/>
          <w:u w:val="single"/>
          <w:lang w:eastAsia="zh-CN"/>
        </w:rPr>
      </w:pPr>
    </w:p>
    <w:p w14:paraId="151BE21A">
      <w:pPr>
        <w:pStyle w:val="3"/>
        <w:tabs>
          <w:tab w:val="left" w:pos="420"/>
        </w:tabs>
        <w:spacing w:before="0" w:after="0" w:line="360" w:lineRule="auto"/>
        <w:rPr>
          <w:rFonts w:ascii="仿宋" w:hAnsi="仿宋" w:eastAsia="仿宋"/>
          <w:b w:val="0"/>
          <w:bCs w:val="0"/>
          <w:i w:val="0"/>
          <w:sz w:val="24"/>
          <w:szCs w:val="24"/>
          <w:lang w:eastAsia="zh-CN"/>
        </w:rPr>
      </w:pPr>
      <w:bookmarkStart w:id="1055" w:name="_Toc5604"/>
      <w:bookmarkStart w:id="1056" w:name="_Toc861"/>
      <w:bookmarkStart w:id="1057" w:name="_Toc194073275"/>
      <w:bookmarkStart w:id="1058" w:name="_Toc27511"/>
      <w:r>
        <w:rPr>
          <w:rFonts w:hint="eastAsia" w:ascii="仿宋" w:hAnsi="仿宋" w:eastAsia="仿宋" w:cs="仿宋"/>
          <w:b w:val="0"/>
          <w:bCs w:val="0"/>
          <w:i w:val="0"/>
          <w:sz w:val="24"/>
          <w:szCs w:val="24"/>
          <w:lang w:eastAsia="zh-CN"/>
        </w:rPr>
        <w:t>★84.  预付款</w:t>
      </w:r>
      <w:bookmarkEnd w:id="1055"/>
      <w:bookmarkEnd w:id="1056"/>
      <w:bookmarkEnd w:id="1057"/>
      <w:bookmarkEnd w:id="1058"/>
    </w:p>
    <w:p w14:paraId="117C9345">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84.1 预付款的约定及管理</w:t>
      </w:r>
    </w:p>
    <w:p w14:paraId="2B3C7455">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（1）□无预付款，本条不适用。</w:t>
      </w:r>
    </w:p>
    <w:p w14:paraId="1B9C8D6D">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（2）□有预付款，其支付办法和抵扣方式，按专用条款第84.2款和第84.4款规定。</w:t>
      </w:r>
    </w:p>
    <w:p w14:paraId="6B3696C8">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☑另作约定：</w:t>
      </w:r>
    </w:p>
    <w:p w14:paraId="3331CAE2">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工程勘察费预付款支付比例及金额：</w:t>
      </w:r>
      <w:r>
        <w:rPr>
          <w:rFonts w:ascii="仿宋" w:hAnsi="仿宋" w:eastAsia="仿宋" w:cs="仿宋"/>
          <w:u w:val="single"/>
          <w:lang w:eastAsia="zh-CN"/>
        </w:rPr>
        <w:t xml:space="preserve">  </w:t>
      </w:r>
      <w:r>
        <w:rPr>
          <w:rFonts w:hint="eastAsia" w:ascii="仿宋" w:hAnsi="仿宋" w:eastAsia="仿宋" w:cs="仿宋"/>
          <w:u w:val="single"/>
          <w:lang w:eastAsia="zh-CN"/>
        </w:rPr>
        <w:t xml:space="preserve">/  </w:t>
      </w:r>
      <w:r>
        <w:rPr>
          <w:rFonts w:hint="eastAsia" w:ascii="仿宋" w:hAnsi="仿宋" w:eastAsia="仿宋" w:cs="仿宋"/>
          <w:lang w:eastAsia="zh-CN"/>
        </w:rPr>
        <w:t>。</w:t>
      </w:r>
    </w:p>
    <w:p w14:paraId="0D2FD5C4">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工程设计费预付款支付比例及金额：</w:t>
      </w:r>
      <w:r>
        <w:rPr>
          <w:rFonts w:hint="eastAsia" w:ascii="仿宋" w:hAnsi="仿宋" w:eastAsia="仿宋" w:cs="仿宋"/>
          <w:u w:val="single"/>
          <w:lang w:eastAsia="zh-CN"/>
        </w:rPr>
        <w:t>合同设计费总价的20%</w:t>
      </w:r>
      <w:r>
        <w:rPr>
          <w:rFonts w:hint="eastAsia" w:ascii="仿宋" w:hAnsi="仿宋" w:eastAsia="仿宋" w:cs="仿宋"/>
          <w:lang w:eastAsia="zh-CN"/>
        </w:rPr>
        <w:t>。</w:t>
      </w:r>
    </w:p>
    <w:p w14:paraId="364FCD37">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BIM技术应用费预付款支付比例及金额：</w:t>
      </w:r>
      <w:r>
        <w:rPr>
          <w:rFonts w:hint="eastAsia" w:ascii="仿宋" w:hAnsi="仿宋" w:eastAsia="仿宋" w:cs="仿宋"/>
          <w:u w:val="single"/>
          <w:lang w:eastAsia="zh-CN"/>
        </w:rPr>
        <w:t xml:space="preserve"> 合同BIM技术应用费总价的20%</w:t>
      </w:r>
      <w:r>
        <w:rPr>
          <w:rFonts w:hint="eastAsia" w:ascii="仿宋" w:hAnsi="仿宋" w:eastAsia="仿宋" w:cs="仿宋"/>
          <w:lang w:eastAsia="zh-CN"/>
        </w:rPr>
        <w:t>。</w:t>
      </w:r>
    </w:p>
    <w:p w14:paraId="0FAD493E">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□设备及工器具购置费预付款支付比例及金额：</w:t>
      </w:r>
      <w:r>
        <w:rPr>
          <w:rFonts w:hint="eastAsia" w:ascii="仿宋" w:hAnsi="仿宋" w:eastAsia="仿宋" w:cs="仿宋"/>
          <w:u w:val="single"/>
          <w:lang w:eastAsia="zh-CN"/>
        </w:rPr>
        <w:t xml:space="preserve">  /  。</w:t>
      </w:r>
    </w:p>
    <w:p w14:paraId="433184E1">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施工费预付款支付比例及金额：</w:t>
      </w:r>
      <w:r>
        <w:rPr>
          <w:rFonts w:hint="eastAsia" w:ascii="仿宋" w:hAnsi="仿宋" w:eastAsia="仿宋" w:cs="仿宋"/>
          <w:u w:val="single"/>
          <w:lang w:eastAsia="zh-CN"/>
        </w:rPr>
        <w:t xml:space="preserve"> 暂定合同价中施工费（扣除绿色安全防护措施费及相应税金）的10%</w:t>
      </w:r>
      <w:r>
        <w:rPr>
          <w:rFonts w:hint="eastAsia" w:ascii="仿宋" w:hAnsi="仿宋" w:eastAsia="仿宋" w:cs="仿宋"/>
          <w:lang w:eastAsia="zh-CN"/>
        </w:rPr>
        <w:t>。</w:t>
      </w:r>
    </w:p>
    <w:p w14:paraId="1911AA21">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□其他费用预付款支付比例及金额：</w:t>
      </w:r>
      <w:r>
        <w:rPr>
          <w:rFonts w:hint="eastAsia" w:ascii="仿宋" w:hAnsi="仿宋" w:eastAsia="仿宋" w:cs="仿宋"/>
          <w:u w:val="single"/>
          <w:lang w:eastAsia="zh-CN"/>
        </w:rPr>
        <w:t xml:space="preserve">   /  。</w:t>
      </w:r>
    </w:p>
    <w:p w14:paraId="739FBD7E">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84.2 提交预付款支付申请期限：</w:t>
      </w:r>
    </w:p>
    <w:p w14:paraId="16A1B3E6">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□按通用条款第84.2款规定。</w:t>
      </w:r>
    </w:p>
    <w:p w14:paraId="4E6F4D8D">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另作约定：支付条件和期限：本合同生效，承包人按合同要求提交履约担保后凭等额有效的增值税发票向发包人申请支付。承包人须在申请第一笔进度款前完成预付款的申领手续，否则视为放弃。经监理人及发包人审核后凭合法单据支付预付款。</w:t>
      </w:r>
    </w:p>
    <w:p w14:paraId="3BEFF8A2">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承包人应将预付款专用于实施本工程所需的施工机械、材料设备及人员费用，并向总监理工程师提交发票或其他证明文件的副本以证明预付款确实专款专用，否则发包人有权要求承包人承担 1 次一般违约责任处罚。</w:t>
      </w:r>
    </w:p>
    <w:p w14:paraId="3445F72E">
      <w:pPr>
        <w:spacing w:line="360" w:lineRule="auto"/>
        <w:rPr>
          <w:rFonts w:ascii="仿宋" w:hAnsi="仿宋" w:eastAsia="仿宋" w:cs="仿宋"/>
          <w:lang w:eastAsia="zh-CN"/>
        </w:rPr>
      </w:pPr>
      <w:r>
        <w:rPr>
          <w:rFonts w:ascii="仿宋" w:hAnsi="仿宋" w:eastAsia="仿宋" w:cs="仿宋"/>
          <w:lang w:eastAsia="zh-CN"/>
        </w:rPr>
        <w:t>84.4 预付款的扣回（建筑安装工程费）</w:t>
      </w:r>
    </w:p>
    <w:p w14:paraId="5355A765">
      <w:pPr>
        <w:spacing w:line="360" w:lineRule="auto"/>
        <w:ind w:firstLine="480" w:firstLineChars="200"/>
        <w:rPr>
          <w:rFonts w:ascii="仿宋" w:hAnsi="仿宋" w:eastAsia="仿宋"/>
          <w:lang w:eastAsia="zh-CN"/>
        </w:rPr>
      </w:pPr>
      <w:r>
        <w:rPr>
          <w:rFonts w:hint="eastAsia" w:ascii="仿宋" w:hAnsi="仿宋" w:eastAsia="仿宋" w:cs="仿宋"/>
          <w:lang w:eastAsia="zh-CN"/>
        </w:rPr>
        <w:t>□按通用条款约定。</w:t>
      </w:r>
    </w:p>
    <w:p w14:paraId="44DC79C9">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□其它抵扣方式：</w:t>
      </w:r>
      <w:r>
        <w:rPr>
          <w:rFonts w:hint="eastAsia" w:ascii="仿宋" w:hAnsi="仿宋" w:eastAsia="仿宋" w:cs="仿宋"/>
          <w:u w:val="single"/>
          <w:lang w:eastAsia="zh-CN"/>
        </w:rPr>
        <w:t xml:space="preserve">  /  </w:t>
      </w:r>
    </w:p>
    <w:p w14:paraId="488142B3">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w:t>
      </w:r>
      <w:r>
        <w:rPr>
          <w:rFonts w:hint="eastAsia" w:ascii="仿宋" w:hAnsi="仿宋" w:eastAsia="仿宋" w:cs="仿宋"/>
          <w:u w:val="single"/>
          <w:lang w:eastAsia="zh-CN"/>
        </w:rPr>
        <w:t>另作约定：预付款抵扣按下表执行：</w:t>
      </w:r>
    </w:p>
    <w:p w14:paraId="0A5B6531">
      <w:pPr>
        <w:spacing w:line="360" w:lineRule="auto"/>
        <w:jc w:val="center"/>
        <w:rPr>
          <w:rFonts w:ascii="仿宋" w:hAnsi="仿宋" w:eastAsia="仿宋" w:cs="仿宋"/>
          <w:lang w:eastAsia="zh-CN"/>
        </w:rPr>
      </w:pPr>
      <w:r>
        <w:rPr>
          <w:rFonts w:hint="eastAsia" w:ascii="仿宋" w:hAnsi="仿宋" w:eastAsia="仿宋" w:cs="仿宋"/>
          <w:lang w:eastAsia="zh-CN"/>
        </w:rPr>
        <w:t>施工费预付款扣回比例表</w:t>
      </w:r>
    </w:p>
    <w:tbl>
      <w:tblPr>
        <w:tblStyle w:val="43"/>
        <w:tblW w:w="0" w:type="auto"/>
        <w:tblInd w:w="5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87"/>
        <w:gridCol w:w="2563"/>
        <w:gridCol w:w="2475"/>
      </w:tblGrid>
      <w:tr w14:paraId="3E293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7" w:type="dxa"/>
            <w:vAlign w:val="center"/>
          </w:tcPr>
          <w:p w14:paraId="712BD5BB">
            <w:pPr>
              <w:spacing w:line="360" w:lineRule="auto"/>
              <w:jc w:val="center"/>
              <w:rPr>
                <w:rFonts w:ascii="仿宋" w:hAnsi="仿宋" w:eastAsia="仿宋" w:cs="仿宋"/>
                <w:lang w:eastAsia="zh-CN"/>
              </w:rPr>
            </w:pPr>
            <w:r>
              <w:rPr>
                <w:rFonts w:hint="eastAsia" w:ascii="仿宋" w:hAnsi="仿宋" w:eastAsia="仿宋" w:cs="仿宋"/>
                <w:lang w:eastAsia="zh-CN"/>
              </w:rPr>
              <w:t>已完工作量价格与合同签约价施工费部分的比例（a）</w:t>
            </w:r>
          </w:p>
        </w:tc>
        <w:tc>
          <w:tcPr>
            <w:tcW w:w="2563" w:type="dxa"/>
            <w:vAlign w:val="center"/>
          </w:tcPr>
          <w:p w14:paraId="5444BDA1">
            <w:pPr>
              <w:spacing w:line="360" w:lineRule="auto"/>
              <w:jc w:val="center"/>
              <w:rPr>
                <w:rFonts w:ascii="仿宋" w:hAnsi="仿宋" w:eastAsia="仿宋" w:cs="仿宋"/>
                <w:lang w:eastAsia="zh-CN"/>
              </w:rPr>
            </w:pPr>
            <w:r>
              <w:rPr>
                <w:rFonts w:hint="eastAsia" w:ascii="仿宋" w:hAnsi="仿宋" w:eastAsia="仿宋" w:cs="仿宋"/>
                <w:lang w:eastAsia="zh-CN"/>
              </w:rPr>
              <w:t>扣回预付款的比例</w:t>
            </w:r>
          </w:p>
        </w:tc>
        <w:tc>
          <w:tcPr>
            <w:tcW w:w="2475" w:type="dxa"/>
            <w:vAlign w:val="center"/>
          </w:tcPr>
          <w:p w14:paraId="5C210D69">
            <w:pPr>
              <w:spacing w:line="360" w:lineRule="auto"/>
              <w:jc w:val="center"/>
              <w:rPr>
                <w:rFonts w:ascii="仿宋" w:hAnsi="仿宋" w:eastAsia="仿宋" w:cs="仿宋"/>
                <w:lang w:eastAsia="zh-CN"/>
              </w:rPr>
            </w:pPr>
            <w:r>
              <w:rPr>
                <w:rFonts w:hint="eastAsia" w:ascii="仿宋" w:hAnsi="仿宋" w:eastAsia="仿宋" w:cs="仿宋"/>
                <w:lang w:eastAsia="zh-CN"/>
              </w:rPr>
              <w:t>累计扣回比例</w:t>
            </w:r>
          </w:p>
        </w:tc>
      </w:tr>
      <w:tr w14:paraId="14F9A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7" w:type="dxa"/>
          </w:tcPr>
          <w:p w14:paraId="5BFD79D5">
            <w:pPr>
              <w:spacing w:line="360" w:lineRule="auto"/>
              <w:jc w:val="center"/>
              <w:rPr>
                <w:rFonts w:ascii="仿宋" w:hAnsi="仿宋" w:eastAsia="仿宋" w:cs="仿宋"/>
                <w:lang w:eastAsia="zh-CN"/>
              </w:rPr>
            </w:pPr>
            <w:r>
              <w:rPr>
                <w:rFonts w:hint="eastAsia" w:ascii="仿宋" w:hAnsi="仿宋" w:eastAsia="仿宋" w:cs="仿宋"/>
                <w:lang w:eastAsia="zh-CN"/>
              </w:rPr>
              <w:t>20%≤a＜30％</w:t>
            </w:r>
          </w:p>
        </w:tc>
        <w:tc>
          <w:tcPr>
            <w:tcW w:w="2563" w:type="dxa"/>
          </w:tcPr>
          <w:p w14:paraId="010E0619">
            <w:pPr>
              <w:spacing w:line="360" w:lineRule="auto"/>
              <w:jc w:val="center"/>
              <w:rPr>
                <w:rFonts w:ascii="仿宋" w:hAnsi="仿宋" w:eastAsia="仿宋" w:cs="仿宋"/>
                <w:lang w:eastAsia="zh-CN"/>
              </w:rPr>
            </w:pPr>
            <w:r>
              <w:rPr>
                <w:rFonts w:hint="eastAsia" w:ascii="仿宋" w:hAnsi="仿宋" w:eastAsia="仿宋" w:cs="仿宋"/>
                <w:lang w:eastAsia="zh-CN"/>
              </w:rPr>
              <w:t>10％</w:t>
            </w:r>
          </w:p>
        </w:tc>
        <w:tc>
          <w:tcPr>
            <w:tcW w:w="2475" w:type="dxa"/>
          </w:tcPr>
          <w:p w14:paraId="30B24AB8">
            <w:pPr>
              <w:spacing w:line="360" w:lineRule="auto"/>
              <w:jc w:val="center"/>
              <w:rPr>
                <w:rFonts w:ascii="仿宋" w:hAnsi="仿宋" w:eastAsia="仿宋" w:cs="仿宋"/>
                <w:lang w:eastAsia="zh-CN"/>
              </w:rPr>
            </w:pPr>
            <w:r>
              <w:rPr>
                <w:rFonts w:hint="eastAsia" w:ascii="仿宋" w:hAnsi="仿宋" w:eastAsia="仿宋" w:cs="仿宋"/>
                <w:lang w:eastAsia="zh-CN"/>
              </w:rPr>
              <w:t>10％</w:t>
            </w:r>
          </w:p>
        </w:tc>
      </w:tr>
      <w:tr w14:paraId="54BFE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87" w:type="dxa"/>
          </w:tcPr>
          <w:p w14:paraId="551E27B4">
            <w:pPr>
              <w:spacing w:line="360" w:lineRule="auto"/>
              <w:jc w:val="center"/>
              <w:rPr>
                <w:rFonts w:ascii="仿宋" w:hAnsi="仿宋" w:eastAsia="仿宋" w:cs="仿宋"/>
                <w:lang w:eastAsia="zh-CN"/>
              </w:rPr>
            </w:pPr>
            <w:r>
              <w:rPr>
                <w:rFonts w:hint="eastAsia" w:ascii="仿宋" w:hAnsi="仿宋" w:eastAsia="仿宋" w:cs="仿宋"/>
                <w:lang w:eastAsia="zh-CN"/>
              </w:rPr>
              <w:t>30%≤a＜40％</w:t>
            </w:r>
          </w:p>
        </w:tc>
        <w:tc>
          <w:tcPr>
            <w:tcW w:w="2563" w:type="dxa"/>
          </w:tcPr>
          <w:p w14:paraId="45FB9FA6">
            <w:pPr>
              <w:spacing w:line="360" w:lineRule="auto"/>
              <w:jc w:val="center"/>
              <w:rPr>
                <w:rFonts w:ascii="仿宋" w:hAnsi="仿宋" w:eastAsia="仿宋" w:cs="仿宋"/>
                <w:lang w:eastAsia="zh-CN"/>
              </w:rPr>
            </w:pPr>
            <w:r>
              <w:rPr>
                <w:rFonts w:hint="eastAsia" w:ascii="仿宋" w:hAnsi="仿宋" w:eastAsia="仿宋" w:cs="仿宋"/>
                <w:lang w:eastAsia="zh-CN"/>
              </w:rPr>
              <w:t>20％</w:t>
            </w:r>
          </w:p>
        </w:tc>
        <w:tc>
          <w:tcPr>
            <w:tcW w:w="2475" w:type="dxa"/>
          </w:tcPr>
          <w:p w14:paraId="40DBC9B9">
            <w:pPr>
              <w:spacing w:line="360" w:lineRule="auto"/>
              <w:jc w:val="center"/>
              <w:rPr>
                <w:rFonts w:ascii="仿宋" w:hAnsi="仿宋" w:eastAsia="仿宋" w:cs="仿宋"/>
                <w:lang w:eastAsia="zh-CN"/>
              </w:rPr>
            </w:pPr>
            <w:r>
              <w:rPr>
                <w:rFonts w:hint="eastAsia" w:ascii="仿宋" w:hAnsi="仿宋" w:eastAsia="仿宋" w:cs="仿宋"/>
                <w:lang w:eastAsia="zh-CN"/>
              </w:rPr>
              <w:t>30％</w:t>
            </w:r>
          </w:p>
        </w:tc>
      </w:tr>
      <w:tr w14:paraId="5DD9F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7" w:type="dxa"/>
          </w:tcPr>
          <w:p w14:paraId="591AAC8B">
            <w:pPr>
              <w:spacing w:line="360" w:lineRule="auto"/>
              <w:jc w:val="center"/>
              <w:rPr>
                <w:rFonts w:ascii="仿宋" w:hAnsi="仿宋" w:eastAsia="仿宋" w:cs="仿宋"/>
                <w:lang w:eastAsia="zh-CN"/>
              </w:rPr>
            </w:pPr>
            <w:r>
              <w:rPr>
                <w:rFonts w:hint="eastAsia" w:ascii="仿宋" w:hAnsi="仿宋" w:eastAsia="仿宋" w:cs="仿宋"/>
                <w:lang w:eastAsia="zh-CN"/>
              </w:rPr>
              <w:t>40%≤a＜50％</w:t>
            </w:r>
          </w:p>
        </w:tc>
        <w:tc>
          <w:tcPr>
            <w:tcW w:w="2563" w:type="dxa"/>
          </w:tcPr>
          <w:p w14:paraId="5F6B029C">
            <w:pPr>
              <w:spacing w:line="360" w:lineRule="auto"/>
              <w:jc w:val="center"/>
              <w:rPr>
                <w:rFonts w:ascii="仿宋" w:hAnsi="仿宋" w:eastAsia="仿宋" w:cs="仿宋"/>
                <w:lang w:eastAsia="zh-CN"/>
              </w:rPr>
            </w:pPr>
            <w:r>
              <w:rPr>
                <w:rFonts w:hint="eastAsia" w:ascii="仿宋" w:hAnsi="仿宋" w:eastAsia="仿宋" w:cs="仿宋"/>
                <w:lang w:eastAsia="zh-CN"/>
              </w:rPr>
              <w:t>30％</w:t>
            </w:r>
          </w:p>
        </w:tc>
        <w:tc>
          <w:tcPr>
            <w:tcW w:w="2475" w:type="dxa"/>
          </w:tcPr>
          <w:p w14:paraId="6A53E2F9">
            <w:pPr>
              <w:spacing w:line="360" w:lineRule="auto"/>
              <w:jc w:val="center"/>
              <w:rPr>
                <w:rFonts w:ascii="仿宋" w:hAnsi="仿宋" w:eastAsia="仿宋" w:cs="仿宋"/>
                <w:lang w:eastAsia="zh-CN"/>
              </w:rPr>
            </w:pPr>
            <w:r>
              <w:rPr>
                <w:rFonts w:hint="eastAsia" w:ascii="仿宋" w:hAnsi="仿宋" w:eastAsia="仿宋" w:cs="仿宋"/>
                <w:lang w:eastAsia="zh-CN"/>
              </w:rPr>
              <w:t>60％</w:t>
            </w:r>
          </w:p>
        </w:tc>
      </w:tr>
      <w:tr w14:paraId="4103D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7" w:type="dxa"/>
          </w:tcPr>
          <w:p w14:paraId="188015EA">
            <w:pPr>
              <w:spacing w:line="360" w:lineRule="auto"/>
              <w:jc w:val="center"/>
              <w:rPr>
                <w:rFonts w:ascii="仿宋" w:hAnsi="仿宋" w:eastAsia="仿宋" w:cs="仿宋"/>
                <w:lang w:eastAsia="zh-CN"/>
              </w:rPr>
            </w:pPr>
            <w:r>
              <w:rPr>
                <w:rFonts w:hint="eastAsia" w:ascii="仿宋" w:hAnsi="仿宋" w:eastAsia="仿宋" w:cs="仿宋"/>
                <w:lang w:eastAsia="zh-CN"/>
              </w:rPr>
              <w:t>50%≤a＜60％</w:t>
            </w:r>
          </w:p>
        </w:tc>
        <w:tc>
          <w:tcPr>
            <w:tcW w:w="2563" w:type="dxa"/>
          </w:tcPr>
          <w:p w14:paraId="0D0A31AC">
            <w:pPr>
              <w:spacing w:line="360" w:lineRule="auto"/>
              <w:jc w:val="center"/>
              <w:rPr>
                <w:rFonts w:ascii="仿宋" w:hAnsi="仿宋" w:eastAsia="仿宋" w:cs="仿宋"/>
                <w:lang w:eastAsia="zh-CN"/>
              </w:rPr>
            </w:pPr>
            <w:r>
              <w:rPr>
                <w:rFonts w:hint="eastAsia" w:ascii="仿宋" w:hAnsi="仿宋" w:eastAsia="仿宋" w:cs="仿宋"/>
                <w:lang w:eastAsia="zh-CN"/>
              </w:rPr>
              <w:t>40％</w:t>
            </w:r>
          </w:p>
        </w:tc>
        <w:tc>
          <w:tcPr>
            <w:tcW w:w="2475" w:type="dxa"/>
          </w:tcPr>
          <w:p w14:paraId="127BB905">
            <w:pPr>
              <w:spacing w:line="360" w:lineRule="auto"/>
              <w:jc w:val="center"/>
              <w:rPr>
                <w:rFonts w:ascii="仿宋" w:hAnsi="仿宋" w:eastAsia="仿宋" w:cs="仿宋"/>
                <w:lang w:eastAsia="zh-CN"/>
              </w:rPr>
            </w:pPr>
            <w:r>
              <w:rPr>
                <w:rFonts w:hint="eastAsia" w:ascii="仿宋" w:hAnsi="仿宋" w:eastAsia="仿宋" w:cs="仿宋"/>
                <w:lang w:eastAsia="zh-CN"/>
              </w:rPr>
              <w:t>100％</w:t>
            </w:r>
          </w:p>
        </w:tc>
      </w:tr>
    </w:tbl>
    <w:p w14:paraId="5A3BE74F">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注：1.a=已完工程量造价/合同签约价施工费部分；</w:t>
      </w:r>
    </w:p>
    <w:p w14:paraId="15107A93">
      <w:pPr>
        <w:spacing w:line="360" w:lineRule="auto"/>
        <w:ind w:firstLine="960" w:firstLineChars="400"/>
        <w:rPr>
          <w:lang w:eastAsia="zh-CN"/>
        </w:rPr>
      </w:pPr>
      <w:r>
        <w:rPr>
          <w:rFonts w:hint="eastAsia" w:ascii="仿宋" w:hAnsi="仿宋" w:eastAsia="仿宋" w:cs="仿宋"/>
          <w:lang w:eastAsia="zh-CN"/>
        </w:rPr>
        <w:t>2.针对补充合同价格清单的补充协议未签订前，已完工作量价格按照工程形象进度比例折算的投资工程量计取。</w:t>
      </w:r>
    </w:p>
    <w:p w14:paraId="2CE30656">
      <w:pPr>
        <w:pStyle w:val="42"/>
        <w:spacing w:line="360" w:lineRule="auto"/>
        <w:ind w:firstLine="400"/>
        <w:rPr>
          <w:lang w:eastAsia="zh-CN"/>
        </w:rPr>
      </w:pPr>
    </w:p>
    <w:p w14:paraId="6C3CD330">
      <w:pPr>
        <w:pStyle w:val="3"/>
        <w:tabs>
          <w:tab w:val="left" w:pos="420"/>
        </w:tabs>
        <w:spacing w:before="0" w:after="0" w:line="360" w:lineRule="auto"/>
        <w:rPr>
          <w:rFonts w:ascii="仿宋" w:hAnsi="仿宋" w:eastAsia="仿宋"/>
          <w:b w:val="0"/>
          <w:bCs w:val="0"/>
          <w:i w:val="0"/>
          <w:sz w:val="24"/>
          <w:szCs w:val="24"/>
          <w:lang w:eastAsia="zh-CN"/>
        </w:rPr>
      </w:pPr>
      <w:bookmarkStart w:id="1059" w:name="_Toc194073276"/>
      <w:bookmarkStart w:id="1060" w:name="_Toc18899"/>
      <w:bookmarkStart w:id="1061" w:name="_Toc29014"/>
      <w:r>
        <w:rPr>
          <w:rFonts w:hint="eastAsia" w:ascii="仿宋" w:hAnsi="仿宋" w:eastAsia="仿宋" w:cs="仿宋"/>
          <w:b w:val="0"/>
          <w:bCs w:val="0"/>
          <w:i w:val="0"/>
          <w:sz w:val="24"/>
          <w:szCs w:val="24"/>
          <w:lang w:eastAsia="zh-CN"/>
        </w:rPr>
        <w:t>★85.  绿色施工安全防护费</w:t>
      </w:r>
      <w:bookmarkEnd w:id="1059"/>
      <w:bookmarkEnd w:id="1060"/>
      <w:bookmarkEnd w:id="1061"/>
    </w:p>
    <w:p w14:paraId="023C43A7">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85.1 绿色施工安全防护费的内容、范围和金额</w:t>
      </w:r>
    </w:p>
    <w:p w14:paraId="10B3F32F">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①内容和范围</w:t>
      </w:r>
    </w:p>
    <w:p w14:paraId="37DD07E7">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☑按通用条款的约定，以现行省、市有关文件规定为准。</w:t>
      </w:r>
    </w:p>
    <w:p w14:paraId="7CBD3180">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 另作约定：</w:t>
      </w:r>
      <w:r>
        <w:rPr>
          <w:rFonts w:hint="eastAsia" w:ascii="仿宋" w:hAnsi="仿宋" w:eastAsia="仿宋" w:cs="仿宋"/>
          <w:u w:val="single"/>
          <w:lang w:eastAsia="zh-CN"/>
        </w:rPr>
        <w:t xml:space="preserve">         /            。</w:t>
      </w:r>
    </w:p>
    <w:p w14:paraId="56D828D6">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②绿色施工安全防护费：补充合同价格清单确定前，暂按施工费招标控制价的</w:t>
      </w:r>
      <w:r>
        <w:rPr>
          <w:rFonts w:hint="eastAsia" w:ascii="仿宋" w:hAnsi="仿宋" w:eastAsia="仿宋" w:cs="仿宋"/>
          <w:u w:val="single"/>
          <w:lang w:eastAsia="zh-CN"/>
        </w:rPr>
        <w:t>6</w:t>
      </w:r>
      <w:r>
        <w:rPr>
          <w:rFonts w:hint="eastAsia" w:ascii="仿宋" w:hAnsi="仿宋" w:eastAsia="仿宋" w:cs="仿宋"/>
          <w:lang w:eastAsia="zh-CN"/>
        </w:rPr>
        <w:t>%计取，作为暂定金额。补充合同价格清单确定且签订补充合同后，绿色施工安全防护费以补充合同中的相应金额为准。</w:t>
      </w:r>
    </w:p>
    <w:p w14:paraId="7B85568D">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85.2 支付申请的提交与核实</w:t>
      </w:r>
    </w:p>
    <w:p w14:paraId="5BFAED4B">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☑按通用条款的约定。</w:t>
      </w:r>
    </w:p>
    <w:p w14:paraId="0D70B6C2">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□另作约定：</w:t>
      </w:r>
      <w:r>
        <w:rPr>
          <w:rFonts w:hint="eastAsia" w:ascii="仿宋" w:hAnsi="仿宋" w:eastAsia="仿宋" w:cs="仿宋"/>
          <w:u w:val="single"/>
          <w:lang w:eastAsia="zh-CN"/>
        </w:rPr>
        <w:t xml:space="preserve">         /         。</w:t>
      </w:r>
    </w:p>
    <w:p w14:paraId="1A442874">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85.3 费用支付</w:t>
      </w:r>
    </w:p>
    <w:p w14:paraId="56F87CE2">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绿色施工安全防护费的支付办法和抵扣方式：</w:t>
      </w:r>
    </w:p>
    <w:p w14:paraId="3205BF65">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按通用条款的约定。</w:t>
      </w:r>
    </w:p>
    <w:p w14:paraId="107A1547">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另作约定：</w:t>
      </w:r>
    </w:p>
    <w:p w14:paraId="1AC9CACB">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（1）绿色施工安全防护费单独核算，工程开工后 28 天内，承包人应制定专项的绿色施工安全防护措施费使用计划，经监理单位和发包人审查单位工程符合进场条件的，支付本合同绿色施工安全防护费暂定金额的30%；完成地下室结构工程后，支付本合同绿色施工安全防护费暂定金额的15%；完成主体结构工程50%后，支付本合同绿色施工安全防护费暂定金额的15%；完成全部主体结构工程后，支付至补充合同价格清单中绿色施工安全防护费的80%；完成全部装饰装修工程后，支付至补充合同价格清单中绿色施工安全防护费的90%；剩余10%在工程完工且安全评价合格后支付。</w:t>
      </w:r>
    </w:p>
    <w:p w14:paraId="56DB9F22">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（2）若承包人未专款专用绿色施工安全防护费，经查证实，应承担严重违约责任一次。</w:t>
      </w:r>
    </w:p>
    <w:p w14:paraId="6E0AC504">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（3）对于承包人绿色施工安全防护不到位的情况，发包人有权扣减其绿色施工安全防护费用，或由监理人委托他人实施，费用从承包人绿色施工安全防护费用中扣除。</w:t>
      </w:r>
    </w:p>
    <w:p w14:paraId="25728288">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（4）其它：</w:t>
      </w:r>
    </w:p>
    <w:p w14:paraId="069A3521">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绿色施工安全防护措施费实行单列支付、专款专用。承包人应在财务账目中单独列项备查，不得挪作他用，否则发包人有权责令其限期改正；逾期未改正的，可以责令其暂停施工，由此增加的费用和（或）延误的工期由承包人承担。</w:t>
      </w:r>
    </w:p>
    <w:p w14:paraId="0CFD712F">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85.6 文明工地增加费</w:t>
      </w:r>
    </w:p>
    <w:p w14:paraId="4F32F4B2">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文明工地增加费的计算额度：</w:t>
      </w:r>
    </w:p>
    <w:p w14:paraId="40CAA39A">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按通用条款约定计算。</w:t>
      </w:r>
    </w:p>
    <w:p w14:paraId="0D088BF5">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sym w:font="Wingdings 2" w:char="F052"/>
      </w:r>
      <w:r>
        <w:rPr>
          <w:rFonts w:hint="eastAsia" w:ascii="仿宋" w:hAnsi="仿宋" w:eastAsia="仿宋" w:cs="仿宋"/>
          <w:lang w:eastAsia="zh-CN"/>
        </w:rPr>
        <w:t xml:space="preserve"> 另作约定：</w:t>
      </w:r>
      <w:r>
        <w:rPr>
          <w:rFonts w:hint="eastAsia" w:ascii="仿宋" w:hAnsi="仿宋" w:eastAsia="仿宋" w:cs="仿宋"/>
          <w:u w:val="single"/>
          <w:lang w:eastAsia="zh-CN"/>
        </w:rPr>
        <w:t xml:space="preserve"> 含在承包人中标下浮率中   </w:t>
      </w:r>
    </w:p>
    <w:p w14:paraId="4267BAC6">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85.7 补充条款</w:t>
      </w:r>
    </w:p>
    <w:p w14:paraId="20BF0AA0">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余泥渣土场外运输与排放：</w:t>
      </w:r>
    </w:p>
    <w:p w14:paraId="1F820BEC">
      <w:pPr>
        <w:spacing w:line="360" w:lineRule="auto"/>
        <w:ind w:firstLine="480" w:firstLineChars="200"/>
        <w:rPr>
          <w:lang w:eastAsia="zh-CN"/>
        </w:rPr>
      </w:pPr>
      <w:r>
        <w:rPr>
          <w:rFonts w:hint="eastAsia" w:ascii="仿宋" w:hAnsi="仿宋" w:eastAsia="仿宋" w:cs="仿宋"/>
          <w:lang w:eastAsia="zh-CN"/>
        </w:rPr>
        <w:t>余泥渣土（土方、石方、淤泥）场外运输，施工图预算按审定概算中的运距计算。</w:t>
      </w:r>
    </w:p>
    <w:p w14:paraId="54D65503">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施工图预算中消纳费单价以不超过审定概算中的消纳费单价计取（如审定概算未计列消纳费，则施工图预算不计列），实际费用以合法消纳场出具的相关受纳证确认受纳量、单价以补充合同价格清单的相应单价进行结算，最终以</w:t>
      </w:r>
      <w:r>
        <w:rPr>
          <w:rFonts w:hint="eastAsia" w:ascii="仿宋" w:hAnsi="仿宋" w:eastAsia="仿宋" w:cs="仿宋"/>
          <w:szCs w:val="21"/>
          <w:lang w:val="en-US" w:eastAsia="zh-CN"/>
        </w:rPr>
        <w:t>发包人确认的</w:t>
      </w:r>
      <w:r>
        <w:rPr>
          <w:rFonts w:hint="eastAsia" w:ascii="仿宋" w:hAnsi="仿宋" w:eastAsia="仿宋" w:cs="仿宋"/>
          <w:lang w:eastAsia="zh-CN"/>
        </w:rPr>
        <w:t>有权审核部门的结算终审金额为准</w:t>
      </w:r>
      <w:r>
        <w:rPr>
          <w:rFonts w:hint="eastAsia" w:ascii="宋体" w:hAnsi="宋体"/>
          <w:lang w:eastAsia="zh-CN"/>
        </w:rPr>
        <w:t>。</w:t>
      </w:r>
    </w:p>
    <w:p w14:paraId="49868EEC">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承包人负责办理余泥渣土排放手续及缴纳相关费用。</w:t>
      </w:r>
    </w:p>
    <w:p w14:paraId="587596C5">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土方开挖前，承包人必须按照现场情况，提交合理的施工方案和平面布置，计算现场可堆放土方的面积和数量，报监理和发包人签证确认，并存留余泥排放回执原件，作为结算工程量计算参考依据，结算时将按实调整土方外运数量，调整淤泥、泥浆即挖即运数量。现场可堆放土方的面积和数量如未签证确认，视为现场有足够的场地堆放土方，结算时，淤泥、泥浆不考虑即挖即运，土方外运数量按挖方量扣减图纸理论回填土方的数量计算。</w:t>
      </w:r>
    </w:p>
    <w:p w14:paraId="4E6A6778">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承包人必须严格遵守建设工程余泥渣土运输与排放管理制度，执行广州市相关规定。若承包人因违反规定受到有关部门处罚，经查证实，应承担严重违约责任一次。</w:t>
      </w:r>
    </w:p>
    <w:p w14:paraId="3009AAB2">
      <w:pPr>
        <w:pStyle w:val="42"/>
        <w:spacing w:line="360" w:lineRule="auto"/>
        <w:ind w:firstLine="400"/>
        <w:rPr>
          <w:lang w:eastAsia="zh-CN"/>
        </w:rPr>
      </w:pPr>
    </w:p>
    <w:p w14:paraId="1776C643">
      <w:pPr>
        <w:pStyle w:val="3"/>
        <w:tabs>
          <w:tab w:val="left" w:pos="420"/>
        </w:tabs>
        <w:spacing w:before="0" w:after="0" w:line="360" w:lineRule="auto"/>
        <w:rPr>
          <w:rFonts w:ascii="仿宋" w:hAnsi="仿宋" w:eastAsia="仿宋"/>
          <w:b w:val="0"/>
          <w:bCs w:val="0"/>
          <w:i w:val="0"/>
          <w:sz w:val="24"/>
          <w:szCs w:val="24"/>
          <w:lang w:eastAsia="zh-CN"/>
        </w:rPr>
      </w:pPr>
      <w:bookmarkStart w:id="1062" w:name="_Toc194073277"/>
      <w:bookmarkStart w:id="1063" w:name="_Toc28566"/>
      <w:bookmarkStart w:id="1064" w:name="_Toc32045"/>
      <w:bookmarkStart w:id="1065" w:name="_Toc9351"/>
      <w:r>
        <w:rPr>
          <w:rFonts w:hint="eastAsia" w:ascii="仿宋" w:hAnsi="仿宋" w:eastAsia="仿宋" w:cs="仿宋"/>
          <w:b w:val="0"/>
          <w:bCs w:val="0"/>
          <w:i w:val="0"/>
          <w:sz w:val="24"/>
          <w:szCs w:val="24"/>
          <w:lang w:eastAsia="zh-CN"/>
        </w:rPr>
        <w:t>★86.  进度款</w:t>
      </w:r>
      <w:bookmarkEnd w:id="1062"/>
      <w:bookmarkEnd w:id="1063"/>
      <w:bookmarkEnd w:id="1064"/>
      <w:bookmarkEnd w:id="1065"/>
    </w:p>
    <w:p w14:paraId="49BE0AA0">
      <w:pPr>
        <w:spacing w:line="360" w:lineRule="auto"/>
        <w:ind w:firstLine="480" w:firstLineChars="200"/>
        <w:rPr>
          <w:rFonts w:ascii="仿宋" w:hAnsi="仿宋" w:eastAsia="仿宋"/>
          <w:lang w:eastAsia="zh-CN"/>
        </w:rPr>
      </w:pPr>
      <w:r>
        <w:rPr>
          <w:rFonts w:hint="eastAsia" w:ascii="仿宋" w:hAnsi="仿宋" w:eastAsia="仿宋" w:cs="仿宋"/>
          <w:lang w:eastAsia="zh-CN"/>
        </w:rPr>
        <w:t>86.1 约定支付期限和提交支付申请</w:t>
      </w:r>
    </w:p>
    <w:p w14:paraId="34DB26D6">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勘察（含测量、测绘）</w:t>
      </w:r>
    </w:p>
    <w:p w14:paraId="227842B1">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①支付期限、比例</w:t>
      </w:r>
    </w:p>
    <w:p w14:paraId="768E0F57">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以月为支付周期，支付比例为本月已完工作或工程款的</w:t>
      </w:r>
      <w:r>
        <w:rPr>
          <w:rFonts w:hint="eastAsia" w:ascii="仿宋" w:hAnsi="仿宋" w:eastAsia="仿宋" w:cs="仿宋"/>
          <w:u w:val="single"/>
          <w:lang w:eastAsia="zh-CN"/>
        </w:rPr>
        <w:t xml:space="preserve">  /  </w:t>
      </w:r>
      <w:r>
        <w:rPr>
          <w:rFonts w:hint="eastAsia" w:ascii="仿宋" w:hAnsi="仿宋" w:eastAsia="仿宋" w:cs="仿宋"/>
          <w:lang w:eastAsia="zh-CN"/>
        </w:rPr>
        <w:t>%。</w:t>
      </w:r>
    </w:p>
    <w:p w14:paraId="6A628126">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以季度为支付周期，支付比例为本季度已完工作或工程款的</w:t>
      </w:r>
      <w:r>
        <w:rPr>
          <w:rFonts w:hint="eastAsia" w:ascii="仿宋" w:hAnsi="仿宋" w:eastAsia="仿宋" w:cs="仿宋"/>
          <w:u w:val="single"/>
          <w:lang w:eastAsia="zh-CN"/>
        </w:rPr>
        <w:t xml:space="preserve">  /  </w:t>
      </w:r>
      <w:r>
        <w:rPr>
          <w:rFonts w:hint="eastAsia" w:ascii="仿宋" w:hAnsi="仿宋" w:eastAsia="仿宋" w:cs="仿宋"/>
          <w:lang w:eastAsia="zh-CN"/>
        </w:rPr>
        <w:t>%。</w:t>
      </w:r>
    </w:p>
    <w:p w14:paraId="66F71DB7">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 以形象进度为支付周期，支付比例为本形象进度内已完工作或工程款的</w:t>
      </w:r>
      <w:r>
        <w:rPr>
          <w:rFonts w:hint="eastAsia" w:ascii="仿宋" w:hAnsi="仿宋" w:eastAsia="仿宋" w:cs="仿宋"/>
          <w:u w:val="single"/>
          <w:lang w:eastAsia="zh-CN"/>
        </w:rPr>
        <w:t xml:space="preserve">  /  </w:t>
      </w:r>
      <w:r>
        <w:rPr>
          <w:rFonts w:hint="eastAsia" w:ascii="仿宋" w:hAnsi="仿宋" w:eastAsia="仿宋" w:cs="仿宋"/>
          <w:lang w:eastAsia="zh-CN"/>
        </w:rPr>
        <w:t>%或另行约定，具体约定如下：</w:t>
      </w:r>
      <w:r>
        <w:rPr>
          <w:rFonts w:hint="eastAsia" w:ascii="仿宋" w:hAnsi="仿宋" w:eastAsia="仿宋" w:cs="仿宋"/>
          <w:u w:val="single"/>
          <w:lang w:eastAsia="zh-CN"/>
        </w:rPr>
        <w:t xml:space="preserve">   /  </w:t>
      </w:r>
    </w:p>
    <w:p w14:paraId="1C8E04EA">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□其它方式：</w:t>
      </w:r>
      <w:r>
        <w:rPr>
          <w:rFonts w:hint="eastAsia" w:ascii="仿宋" w:hAnsi="仿宋" w:eastAsia="仿宋" w:cs="仿宋"/>
          <w:u w:val="single"/>
          <w:lang w:eastAsia="zh-CN"/>
        </w:rPr>
        <w:t xml:space="preserve">   /  </w:t>
      </w:r>
    </w:p>
    <w:p w14:paraId="2E38D393">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(11)本期间应支付或扣留（回）的其他款项：</w:t>
      </w:r>
      <w:r>
        <w:rPr>
          <w:rFonts w:hint="eastAsia" w:ascii="仿宋" w:hAnsi="仿宋" w:eastAsia="仿宋" w:cs="仿宋"/>
          <w:u w:val="single"/>
          <w:lang w:eastAsia="zh-CN"/>
        </w:rPr>
        <w:t xml:space="preserve">   /  </w:t>
      </w:r>
    </w:p>
    <w:p w14:paraId="6EDAAE80">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☑设计</w:t>
      </w:r>
    </w:p>
    <w:p w14:paraId="7AC4988B">
      <w:pPr>
        <w:spacing w:line="360" w:lineRule="auto"/>
        <w:ind w:firstLine="480" w:firstLineChars="200"/>
        <w:rPr>
          <w:rFonts w:ascii="仿宋" w:hAnsi="仿宋" w:eastAsia="仿宋"/>
          <w:lang w:eastAsia="zh-CN"/>
        </w:rPr>
      </w:pPr>
      <w:r>
        <w:rPr>
          <w:rFonts w:hint="eastAsia" w:ascii="仿宋" w:hAnsi="仿宋" w:eastAsia="仿宋" w:cs="仿宋"/>
          <w:lang w:eastAsia="zh-CN"/>
        </w:rPr>
        <w:t>①支付期限、比例</w:t>
      </w:r>
    </w:p>
    <w:p w14:paraId="3D13C376">
      <w:pPr>
        <w:spacing w:line="360" w:lineRule="auto"/>
        <w:ind w:firstLine="480" w:firstLineChars="200"/>
        <w:rPr>
          <w:rFonts w:ascii="仿宋" w:hAnsi="仿宋" w:eastAsia="仿宋"/>
          <w:lang w:eastAsia="zh-CN"/>
        </w:rPr>
      </w:pPr>
      <w:r>
        <w:rPr>
          <w:rFonts w:hint="eastAsia" w:ascii="仿宋" w:hAnsi="仿宋" w:eastAsia="仿宋" w:cs="仿宋"/>
          <w:lang w:eastAsia="zh-CN"/>
        </w:rPr>
        <w:t>□ 以月为支付周期，支付比例为本月已完工作或工程款的</w:t>
      </w:r>
      <w:r>
        <w:rPr>
          <w:rFonts w:hint="eastAsia" w:ascii="仿宋" w:hAnsi="仿宋" w:eastAsia="仿宋" w:cs="仿宋"/>
          <w:u w:val="single"/>
          <w:lang w:eastAsia="zh-CN"/>
        </w:rPr>
        <w:t xml:space="preserve"> /  </w:t>
      </w:r>
      <w:r>
        <w:rPr>
          <w:rFonts w:hint="eastAsia" w:ascii="仿宋" w:hAnsi="仿宋" w:eastAsia="仿宋" w:cs="仿宋"/>
          <w:lang w:eastAsia="zh-CN"/>
        </w:rPr>
        <w:t>%。</w:t>
      </w:r>
    </w:p>
    <w:p w14:paraId="3690CDED">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以季度为支付周期，支付比例为本季度已完工作或工程款的</w:t>
      </w:r>
      <w:r>
        <w:rPr>
          <w:rFonts w:hint="eastAsia" w:ascii="仿宋" w:hAnsi="仿宋" w:eastAsia="仿宋" w:cs="仿宋"/>
          <w:u w:val="single"/>
          <w:lang w:eastAsia="zh-CN"/>
        </w:rPr>
        <w:t xml:space="preserve">  / </w:t>
      </w:r>
      <w:r>
        <w:rPr>
          <w:rFonts w:hint="eastAsia" w:ascii="仿宋" w:hAnsi="仿宋" w:eastAsia="仿宋" w:cs="仿宋"/>
          <w:lang w:eastAsia="zh-CN"/>
        </w:rPr>
        <w:t>%。</w:t>
      </w:r>
    </w:p>
    <w:p w14:paraId="344B099C">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以形象进度为支付周期，支付比例为本形象进度内已完工作或工程款的</w:t>
      </w:r>
      <w:r>
        <w:rPr>
          <w:rFonts w:hint="eastAsia" w:ascii="仿宋" w:hAnsi="仿宋" w:eastAsia="仿宋" w:cs="仿宋"/>
          <w:u w:val="single"/>
          <w:lang w:eastAsia="zh-CN"/>
        </w:rPr>
        <w:t xml:space="preserve"> /  </w:t>
      </w:r>
      <w:r>
        <w:rPr>
          <w:rFonts w:hint="eastAsia" w:ascii="仿宋" w:hAnsi="仿宋" w:eastAsia="仿宋" w:cs="仿宋"/>
          <w:lang w:eastAsia="zh-CN"/>
        </w:rPr>
        <w:t>%或另行约定，具体约定如下：</w:t>
      </w:r>
      <w:r>
        <w:rPr>
          <w:rFonts w:hint="eastAsia" w:ascii="仿宋" w:hAnsi="仿宋" w:eastAsia="仿宋" w:cs="仿宋"/>
          <w:u w:val="single"/>
          <w:lang w:eastAsia="zh-CN"/>
        </w:rPr>
        <w:t xml:space="preserve">             /              </w:t>
      </w:r>
      <w:r>
        <w:rPr>
          <w:rFonts w:hint="eastAsia" w:ascii="仿宋" w:hAnsi="仿宋" w:eastAsia="仿宋" w:cs="仿宋"/>
          <w:lang w:eastAsia="zh-CN"/>
        </w:rPr>
        <w:t>。</w:t>
      </w:r>
    </w:p>
    <w:p w14:paraId="191E51F3">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其它方式：                                                    。</w:t>
      </w:r>
    </w:p>
    <w:p w14:paraId="0A743B97">
      <w:pPr>
        <w:numPr>
          <w:ilvl w:val="0"/>
          <w:numId w:val="46"/>
        </w:numPr>
        <w:spacing w:line="360" w:lineRule="auto"/>
        <w:ind w:firstLine="480" w:firstLineChars="200"/>
        <w:rPr>
          <w:rFonts w:ascii="仿宋" w:hAnsi="仿宋" w:eastAsia="仿宋" w:cs="仿宋"/>
          <w:lang w:eastAsia="zh-CN"/>
        </w:rPr>
      </w:pPr>
      <w:r>
        <w:rPr>
          <w:rFonts w:hint="eastAsia" w:ascii="仿宋" w:hAnsi="仿宋" w:eastAsia="仿宋" w:cs="仿宋"/>
          <w:lang w:eastAsia="zh-CN"/>
        </w:rPr>
        <w:t>设计费分笔支付分解表如下：</w:t>
      </w:r>
    </w:p>
    <w:tbl>
      <w:tblPr>
        <w:tblStyle w:val="43"/>
        <w:tblW w:w="4993" w:type="pct"/>
        <w:tblInd w:w="0" w:type="dxa"/>
        <w:tblLayout w:type="autofit"/>
        <w:tblCellMar>
          <w:top w:w="0" w:type="dxa"/>
          <w:left w:w="108" w:type="dxa"/>
          <w:bottom w:w="0" w:type="dxa"/>
          <w:right w:w="108" w:type="dxa"/>
        </w:tblCellMar>
      </w:tblPr>
      <w:tblGrid>
        <w:gridCol w:w="1891"/>
        <w:gridCol w:w="2842"/>
        <w:gridCol w:w="5116"/>
      </w:tblGrid>
      <w:tr w14:paraId="14010789">
        <w:tblPrEx>
          <w:tblCellMar>
            <w:top w:w="0" w:type="dxa"/>
            <w:left w:w="108" w:type="dxa"/>
            <w:bottom w:w="0" w:type="dxa"/>
            <w:right w:w="108" w:type="dxa"/>
          </w:tblCellMar>
        </w:tblPrEx>
        <w:trPr>
          <w:trHeight w:val="605" w:hRule="atLeast"/>
        </w:trPr>
        <w:tc>
          <w:tcPr>
            <w:tcW w:w="960" w:type="pct"/>
            <w:tcBorders>
              <w:top w:val="single" w:color="000000" w:sz="4" w:space="0"/>
              <w:left w:val="single" w:color="000000" w:sz="4" w:space="0"/>
              <w:bottom w:val="single" w:color="000000" w:sz="4" w:space="0"/>
              <w:right w:val="single" w:color="000000" w:sz="4" w:space="0"/>
            </w:tcBorders>
            <w:vAlign w:val="center"/>
          </w:tcPr>
          <w:p w14:paraId="369AA8F4">
            <w:pPr>
              <w:jc w:val="center"/>
              <w:rPr>
                <w:rFonts w:ascii="仿宋" w:hAnsi="仿宋" w:eastAsia="仿宋" w:cs="仿宋"/>
                <w:b/>
                <w:bCs/>
              </w:rPr>
            </w:pPr>
            <w:r>
              <w:rPr>
                <w:rFonts w:hint="eastAsia" w:ascii="仿宋" w:hAnsi="仿宋" w:eastAsia="仿宋" w:cs="仿宋"/>
                <w:b/>
                <w:bCs/>
                <w:lang w:eastAsia="zh-CN" w:bidi="ar"/>
              </w:rPr>
              <w:t>付款次序</w:t>
            </w:r>
          </w:p>
        </w:tc>
        <w:tc>
          <w:tcPr>
            <w:tcW w:w="1442" w:type="pct"/>
            <w:tcBorders>
              <w:top w:val="single" w:color="000000" w:sz="4" w:space="0"/>
              <w:left w:val="single" w:color="000000" w:sz="4" w:space="0"/>
              <w:bottom w:val="single" w:color="000000" w:sz="4" w:space="0"/>
              <w:right w:val="single" w:color="000000" w:sz="4" w:space="0"/>
            </w:tcBorders>
            <w:vAlign w:val="center"/>
          </w:tcPr>
          <w:p w14:paraId="24D76939">
            <w:pPr>
              <w:jc w:val="center"/>
              <w:rPr>
                <w:rFonts w:ascii="仿宋" w:hAnsi="仿宋" w:eastAsia="仿宋" w:cs="仿宋"/>
                <w:b/>
                <w:bCs/>
              </w:rPr>
            </w:pPr>
            <w:r>
              <w:rPr>
                <w:rFonts w:hint="eastAsia" w:ascii="仿宋" w:hAnsi="仿宋" w:eastAsia="仿宋" w:cs="仿宋"/>
                <w:b/>
                <w:bCs/>
                <w:lang w:eastAsia="zh-CN" w:bidi="ar"/>
              </w:rPr>
              <w:t>付款金额</w:t>
            </w:r>
          </w:p>
        </w:tc>
        <w:tc>
          <w:tcPr>
            <w:tcW w:w="2596" w:type="pct"/>
            <w:tcBorders>
              <w:top w:val="single" w:color="000000" w:sz="4" w:space="0"/>
              <w:left w:val="single" w:color="000000" w:sz="4" w:space="0"/>
              <w:bottom w:val="single" w:color="000000" w:sz="4" w:space="0"/>
              <w:right w:val="single" w:color="000000" w:sz="4" w:space="0"/>
            </w:tcBorders>
            <w:vAlign w:val="center"/>
          </w:tcPr>
          <w:p w14:paraId="083AC1E5">
            <w:pPr>
              <w:jc w:val="center"/>
              <w:rPr>
                <w:rFonts w:ascii="仿宋" w:hAnsi="仿宋" w:eastAsia="仿宋" w:cs="仿宋"/>
                <w:b/>
                <w:bCs/>
              </w:rPr>
            </w:pPr>
            <w:r>
              <w:rPr>
                <w:rFonts w:hint="eastAsia" w:ascii="仿宋" w:hAnsi="仿宋" w:eastAsia="仿宋" w:cs="仿宋"/>
                <w:b/>
                <w:bCs/>
                <w:lang w:eastAsia="zh-CN" w:bidi="ar"/>
              </w:rPr>
              <w:t>付款条件</w:t>
            </w:r>
          </w:p>
        </w:tc>
      </w:tr>
      <w:tr w14:paraId="2FFC705B">
        <w:tblPrEx>
          <w:tblCellMar>
            <w:top w:w="0" w:type="dxa"/>
            <w:left w:w="108" w:type="dxa"/>
            <w:bottom w:w="0" w:type="dxa"/>
            <w:right w:w="108" w:type="dxa"/>
          </w:tblCellMar>
        </w:tblPrEx>
        <w:trPr>
          <w:trHeight w:val="1100" w:hRule="atLeast"/>
        </w:trPr>
        <w:tc>
          <w:tcPr>
            <w:tcW w:w="960" w:type="pct"/>
            <w:tcBorders>
              <w:top w:val="single" w:color="000000" w:sz="4" w:space="0"/>
              <w:left w:val="single" w:color="000000" w:sz="4" w:space="0"/>
              <w:bottom w:val="single" w:color="000000" w:sz="4" w:space="0"/>
              <w:right w:val="single" w:color="000000" w:sz="4" w:space="0"/>
            </w:tcBorders>
            <w:vAlign w:val="center"/>
          </w:tcPr>
          <w:p w14:paraId="3CB53F02">
            <w:pPr>
              <w:jc w:val="center"/>
              <w:rPr>
                <w:rFonts w:ascii="仿宋" w:hAnsi="仿宋" w:eastAsia="仿宋" w:cs="仿宋"/>
              </w:rPr>
            </w:pPr>
            <w:r>
              <w:rPr>
                <w:rFonts w:hint="eastAsia" w:ascii="仿宋" w:hAnsi="仿宋" w:eastAsia="仿宋" w:cs="仿宋"/>
                <w:lang w:eastAsia="zh-CN" w:bidi="ar"/>
              </w:rPr>
              <w:t>首期款</w:t>
            </w:r>
          </w:p>
        </w:tc>
        <w:tc>
          <w:tcPr>
            <w:tcW w:w="1442" w:type="pct"/>
            <w:tcBorders>
              <w:top w:val="single" w:color="000000" w:sz="4" w:space="0"/>
              <w:left w:val="single" w:color="000000" w:sz="4" w:space="0"/>
              <w:bottom w:val="single" w:color="000000" w:sz="4" w:space="0"/>
              <w:right w:val="single" w:color="000000" w:sz="4" w:space="0"/>
            </w:tcBorders>
            <w:vAlign w:val="center"/>
          </w:tcPr>
          <w:p w14:paraId="1E37C156">
            <w:pPr>
              <w:rPr>
                <w:rFonts w:ascii="仿宋" w:hAnsi="仿宋" w:eastAsia="仿宋" w:cs="仿宋"/>
                <w:lang w:eastAsia="zh-CN"/>
              </w:rPr>
            </w:pPr>
            <w:r>
              <w:rPr>
                <w:rFonts w:hint="eastAsia" w:ascii="仿宋" w:hAnsi="仿宋" w:eastAsia="仿宋" w:cs="仿宋"/>
                <w:lang w:eastAsia="zh-CN" w:bidi="ar"/>
              </w:rPr>
              <w:t>工程设计费总额的20%(首期款 )</w:t>
            </w:r>
          </w:p>
        </w:tc>
        <w:tc>
          <w:tcPr>
            <w:tcW w:w="2596" w:type="pct"/>
            <w:tcBorders>
              <w:top w:val="single" w:color="000000" w:sz="4" w:space="0"/>
              <w:left w:val="single" w:color="000000" w:sz="4" w:space="0"/>
              <w:bottom w:val="single" w:color="000000" w:sz="4" w:space="0"/>
              <w:right w:val="single" w:color="000000" w:sz="4" w:space="0"/>
            </w:tcBorders>
            <w:vAlign w:val="center"/>
          </w:tcPr>
          <w:p w14:paraId="209FBC23">
            <w:pPr>
              <w:rPr>
                <w:rFonts w:ascii="仿宋" w:hAnsi="仿宋" w:eastAsia="仿宋" w:cs="仿宋"/>
                <w:lang w:eastAsia="zh-CN"/>
              </w:rPr>
            </w:pPr>
            <w:r>
              <w:rPr>
                <w:rFonts w:hint="eastAsia" w:ascii="仿宋" w:hAnsi="仿宋" w:eastAsia="仿宋" w:cs="仿宋"/>
                <w:lang w:eastAsia="zh-CN" w:bidi="ar"/>
              </w:rPr>
              <w:t>本合同签订生效后，承包人提交履约担保并按合同要求提供申请支付文件资料</w:t>
            </w:r>
          </w:p>
        </w:tc>
      </w:tr>
      <w:tr w14:paraId="453D1022">
        <w:tblPrEx>
          <w:tblCellMar>
            <w:top w:w="0" w:type="dxa"/>
            <w:left w:w="108" w:type="dxa"/>
            <w:bottom w:w="0" w:type="dxa"/>
            <w:right w:w="108" w:type="dxa"/>
          </w:tblCellMar>
        </w:tblPrEx>
        <w:trPr>
          <w:trHeight w:val="1100" w:hRule="atLeast"/>
        </w:trPr>
        <w:tc>
          <w:tcPr>
            <w:tcW w:w="960" w:type="pct"/>
            <w:tcBorders>
              <w:top w:val="single" w:color="000000" w:sz="4" w:space="0"/>
              <w:left w:val="single" w:color="000000" w:sz="4" w:space="0"/>
              <w:bottom w:val="single" w:color="000000" w:sz="4" w:space="0"/>
              <w:right w:val="single" w:color="000000" w:sz="4" w:space="0"/>
            </w:tcBorders>
            <w:vAlign w:val="center"/>
          </w:tcPr>
          <w:p w14:paraId="715461BA">
            <w:pPr>
              <w:jc w:val="center"/>
              <w:rPr>
                <w:rFonts w:ascii="仿宋" w:hAnsi="仿宋" w:eastAsia="仿宋" w:cs="仿宋"/>
              </w:rPr>
            </w:pPr>
            <w:r>
              <w:rPr>
                <w:rFonts w:hint="eastAsia" w:ascii="仿宋" w:hAnsi="仿宋" w:eastAsia="仿宋" w:cs="仿宋"/>
                <w:lang w:eastAsia="zh-CN" w:bidi="ar"/>
              </w:rPr>
              <w:t>第二期</w:t>
            </w:r>
          </w:p>
        </w:tc>
        <w:tc>
          <w:tcPr>
            <w:tcW w:w="1442" w:type="pct"/>
            <w:tcBorders>
              <w:top w:val="single" w:color="000000" w:sz="4" w:space="0"/>
              <w:left w:val="single" w:color="000000" w:sz="4" w:space="0"/>
              <w:bottom w:val="single" w:color="000000" w:sz="4" w:space="0"/>
              <w:right w:val="single" w:color="000000" w:sz="4" w:space="0"/>
            </w:tcBorders>
            <w:vAlign w:val="center"/>
          </w:tcPr>
          <w:p w14:paraId="6C57EDF8">
            <w:pPr>
              <w:rPr>
                <w:rFonts w:ascii="仿宋" w:hAnsi="仿宋" w:eastAsia="仿宋" w:cs="仿宋"/>
                <w:lang w:eastAsia="zh-CN"/>
              </w:rPr>
            </w:pPr>
            <w:r>
              <w:rPr>
                <w:rFonts w:hint="eastAsia" w:ascii="仿宋" w:hAnsi="仿宋" w:eastAsia="仿宋" w:cs="仿宋"/>
                <w:lang w:eastAsia="zh-CN" w:bidi="ar"/>
              </w:rPr>
              <w:t>工程设计费的25%</w:t>
            </w:r>
          </w:p>
        </w:tc>
        <w:tc>
          <w:tcPr>
            <w:tcW w:w="2596" w:type="pct"/>
            <w:tcBorders>
              <w:top w:val="single" w:color="000000" w:sz="4" w:space="0"/>
              <w:left w:val="single" w:color="000000" w:sz="4" w:space="0"/>
              <w:bottom w:val="single" w:color="000000" w:sz="4" w:space="0"/>
              <w:right w:val="single" w:color="000000" w:sz="4" w:space="0"/>
            </w:tcBorders>
            <w:vAlign w:val="center"/>
          </w:tcPr>
          <w:p w14:paraId="39BCD852">
            <w:pPr>
              <w:rPr>
                <w:rFonts w:ascii="仿宋" w:hAnsi="仿宋" w:eastAsia="仿宋" w:cs="仿宋"/>
                <w:lang w:eastAsia="zh-CN"/>
              </w:rPr>
            </w:pPr>
            <w:r>
              <w:rPr>
                <w:rFonts w:hint="eastAsia" w:ascii="仿宋" w:hAnsi="仿宋" w:eastAsia="仿宋" w:cs="仿宋"/>
                <w:lang w:eastAsia="zh-CN" w:bidi="ar"/>
              </w:rPr>
              <w:t>承包人交付基坑支护、建筑、结构、装配式、给排水、暖通、电气、智能化、人防、节能专业等施工图文件，且按合同要求提供申请支付文件资料</w:t>
            </w:r>
          </w:p>
        </w:tc>
      </w:tr>
      <w:tr w14:paraId="0953275D">
        <w:tblPrEx>
          <w:tblCellMar>
            <w:top w:w="0" w:type="dxa"/>
            <w:left w:w="108" w:type="dxa"/>
            <w:bottom w:w="0" w:type="dxa"/>
            <w:right w:w="108" w:type="dxa"/>
          </w:tblCellMar>
        </w:tblPrEx>
        <w:trPr>
          <w:trHeight w:val="1100" w:hRule="atLeast"/>
        </w:trPr>
        <w:tc>
          <w:tcPr>
            <w:tcW w:w="960" w:type="pct"/>
            <w:tcBorders>
              <w:top w:val="single" w:color="000000" w:sz="4" w:space="0"/>
              <w:left w:val="single" w:color="000000" w:sz="4" w:space="0"/>
              <w:bottom w:val="single" w:color="000000" w:sz="4" w:space="0"/>
              <w:right w:val="single" w:color="000000" w:sz="4" w:space="0"/>
            </w:tcBorders>
            <w:vAlign w:val="center"/>
          </w:tcPr>
          <w:p w14:paraId="3BCD4F72">
            <w:pPr>
              <w:jc w:val="center"/>
              <w:rPr>
                <w:rFonts w:ascii="仿宋" w:hAnsi="仿宋" w:eastAsia="仿宋" w:cs="仿宋"/>
                <w:lang w:eastAsia="zh-CN" w:bidi="ar"/>
              </w:rPr>
            </w:pPr>
            <w:r>
              <w:rPr>
                <w:rFonts w:hint="eastAsia" w:ascii="仿宋" w:hAnsi="仿宋" w:eastAsia="仿宋" w:cs="仿宋"/>
                <w:lang w:eastAsia="zh-CN" w:bidi="ar"/>
              </w:rPr>
              <w:t>第三期</w:t>
            </w:r>
          </w:p>
        </w:tc>
        <w:tc>
          <w:tcPr>
            <w:tcW w:w="1442" w:type="pct"/>
            <w:tcBorders>
              <w:top w:val="single" w:color="000000" w:sz="4" w:space="0"/>
              <w:left w:val="single" w:color="000000" w:sz="4" w:space="0"/>
              <w:bottom w:val="single" w:color="000000" w:sz="4" w:space="0"/>
              <w:right w:val="single" w:color="000000" w:sz="4" w:space="0"/>
            </w:tcBorders>
            <w:vAlign w:val="center"/>
          </w:tcPr>
          <w:p w14:paraId="6CF9AA68">
            <w:pPr>
              <w:rPr>
                <w:rFonts w:ascii="仿宋" w:hAnsi="仿宋" w:eastAsia="仿宋" w:cs="仿宋"/>
                <w:lang w:eastAsia="zh-CN" w:bidi="ar"/>
              </w:rPr>
            </w:pPr>
            <w:r>
              <w:rPr>
                <w:rFonts w:hint="eastAsia" w:ascii="仿宋" w:hAnsi="仿宋" w:eastAsia="仿宋" w:cs="仿宋"/>
                <w:lang w:eastAsia="zh-CN" w:bidi="ar"/>
              </w:rPr>
              <w:t>工程设计费的5%</w:t>
            </w:r>
          </w:p>
        </w:tc>
        <w:tc>
          <w:tcPr>
            <w:tcW w:w="2596" w:type="pct"/>
            <w:tcBorders>
              <w:top w:val="single" w:color="000000" w:sz="4" w:space="0"/>
              <w:left w:val="single" w:color="000000" w:sz="4" w:space="0"/>
              <w:bottom w:val="single" w:color="000000" w:sz="4" w:space="0"/>
              <w:right w:val="single" w:color="000000" w:sz="4" w:space="0"/>
            </w:tcBorders>
            <w:vAlign w:val="center"/>
          </w:tcPr>
          <w:p w14:paraId="79ECD399">
            <w:pPr>
              <w:rPr>
                <w:rFonts w:ascii="仿宋" w:hAnsi="仿宋" w:eastAsia="仿宋" w:cs="仿宋"/>
                <w:lang w:eastAsia="zh-CN" w:bidi="ar"/>
              </w:rPr>
            </w:pPr>
            <w:r>
              <w:rPr>
                <w:rFonts w:hint="eastAsia" w:ascii="仿宋" w:hAnsi="仿宋" w:eastAsia="仿宋" w:cs="仿宋"/>
                <w:lang w:eastAsia="zh-CN" w:bidi="ar"/>
              </w:rPr>
              <w:t>承包人交付的建筑、结构、给排水、暖通、电气、人防、节能专业等施工图文件取得施工图审查合格证，且按合同要求提供申请支付文件资料</w:t>
            </w:r>
          </w:p>
        </w:tc>
      </w:tr>
      <w:tr w14:paraId="2BFA0A59">
        <w:tblPrEx>
          <w:tblCellMar>
            <w:top w:w="0" w:type="dxa"/>
            <w:left w:w="108" w:type="dxa"/>
            <w:bottom w:w="0" w:type="dxa"/>
            <w:right w:w="108" w:type="dxa"/>
          </w:tblCellMar>
        </w:tblPrEx>
        <w:trPr>
          <w:trHeight w:val="1100" w:hRule="atLeast"/>
        </w:trPr>
        <w:tc>
          <w:tcPr>
            <w:tcW w:w="960" w:type="pct"/>
            <w:tcBorders>
              <w:top w:val="single" w:color="000000" w:sz="4" w:space="0"/>
              <w:left w:val="single" w:color="000000" w:sz="4" w:space="0"/>
              <w:bottom w:val="single" w:color="000000" w:sz="4" w:space="0"/>
              <w:right w:val="single" w:color="000000" w:sz="4" w:space="0"/>
            </w:tcBorders>
            <w:vAlign w:val="center"/>
          </w:tcPr>
          <w:p w14:paraId="79942DB6">
            <w:pPr>
              <w:jc w:val="center"/>
              <w:rPr>
                <w:rFonts w:ascii="仿宋" w:hAnsi="仿宋" w:eastAsia="仿宋" w:cs="仿宋"/>
                <w:lang w:eastAsia="zh-CN" w:bidi="ar"/>
              </w:rPr>
            </w:pPr>
            <w:r>
              <w:rPr>
                <w:rFonts w:hint="eastAsia" w:ascii="仿宋" w:hAnsi="仿宋" w:eastAsia="仿宋" w:cs="仿宋"/>
                <w:lang w:eastAsia="zh-CN" w:bidi="ar"/>
              </w:rPr>
              <w:t>第四期</w:t>
            </w:r>
          </w:p>
        </w:tc>
        <w:tc>
          <w:tcPr>
            <w:tcW w:w="1442" w:type="pct"/>
            <w:tcBorders>
              <w:top w:val="single" w:color="000000" w:sz="4" w:space="0"/>
              <w:left w:val="single" w:color="000000" w:sz="4" w:space="0"/>
              <w:bottom w:val="single" w:color="000000" w:sz="4" w:space="0"/>
              <w:right w:val="single" w:color="000000" w:sz="4" w:space="0"/>
            </w:tcBorders>
            <w:vAlign w:val="center"/>
          </w:tcPr>
          <w:p w14:paraId="379FB400">
            <w:pPr>
              <w:rPr>
                <w:rFonts w:ascii="仿宋" w:hAnsi="仿宋" w:eastAsia="仿宋" w:cs="仿宋"/>
                <w:lang w:eastAsia="zh-CN" w:bidi="ar"/>
              </w:rPr>
            </w:pPr>
            <w:r>
              <w:rPr>
                <w:rFonts w:hint="eastAsia" w:ascii="仿宋" w:hAnsi="仿宋" w:eastAsia="仿宋" w:cs="仿宋"/>
                <w:lang w:eastAsia="zh-CN" w:bidi="ar"/>
              </w:rPr>
              <w:t>工程设计费的10%</w:t>
            </w:r>
          </w:p>
        </w:tc>
        <w:tc>
          <w:tcPr>
            <w:tcW w:w="2596" w:type="pct"/>
            <w:tcBorders>
              <w:top w:val="single" w:color="000000" w:sz="4" w:space="0"/>
              <w:left w:val="single" w:color="000000" w:sz="4" w:space="0"/>
              <w:bottom w:val="single" w:color="000000" w:sz="4" w:space="0"/>
              <w:right w:val="single" w:color="000000" w:sz="4" w:space="0"/>
            </w:tcBorders>
            <w:vAlign w:val="center"/>
          </w:tcPr>
          <w:p w14:paraId="2466D546">
            <w:pPr>
              <w:rPr>
                <w:rFonts w:ascii="仿宋" w:hAnsi="仿宋" w:eastAsia="仿宋" w:cs="仿宋"/>
                <w:lang w:eastAsia="zh-CN" w:bidi="ar"/>
              </w:rPr>
            </w:pPr>
            <w:r>
              <w:rPr>
                <w:rFonts w:hint="eastAsia" w:ascii="仿宋" w:hAnsi="仿宋" w:eastAsia="仿宋" w:cs="仿宋"/>
                <w:lang w:eastAsia="zh-CN" w:bidi="ar"/>
              </w:rPr>
              <w:t>承包人交付除外水外电及燃气工程之外的其它专业施工图文件并通过施工图审查合格，且按合同要求提供申请支付文件资料</w:t>
            </w:r>
          </w:p>
        </w:tc>
      </w:tr>
      <w:tr w14:paraId="54B56764">
        <w:tblPrEx>
          <w:tblCellMar>
            <w:top w:w="0" w:type="dxa"/>
            <w:left w:w="108" w:type="dxa"/>
            <w:bottom w:w="0" w:type="dxa"/>
            <w:right w:w="108" w:type="dxa"/>
          </w:tblCellMar>
        </w:tblPrEx>
        <w:trPr>
          <w:trHeight w:val="1100" w:hRule="atLeast"/>
        </w:trPr>
        <w:tc>
          <w:tcPr>
            <w:tcW w:w="960" w:type="pct"/>
            <w:tcBorders>
              <w:top w:val="single" w:color="000000" w:sz="4" w:space="0"/>
              <w:left w:val="single" w:color="000000" w:sz="4" w:space="0"/>
              <w:bottom w:val="single" w:color="000000" w:sz="4" w:space="0"/>
              <w:right w:val="single" w:color="000000" w:sz="4" w:space="0"/>
            </w:tcBorders>
            <w:vAlign w:val="center"/>
          </w:tcPr>
          <w:p w14:paraId="075D4AD1">
            <w:pPr>
              <w:jc w:val="center"/>
              <w:rPr>
                <w:rFonts w:ascii="仿宋" w:hAnsi="仿宋" w:eastAsia="仿宋" w:cs="仿宋"/>
                <w:lang w:eastAsia="zh-CN" w:bidi="ar"/>
              </w:rPr>
            </w:pPr>
            <w:r>
              <w:rPr>
                <w:rFonts w:hint="eastAsia" w:ascii="仿宋" w:hAnsi="仿宋" w:eastAsia="仿宋" w:cs="仿宋"/>
                <w:lang w:eastAsia="zh-CN" w:bidi="ar"/>
              </w:rPr>
              <w:t>第五期</w:t>
            </w:r>
          </w:p>
        </w:tc>
        <w:tc>
          <w:tcPr>
            <w:tcW w:w="1442" w:type="pct"/>
            <w:tcBorders>
              <w:top w:val="single" w:color="000000" w:sz="4" w:space="0"/>
              <w:left w:val="single" w:color="000000" w:sz="4" w:space="0"/>
              <w:bottom w:val="single" w:color="000000" w:sz="4" w:space="0"/>
              <w:right w:val="single" w:color="000000" w:sz="4" w:space="0"/>
            </w:tcBorders>
            <w:vAlign w:val="center"/>
          </w:tcPr>
          <w:p w14:paraId="65487DDB">
            <w:pPr>
              <w:rPr>
                <w:rFonts w:ascii="仿宋" w:hAnsi="仿宋" w:eastAsia="仿宋" w:cs="仿宋"/>
                <w:lang w:eastAsia="zh-CN" w:bidi="ar"/>
              </w:rPr>
            </w:pPr>
            <w:r>
              <w:rPr>
                <w:rFonts w:hint="eastAsia" w:ascii="仿宋" w:hAnsi="仿宋" w:eastAsia="仿宋" w:cs="仿宋"/>
                <w:lang w:eastAsia="zh-CN" w:bidi="ar"/>
              </w:rPr>
              <w:t>工程设计费的10%</w:t>
            </w:r>
          </w:p>
        </w:tc>
        <w:tc>
          <w:tcPr>
            <w:tcW w:w="2596" w:type="pct"/>
            <w:tcBorders>
              <w:top w:val="single" w:color="000000" w:sz="4" w:space="0"/>
              <w:left w:val="single" w:color="000000" w:sz="4" w:space="0"/>
              <w:bottom w:val="single" w:color="000000" w:sz="4" w:space="0"/>
              <w:right w:val="single" w:color="000000" w:sz="4" w:space="0"/>
            </w:tcBorders>
            <w:vAlign w:val="center"/>
          </w:tcPr>
          <w:p w14:paraId="6E63C7E0">
            <w:pPr>
              <w:rPr>
                <w:rFonts w:ascii="仿宋" w:hAnsi="仿宋" w:eastAsia="仿宋" w:cs="仿宋"/>
                <w:lang w:eastAsia="zh-CN" w:bidi="ar"/>
              </w:rPr>
            </w:pPr>
            <w:r>
              <w:rPr>
                <w:rFonts w:hint="eastAsia" w:ascii="仿宋" w:hAnsi="仿宋" w:eastAsia="仿宋" w:cs="仿宋"/>
                <w:lang w:eastAsia="zh-CN" w:bidi="ar"/>
              </w:rPr>
              <w:t>主体工程施工完成主要施工节点(结构封顶)按合同要求提供申请支付文件资料</w:t>
            </w:r>
          </w:p>
        </w:tc>
      </w:tr>
      <w:tr w14:paraId="6408FF0E">
        <w:tblPrEx>
          <w:tblCellMar>
            <w:top w:w="0" w:type="dxa"/>
            <w:left w:w="108" w:type="dxa"/>
            <w:bottom w:w="0" w:type="dxa"/>
            <w:right w:w="108" w:type="dxa"/>
          </w:tblCellMar>
        </w:tblPrEx>
        <w:trPr>
          <w:trHeight w:val="1100" w:hRule="atLeast"/>
        </w:trPr>
        <w:tc>
          <w:tcPr>
            <w:tcW w:w="960" w:type="pct"/>
            <w:tcBorders>
              <w:top w:val="single" w:color="000000" w:sz="4" w:space="0"/>
              <w:left w:val="single" w:color="000000" w:sz="4" w:space="0"/>
              <w:bottom w:val="single" w:color="000000" w:sz="4" w:space="0"/>
              <w:right w:val="single" w:color="000000" w:sz="4" w:space="0"/>
            </w:tcBorders>
            <w:vAlign w:val="center"/>
          </w:tcPr>
          <w:p w14:paraId="7DF97A6C">
            <w:pPr>
              <w:jc w:val="center"/>
              <w:rPr>
                <w:rFonts w:ascii="仿宋" w:hAnsi="仿宋" w:eastAsia="仿宋" w:cs="仿宋"/>
              </w:rPr>
            </w:pPr>
            <w:r>
              <w:rPr>
                <w:rFonts w:hint="eastAsia" w:ascii="仿宋" w:hAnsi="仿宋" w:eastAsia="仿宋" w:cs="仿宋"/>
                <w:lang w:eastAsia="zh-CN" w:bidi="ar"/>
              </w:rPr>
              <w:t>第六期</w:t>
            </w:r>
          </w:p>
        </w:tc>
        <w:tc>
          <w:tcPr>
            <w:tcW w:w="1442" w:type="pct"/>
            <w:tcBorders>
              <w:top w:val="single" w:color="000000" w:sz="4" w:space="0"/>
              <w:left w:val="single" w:color="000000" w:sz="4" w:space="0"/>
              <w:bottom w:val="single" w:color="000000" w:sz="4" w:space="0"/>
              <w:right w:val="single" w:color="000000" w:sz="4" w:space="0"/>
            </w:tcBorders>
            <w:vAlign w:val="center"/>
          </w:tcPr>
          <w:p w14:paraId="4F99D04F">
            <w:pPr>
              <w:rPr>
                <w:rFonts w:ascii="仿宋" w:hAnsi="仿宋" w:eastAsia="仿宋" w:cs="仿宋"/>
                <w:lang w:eastAsia="zh-CN"/>
              </w:rPr>
            </w:pPr>
            <w:r>
              <w:rPr>
                <w:rFonts w:hint="eastAsia" w:ascii="仿宋" w:hAnsi="仿宋" w:eastAsia="仿宋" w:cs="仿宋"/>
                <w:lang w:eastAsia="zh-CN" w:bidi="ar"/>
              </w:rPr>
              <w:t>工程设计费的10%</w:t>
            </w:r>
          </w:p>
        </w:tc>
        <w:tc>
          <w:tcPr>
            <w:tcW w:w="2596" w:type="pct"/>
            <w:tcBorders>
              <w:top w:val="single" w:color="000000" w:sz="4" w:space="0"/>
              <w:left w:val="single" w:color="000000" w:sz="4" w:space="0"/>
              <w:bottom w:val="single" w:color="000000" w:sz="4" w:space="0"/>
              <w:right w:val="single" w:color="000000" w:sz="4" w:space="0"/>
            </w:tcBorders>
            <w:vAlign w:val="center"/>
          </w:tcPr>
          <w:p w14:paraId="4C5E7812">
            <w:pPr>
              <w:rPr>
                <w:rFonts w:ascii="仿宋" w:hAnsi="仿宋" w:eastAsia="仿宋" w:cs="仿宋"/>
                <w:lang w:eastAsia="zh-CN"/>
              </w:rPr>
            </w:pPr>
            <w:r>
              <w:rPr>
                <w:rFonts w:hint="eastAsia" w:ascii="仿宋" w:hAnsi="仿宋" w:eastAsia="仿宋" w:cs="仿宋"/>
                <w:lang w:eastAsia="zh-CN" w:bidi="ar"/>
              </w:rPr>
              <w:t>交付外水外电及燃气工程施工图文件并取得施工图审查合格证，且按合同要求提供申请支付文件资料（第五期、第六期付款次序，根据实际完成时序进行支付）</w:t>
            </w:r>
          </w:p>
        </w:tc>
      </w:tr>
      <w:tr w14:paraId="747CE32E">
        <w:tblPrEx>
          <w:tblCellMar>
            <w:top w:w="0" w:type="dxa"/>
            <w:left w:w="108" w:type="dxa"/>
            <w:bottom w:w="0" w:type="dxa"/>
            <w:right w:w="108" w:type="dxa"/>
          </w:tblCellMar>
        </w:tblPrEx>
        <w:trPr>
          <w:trHeight w:val="1100" w:hRule="atLeast"/>
        </w:trPr>
        <w:tc>
          <w:tcPr>
            <w:tcW w:w="960" w:type="pct"/>
            <w:tcBorders>
              <w:top w:val="single" w:color="000000" w:sz="4" w:space="0"/>
              <w:left w:val="single" w:color="000000" w:sz="4" w:space="0"/>
              <w:bottom w:val="single" w:color="000000" w:sz="4" w:space="0"/>
              <w:right w:val="single" w:color="000000" w:sz="4" w:space="0"/>
            </w:tcBorders>
            <w:vAlign w:val="center"/>
          </w:tcPr>
          <w:p w14:paraId="5BCF0C9B">
            <w:pPr>
              <w:jc w:val="center"/>
              <w:rPr>
                <w:rFonts w:ascii="仿宋" w:hAnsi="仿宋" w:eastAsia="仿宋" w:cs="仿宋"/>
              </w:rPr>
            </w:pPr>
            <w:r>
              <w:rPr>
                <w:rFonts w:hint="eastAsia" w:ascii="仿宋" w:hAnsi="仿宋" w:eastAsia="仿宋" w:cs="仿宋"/>
                <w:lang w:eastAsia="zh-CN" w:bidi="ar"/>
              </w:rPr>
              <w:t>第七期</w:t>
            </w:r>
          </w:p>
        </w:tc>
        <w:tc>
          <w:tcPr>
            <w:tcW w:w="1442" w:type="pct"/>
            <w:tcBorders>
              <w:top w:val="single" w:color="000000" w:sz="4" w:space="0"/>
              <w:left w:val="single" w:color="000000" w:sz="4" w:space="0"/>
              <w:bottom w:val="single" w:color="000000" w:sz="4" w:space="0"/>
              <w:right w:val="single" w:color="000000" w:sz="4" w:space="0"/>
            </w:tcBorders>
            <w:vAlign w:val="center"/>
          </w:tcPr>
          <w:p w14:paraId="20CCF998">
            <w:pPr>
              <w:rPr>
                <w:rFonts w:ascii="仿宋" w:hAnsi="仿宋" w:eastAsia="仿宋" w:cs="仿宋"/>
                <w:lang w:eastAsia="zh-CN"/>
              </w:rPr>
            </w:pPr>
            <w:r>
              <w:rPr>
                <w:rFonts w:hint="eastAsia" w:ascii="仿宋" w:hAnsi="仿宋" w:eastAsia="仿宋" w:cs="仿宋"/>
                <w:lang w:eastAsia="zh-CN" w:bidi="ar"/>
              </w:rPr>
              <w:t>工程设计费的10%</w:t>
            </w:r>
          </w:p>
        </w:tc>
        <w:tc>
          <w:tcPr>
            <w:tcW w:w="2596" w:type="pct"/>
            <w:tcBorders>
              <w:top w:val="single" w:color="000000" w:sz="4" w:space="0"/>
              <w:left w:val="single" w:color="000000" w:sz="4" w:space="0"/>
              <w:bottom w:val="single" w:color="000000" w:sz="4" w:space="0"/>
              <w:right w:val="single" w:color="000000" w:sz="4" w:space="0"/>
            </w:tcBorders>
            <w:vAlign w:val="center"/>
          </w:tcPr>
          <w:p w14:paraId="51F403CD">
            <w:pPr>
              <w:rPr>
                <w:rFonts w:ascii="仿宋" w:hAnsi="仿宋" w:eastAsia="仿宋" w:cs="仿宋"/>
                <w:lang w:eastAsia="zh-CN"/>
              </w:rPr>
            </w:pPr>
            <w:r>
              <w:rPr>
                <w:rFonts w:hint="eastAsia" w:ascii="仿宋" w:hAnsi="仿宋" w:eastAsia="仿宋" w:cs="仿宋"/>
                <w:lang w:eastAsia="zh-CN" w:bidi="ar"/>
              </w:rPr>
              <w:t>工程竣工验收并按规定提交技术档案、竣工图，且按合同要求提供申请支付文件资料</w:t>
            </w:r>
          </w:p>
        </w:tc>
      </w:tr>
      <w:tr w14:paraId="651C335D">
        <w:tblPrEx>
          <w:tblCellMar>
            <w:top w:w="0" w:type="dxa"/>
            <w:left w:w="108" w:type="dxa"/>
            <w:bottom w:w="0" w:type="dxa"/>
            <w:right w:w="108" w:type="dxa"/>
          </w:tblCellMar>
        </w:tblPrEx>
        <w:trPr>
          <w:trHeight w:val="1100" w:hRule="atLeast"/>
        </w:trPr>
        <w:tc>
          <w:tcPr>
            <w:tcW w:w="960" w:type="pct"/>
            <w:tcBorders>
              <w:top w:val="single" w:color="000000" w:sz="4" w:space="0"/>
              <w:left w:val="single" w:color="000000" w:sz="4" w:space="0"/>
              <w:bottom w:val="single" w:color="000000" w:sz="4" w:space="0"/>
              <w:right w:val="single" w:color="000000" w:sz="4" w:space="0"/>
            </w:tcBorders>
            <w:vAlign w:val="center"/>
          </w:tcPr>
          <w:p w14:paraId="7568F66F">
            <w:pPr>
              <w:jc w:val="center"/>
              <w:rPr>
                <w:rFonts w:ascii="仿宋" w:hAnsi="仿宋" w:eastAsia="仿宋" w:cs="仿宋"/>
                <w:lang w:eastAsia="zh-CN" w:bidi="ar"/>
              </w:rPr>
            </w:pPr>
            <w:r>
              <w:rPr>
                <w:rFonts w:hint="eastAsia" w:ascii="仿宋" w:hAnsi="仿宋" w:eastAsia="仿宋" w:cs="仿宋"/>
                <w:lang w:eastAsia="zh-CN" w:bidi="ar"/>
              </w:rPr>
              <w:t>第八期</w:t>
            </w:r>
          </w:p>
        </w:tc>
        <w:tc>
          <w:tcPr>
            <w:tcW w:w="1442" w:type="pct"/>
            <w:tcBorders>
              <w:top w:val="single" w:color="000000" w:sz="4" w:space="0"/>
              <w:left w:val="single" w:color="000000" w:sz="4" w:space="0"/>
              <w:bottom w:val="single" w:color="000000" w:sz="4" w:space="0"/>
              <w:right w:val="single" w:color="000000" w:sz="4" w:space="0"/>
            </w:tcBorders>
            <w:vAlign w:val="center"/>
          </w:tcPr>
          <w:p w14:paraId="2D34ADDA">
            <w:pPr>
              <w:rPr>
                <w:rFonts w:ascii="仿宋" w:hAnsi="仿宋" w:eastAsia="仿宋" w:cs="仿宋"/>
                <w:lang w:eastAsia="zh-CN" w:bidi="ar"/>
              </w:rPr>
            </w:pPr>
            <w:r>
              <w:rPr>
                <w:rFonts w:hint="eastAsia" w:ascii="仿宋" w:hAnsi="仿宋" w:eastAsia="仿宋" w:cs="仿宋"/>
                <w:lang w:eastAsia="zh-CN" w:bidi="ar"/>
              </w:rPr>
              <w:t>结算工程设计费尾款</w:t>
            </w:r>
          </w:p>
        </w:tc>
        <w:tc>
          <w:tcPr>
            <w:tcW w:w="2596" w:type="pct"/>
            <w:tcBorders>
              <w:top w:val="single" w:color="000000" w:sz="4" w:space="0"/>
              <w:left w:val="single" w:color="000000" w:sz="4" w:space="0"/>
              <w:bottom w:val="single" w:color="000000" w:sz="4" w:space="0"/>
              <w:right w:val="single" w:color="000000" w:sz="4" w:space="0"/>
            </w:tcBorders>
            <w:vAlign w:val="center"/>
          </w:tcPr>
          <w:p w14:paraId="2A16EB62">
            <w:pPr>
              <w:rPr>
                <w:rFonts w:ascii="仿宋" w:hAnsi="仿宋" w:eastAsia="仿宋" w:cs="仿宋"/>
                <w:lang w:eastAsia="zh-CN" w:bidi="ar"/>
              </w:rPr>
            </w:pPr>
            <w:r>
              <w:rPr>
                <w:rFonts w:hint="eastAsia" w:ascii="仿宋" w:hAnsi="仿宋" w:eastAsia="仿宋" w:cs="仿宋"/>
                <w:lang w:eastAsia="zh-CN" w:bidi="ar"/>
              </w:rPr>
              <w:t>所有专业验收通过后，按合同要求提供结算资料，结算审批完成后按合同要求提供申请支付文件资料</w:t>
            </w:r>
          </w:p>
        </w:tc>
      </w:tr>
    </w:tbl>
    <w:p w14:paraId="41851EE4">
      <w:pPr>
        <w:spacing w:line="360" w:lineRule="auto"/>
        <w:rPr>
          <w:rFonts w:ascii="仿宋" w:hAnsi="仿宋" w:eastAsia="仿宋" w:cs="仿宋"/>
          <w:lang w:eastAsia="zh-CN"/>
        </w:rPr>
      </w:pPr>
    </w:p>
    <w:p w14:paraId="4AFE5E6B">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(11)本期间应支付或扣留（回）的其他款项：</w:t>
      </w:r>
      <w:r>
        <w:rPr>
          <w:rFonts w:hint="eastAsia" w:ascii="仿宋" w:hAnsi="仿宋" w:eastAsia="仿宋" w:cs="仿宋"/>
          <w:u w:val="single"/>
          <w:lang w:eastAsia="zh-CN"/>
        </w:rPr>
        <w:t xml:space="preserve"> /</w:t>
      </w:r>
      <w:r>
        <w:rPr>
          <w:rFonts w:hint="eastAsia" w:ascii="仿宋" w:hAnsi="仿宋" w:eastAsia="仿宋" w:cs="仿宋"/>
          <w:lang w:eastAsia="zh-CN"/>
        </w:rPr>
        <w:t>。</w:t>
      </w:r>
    </w:p>
    <w:p w14:paraId="227B1CDE">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☑施工</w:t>
      </w:r>
    </w:p>
    <w:p w14:paraId="0AC8E51B">
      <w:pPr>
        <w:numPr>
          <w:ilvl w:val="0"/>
          <w:numId w:val="47"/>
        </w:numPr>
        <w:spacing w:line="360" w:lineRule="auto"/>
        <w:ind w:left="355" w:leftChars="148" w:firstLine="122" w:firstLineChars="51"/>
        <w:jc w:val="both"/>
        <w:rPr>
          <w:rFonts w:ascii="仿宋" w:hAnsi="仿宋" w:eastAsia="仿宋" w:cs="仿宋"/>
          <w:lang w:eastAsia="zh-CN"/>
        </w:rPr>
      </w:pPr>
      <w:r>
        <w:rPr>
          <w:rFonts w:hint="eastAsia" w:ascii="仿宋" w:hAnsi="仿宋" w:eastAsia="仿宋" w:cs="仿宋"/>
          <w:lang w:eastAsia="zh-CN"/>
        </w:rPr>
        <w:t>支付期限、比例</w:t>
      </w:r>
    </w:p>
    <w:p w14:paraId="47930E52">
      <w:pPr>
        <w:numPr>
          <w:ilvl w:val="0"/>
          <w:numId w:val="47"/>
        </w:numPr>
        <w:spacing w:line="360" w:lineRule="auto"/>
        <w:ind w:left="839"/>
        <w:rPr>
          <w:rFonts w:ascii="仿宋" w:hAnsi="仿宋" w:eastAsia="仿宋" w:cs="仿宋"/>
          <w:lang w:eastAsia="zh-CN"/>
        </w:rPr>
      </w:pPr>
      <w:r>
        <w:rPr>
          <w:rFonts w:hint="eastAsia" w:ascii="仿宋" w:hAnsi="仿宋" w:eastAsia="仿宋" w:cs="仿宋"/>
          <w:lang w:eastAsia="zh-CN"/>
        </w:rPr>
        <w:t xml:space="preserve">以时间为计付周期，每 1 月计付一次，具体约定如下： </w:t>
      </w:r>
    </w:p>
    <w:p w14:paraId="4F56D262">
      <w:pPr>
        <w:spacing w:line="360" w:lineRule="auto"/>
        <w:ind w:left="480" w:firstLine="480" w:firstLineChars="200"/>
        <w:rPr>
          <w:rFonts w:ascii="仿宋" w:hAnsi="仿宋" w:eastAsia="仿宋" w:cs="仿宋"/>
          <w:lang w:eastAsia="zh-CN"/>
        </w:rPr>
      </w:pPr>
      <w:r>
        <w:rPr>
          <w:rFonts w:hint="eastAsia" w:ascii="仿宋" w:hAnsi="仿宋" w:eastAsia="仿宋" w:cs="仿宋"/>
          <w:lang w:eastAsia="zh-CN"/>
        </w:rPr>
        <w:t>a工程进度款按进度按月支付，每月支付经监理、发包人核定的当期完成工作量的80％；</w:t>
      </w:r>
    </w:p>
    <w:p w14:paraId="4149C504">
      <w:pPr>
        <w:spacing w:line="360" w:lineRule="auto"/>
        <w:ind w:left="480" w:firstLine="480" w:firstLineChars="200"/>
        <w:rPr>
          <w:rFonts w:ascii="仿宋" w:hAnsi="仿宋" w:eastAsia="仿宋" w:cs="仿宋"/>
          <w:lang w:eastAsia="zh-CN"/>
        </w:rPr>
      </w:pPr>
      <w:r>
        <w:rPr>
          <w:rFonts w:hint="eastAsia" w:ascii="仿宋" w:hAnsi="仿宋" w:eastAsia="仿宋" w:cs="仿宋"/>
          <w:lang w:eastAsia="zh-CN"/>
        </w:rPr>
        <w:t>b预付款扣回施工费预付款的时间、比例：执行专用条款第84条款约定。</w:t>
      </w:r>
    </w:p>
    <w:p w14:paraId="646CC9FD">
      <w:pPr>
        <w:spacing w:line="360" w:lineRule="auto"/>
        <w:ind w:left="480" w:firstLine="480" w:firstLineChars="200"/>
        <w:rPr>
          <w:rFonts w:ascii="仿宋" w:hAnsi="仿宋" w:eastAsia="仿宋" w:cs="仿宋"/>
          <w:lang w:eastAsia="zh-CN"/>
        </w:rPr>
      </w:pPr>
      <w:r>
        <w:rPr>
          <w:rFonts w:hint="eastAsia" w:ascii="仿宋" w:hAnsi="仿宋" w:eastAsia="仿宋" w:cs="仿宋"/>
          <w:lang w:eastAsia="zh-CN"/>
        </w:rPr>
        <w:t>c已完成工程量的计量与支付需得到总监理工程师和发包人的认可。如承包人的工作不能使总监理工程师和发包人满意（如：质量不合格，工程进度缓慢，施工总承包管理和配合服务不到位或有其他方面违反合同的行为等），总监理工程师和发包人有权拒绝计量与支付或有权暂扣一定额度进度款。</w:t>
      </w:r>
    </w:p>
    <w:p w14:paraId="13E9D0BC">
      <w:pPr>
        <w:spacing w:line="360" w:lineRule="auto"/>
        <w:ind w:left="480" w:firstLine="480" w:firstLineChars="200"/>
        <w:rPr>
          <w:rFonts w:ascii="仿宋" w:hAnsi="仿宋" w:eastAsia="仿宋" w:cs="仿宋"/>
          <w:lang w:eastAsia="zh-CN"/>
        </w:rPr>
      </w:pPr>
      <w:r>
        <w:rPr>
          <w:rFonts w:hint="eastAsia" w:ascii="仿宋" w:hAnsi="仿宋" w:eastAsia="仿宋" w:cs="仿宋"/>
          <w:lang w:eastAsia="zh-CN"/>
        </w:rPr>
        <w:t>d针对补充合同价格清单的补充协议未签订前，最多拨付至签约合同价施工费（扣除含税绿色施工安全防护费及相应税金）的45%（含预付款）。待上述补充协议签订后，按补充协议及已完成的工程量调整进度款，并在后续工程款支付时将调整金额一并扣减或增加支付。（如有预付款，则按上述第84条款规定的时间和比例扣回）</w:t>
      </w:r>
    </w:p>
    <w:p w14:paraId="07404695">
      <w:pPr>
        <w:ind w:firstLine="1680" w:firstLineChars="700"/>
        <w:rPr>
          <w:rFonts w:ascii="仿宋" w:hAnsi="仿宋" w:eastAsia="仿宋" w:cs="仿宋"/>
          <w:lang w:eastAsia="zh-CN"/>
        </w:rPr>
      </w:pPr>
      <w:r>
        <w:rPr>
          <w:rFonts w:hint="eastAsia" w:ascii="仿宋" w:hAnsi="仿宋" w:eastAsia="仿宋" w:cs="仿宋"/>
          <w:lang w:eastAsia="zh-CN"/>
        </w:rPr>
        <w:t>施工费支付方式（补充合同价格清单的补充协议签订前）</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8"/>
        <w:gridCol w:w="3050"/>
        <w:gridCol w:w="3013"/>
        <w:gridCol w:w="2250"/>
      </w:tblGrid>
      <w:tr w14:paraId="2EEBD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548" w:type="dxa"/>
          </w:tcPr>
          <w:p w14:paraId="2AA070EB">
            <w:pPr>
              <w:jc w:val="center"/>
              <w:rPr>
                <w:rFonts w:ascii="仿宋" w:hAnsi="仿宋" w:eastAsia="仿宋" w:cs="仿宋"/>
                <w:lang w:eastAsia="zh-CN"/>
              </w:rPr>
            </w:pPr>
            <w:r>
              <w:rPr>
                <w:rFonts w:hint="eastAsia" w:ascii="仿宋" w:hAnsi="仿宋" w:eastAsia="仿宋" w:cs="仿宋"/>
                <w:lang w:eastAsia="zh-CN"/>
              </w:rPr>
              <w:t>序号</w:t>
            </w:r>
          </w:p>
        </w:tc>
        <w:tc>
          <w:tcPr>
            <w:tcW w:w="3050" w:type="dxa"/>
          </w:tcPr>
          <w:p w14:paraId="6A53959D">
            <w:pPr>
              <w:jc w:val="center"/>
              <w:rPr>
                <w:rFonts w:ascii="仿宋" w:hAnsi="仿宋" w:eastAsia="仿宋" w:cs="仿宋"/>
                <w:lang w:eastAsia="zh-CN"/>
              </w:rPr>
            </w:pPr>
            <w:r>
              <w:rPr>
                <w:rFonts w:hint="eastAsia" w:ascii="仿宋" w:hAnsi="仿宋" w:eastAsia="仿宋" w:cs="仿宋"/>
                <w:lang w:eastAsia="zh-CN"/>
              </w:rPr>
              <w:t>形象进度</w:t>
            </w:r>
          </w:p>
        </w:tc>
        <w:tc>
          <w:tcPr>
            <w:tcW w:w="3013" w:type="dxa"/>
          </w:tcPr>
          <w:p w14:paraId="26F7DAE1">
            <w:pPr>
              <w:jc w:val="center"/>
              <w:rPr>
                <w:rFonts w:ascii="仿宋" w:hAnsi="仿宋" w:eastAsia="仿宋" w:cs="仿宋"/>
                <w:lang w:eastAsia="zh-CN"/>
              </w:rPr>
            </w:pPr>
            <w:r>
              <w:rPr>
                <w:rFonts w:hint="eastAsia" w:ascii="仿宋" w:hAnsi="仿宋" w:eastAsia="仿宋" w:cs="仿宋"/>
                <w:lang w:eastAsia="zh-CN"/>
              </w:rPr>
              <w:t>支付比例</w:t>
            </w:r>
          </w:p>
        </w:tc>
        <w:tc>
          <w:tcPr>
            <w:tcW w:w="2250" w:type="dxa"/>
          </w:tcPr>
          <w:p w14:paraId="24A56F5A">
            <w:pPr>
              <w:jc w:val="center"/>
              <w:rPr>
                <w:rFonts w:ascii="仿宋" w:hAnsi="仿宋" w:eastAsia="仿宋" w:cs="仿宋"/>
                <w:lang w:eastAsia="zh-CN"/>
              </w:rPr>
            </w:pPr>
            <w:r>
              <w:rPr>
                <w:rFonts w:hint="eastAsia" w:ascii="仿宋" w:hAnsi="仿宋" w:eastAsia="仿宋" w:cs="仿宋"/>
                <w:lang w:eastAsia="zh-CN"/>
              </w:rPr>
              <w:t>备注</w:t>
            </w:r>
          </w:p>
        </w:tc>
      </w:tr>
      <w:tr w14:paraId="0EB2E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548" w:type="dxa"/>
            <w:vAlign w:val="center"/>
          </w:tcPr>
          <w:p w14:paraId="2358BDC0">
            <w:pPr>
              <w:jc w:val="center"/>
              <w:rPr>
                <w:rFonts w:ascii="仿宋" w:hAnsi="仿宋" w:eastAsia="仿宋" w:cs="仿宋"/>
                <w:lang w:eastAsia="zh-CN"/>
              </w:rPr>
            </w:pPr>
            <w:r>
              <w:rPr>
                <w:rFonts w:hint="eastAsia" w:ascii="仿宋" w:hAnsi="仿宋" w:eastAsia="仿宋" w:cs="仿宋"/>
                <w:lang w:eastAsia="zh-CN"/>
              </w:rPr>
              <w:t>1</w:t>
            </w:r>
          </w:p>
        </w:tc>
        <w:tc>
          <w:tcPr>
            <w:tcW w:w="3050" w:type="dxa"/>
          </w:tcPr>
          <w:p w14:paraId="21F411CD">
            <w:pPr>
              <w:rPr>
                <w:rFonts w:ascii="仿宋" w:hAnsi="仿宋" w:eastAsia="仿宋" w:cs="仿宋"/>
                <w:lang w:eastAsia="zh-CN"/>
              </w:rPr>
            </w:pPr>
            <w:r>
              <w:rPr>
                <w:rFonts w:hint="eastAsia" w:ascii="仿宋" w:hAnsi="仿宋" w:eastAsia="仿宋" w:cs="仿宋"/>
                <w:lang w:eastAsia="zh-CN"/>
              </w:rPr>
              <w:t>完成基坑支护桩工程施工</w:t>
            </w:r>
          </w:p>
        </w:tc>
        <w:tc>
          <w:tcPr>
            <w:tcW w:w="3013" w:type="dxa"/>
          </w:tcPr>
          <w:p w14:paraId="4DE68A03">
            <w:pPr>
              <w:rPr>
                <w:rFonts w:ascii="仿宋" w:hAnsi="仿宋" w:eastAsia="仿宋" w:cs="仿宋"/>
                <w:lang w:eastAsia="zh-CN"/>
              </w:rPr>
            </w:pPr>
            <w:r>
              <w:rPr>
                <w:rFonts w:hint="eastAsia" w:ascii="仿宋" w:hAnsi="仿宋" w:eastAsia="仿宋" w:cs="仿宋"/>
                <w:lang w:eastAsia="zh-CN"/>
              </w:rPr>
              <w:t>签约合同价施工费1.5%</w:t>
            </w:r>
          </w:p>
        </w:tc>
        <w:tc>
          <w:tcPr>
            <w:tcW w:w="2250" w:type="dxa"/>
          </w:tcPr>
          <w:p w14:paraId="71A9931C">
            <w:pPr>
              <w:ind w:firstLine="480" w:firstLineChars="200"/>
              <w:rPr>
                <w:rFonts w:ascii="仿宋" w:hAnsi="仿宋" w:eastAsia="仿宋" w:cs="仿宋"/>
                <w:lang w:eastAsia="zh-CN"/>
              </w:rPr>
            </w:pPr>
          </w:p>
        </w:tc>
      </w:tr>
      <w:tr w14:paraId="150E1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548" w:type="dxa"/>
            <w:vAlign w:val="center"/>
          </w:tcPr>
          <w:p w14:paraId="5B9B07E5">
            <w:pPr>
              <w:jc w:val="center"/>
              <w:rPr>
                <w:rFonts w:ascii="仿宋" w:hAnsi="仿宋" w:eastAsia="仿宋" w:cs="仿宋"/>
                <w:lang w:eastAsia="zh-CN"/>
              </w:rPr>
            </w:pPr>
            <w:r>
              <w:rPr>
                <w:rFonts w:hint="eastAsia" w:ascii="仿宋" w:hAnsi="仿宋" w:eastAsia="仿宋" w:cs="仿宋"/>
                <w:lang w:eastAsia="zh-CN"/>
              </w:rPr>
              <w:t>2</w:t>
            </w:r>
          </w:p>
        </w:tc>
        <w:tc>
          <w:tcPr>
            <w:tcW w:w="3050" w:type="dxa"/>
          </w:tcPr>
          <w:p w14:paraId="30FE82B9">
            <w:pPr>
              <w:rPr>
                <w:rFonts w:ascii="仿宋" w:hAnsi="仿宋" w:eastAsia="仿宋" w:cs="仿宋"/>
                <w:lang w:eastAsia="zh-CN"/>
              </w:rPr>
            </w:pPr>
            <w:r>
              <w:rPr>
                <w:rFonts w:hint="eastAsia" w:ascii="仿宋" w:hAnsi="仿宋" w:eastAsia="仿宋" w:cs="仿宋"/>
                <w:lang w:eastAsia="zh-CN"/>
              </w:rPr>
              <w:t>完成基坑土方工程施工</w:t>
            </w:r>
          </w:p>
        </w:tc>
        <w:tc>
          <w:tcPr>
            <w:tcW w:w="3013" w:type="dxa"/>
          </w:tcPr>
          <w:p w14:paraId="7502EA3A">
            <w:pPr>
              <w:rPr>
                <w:rFonts w:ascii="仿宋" w:hAnsi="仿宋" w:eastAsia="仿宋" w:cs="仿宋"/>
                <w:lang w:eastAsia="zh-CN"/>
              </w:rPr>
            </w:pPr>
            <w:r>
              <w:rPr>
                <w:rFonts w:hint="eastAsia" w:ascii="仿宋" w:hAnsi="仿宋" w:eastAsia="仿宋" w:cs="仿宋"/>
                <w:lang w:eastAsia="zh-CN"/>
              </w:rPr>
              <w:t>签约合同价施工费1.5%</w:t>
            </w:r>
          </w:p>
        </w:tc>
        <w:tc>
          <w:tcPr>
            <w:tcW w:w="2250" w:type="dxa"/>
          </w:tcPr>
          <w:p w14:paraId="676AF134">
            <w:pPr>
              <w:ind w:firstLine="480" w:firstLineChars="200"/>
              <w:rPr>
                <w:rFonts w:ascii="仿宋" w:hAnsi="仿宋" w:eastAsia="仿宋" w:cs="仿宋"/>
                <w:lang w:eastAsia="zh-CN"/>
              </w:rPr>
            </w:pPr>
          </w:p>
        </w:tc>
      </w:tr>
      <w:tr w14:paraId="228DA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548" w:type="dxa"/>
            <w:vAlign w:val="center"/>
          </w:tcPr>
          <w:p w14:paraId="4D00F252">
            <w:pPr>
              <w:jc w:val="center"/>
              <w:rPr>
                <w:rFonts w:ascii="仿宋" w:hAnsi="仿宋" w:eastAsia="仿宋" w:cs="仿宋"/>
                <w:lang w:eastAsia="zh-CN"/>
              </w:rPr>
            </w:pPr>
            <w:r>
              <w:rPr>
                <w:rFonts w:hint="eastAsia" w:ascii="仿宋" w:hAnsi="仿宋" w:eastAsia="仿宋" w:cs="仿宋"/>
                <w:lang w:eastAsia="zh-CN"/>
              </w:rPr>
              <w:t>3</w:t>
            </w:r>
          </w:p>
        </w:tc>
        <w:tc>
          <w:tcPr>
            <w:tcW w:w="3050" w:type="dxa"/>
          </w:tcPr>
          <w:p w14:paraId="35F1D9AB">
            <w:pPr>
              <w:rPr>
                <w:rFonts w:ascii="仿宋" w:hAnsi="仿宋" w:eastAsia="仿宋" w:cs="仿宋"/>
                <w:lang w:eastAsia="zh-CN"/>
              </w:rPr>
            </w:pPr>
            <w:r>
              <w:rPr>
                <w:rFonts w:hint="eastAsia" w:ascii="仿宋" w:hAnsi="仿宋" w:eastAsia="仿宋" w:cs="仿宋"/>
                <w:lang w:eastAsia="zh-CN"/>
              </w:rPr>
              <w:t>完成桩基础工程施工</w:t>
            </w:r>
          </w:p>
        </w:tc>
        <w:tc>
          <w:tcPr>
            <w:tcW w:w="3013" w:type="dxa"/>
          </w:tcPr>
          <w:p w14:paraId="0D8B829A">
            <w:pPr>
              <w:rPr>
                <w:rFonts w:ascii="仿宋" w:hAnsi="仿宋" w:eastAsia="仿宋" w:cs="仿宋"/>
                <w:lang w:eastAsia="zh-CN"/>
              </w:rPr>
            </w:pPr>
            <w:r>
              <w:rPr>
                <w:rFonts w:hint="eastAsia" w:ascii="仿宋" w:hAnsi="仿宋" w:eastAsia="仿宋" w:cs="仿宋"/>
                <w:lang w:eastAsia="zh-CN"/>
              </w:rPr>
              <w:t>签约合同价施工费5%</w:t>
            </w:r>
          </w:p>
        </w:tc>
        <w:tc>
          <w:tcPr>
            <w:tcW w:w="2250" w:type="dxa"/>
          </w:tcPr>
          <w:p w14:paraId="32D0B55E">
            <w:pPr>
              <w:ind w:firstLine="480" w:firstLineChars="200"/>
              <w:rPr>
                <w:rFonts w:ascii="仿宋" w:hAnsi="仿宋" w:eastAsia="仿宋" w:cs="仿宋"/>
                <w:lang w:eastAsia="zh-CN"/>
              </w:rPr>
            </w:pPr>
          </w:p>
        </w:tc>
      </w:tr>
      <w:tr w14:paraId="4F565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548" w:type="dxa"/>
            <w:vAlign w:val="center"/>
          </w:tcPr>
          <w:p w14:paraId="191BF443">
            <w:pPr>
              <w:jc w:val="center"/>
              <w:rPr>
                <w:rFonts w:ascii="仿宋" w:hAnsi="仿宋" w:eastAsia="仿宋" w:cs="仿宋"/>
                <w:lang w:eastAsia="zh-CN"/>
              </w:rPr>
            </w:pPr>
            <w:r>
              <w:rPr>
                <w:rFonts w:hint="eastAsia" w:ascii="仿宋" w:hAnsi="仿宋" w:eastAsia="仿宋" w:cs="仿宋"/>
                <w:lang w:eastAsia="zh-CN"/>
              </w:rPr>
              <w:t>4</w:t>
            </w:r>
          </w:p>
        </w:tc>
        <w:tc>
          <w:tcPr>
            <w:tcW w:w="3050" w:type="dxa"/>
          </w:tcPr>
          <w:p w14:paraId="5FC2C44F">
            <w:pPr>
              <w:rPr>
                <w:rFonts w:ascii="仿宋" w:hAnsi="仿宋" w:eastAsia="仿宋" w:cs="仿宋"/>
                <w:lang w:eastAsia="zh-CN"/>
              </w:rPr>
            </w:pPr>
            <w:r>
              <w:rPr>
                <w:rFonts w:hint="eastAsia" w:ascii="仿宋" w:hAnsi="仿宋" w:eastAsia="仿宋" w:cs="仿宋"/>
                <w:lang w:eastAsia="zh-CN"/>
              </w:rPr>
              <w:t>完成地下室负二层结构施工</w:t>
            </w:r>
          </w:p>
        </w:tc>
        <w:tc>
          <w:tcPr>
            <w:tcW w:w="3013" w:type="dxa"/>
          </w:tcPr>
          <w:p w14:paraId="1ED2A8F9">
            <w:pPr>
              <w:rPr>
                <w:rFonts w:ascii="仿宋" w:hAnsi="仿宋" w:eastAsia="仿宋" w:cs="仿宋"/>
                <w:lang w:eastAsia="zh-CN"/>
              </w:rPr>
            </w:pPr>
            <w:r>
              <w:rPr>
                <w:rFonts w:hint="eastAsia" w:ascii="仿宋" w:hAnsi="仿宋" w:eastAsia="仿宋" w:cs="仿宋"/>
                <w:lang w:eastAsia="zh-CN"/>
              </w:rPr>
              <w:t>签约合同价施工费5%</w:t>
            </w:r>
          </w:p>
        </w:tc>
        <w:tc>
          <w:tcPr>
            <w:tcW w:w="2250" w:type="dxa"/>
          </w:tcPr>
          <w:p w14:paraId="2C289658">
            <w:pPr>
              <w:ind w:firstLine="480" w:firstLineChars="200"/>
              <w:rPr>
                <w:rFonts w:ascii="仿宋" w:hAnsi="仿宋" w:eastAsia="仿宋" w:cs="仿宋"/>
                <w:lang w:eastAsia="zh-CN"/>
              </w:rPr>
            </w:pPr>
          </w:p>
        </w:tc>
      </w:tr>
      <w:tr w14:paraId="328FA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548" w:type="dxa"/>
            <w:vAlign w:val="center"/>
          </w:tcPr>
          <w:p w14:paraId="5F08CA04">
            <w:pPr>
              <w:jc w:val="center"/>
              <w:rPr>
                <w:rFonts w:ascii="仿宋" w:hAnsi="仿宋" w:eastAsia="仿宋" w:cs="仿宋"/>
                <w:lang w:eastAsia="zh-CN"/>
              </w:rPr>
            </w:pPr>
            <w:r>
              <w:rPr>
                <w:rFonts w:hint="eastAsia" w:ascii="仿宋" w:hAnsi="仿宋" w:eastAsia="仿宋" w:cs="仿宋"/>
                <w:lang w:eastAsia="zh-CN"/>
              </w:rPr>
              <w:t>5</w:t>
            </w:r>
          </w:p>
        </w:tc>
        <w:tc>
          <w:tcPr>
            <w:tcW w:w="3050" w:type="dxa"/>
          </w:tcPr>
          <w:p w14:paraId="4AC0ECB1">
            <w:pPr>
              <w:rPr>
                <w:rFonts w:ascii="仿宋" w:hAnsi="仿宋" w:eastAsia="仿宋" w:cs="仿宋"/>
                <w:lang w:eastAsia="zh-CN"/>
              </w:rPr>
            </w:pPr>
            <w:r>
              <w:rPr>
                <w:rFonts w:hint="eastAsia" w:ascii="仿宋" w:hAnsi="仿宋" w:eastAsia="仿宋" w:cs="仿宋"/>
                <w:lang w:eastAsia="zh-CN"/>
              </w:rPr>
              <w:t>完成地下室负一层结构施工</w:t>
            </w:r>
          </w:p>
        </w:tc>
        <w:tc>
          <w:tcPr>
            <w:tcW w:w="3013" w:type="dxa"/>
          </w:tcPr>
          <w:p w14:paraId="69F300D1">
            <w:pPr>
              <w:rPr>
                <w:rFonts w:ascii="仿宋" w:hAnsi="仿宋" w:eastAsia="仿宋" w:cs="仿宋"/>
                <w:lang w:eastAsia="zh-CN"/>
              </w:rPr>
            </w:pPr>
            <w:r>
              <w:rPr>
                <w:rFonts w:hint="eastAsia" w:ascii="仿宋" w:hAnsi="仿宋" w:eastAsia="仿宋" w:cs="仿宋"/>
                <w:lang w:eastAsia="zh-CN"/>
              </w:rPr>
              <w:t>签约合同价施工费5%</w:t>
            </w:r>
          </w:p>
        </w:tc>
        <w:tc>
          <w:tcPr>
            <w:tcW w:w="2250" w:type="dxa"/>
          </w:tcPr>
          <w:p w14:paraId="3A1F6FD9">
            <w:pPr>
              <w:ind w:firstLine="480" w:firstLineChars="200"/>
              <w:rPr>
                <w:rFonts w:ascii="仿宋" w:hAnsi="仿宋" w:eastAsia="仿宋" w:cs="仿宋"/>
                <w:lang w:eastAsia="zh-CN"/>
              </w:rPr>
            </w:pPr>
          </w:p>
        </w:tc>
      </w:tr>
      <w:tr w14:paraId="535B3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548" w:type="dxa"/>
            <w:vAlign w:val="center"/>
          </w:tcPr>
          <w:p w14:paraId="67D2F548">
            <w:pPr>
              <w:jc w:val="center"/>
              <w:rPr>
                <w:rFonts w:ascii="仿宋" w:hAnsi="仿宋" w:eastAsia="仿宋" w:cs="仿宋"/>
                <w:lang w:eastAsia="zh-CN"/>
              </w:rPr>
            </w:pPr>
            <w:r>
              <w:rPr>
                <w:rFonts w:hint="eastAsia" w:ascii="仿宋" w:hAnsi="仿宋" w:eastAsia="仿宋" w:cs="仿宋"/>
                <w:lang w:eastAsia="zh-CN"/>
              </w:rPr>
              <w:t>6</w:t>
            </w:r>
          </w:p>
        </w:tc>
        <w:tc>
          <w:tcPr>
            <w:tcW w:w="3050" w:type="dxa"/>
          </w:tcPr>
          <w:p w14:paraId="5BFF2B37">
            <w:pPr>
              <w:rPr>
                <w:rFonts w:ascii="仿宋" w:hAnsi="仿宋" w:eastAsia="仿宋" w:cs="仿宋"/>
                <w:lang w:eastAsia="zh-CN"/>
              </w:rPr>
            </w:pPr>
            <w:r>
              <w:rPr>
                <w:rFonts w:hint="eastAsia" w:ascii="仿宋" w:hAnsi="仿宋" w:eastAsia="仿宋" w:cs="仿宋"/>
                <w:lang w:eastAsia="zh-CN"/>
              </w:rPr>
              <w:t>地下室以上，主体结构工程每完成形象进度10%</w:t>
            </w:r>
          </w:p>
        </w:tc>
        <w:tc>
          <w:tcPr>
            <w:tcW w:w="3013" w:type="dxa"/>
          </w:tcPr>
          <w:p w14:paraId="04E8D343">
            <w:pPr>
              <w:rPr>
                <w:rFonts w:ascii="仿宋" w:hAnsi="仿宋" w:eastAsia="仿宋" w:cs="仿宋"/>
                <w:lang w:eastAsia="zh-CN"/>
              </w:rPr>
            </w:pPr>
            <w:r>
              <w:rPr>
                <w:rFonts w:hint="eastAsia" w:ascii="仿宋" w:hAnsi="仿宋" w:eastAsia="仿宋" w:cs="仿宋"/>
                <w:lang w:eastAsia="zh-CN"/>
              </w:rPr>
              <w:t>签约合同价施工费3%</w:t>
            </w:r>
          </w:p>
        </w:tc>
        <w:tc>
          <w:tcPr>
            <w:tcW w:w="2250" w:type="dxa"/>
          </w:tcPr>
          <w:p w14:paraId="33E20356">
            <w:pPr>
              <w:rPr>
                <w:rFonts w:ascii="仿宋" w:hAnsi="仿宋" w:eastAsia="仿宋" w:cs="仿宋"/>
                <w:lang w:eastAsia="zh-CN"/>
              </w:rPr>
            </w:pPr>
            <w:r>
              <w:rPr>
                <w:rFonts w:hint="eastAsia" w:ascii="仿宋" w:hAnsi="仿宋" w:eastAsia="仿宋" w:cs="仿宋"/>
                <w:lang w:eastAsia="zh-CN"/>
              </w:rPr>
              <w:t>此处形象进度按楼层层数统计</w:t>
            </w:r>
          </w:p>
        </w:tc>
      </w:tr>
    </w:tbl>
    <w:p w14:paraId="0D0558A2">
      <w:pPr>
        <w:spacing w:line="360" w:lineRule="auto"/>
        <w:ind w:firstLine="480" w:firstLineChars="200"/>
        <w:rPr>
          <w:rFonts w:ascii="仿宋" w:hAnsi="仿宋" w:eastAsia="仿宋" w:cs="仿宋"/>
          <w:lang w:eastAsia="zh-CN"/>
        </w:rPr>
      </w:pPr>
    </w:p>
    <w:p w14:paraId="0036C61A">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e承包人在申请支付下一次工程进度款时应连同分包单位（如有）的工程进度款一并申报，并附上其上一次已支付上述单位价款凭证的复印件作为支持材料。</w:t>
      </w:r>
    </w:p>
    <w:p w14:paraId="42EC3840">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f当工程进度款支付至补充合同价格清单施工费部分（扣除暂列金额及相应税金）的85%时，暂停工程款的支付。</w:t>
      </w:r>
    </w:p>
    <w:p w14:paraId="75BED643">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g工程完工且竣工验收合格后支付至补充合同价格清单施工费部分（扣除暂列金额及相应税金）的89％。</w:t>
      </w:r>
    </w:p>
    <w:p w14:paraId="472D8EEB">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h完成本工程档案验收备案和移交工作后（承包人须在竣工联合验收后100天内完成档案备案及移交工作。否则，档案备案及移交工作每延期1天将按违约3万元处罚，直至完成为止），支付至补充合同价格清单施工费部分（扣除暂列金额及相应税金）的90%。</w:t>
      </w:r>
    </w:p>
    <w:p w14:paraId="58D70739">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i工程竣工结算终审后，支付至合同结算价施工费部分的95.6%。</w:t>
      </w:r>
    </w:p>
    <w:p w14:paraId="772D71F6">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j本工程保留合同结算价施工费部分的1%作为“市级工程优质奖”保证金，如承包人于工程竣工验收后二年内取得以上奖项，则承包人向发包人申请返还该部分保证金。如在上述时间内未取得前述市级工程优质奖，则按合同结算价施工费部分的1%为标准扣除该保证金。</w:t>
      </w:r>
    </w:p>
    <w:p w14:paraId="6B1EC212">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k本工程保留合同结算价施工费部分的0.4%作为“市级安全文明绿色施工样板工地”称号保证金，如承包人于工程竣工验收后二年内取得以上称号，则承包人向发包人申请返还该部分保证金。如在上述时间内未取得“市级安全文明绿色施工样板工地”称号，则按合同结算价施工费部分的0.4%为标准扣除该保证金。</w:t>
      </w:r>
    </w:p>
    <w:p w14:paraId="361EBCC6">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l工程价款结算总额施工费的3%作为工程质量保证金并按如下约定方式支付：执行专用条款第89条款约定。</w:t>
      </w:r>
    </w:p>
    <w:p w14:paraId="47B32F2D">
      <w:pPr>
        <w:spacing w:line="360" w:lineRule="auto"/>
        <w:ind w:firstLine="480" w:firstLineChars="200"/>
        <w:rPr>
          <w:rFonts w:ascii="仿宋" w:hAnsi="仿宋" w:eastAsia="仿宋" w:cs="仿宋"/>
          <w:highlight w:val="yellow"/>
          <w:lang w:eastAsia="zh-CN"/>
        </w:rPr>
      </w:pPr>
      <w:r>
        <w:rPr>
          <w:rFonts w:hint="eastAsia" w:ascii="仿宋" w:hAnsi="仿宋" w:eastAsia="仿宋" w:cs="仿宋"/>
          <w:lang w:eastAsia="zh-CN"/>
        </w:rPr>
        <w:t>m发包人已支付的累计金额大于本合同结算终审金额施工费部分的95.6%的，承包人应在工程结算定审之日起15日内向发包人返还多收的款项；否则，发包人有权向承包人追索，承包人除应足额返还多收的款项外，还应每天按多收款项总金额的2‰向发包人支付违约金。</w:t>
      </w:r>
    </w:p>
    <w:p w14:paraId="7011BBF9">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以形象进度为支付周期，支付比例为本形象进度内已完工作或工程款的</w:t>
      </w:r>
      <w:r>
        <w:rPr>
          <w:rFonts w:hint="eastAsia" w:ascii="仿宋" w:hAnsi="仿宋" w:eastAsia="仿宋" w:cs="仿宋"/>
          <w:u w:val="single"/>
          <w:lang w:eastAsia="zh-CN"/>
        </w:rPr>
        <w:t xml:space="preserve"> /  </w:t>
      </w:r>
      <w:r>
        <w:rPr>
          <w:rFonts w:hint="eastAsia" w:ascii="仿宋" w:hAnsi="仿宋" w:eastAsia="仿宋" w:cs="仿宋"/>
          <w:lang w:eastAsia="zh-CN"/>
        </w:rPr>
        <w:t>%或另行约定，具体约定如下：</w:t>
      </w:r>
      <w:r>
        <w:rPr>
          <w:rFonts w:hint="eastAsia" w:ascii="仿宋" w:hAnsi="仿宋" w:eastAsia="仿宋" w:cs="仿宋"/>
          <w:u w:val="single"/>
          <w:lang w:eastAsia="zh-CN"/>
        </w:rPr>
        <w:t xml:space="preserve">   /    </w:t>
      </w:r>
      <w:r>
        <w:rPr>
          <w:rFonts w:hint="eastAsia" w:ascii="仿宋" w:hAnsi="仿宋" w:eastAsia="仿宋" w:cs="仿宋"/>
          <w:lang w:eastAsia="zh-CN"/>
        </w:rPr>
        <w:t>。</w:t>
      </w:r>
    </w:p>
    <w:p w14:paraId="7B8A8BA2">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其它方式：</w:t>
      </w:r>
      <w:r>
        <w:rPr>
          <w:rFonts w:hint="eastAsia" w:ascii="仿宋" w:hAnsi="仿宋" w:eastAsia="仿宋" w:cs="仿宋"/>
          <w:u w:val="single"/>
          <w:lang w:eastAsia="zh-CN"/>
        </w:rPr>
        <w:t xml:space="preserve">     /      </w:t>
      </w:r>
      <w:r>
        <w:rPr>
          <w:rFonts w:hint="eastAsia" w:ascii="仿宋" w:hAnsi="仿宋" w:eastAsia="仿宋" w:cs="仿宋"/>
          <w:lang w:eastAsia="zh-CN"/>
        </w:rPr>
        <w:t>。</w:t>
      </w:r>
    </w:p>
    <w:p w14:paraId="1255242D">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☑BIM技术应用(含设计阶段BIM及施工阶段BIM)</w:t>
      </w:r>
    </w:p>
    <w:p w14:paraId="02A9A5DD">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①支付期限、比例</w:t>
      </w:r>
    </w:p>
    <w:p w14:paraId="6250ADBE">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以月为支付周期，支付比例为本月已完工作或工程款的</w:t>
      </w:r>
      <w:r>
        <w:rPr>
          <w:rFonts w:hint="eastAsia" w:ascii="仿宋" w:hAnsi="仿宋" w:eastAsia="仿宋" w:cs="仿宋"/>
          <w:u w:val="single"/>
          <w:lang w:eastAsia="zh-CN"/>
        </w:rPr>
        <w:t xml:space="preserve">  / </w:t>
      </w:r>
      <w:r>
        <w:rPr>
          <w:rFonts w:hint="eastAsia" w:ascii="仿宋" w:hAnsi="仿宋" w:eastAsia="仿宋" w:cs="仿宋"/>
          <w:lang w:eastAsia="zh-CN"/>
        </w:rPr>
        <w:t>%。</w:t>
      </w:r>
    </w:p>
    <w:p w14:paraId="7114386B">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以季度为支付周期，支付比例为本季度已完工作或工程款的</w:t>
      </w:r>
      <w:r>
        <w:rPr>
          <w:rFonts w:hint="eastAsia" w:ascii="仿宋" w:hAnsi="仿宋" w:eastAsia="仿宋" w:cs="仿宋"/>
          <w:u w:val="single"/>
          <w:lang w:eastAsia="zh-CN"/>
        </w:rPr>
        <w:t xml:space="preserve">  / </w:t>
      </w:r>
      <w:r>
        <w:rPr>
          <w:rFonts w:hint="eastAsia" w:ascii="仿宋" w:hAnsi="仿宋" w:eastAsia="仿宋" w:cs="仿宋"/>
          <w:lang w:eastAsia="zh-CN"/>
        </w:rPr>
        <w:t>%。</w:t>
      </w:r>
    </w:p>
    <w:p w14:paraId="2B48AF7B">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以形象进度为支付周期，支付比例为本形象进度内已完工作或工程款的</w:t>
      </w:r>
      <w:r>
        <w:rPr>
          <w:rFonts w:hint="eastAsia" w:ascii="仿宋" w:hAnsi="仿宋" w:eastAsia="仿宋" w:cs="仿宋"/>
          <w:u w:val="single"/>
          <w:lang w:eastAsia="zh-CN"/>
        </w:rPr>
        <w:t xml:space="preserve">  / </w:t>
      </w:r>
      <w:r>
        <w:rPr>
          <w:rFonts w:hint="eastAsia" w:ascii="仿宋" w:hAnsi="仿宋" w:eastAsia="仿宋" w:cs="仿宋"/>
          <w:lang w:eastAsia="zh-CN"/>
        </w:rPr>
        <w:t>%或另行约定，具体约定如下：</w:t>
      </w:r>
      <w:r>
        <w:rPr>
          <w:rFonts w:hint="eastAsia" w:ascii="仿宋" w:hAnsi="仿宋" w:eastAsia="仿宋" w:cs="仿宋"/>
          <w:u w:val="single"/>
          <w:lang w:eastAsia="zh-CN"/>
        </w:rPr>
        <w:t xml:space="preserve">       /    </w:t>
      </w:r>
      <w:r>
        <w:rPr>
          <w:rFonts w:hint="eastAsia" w:ascii="仿宋" w:hAnsi="仿宋" w:eastAsia="仿宋" w:cs="仿宋"/>
          <w:lang w:eastAsia="zh-CN"/>
        </w:rPr>
        <w:t xml:space="preserve"> 。</w:t>
      </w:r>
    </w:p>
    <w:p w14:paraId="0BDAF295">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其它方式：</w:t>
      </w:r>
    </w:p>
    <w:p w14:paraId="2733E9DC">
      <w:pPr>
        <w:spacing w:line="360" w:lineRule="auto"/>
        <w:ind w:firstLine="480" w:firstLineChars="200"/>
        <w:jc w:val="center"/>
        <w:rPr>
          <w:rFonts w:ascii="仿宋" w:hAnsi="仿宋" w:eastAsia="仿宋" w:cs="仿宋"/>
          <w:lang w:eastAsia="zh-CN"/>
        </w:rPr>
      </w:pPr>
      <w:r>
        <w:rPr>
          <w:rFonts w:hint="eastAsia" w:ascii="仿宋" w:hAnsi="仿宋" w:eastAsia="仿宋" w:cs="仿宋"/>
          <w:lang w:eastAsia="zh-CN"/>
        </w:rPr>
        <w:t>设计阶段</w:t>
      </w:r>
      <w:r>
        <w:rPr>
          <w:rFonts w:hint="eastAsia" w:ascii="仿宋" w:hAnsi="仿宋" w:eastAsia="仿宋" w:cs="仿宋"/>
          <w:sz w:val="22"/>
          <w:szCs w:val="22"/>
          <w:lang w:eastAsia="zh-CN" w:bidi="ar"/>
        </w:rPr>
        <w:t>BIM技术应用费用支付方式</w:t>
      </w:r>
    </w:p>
    <w:tbl>
      <w:tblPr>
        <w:tblStyle w:val="43"/>
        <w:tblW w:w="4835" w:type="pct"/>
        <w:tblInd w:w="323" w:type="dxa"/>
        <w:tblLayout w:type="autofit"/>
        <w:tblCellMar>
          <w:top w:w="0" w:type="dxa"/>
          <w:left w:w="108" w:type="dxa"/>
          <w:bottom w:w="0" w:type="dxa"/>
          <w:right w:w="108" w:type="dxa"/>
        </w:tblCellMar>
      </w:tblPr>
      <w:tblGrid>
        <w:gridCol w:w="1330"/>
        <w:gridCol w:w="2968"/>
        <w:gridCol w:w="2036"/>
        <w:gridCol w:w="3204"/>
      </w:tblGrid>
      <w:tr w14:paraId="527F7CC1">
        <w:tblPrEx>
          <w:tblCellMar>
            <w:top w:w="0" w:type="dxa"/>
            <w:left w:w="108" w:type="dxa"/>
            <w:bottom w:w="0" w:type="dxa"/>
            <w:right w:w="108" w:type="dxa"/>
          </w:tblCellMar>
        </w:tblPrEx>
        <w:trPr>
          <w:trHeight w:val="780" w:hRule="atLeast"/>
        </w:trPr>
        <w:tc>
          <w:tcPr>
            <w:tcW w:w="697" w:type="pct"/>
            <w:tcBorders>
              <w:top w:val="single" w:color="000000" w:sz="4" w:space="0"/>
              <w:left w:val="single" w:color="000000" w:sz="4" w:space="0"/>
              <w:bottom w:val="single" w:color="000000" w:sz="4" w:space="0"/>
              <w:right w:val="single" w:color="000000" w:sz="4" w:space="0"/>
            </w:tcBorders>
            <w:vAlign w:val="center"/>
          </w:tcPr>
          <w:p w14:paraId="7C5AD6A9">
            <w:pPr>
              <w:rPr>
                <w:rFonts w:ascii="仿宋" w:hAnsi="仿宋" w:eastAsia="仿宋" w:cs="仿宋"/>
                <w:sz w:val="22"/>
                <w:szCs w:val="22"/>
              </w:rPr>
            </w:pPr>
            <w:r>
              <w:rPr>
                <w:rFonts w:hint="eastAsia" w:ascii="仿宋" w:hAnsi="仿宋" w:eastAsia="仿宋" w:cs="仿宋"/>
                <w:sz w:val="22"/>
                <w:szCs w:val="22"/>
                <w:lang w:eastAsia="zh-CN" w:bidi="ar"/>
              </w:rPr>
              <w:t>款项支付期</w:t>
            </w:r>
          </w:p>
        </w:tc>
        <w:tc>
          <w:tcPr>
            <w:tcW w:w="1555" w:type="pct"/>
            <w:tcBorders>
              <w:top w:val="single" w:color="000000" w:sz="4" w:space="0"/>
              <w:left w:val="single" w:color="000000" w:sz="4" w:space="0"/>
              <w:bottom w:val="single" w:color="000000" w:sz="4" w:space="0"/>
              <w:right w:val="single" w:color="000000" w:sz="4" w:space="0"/>
            </w:tcBorders>
            <w:vAlign w:val="center"/>
          </w:tcPr>
          <w:p w14:paraId="5558CA15">
            <w:pPr>
              <w:rPr>
                <w:rFonts w:ascii="仿宋" w:hAnsi="仿宋" w:eastAsia="仿宋" w:cs="仿宋"/>
                <w:sz w:val="22"/>
                <w:szCs w:val="22"/>
              </w:rPr>
            </w:pPr>
            <w:r>
              <w:rPr>
                <w:rFonts w:hint="eastAsia" w:ascii="仿宋" w:hAnsi="仿宋" w:eastAsia="仿宋" w:cs="仿宋"/>
                <w:sz w:val="22"/>
                <w:szCs w:val="22"/>
                <w:lang w:eastAsia="zh-CN" w:bidi="ar"/>
              </w:rPr>
              <w:t>支付条件</w:t>
            </w:r>
          </w:p>
        </w:tc>
        <w:tc>
          <w:tcPr>
            <w:tcW w:w="1067" w:type="pct"/>
            <w:tcBorders>
              <w:top w:val="single" w:color="000000" w:sz="4" w:space="0"/>
              <w:left w:val="single" w:color="000000" w:sz="4" w:space="0"/>
              <w:bottom w:val="single" w:color="000000" w:sz="4" w:space="0"/>
              <w:right w:val="single" w:color="000000" w:sz="4" w:space="0"/>
            </w:tcBorders>
            <w:vAlign w:val="center"/>
          </w:tcPr>
          <w:p w14:paraId="50E74962">
            <w:pPr>
              <w:rPr>
                <w:rFonts w:ascii="仿宋" w:hAnsi="仿宋" w:eastAsia="仿宋" w:cs="仿宋"/>
                <w:sz w:val="22"/>
                <w:szCs w:val="22"/>
              </w:rPr>
            </w:pPr>
            <w:r>
              <w:rPr>
                <w:rFonts w:hint="eastAsia" w:ascii="仿宋" w:hAnsi="仿宋" w:eastAsia="仿宋" w:cs="仿宋"/>
                <w:sz w:val="22"/>
                <w:szCs w:val="22"/>
                <w:lang w:eastAsia="zh-CN" w:bidi="ar"/>
              </w:rPr>
              <w:t>支付比例</w:t>
            </w:r>
          </w:p>
        </w:tc>
        <w:tc>
          <w:tcPr>
            <w:tcW w:w="1679" w:type="pct"/>
            <w:tcBorders>
              <w:top w:val="single" w:color="000000" w:sz="4" w:space="0"/>
              <w:left w:val="single" w:color="000000" w:sz="4" w:space="0"/>
              <w:bottom w:val="single" w:color="000000" w:sz="4" w:space="0"/>
              <w:right w:val="single" w:color="000000" w:sz="4" w:space="0"/>
            </w:tcBorders>
            <w:vAlign w:val="center"/>
          </w:tcPr>
          <w:p w14:paraId="1504787E">
            <w:pPr>
              <w:rPr>
                <w:rFonts w:ascii="仿宋" w:hAnsi="仿宋" w:eastAsia="仿宋" w:cs="仿宋"/>
                <w:sz w:val="22"/>
                <w:szCs w:val="22"/>
                <w:lang w:eastAsia="zh-CN"/>
              </w:rPr>
            </w:pPr>
            <w:r>
              <w:rPr>
                <w:rFonts w:hint="eastAsia" w:ascii="仿宋" w:hAnsi="仿宋" w:eastAsia="仿宋" w:cs="仿宋"/>
                <w:sz w:val="22"/>
                <w:szCs w:val="22"/>
                <w:lang w:eastAsia="zh-CN" w:bidi="ar"/>
              </w:rPr>
              <w:t>累计完成工作量及支付比例</w:t>
            </w:r>
          </w:p>
        </w:tc>
      </w:tr>
      <w:tr w14:paraId="20A65943">
        <w:tblPrEx>
          <w:tblCellMar>
            <w:top w:w="0" w:type="dxa"/>
            <w:left w:w="108" w:type="dxa"/>
            <w:bottom w:w="0" w:type="dxa"/>
            <w:right w:w="108" w:type="dxa"/>
          </w:tblCellMar>
        </w:tblPrEx>
        <w:trPr>
          <w:trHeight w:val="780" w:hRule="atLeast"/>
        </w:trPr>
        <w:tc>
          <w:tcPr>
            <w:tcW w:w="697" w:type="pct"/>
            <w:tcBorders>
              <w:top w:val="single" w:color="000000" w:sz="4" w:space="0"/>
              <w:left w:val="single" w:color="000000" w:sz="4" w:space="0"/>
              <w:bottom w:val="single" w:color="000000" w:sz="4" w:space="0"/>
              <w:right w:val="single" w:color="000000" w:sz="4" w:space="0"/>
            </w:tcBorders>
            <w:vAlign w:val="center"/>
          </w:tcPr>
          <w:p w14:paraId="1812B28E">
            <w:pPr>
              <w:rPr>
                <w:rFonts w:ascii="仿宋" w:hAnsi="仿宋" w:eastAsia="仿宋" w:cs="仿宋"/>
                <w:sz w:val="22"/>
                <w:szCs w:val="22"/>
              </w:rPr>
            </w:pPr>
            <w:r>
              <w:rPr>
                <w:rFonts w:hint="eastAsia" w:ascii="仿宋" w:hAnsi="仿宋" w:eastAsia="仿宋" w:cs="仿宋"/>
                <w:sz w:val="22"/>
                <w:szCs w:val="22"/>
                <w:lang w:eastAsia="zh-CN" w:bidi="ar"/>
              </w:rPr>
              <w:t>首期款</w:t>
            </w:r>
          </w:p>
        </w:tc>
        <w:tc>
          <w:tcPr>
            <w:tcW w:w="1555" w:type="pct"/>
            <w:tcBorders>
              <w:top w:val="single" w:color="000000" w:sz="4" w:space="0"/>
              <w:left w:val="single" w:color="000000" w:sz="4" w:space="0"/>
              <w:bottom w:val="single" w:color="000000" w:sz="4" w:space="0"/>
              <w:right w:val="single" w:color="000000" w:sz="4" w:space="0"/>
            </w:tcBorders>
            <w:vAlign w:val="center"/>
          </w:tcPr>
          <w:p w14:paraId="43D74ED3">
            <w:pPr>
              <w:rPr>
                <w:rFonts w:ascii="仿宋" w:hAnsi="仿宋" w:eastAsia="仿宋" w:cs="仿宋"/>
                <w:sz w:val="22"/>
                <w:szCs w:val="22"/>
                <w:lang w:eastAsia="zh-CN"/>
              </w:rPr>
            </w:pPr>
            <w:r>
              <w:rPr>
                <w:rFonts w:hint="eastAsia" w:ascii="仿宋" w:hAnsi="仿宋" w:eastAsia="仿宋" w:cs="仿宋"/>
                <w:sz w:val="22"/>
                <w:szCs w:val="22"/>
                <w:lang w:eastAsia="zh-CN" w:bidi="ar"/>
              </w:rPr>
              <w:t>合同签订，且设计阶段BIM技术应用工作方案通过发包人审批后</w:t>
            </w:r>
          </w:p>
        </w:tc>
        <w:tc>
          <w:tcPr>
            <w:tcW w:w="1067" w:type="pct"/>
            <w:tcBorders>
              <w:top w:val="single" w:color="000000" w:sz="4" w:space="0"/>
              <w:left w:val="single" w:color="000000" w:sz="4" w:space="0"/>
              <w:bottom w:val="single" w:color="000000" w:sz="4" w:space="0"/>
              <w:right w:val="single" w:color="000000" w:sz="4" w:space="0"/>
            </w:tcBorders>
            <w:vAlign w:val="center"/>
          </w:tcPr>
          <w:p w14:paraId="6FBF4B6D">
            <w:pPr>
              <w:rPr>
                <w:rFonts w:ascii="仿宋" w:hAnsi="仿宋" w:eastAsia="仿宋" w:cs="仿宋"/>
                <w:sz w:val="22"/>
                <w:szCs w:val="22"/>
                <w:lang w:eastAsia="zh-CN"/>
              </w:rPr>
            </w:pPr>
            <w:r>
              <w:rPr>
                <w:rFonts w:hint="eastAsia" w:ascii="仿宋" w:hAnsi="仿宋" w:eastAsia="仿宋" w:cs="仿宋"/>
                <w:sz w:val="22"/>
                <w:szCs w:val="22"/>
                <w:lang w:eastAsia="zh-CN" w:bidi="ar"/>
              </w:rPr>
              <w:t>支付设计阶段BIM技术应用费的20%</w:t>
            </w:r>
          </w:p>
        </w:tc>
        <w:tc>
          <w:tcPr>
            <w:tcW w:w="1679" w:type="pct"/>
            <w:tcBorders>
              <w:top w:val="single" w:color="000000" w:sz="4" w:space="0"/>
              <w:left w:val="single" w:color="000000" w:sz="4" w:space="0"/>
              <w:bottom w:val="single" w:color="000000" w:sz="4" w:space="0"/>
              <w:right w:val="single" w:color="000000" w:sz="4" w:space="0"/>
            </w:tcBorders>
            <w:vAlign w:val="center"/>
          </w:tcPr>
          <w:p w14:paraId="1BE371D7">
            <w:pPr>
              <w:rPr>
                <w:rFonts w:ascii="仿宋" w:hAnsi="仿宋" w:eastAsia="仿宋" w:cs="仿宋"/>
                <w:sz w:val="22"/>
                <w:szCs w:val="22"/>
                <w:lang w:eastAsia="zh-CN"/>
              </w:rPr>
            </w:pPr>
            <w:r>
              <w:rPr>
                <w:rFonts w:hint="eastAsia" w:ascii="仿宋" w:hAnsi="仿宋" w:eastAsia="仿宋" w:cs="仿宋"/>
                <w:sz w:val="22"/>
                <w:szCs w:val="22"/>
                <w:lang w:eastAsia="zh-CN" w:bidi="ar"/>
              </w:rPr>
              <w:t>累计支付至设计阶段BIM技术应用费用的20%</w:t>
            </w:r>
          </w:p>
        </w:tc>
      </w:tr>
      <w:tr w14:paraId="7034EA8C">
        <w:tblPrEx>
          <w:tblCellMar>
            <w:top w:w="0" w:type="dxa"/>
            <w:left w:w="108" w:type="dxa"/>
            <w:bottom w:w="0" w:type="dxa"/>
            <w:right w:w="108" w:type="dxa"/>
          </w:tblCellMar>
        </w:tblPrEx>
        <w:trPr>
          <w:trHeight w:val="949" w:hRule="atLeast"/>
        </w:trPr>
        <w:tc>
          <w:tcPr>
            <w:tcW w:w="697" w:type="pct"/>
            <w:tcBorders>
              <w:top w:val="single" w:color="000000" w:sz="4" w:space="0"/>
              <w:left w:val="single" w:color="000000" w:sz="4" w:space="0"/>
              <w:bottom w:val="single" w:color="000000" w:sz="4" w:space="0"/>
              <w:right w:val="single" w:color="000000" w:sz="4" w:space="0"/>
            </w:tcBorders>
            <w:vAlign w:val="center"/>
          </w:tcPr>
          <w:p w14:paraId="07038F8A">
            <w:pPr>
              <w:rPr>
                <w:rFonts w:ascii="仿宋" w:hAnsi="仿宋" w:eastAsia="仿宋" w:cs="仿宋"/>
                <w:sz w:val="22"/>
                <w:szCs w:val="22"/>
              </w:rPr>
            </w:pPr>
            <w:r>
              <w:rPr>
                <w:rFonts w:hint="eastAsia" w:ascii="仿宋" w:hAnsi="仿宋" w:eastAsia="仿宋" w:cs="仿宋"/>
                <w:sz w:val="22"/>
                <w:szCs w:val="22"/>
                <w:lang w:eastAsia="zh-CN" w:bidi="ar"/>
              </w:rPr>
              <w:t>第二期</w:t>
            </w:r>
          </w:p>
        </w:tc>
        <w:tc>
          <w:tcPr>
            <w:tcW w:w="1555" w:type="pct"/>
            <w:tcBorders>
              <w:top w:val="single" w:color="000000" w:sz="4" w:space="0"/>
              <w:left w:val="single" w:color="000000" w:sz="4" w:space="0"/>
              <w:bottom w:val="single" w:color="000000" w:sz="4" w:space="0"/>
              <w:right w:val="single" w:color="000000" w:sz="4" w:space="0"/>
            </w:tcBorders>
            <w:vAlign w:val="center"/>
          </w:tcPr>
          <w:p w14:paraId="6B90FC92">
            <w:pPr>
              <w:rPr>
                <w:rFonts w:ascii="仿宋" w:hAnsi="仿宋" w:eastAsia="仿宋" w:cs="仿宋"/>
                <w:sz w:val="22"/>
                <w:szCs w:val="22"/>
                <w:lang w:eastAsia="zh-CN"/>
              </w:rPr>
            </w:pPr>
            <w:r>
              <w:rPr>
                <w:rFonts w:hint="eastAsia" w:ascii="仿宋" w:hAnsi="仿宋" w:eastAsia="仿宋" w:cs="仿宋"/>
                <w:sz w:val="22"/>
                <w:szCs w:val="22"/>
                <w:lang w:eastAsia="zh-CN" w:bidi="ar"/>
              </w:rPr>
              <w:t>完成</w:t>
            </w:r>
            <w:r>
              <w:rPr>
                <w:rFonts w:ascii="仿宋" w:hAnsi="仿宋" w:eastAsia="仿宋" w:cs="仿宋"/>
                <w:sz w:val="22"/>
                <w:szCs w:val="22"/>
                <w:lang w:eastAsia="zh-CN" w:bidi="ar"/>
              </w:rPr>
              <w:t>BIM设计、施工图审查合格，</w:t>
            </w:r>
            <w:r>
              <w:rPr>
                <w:rFonts w:hint="eastAsia" w:ascii="仿宋" w:hAnsi="仿宋" w:eastAsia="仿宋" w:cs="仿宋"/>
                <w:sz w:val="22"/>
                <w:szCs w:val="22"/>
                <w:lang w:eastAsia="zh-CN" w:bidi="ar"/>
              </w:rPr>
              <w:t>并提供相应</w:t>
            </w:r>
            <w:r>
              <w:rPr>
                <w:rFonts w:ascii="仿宋" w:hAnsi="仿宋" w:eastAsia="仿宋" w:cs="仿宋"/>
                <w:sz w:val="22"/>
                <w:szCs w:val="22"/>
                <w:lang w:eastAsia="zh-CN" w:bidi="ar"/>
              </w:rPr>
              <w:t>BIM成果文件后；</w:t>
            </w:r>
          </w:p>
        </w:tc>
        <w:tc>
          <w:tcPr>
            <w:tcW w:w="1067" w:type="pct"/>
            <w:tcBorders>
              <w:top w:val="single" w:color="000000" w:sz="4" w:space="0"/>
              <w:left w:val="single" w:color="000000" w:sz="4" w:space="0"/>
              <w:bottom w:val="single" w:color="000000" w:sz="4" w:space="0"/>
              <w:right w:val="single" w:color="000000" w:sz="4" w:space="0"/>
            </w:tcBorders>
            <w:vAlign w:val="center"/>
          </w:tcPr>
          <w:p w14:paraId="664582EC">
            <w:pPr>
              <w:rPr>
                <w:rFonts w:ascii="仿宋" w:hAnsi="仿宋" w:eastAsia="仿宋" w:cs="仿宋"/>
                <w:sz w:val="22"/>
                <w:szCs w:val="22"/>
                <w:lang w:eastAsia="zh-CN"/>
              </w:rPr>
            </w:pPr>
            <w:r>
              <w:rPr>
                <w:rFonts w:hint="eastAsia" w:ascii="仿宋" w:hAnsi="仿宋" w:eastAsia="仿宋" w:cs="仿宋"/>
                <w:sz w:val="22"/>
                <w:szCs w:val="22"/>
                <w:lang w:eastAsia="zh-CN" w:bidi="ar"/>
              </w:rPr>
              <w:t>支付设计阶段BIM技术应用费的50%</w:t>
            </w:r>
          </w:p>
        </w:tc>
        <w:tc>
          <w:tcPr>
            <w:tcW w:w="1679" w:type="pct"/>
            <w:tcBorders>
              <w:top w:val="single" w:color="000000" w:sz="4" w:space="0"/>
              <w:left w:val="single" w:color="000000" w:sz="4" w:space="0"/>
              <w:bottom w:val="single" w:color="000000" w:sz="4" w:space="0"/>
              <w:right w:val="single" w:color="000000" w:sz="4" w:space="0"/>
            </w:tcBorders>
            <w:vAlign w:val="center"/>
          </w:tcPr>
          <w:p w14:paraId="40B06D43">
            <w:pPr>
              <w:rPr>
                <w:rFonts w:ascii="仿宋" w:hAnsi="仿宋" w:eastAsia="仿宋" w:cs="仿宋"/>
                <w:sz w:val="22"/>
                <w:szCs w:val="22"/>
                <w:lang w:eastAsia="zh-CN"/>
              </w:rPr>
            </w:pPr>
            <w:r>
              <w:rPr>
                <w:rFonts w:hint="eastAsia" w:ascii="仿宋" w:hAnsi="仿宋" w:eastAsia="仿宋" w:cs="仿宋"/>
                <w:sz w:val="22"/>
                <w:szCs w:val="22"/>
                <w:lang w:eastAsia="zh-CN" w:bidi="ar"/>
              </w:rPr>
              <w:t>累计支付至设计阶段BIM技术应用费用的70%</w:t>
            </w:r>
          </w:p>
        </w:tc>
      </w:tr>
      <w:tr w14:paraId="6FE3E54D">
        <w:tblPrEx>
          <w:tblCellMar>
            <w:top w:w="0" w:type="dxa"/>
            <w:left w:w="108" w:type="dxa"/>
            <w:bottom w:w="0" w:type="dxa"/>
            <w:right w:w="108" w:type="dxa"/>
          </w:tblCellMar>
        </w:tblPrEx>
        <w:trPr>
          <w:trHeight w:val="780" w:hRule="atLeast"/>
        </w:trPr>
        <w:tc>
          <w:tcPr>
            <w:tcW w:w="697" w:type="pct"/>
            <w:tcBorders>
              <w:top w:val="single" w:color="000000" w:sz="4" w:space="0"/>
              <w:left w:val="single" w:color="000000" w:sz="4" w:space="0"/>
              <w:bottom w:val="single" w:color="000000" w:sz="4" w:space="0"/>
              <w:right w:val="single" w:color="000000" w:sz="4" w:space="0"/>
            </w:tcBorders>
            <w:vAlign w:val="center"/>
          </w:tcPr>
          <w:p w14:paraId="3BF3344F">
            <w:pPr>
              <w:rPr>
                <w:rFonts w:ascii="仿宋" w:hAnsi="仿宋" w:eastAsia="仿宋" w:cs="仿宋"/>
                <w:sz w:val="22"/>
                <w:szCs w:val="22"/>
              </w:rPr>
            </w:pPr>
            <w:r>
              <w:rPr>
                <w:rFonts w:hint="eastAsia" w:ascii="仿宋" w:hAnsi="仿宋" w:eastAsia="仿宋" w:cs="仿宋"/>
                <w:sz w:val="22"/>
                <w:szCs w:val="22"/>
                <w:lang w:eastAsia="zh-CN" w:bidi="ar"/>
              </w:rPr>
              <w:t>第三期</w:t>
            </w:r>
          </w:p>
        </w:tc>
        <w:tc>
          <w:tcPr>
            <w:tcW w:w="1555" w:type="pct"/>
            <w:tcBorders>
              <w:top w:val="single" w:color="000000" w:sz="4" w:space="0"/>
              <w:left w:val="single" w:color="000000" w:sz="4" w:space="0"/>
              <w:bottom w:val="single" w:color="000000" w:sz="4" w:space="0"/>
              <w:right w:val="single" w:color="000000" w:sz="4" w:space="0"/>
            </w:tcBorders>
            <w:vAlign w:val="center"/>
          </w:tcPr>
          <w:p w14:paraId="01F7EAF9">
            <w:pPr>
              <w:rPr>
                <w:rFonts w:ascii="仿宋" w:hAnsi="仿宋" w:eastAsia="仿宋" w:cs="仿宋"/>
                <w:sz w:val="22"/>
                <w:szCs w:val="22"/>
                <w:lang w:eastAsia="zh-CN"/>
              </w:rPr>
            </w:pPr>
            <w:r>
              <w:rPr>
                <w:rFonts w:hint="eastAsia" w:ascii="仿宋" w:hAnsi="仿宋" w:eastAsia="仿宋" w:cs="仿宋"/>
                <w:sz w:val="22"/>
                <w:szCs w:val="22"/>
                <w:lang w:eastAsia="zh-CN" w:bidi="ar"/>
              </w:rPr>
              <w:t>工程竣工验收合格且接入建设主管部门的城市建设模型（</w:t>
            </w:r>
            <w:r>
              <w:rPr>
                <w:rFonts w:ascii="仿宋" w:hAnsi="仿宋" w:eastAsia="仿宋" w:cs="仿宋"/>
                <w:sz w:val="22"/>
                <w:szCs w:val="22"/>
                <w:lang w:eastAsia="zh-CN" w:bidi="ar"/>
              </w:rPr>
              <w:t>CIM）平台</w:t>
            </w:r>
            <w:r>
              <w:rPr>
                <w:rFonts w:hint="eastAsia" w:ascii="仿宋" w:hAnsi="仿宋" w:eastAsia="仿宋" w:cs="仿宋"/>
                <w:sz w:val="22"/>
                <w:szCs w:val="22"/>
                <w:lang w:eastAsia="zh-CN" w:bidi="ar"/>
              </w:rPr>
              <w:t>后</w:t>
            </w:r>
          </w:p>
        </w:tc>
        <w:tc>
          <w:tcPr>
            <w:tcW w:w="1067" w:type="pct"/>
            <w:tcBorders>
              <w:top w:val="single" w:color="000000" w:sz="4" w:space="0"/>
              <w:left w:val="single" w:color="000000" w:sz="4" w:space="0"/>
              <w:bottom w:val="single" w:color="000000" w:sz="4" w:space="0"/>
              <w:right w:val="single" w:color="000000" w:sz="4" w:space="0"/>
            </w:tcBorders>
            <w:vAlign w:val="center"/>
          </w:tcPr>
          <w:p w14:paraId="38277F98">
            <w:pPr>
              <w:rPr>
                <w:rFonts w:ascii="仿宋" w:hAnsi="仿宋" w:eastAsia="仿宋" w:cs="仿宋"/>
                <w:sz w:val="22"/>
                <w:szCs w:val="22"/>
                <w:lang w:eastAsia="zh-CN"/>
              </w:rPr>
            </w:pPr>
            <w:r>
              <w:rPr>
                <w:rFonts w:hint="eastAsia" w:ascii="仿宋" w:hAnsi="仿宋" w:eastAsia="仿宋" w:cs="仿宋"/>
                <w:sz w:val="22"/>
                <w:szCs w:val="22"/>
                <w:lang w:eastAsia="zh-CN" w:bidi="ar"/>
              </w:rPr>
              <w:t>支付设计阶段BIM技术应用费的20%</w:t>
            </w:r>
          </w:p>
        </w:tc>
        <w:tc>
          <w:tcPr>
            <w:tcW w:w="1679" w:type="pct"/>
            <w:tcBorders>
              <w:top w:val="single" w:color="000000" w:sz="4" w:space="0"/>
              <w:left w:val="single" w:color="000000" w:sz="4" w:space="0"/>
              <w:bottom w:val="single" w:color="000000" w:sz="4" w:space="0"/>
              <w:right w:val="single" w:color="000000" w:sz="4" w:space="0"/>
            </w:tcBorders>
            <w:vAlign w:val="center"/>
          </w:tcPr>
          <w:p w14:paraId="2266EC58">
            <w:pPr>
              <w:rPr>
                <w:rFonts w:ascii="仿宋" w:hAnsi="仿宋" w:eastAsia="仿宋" w:cs="仿宋"/>
                <w:sz w:val="22"/>
                <w:szCs w:val="22"/>
                <w:lang w:eastAsia="zh-CN"/>
              </w:rPr>
            </w:pPr>
            <w:r>
              <w:rPr>
                <w:rFonts w:hint="eastAsia" w:ascii="仿宋" w:hAnsi="仿宋" w:eastAsia="仿宋" w:cs="仿宋"/>
                <w:sz w:val="22"/>
                <w:szCs w:val="22"/>
                <w:lang w:eastAsia="zh-CN" w:bidi="ar"/>
              </w:rPr>
              <w:t>累计支付至设计阶段BIM技术应用费用的90%</w:t>
            </w:r>
          </w:p>
        </w:tc>
      </w:tr>
      <w:tr w14:paraId="0358BAC1">
        <w:tblPrEx>
          <w:tblCellMar>
            <w:top w:w="0" w:type="dxa"/>
            <w:left w:w="108" w:type="dxa"/>
            <w:bottom w:w="0" w:type="dxa"/>
            <w:right w:w="108" w:type="dxa"/>
          </w:tblCellMar>
        </w:tblPrEx>
        <w:trPr>
          <w:trHeight w:val="780" w:hRule="atLeast"/>
        </w:trPr>
        <w:tc>
          <w:tcPr>
            <w:tcW w:w="697" w:type="pct"/>
            <w:tcBorders>
              <w:top w:val="single" w:color="000000" w:sz="4" w:space="0"/>
              <w:left w:val="single" w:color="000000" w:sz="4" w:space="0"/>
              <w:bottom w:val="single" w:color="000000" w:sz="4" w:space="0"/>
              <w:right w:val="single" w:color="000000" w:sz="4" w:space="0"/>
            </w:tcBorders>
            <w:vAlign w:val="center"/>
          </w:tcPr>
          <w:p w14:paraId="6B0385BF">
            <w:pPr>
              <w:rPr>
                <w:rFonts w:ascii="仿宋" w:hAnsi="仿宋" w:eastAsia="仿宋" w:cs="仿宋"/>
                <w:sz w:val="22"/>
                <w:szCs w:val="22"/>
              </w:rPr>
            </w:pPr>
            <w:r>
              <w:rPr>
                <w:rFonts w:hint="eastAsia" w:ascii="仿宋" w:hAnsi="仿宋" w:eastAsia="仿宋" w:cs="仿宋"/>
                <w:sz w:val="22"/>
                <w:szCs w:val="22"/>
                <w:lang w:eastAsia="zh-CN" w:bidi="ar"/>
              </w:rPr>
              <w:t>第四期</w:t>
            </w:r>
          </w:p>
        </w:tc>
        <w:tc>
          <w:tcPr>
            <w:tcW w:w="1555" w:type="pct"/>
            <w:tcBorders>
              <w:top w:val="single" w:color="000000" w:sz="4" w:space="0"/>
              <w:left w:val="single" w:color="000000" w:sz="4" w:space="0"/>
              <w:bottom w:val="single" w:color="000000" w:sz="4" w:space="0"/>
              <w:right w:val="single" w:color="000000" w:sz="4" w:space="0"/>
            </w:tcBorders>
            <w:vAlign w:val="center"/>
          </w:tcPr>
          <w:p w14:paraId="4A43BCA6">
            <w:pPr>
              <w:rPr>
                <w:rFonts w:ascii="仿宋" w:hAnsi="仿宋" w:eastAsia="仿宋" w:cs="仿宋"/>
                <w:sz w:val="22"/>
                <w:szCs w:val="22"/>
              </w:rPr>
            </w:pPr>
            <w:r>
              <w:rPr>
                <w:rFonts w:hint="eastAsia" w:ascii="仿宋" w:hAnsi="仿宋" w:eastAsia="仿宋" w:cs="仿宋"/>
                <w:sz w:val="22"/>
                <w:szCs w:val="22"/>
                <w:lang w:eastAsia="zh-CN" w:bidi="ar"/>
              </w:rPr>
              <w:t>合同结算终审后</w:t>
            </w:r>
          </w:p>
        </w:tc>
        <w:tc>
          <w:tcPr>
            <w:tcW w:w="1067" w:type="pct"/>
            <w:tcBorders>
              <w:top w:val="single" w:color="000000" w:sz="4" w:space="0"/>
              <w:left w:val="single" w:color="000000" w:sz="4" w:space="0"/>
              <w:bottom w:val="single" w:color="000000" w:sz="4" w:space="0"/>
              <w:right w:val="single" w:color="000000" w:sz="4" w:space="0"/>
            </w:tcBorders>
            <w:vAlign w:val="center"/>
          </w:tcPr>
          <w:p w14:paraId="560FA92A">
            <w:pPr>
              <w:rPr>
                <w:rFonts w:ascii="仿宋" w:hAnsi="仿宋" w:eastAsia="仿宋" w:cs="仿宋"/>
                <w:sz w:val="22"/>
                <w:szCs w:val="22"/>
                <w:lang w:eastAsia="zh-CN"/>
              </w:rPr>
            </w:pPr>
            <w:r>
              <w:rPr>
                <w:rFonts w:hint="eastAsia" w:ascii="仿宋" w:hAnsi="仿宋" w:eastAsia="仿宋" w:cs="仿宋"/>
                <w:sz w:val="22"/>
                <w:szCs w:val="22"/>
                <w:lang w:eastAsia="zh-CN" w:bidi="ar"/>
              </w:rPr>
              <w:t>按结算终审金额一次性支付尾款</w:t>
            </w:r>
          </w:p>
        </w:tc>
        <w:tc>
          <w:tcPr>
            <w:tcW w:w="1679" w:type="pct"/>
            <w:tcBorders>
              <w:top w:val="single" w:color="000000" w:sz="4" w:space="0"/>
              <w:left w:val="single" w:color="000000" w:sz="4" w:space="0"/>
              <w:bottom w:val="single" w:color="000000" w:sz="4" w:space="0"/>
              <w:right w:val="single" w:color="000000" w:sz="4" w:space="0"/>
            </w:tcBorders>
            <w:vAlign w:val="center"/>
          </w:tcPr>
          <w:p w14:paraId="0AA5A714">
            <w:pPr>
              <w:rPr>
                <w:rFonts w:ascii="仿宋" w:hAnsi="仿宋" w:eastAsia="仿宋" w:cs="仿宋"/>
                <w:sz w:val="22"/>
                <w:szCs w:val="22"/>
                <w:lang w:eastAsia="zh-CN"/>
              </w:rPr>
            </w:pPr>
          </w:p>
        </w:tc>
      </w:tr>
    </w:tbl>
    <w:p w14:paraId="02861FE1">
      <w:pPr>
        <w:spacing w:line="360" w:lineRule="auto"/>
        <w:ind w:firstLine="480" w:firstLineChars="200"/>
        <w:rPr>
          <w:rFonts w:ascii="仿宋" w:hAnsi="仿宋" w:eastAsia="仿宋" w:cs="仿宋"/>
          <w:lang w:eastAsia="zh-CN"/>
        </w:rPr>
      </w:pPr>
    </w:p>
    <w:p w14:paraId="54562EF3">
      <w:pPr>
        <w:spacing w:line="360" w:lineRule="auto"/>
        <w:ind w:firstLine="480" w:firstLineChars="200"/>
        <w:jc w:val="center"/>
        <w:rPr>
          <w:rFonts w:ascii="仿宋" w:hAnsi="仿宋" w:eastAsia="仿宋" w:cs="仿宋"/>
          <w:lang w:eastAsia="zh-CN"/>
        </w:rPr>
      </w:pPr>
      <w:r>
        <w:rPr>
          <w:rFonts w:hint="eastAsia" w:ascii="仿宋" w:hAnsi="仿宋" w:eastAsia="仿宋" w:cs="仿宋"/>
          <w:lang w:eastAsia="zh-CN"/>
        </w:rPr>
        <w:t>施工阶段</w:t>
      </w:r>
      <w:r>
        <w:rPr>
          <w:rFonts w:hint="eastAsia" w:ascii="仿宋" w:hAnsi="仿宋" w:eastAsia="仿宋" w:cs="仿宋"/>
          <w:sz w:val="22"/>
          <w:szCs w:val="22"/>
          <w:lang w:eastAsia="zh-CN" w:bidi="ar"/>
        </w:rPr>
        <w:t>BIM技术应用费用支付方式</w:t>
      </w:r>
    </w:p>
    <w:tbl>
      <w:tblPr>
        <w:tblStyle w:val="43"/>
        <w:tblW w:w="4835" w:type="pct"/>
        <w:tblInd w:w="323" w:type="dxa"/>
        <w:tblLayout w:type="autofit"/>
        <w:tblCellMar>
          <w:top w:w="0" w:type="dxa"/>
          <w:left w:w="108" w:type="dxa"/>
          <w:bottom w:w="0" w:type="dxa"/>
          <w:right w:w="108" w:type="dxa"/>
        </w:tblCellMar>
      </w:tblPr>
      <w:tblGrid>
        <w:gridCol w:w="1330"/>
        <w:gridCol w:w="2968"/>
        <w:gridCol w:w="2036"/>
        <w:gridCol w:w="3204"/>
      </w:tblGrid>
      <w:tr w14:paraId="332160FF">
        <w:tblPrEx>
          <w:tblCellMar>
            <w:top w:w="0" w:type="dxa"/>
            <w:left w:w="108" w:type="dxa"/>
            <w:bottom w:w="0" w:type="dxa"/>
            <w:right w:w="108" w:type="dxa"/>
          </w:tblCellMar>
        </w:tblPrEx>
        <w:trPr>
          <w:trHeight w:val="780" w:hRule="atLeast"/>
        </w:trPr>
        <w:tc>
          <w:tcPr>
            <w:tcW w:w="697" w:type="pct"/>
            <w:tcBorders>
              <w:top w:val="single" w:color="000000" w:sz="4" w:space="0"/>
              <w:left w:val="single" w:color="000000" w:sz="4" w:space="0"/>
              <w:bottom w:val="single" w:color="000000" w:sz="4" w:space="0"/>
              <w:right w:val="single" w:color="000000" w:sz="4" w:space="0"/>
            </w:tcBorders>
            <w:vAlign w:val="center"/>
          </w:tcPr>
          <w:p w14:paraId="05F65AC6">
            <w:pPr>
              <w:rPr>
                <w:rFonts w:ascii="仿宋" w:hAnsi="仿宋" w:eastAsia="仿宋" w:cs="仿宋"/>
                <w:sz w:val="22"/>
                <w:szCs w:val="22"/>
              </w:rPr>
            </w:pPr>
            <w:r>
              <w:rPr>
                <w:rFonts w:hint="eastAsia" w:ascii="仿宋" w:hAnsi="仿宋" w:eastAsia="仿宋" w:cs="仿宋"/>
                <w:sz w:val="22"/>
                <w:szCs w:val="22"/>
                <w:lang w:eastAsia="zh-CN" w:bidi="ar"/>
              </w:rPr>
              <w:t>款项支付期</w:t>
            </w:r>
          </w:p>
        </w:tc>
        <w:tc>
          <w:tcPr>
            <w:tcW w:w="1555" w:type="pct"/>
            <w:tcBorders>
              <w:top w:val="single" w:color="000000" w:sz="4" w:space="0"/>
              <w:left w:val="single" w:color="000000" w:sz="4" w:space="0"/>
              <w:bottom w:val="single" w:color="000000" w:sz="4" w:space="0"/>
              <w:right w:val="single" w:color="000000" w:sz="4" w:space="0"/>
            </w:tcBorders>
            <w:vAlign w:val="center"/>
          </w:tcPr>
          <w:p w14:paraId="30E17699">
            <w:pPr>
              <w:rPr>
                <w:rFonts w:ascii="仿宋" w:hAnsi="仿宋" w:eastAsia="仿宋" w:cs="仿宋"/>
                <w:sz w:val="22"/>
                <w:szCs w:val="22"/>
              </w:rPr>
            </w:pPr>
            <w:r>
              <w:rPr>
                <w:rFonts w:hint="eastAsia" w:ascii="仿宋" w:hAnsi="仿宋" w:eastAsia="仿宋" w:cs="仿宋"/>
                <w:sz w:val="22"/>
                <w:szCs w:val="22"/>
                <w:lang w:eastAsia="zh-CN" w:bidi="ar"/>
              </w:rPr>
              <w:t>支付条件</w:t>
            </w:r>
          </w:p>
        </w:tc>
        <w:tc>
          <w:tcPr>
            <w:tcW w:w="1067" w:type="pct"/>
            <w:tcBorders>
              <w:top w:val="single" w:color="000000" w:sz="4" w:space="0"/>
              <w:left w:val="single" w:color="000000" w:sz="4" w:space="0"/>
              <w:bottom w:val="single" w:color="000000" w:sz="4" w:space="0"/>
              <w:right w:val="single" w:color="000000" w:sz="4" w:space="0"/>
            </w:tcBorders>
            <w:vAlign w:val="center"/>
          </w:tcPr>
          <w:p w14:paraId="7C47DC67">
            <w:pPr>
              <w:rPr>
                <w:rFonts w:ascii="仿宋" w:hAnsi="仿宋" w:eastAsia="仿宋" w:cs="仿宋"/>
                <w:sz w:val="22"/>
                <w:szCs w:val="22"/>
              </w:rPr>
            </w:pPr>
            <w:r>
              <w:rPr>
                <w:rFonts w:hint="eastAsia" w:ascii="仿宋" w:hAnsi="仿宋" w:eastAsia="仿宋" w:cs="仿宋"/>
                <w:sz w:val="22"/>
                <w:szCs w:val="22"/>
                <w:lang w:eastAsia="zh-CN" w:bidi="ar"/>
              </w:rPr>
              <w:t>支付比例</w:t>
            </w:r>
          </w:p>
        </w:tc>
        <w:tc>
          <w:tcPr>
            <w:tcW w:w="1679" w:type="pct"/>
            <w:tcBorders>
              <w:top w:val="single" w:color="000000" w:sz="4" w:space="0"/>
              <w:left w:val="single" w:color="000000" w:sz="4" w:space="0"/>
              <w:bottom w:val="single" w:color="000000" w:sz="4" w:space="0"/>
              <w:right w:val="single" w:color="000000" w:sz="4" w:space="0"/>
            </w:tcBorders>
            <w:vAlign w:val="center"/>
          </w:tcPr>
          <w:p w14:paraId="06913265">
            <w:pPr>
              <w:rPr>
                <w:rFonts w:ascii="仿宋" w:hAnsi="仿宋" w:eastAsia="仿宋" w:cs="仿宋"/>
                <w:sz w:val="22"/>
                <w:szCs w:val="22"/>
                <w:lang w:eastAsia="zh-CN"/>
              </w:rPr>
            </w:pPr>
            <w:r>
              <w:rPr>
                <w:rFonts w:hint="eastAsia" w:ascii="仿宋" w:hAnsi="仿宋" w:eastAsia="仿宋" w:cs="仿宋"/>
                <w:sz w:val="22"/>
                <w:szCs w:val="22"/>
                <w:lang w:eastAsia="zh-CN" w:bidi="ar"/>
              </w:rPr>
              <w:t>累计完成工作量及支付比例</w:t>
            </w:r>
          </w:p>
        </w:tc>
      </w:tr>
      <w:tr w14:paraId="4B92DA2A">
        <w:tblPrEx>
          <w:tblCellMar>
            <w:top w:w="0" w:type="dxa"/>
            <w:left w:w="108" w:type="dxa"/>
            <w:bottom w:w="0" w:type="dxa"/>
            <w:right w:w="108" w:type="dxa"/>
          </w:tblCellMar>
        </w:tblPrEx>
        <w:trPr>
          <w:trHeight w:val="780" w:hRule="atLeast"/>
        </w:trPr>
        <w:tc>
          <w:tcPr>
            <w:tcW w:w="697" w:type="pct"/>
            <w:tcBorders>
              <w:top w:val="single" w:color="000000" w:sz="4" w:space="0"/>
              <w:left w:val="single" w:color="000000" w:sz="4" w:space="0"/>
              <w:bottom w:val="single" w:color="000000" w:sz="4" w:space="0"/>
              <w:right w:val="single" w:color="000000" w:sz="4" w:space="0"/>
            </w:tcBorders>
            <w:vAlign w:val="center"/>
          </w:tcPr>
          <w:p w14:paraId="1100870C">
            <w:pPr>
              <w:rPr>
                <w:rFonts w:ascii="仿宋" w:hAnsi="仿宋" w:eastAsia="仿宋" w:cs="仿宋"/>
                <w:sz w:val="22"/>
                <w:szCs w:val="22"/>
              </w:rPr>
            </w:pPr>
            <w:r>
              <w:rPr>
                <w:rFonts w:hint="eastAsia" w:ascii="仿宋" w:hAnsi="仿宋" w:eastAsia="仿宋" w:cs="仿宋"/>
                <w:sz w:val="22"/>
                <w:szCs w:val="22"/>
                <w:lang w:eastAsia="zh-CN" w:bidi="ar"/>
              </w:rPr>
              <w:t>首期款</w:t>
            </w:r>
          </w:p>
        </w:tc>
        <w:tc>
          <w:tcPr>
            <w:tcW w:w="1555" w:type="pct"/>
            <w:tcBorders>
              <w:top w:val="single" w:color="000000" w:sz="4" w:space="0"/>
              <w:left w:val="single" w:color="000000" w:sz="4" w:space="0"/>
              <w:bottom w:val="single" w:color="000000" w:sz="4" w:space="0"/>
              <w:right w:val="single" w:color="000000" w:sz="4" w:space="0"/>
            </w:tcBorders>
            <w:vAlign w:val="center"/>
          </w:tcPr>
          <w:p w14:paraId="2B8B66AF">
            <w:pPr>
              <w:rPr>
                <w:rFonts w:ascii="仿宋" w:hAnsi="仿宋" w:eastAsia="仿宋" w:cs="仿宋"/>
                <w:sz w:val="22"/>
                <w:szCs w:val="22"/>
                <w:lang w:eastAsia="zh-CN"/>
              </w:rPr>
            </w:pPr>
            <w:r>
              <w:rPr>
                <w:rFonts w:hint="eastAsia" w:ascii="仿宋" w:hAnsi="仿宋" w:eastAsia="仿宋" w:cs="仿宋"/>
                <w:sz w:val="22"/>
                <w:szCs w:val="22"/>
                <w:lang w:eastAsia="zh-CN" w:bidi="ar"/>
              </w:rPr>
              <w:t>合同签订，且施工阶段BIM技术应用工作方案通过发包人审批后</w:t>
            </w:r>
          </w:p>
        </w:tc>
        <w:tc>
          <w:tcPr>
            <w:tcW w:w="1067" w:type="pct"/>
            <w:tcBorders>
              <w:top w:val="single" w:color="000000" w:sz="4" w:space="0"/>
              <w:left w:val="single" w:color="000000" w:sz="4" w:space="0"/>
              <w:bottom w:val="single" w:color="000000" w:sz="4" w:space="0"/>
              <w:right w:val="single" w:color="000000" w:sz="4" w:space="0"/>
            </w:tcBorders>
            <w:vAlign w:val="center"/>
          </w:tcPr>
          <w:p w14:paraId="4ADC94D6">
            <w:pPr>
              <w:rPr>
                <w:rFonts w:ascii="仿宋" w:hAnsi="仿宋" w:eastAsia="仿宋" w:cs="仿宋"/>
                <w:sz w:val="22"/>
                <w:szCs w:val="22"/>
                <w:lang w:eastAsia="zh-CN"/>
              </w:rPr>
            </w:pPr>
            <w:r>
              <w:rPr>
                <w:rFonts w:hint="eastAsia" w:ascii="仿宋" w:hAnsi="仿宋" w:eastAsia="仿宋" w:cs="仿宋"/>
                <w:sz w:val="22"/>
                <w:szCs w:val="22"/>
                <w:lang w:eastAsia="zh-CN" w:bidi="ar"/>
              </w:rPr>
              <w:t>支付施工阶段BIM技术应用费的20%</w:t>
            </w:r>
          </w:p>
        </w:tc>
        <w:tc>
          <w:tcPr>
            <w:tcW w:w="1679" w:type="pct"/>
            <w:tcBorders>
              <w:top w:val="single" w:color="000000" w:sz="4" w:space="0"/>
              <w:left w:val="single" w:color="000000" w:sz="4" w:space="0"/>
              <w:bottom w:val="single" w:color="000000" w:sz="4" w:space="0"/>
              <w:right w:val="single" w:color="000000" w:sz="4" w:space="0"/>
            </w:tcBorders>
            <w:vAlign w:val="center"/>
          </w:tcPr>
          <w:p w14:paraId="497F60C5">
            <w:pPr>
              <w:rPr>
                <w:rFonts w:ascii="仿宋" w:hAnsi="仿宋" w:eastAsia="仿宋" w:cs="仿宋"/>
                <w:sz w:val="22"/>
                <w:szCs w:val="22"/>
                <w:lang w:eastAsia="zh-CN"/>
              </w:rPr>
            </w:pPr>
            <w:r>
              <w:rPr>
                <w:rFonts w:hint="eastAsia" w:ascii="仿宋" w:hAnsi="仿宋" w:eastAsia="仿宋" w:cs="仿宋"/>
                <w:sz w:val="22"/>
                <w:szCs w:val="22"/>
                <w:lang w:eastAsia="zh-CN" w:bidi="ar"/>
              </w:rPr>
              <w:t>累计支付至施工阶段BIM技术应用费用的20%</w:t>
            </w:r>
          </w:p>
        </w:tc>
      </w:tr>
      <w:tr w14:paraId="28F7D238">
        <w:tblPrEx>
          <w:tblCellMar>
            <w:top w:w="0" w:type="dxa"/>
            <w:left w:w="108" w:type="dxa"/>
            <w:bottom w:w="0" w:type="dxa"/>
            <w:right w:w="108" w:type="dxa"/>
          </w:tblCellMar>
        </w:tblPrEx>
        <w:trPr>
          <w:trHeight w:val="780" w:hRule="atLeast"/>
        </w:trPr>
        <w:tc>
          <w:tcPr>
            <w:tcW w:w="697" w:type="pct"/>
            <w:tcBorders>
              <w:top w:val="single" w:color="000000" w:sz="4" w:space="0"/>
              <w:left w:val="single" w:color="000000" w:sz="4" w:space="0"/>
              <w:bottom w:val="single" w:color="000000" w:sz="4" w:space="0"/>
              <w:right w:val="single" w:color="000000" w:sz="4" w:space="0"/>
            </w:tcBorders>
            <w:vAlign w:val="center"/>
          </w:tcPr>
          <w:p w14:paraId="74689D11">
            <w:pPr>
              <w:rPr>
                <w:rFonts w:ascii="仿宋" w:hAnsi="仿宋" w:eastAsia="仿宋" w:cs="仿宋"/>
                <w:sz w:val="22"/>
                <w:szCs w:val="22"/>
              </w:rPr>
            </w:pPr>
            <w:r>
              <w:rPr>
                <w:rFonts w:hint="eastAsia" w:ascii="仿宋" w:hAnsi="仿宋" w:eastAsia="仿宋" w:cs="仿宋"/>
                <w:sz w:val="22"/>
                <w:szCs w:val="22"/>
                <w:lang w:eastAsia="zh-CN" w:bidi="ar"/>
              </w:rPr>
              <w:t>第二期</w:t>
            </w:r>
          </w:p>
        </w:tc>
        <w:tc>
          <w:tcPr>
            <w:tcW w:w="1555" w:type="pct"/>
            <w:tcBorders>
              <w:top w:val="single" w:color="000000" w:sz="4" w:space="0"/>
              <w:left w:val="single" w:color="000000" w:sz="4" w:space="0"/>
              <w:bottom w:val="single" w:color="000000" w:sz="4" w:space="0"/>
              <w:right w:val="single" w:color="000000" w:sz="4" w:space="0"/>
            </w:tcBorders>
            <w:vAlign w:val="center"/>
          </w:tcPr>
          <w:p w14:paraId="0C940506">
            <w:pPr>
              <w:rPr>
                <w:rFonts w:ascii="仿宋" w:hAnsi="仿宋" w:eastAsia="仿宋" w:cs="仿宋"/>
                <w:sz w:val="22"/>
                <w:szCs w:val="22"/>
                <w:lang w:eastAsia="zh-CN"/>
              </w:rPr>
            </w:pPr>
            <w:r>
              <w:rPr>
                <w:rFonts w:hint="eastAsia" w:ascii="仿宋" w:hAnsi="仿宋" w:eastAsia="仿宋" w:cs="仿宋"/>
                <w:sz w:val="22"/>
                <w:szCs w:val="22"/>
                <w:lang w:eastAsia="zh-CN"/>
              </w:rPr>
              <w:t>施工阶段BIM成果文件经发包人确认后</w:t>
            </w:r>
          </w:p>
        </w:tc>
        <w:tc>
          <w:tcPr>
            <w:tcW w:w="1067" w:type="pct"/>
            <w:tcBorders>
              <w:top w:val="single" w:color="000000" w:sz="4" w:space="0"/>
              <w:left w:val="single" w:color="000000" w:sz="4" w:space="0"/>
              <w:bottom w:val="single" w:color="000000" w:sz="4" w:space="0"/>
              <w:right w:val="single" w:color="000000" w:sz="4" w:space="0"/>
            </w:tcBorders>
            <w:vAlign w:val="center"/>
          </w:tcPr>
          <w:p w14:paraId="68C160C2">
            <w:pPr>
              <w:rPr>
                <w:rFonts w:ascii="仿宋" w:hAnsi="仿宋" w:eastAsia="仿宋" w:cs="仿宋"/>
                <w:sz w:val="22"/>
                <w:szCs w:val="22"/>
                <w:lang w:eastAsia="zh-CN"/>
              </w:rPr>
            </w:pPr>
            <w:r>
              <w:rPr>
                <w:rFonts w:hint="eastAsia" w:ascii="仿宋" w:hAnsi="仿宋" w:eastAsia="仿宋" w:cs="仿宋"/>
                <w:sz w:val="22"/>
                <w:szCs w:val="22"/>
                <w:lang w:eastAsia="zh-CN" w:bidi="ar"/>
              </w:rPr>
              <w:t>支付施工阶段BIM技术应用费的50%</w:t>
            </w:r>
          </w:p>
        </w:tc>
        <w:tc>
          <w:tcPr>
            <w:tcW w:w="1679" w:type="pct"/>
            <w:tcBorders>
              <w:top w:val="single" w:color="000000" w:sz="4" w:space="0"/>
              <w:left w:val="single" w:color="000000" w:sz="4" w:space="0"/>
              <w:bottom w:val="single" w:color="000000" w:sz="4" w:space="0"/>
              <w:right w:val="single" w:color="000000" w:sz="4" w:space="0"/>
            </w:tcBorders>
            <w:vAlign w:val="center"/>
          </w:tcPr>
          <w:p w14:paraId="24269088">
            <w:pPr>
              <w:rPr>
                <w:rFonts w:ascii="仿宋" w:hAnsi="仿宋" w:eastAsia="仿宋" w:cs="仿宋"/>
                <w:sz w:val="22"/>
                <w:szCs w:val="22"/>
                <w:lang w:eastAsia="zh-CN"/>
              </w:rPr>
            </w:pPr>
            <w:r>
              <w:rPr>
                <w:rFonts w:hint="eastAsia" w:ascii="仿宋" w:hAnsi="仿宋" w:eastAsia="仿宋" w:cs="仿宋"/>
                <w:sz w:val="22"/>
                <w:szCs w:val="22"/>
                <w:lang w:eastAsia="zh-CN" w:bidi="ar"/>
              </w:rPr>
              <w:t>累计支付至施工阶段BIM技术应用费用的70%</w:t>
            </w:r>
          </w:p>
        </w:tc>
      </w:tr>
      <w:tr w14:paraId="5BF4AE81">
        <w:tblPrEx>
          <w:tblCellMar>
            <w:top w:w="0" w:type="dxa"/>
            <w:left w:w="108" w:type="dxa"/>
            <w:bottom w:w="0" w:type="dxa"/>
            <w:right w:w="108" w:type="dxa"/>
          </w:tblCellMar>
        </w:tblPrEx>
        <w:trPr>
          <w:trHeight w:val="840" w:hRule="atLeast"/>
        </w:trPr>
        <w:tc>
          <w:tcPr>
            <w:tcW w:w="697" w:type="pct"/>
            <w:tcBorders>
              <w:top w:val="single" w:color="000000" w:sz="4" w:space="0"/>
              <w:left w:val="single" w:color="000000" w:sz="4" w:space="0"/>
              <w:bottom w:val="single" w:color="000000" w:sz="4" w:space="0"/>
              <w:right w:val="single" w:color="000000" w:sz="4" w:space="0"/>
            </w:tcBorders>
            <w:vAlign w:val="center"/>
          </w:tcPr>
          <w:p w14:paraId="5FEF533D">
            <w:pPr>
              <w:rPr>
                <w:rFonts w:ascii="仿宋" w:hAnsi="仿宋" w:eastAsia="仿宋" w:cs="仿宋"/>
                <w:sz w:val="22"/>
                <w:szCs w:val="22"/>
              </w:rPr>
            </w:pPr>
            <w:r>
              <w:rPr>
                <w:rFonts w:hint="eastAsia" w:ascii="仿宋" w:hAnsi="仿宋" w:eastAsia="仿宋" w:cs="仿宋"/>
                <w:sz w:val="22"/>
                <w:szCs w:val="22"/>
                <w:lang w:eastAsia="zh-CN" w:bidi="ar"/>
              </w:rPr>
              <w:t>第三期</w:t>
            </w:r>
          </w:p>
        </w:tc>
        <w:tc>
          <w:tcPr>
            <w:tcW w:w="1555" w:type="pct"/>
            <w:tcBorders>
              <w:top w:val="single" w:color="000000" w:sz="4" w:space="0"/>
              <w:left w:val="single" w:color="000000" w:sz="4" w:space="0"/>
              <w:bottom w:val="single" w:color="000000" w:sz="4" w:space="0"/>
              <w:right w:val="single" w:color="000000" w:sz="4" w:space="0"/>
            </w:tcBorders>
            <w:vAlign w:val="center"/>
          </w:tcPr>
          <w:p w14:paraId="072B63C0">
            <w:pPr>
              <w:rPr>
                <w:rFonts w:ascii="仿宋" w:hAnsi="仿宋" w:eastAsia="仿宋" w:cs="仿宋"/>
                <w:sz w:val="22"/>
                <w:szCs w:val="22"/>
                <w:lang w:eastAsia="zh-CN"/>
              </w:rPr>
            </w:pPr>
            <w:r>
              <w:rPr>
                <w:rFonts w:hint="eastAsia" w:ascii="仿宋" w:hAnsi="仿宋" w:eastAsia="仿宋" w:cs="仿宋"/>
                <w:sz w:val="22"/>
                <w:szCs w:val="22"/>
                <w:lang w:eastAsia="zh-CN" w:bidi="ar"/>
              </w:rPr>
              <w:t>工程竣工验收合格且</w:t>
            </w:r>
            <w:r>
              <w:rPr>
                <w:rFonts w:hint="eastAsia" w:ascii="仿宋" w:hAnsi="仿宋" w:eastAsia="仿宋" w:cs="仿宋"/>
                <w:sz w:val="22"/>
                <w:szCs w:val="22"/>
                <w:lang w:eastAsia="zh-CN"/>
              </w:rPr>
              <w:t>接入建设主管部门的城市建设模型（</w:t>
            </w:r>
            <w:r>
              <w:rPr>
                <w:rFonts w:ascii="仿宋" w:hAnsi="仿宋" w:eastAsia="仿宋" w:cs="仿宋"/>
                <w:sz w:val="22"/>
                <w:szCs w:val="22"/>
                <w:lang w:eastAsia="zh-CN"/>
              </w:rPr>
              <w:t>CIM）平台</w:t>
            </w:r>
            <w:r>
              <w:rPr>
                <w:rFonts w:hint="eastAsia" w:ascii="仿宋" w:hAnsi="仿宋" w:eastAsia="仿宋" w:cs="仿宋"/>
                <w:sz w:val="22"/>
                <w:szCs w:val="22"/>
                <w:lang w:eastAsia="zh-CN" w:bidi="ar"/>
              </w:rPr>
              <w:t>后</w:t>
            </w:r>
          </w:p>
        </w:tc>
        <w:tc>
          <w:tcPr>
            <w:tcW w:w="1067" w:type="pct"/>
            <w:tcBorders>
              <w:top w:val="single" w:color="000000" w:sz="4" w:space="0"/>
              <w:left w:val="single" w:color="000000" w:sz="4" w:space="0"/>
              <w:bottom w:val="single" w:color="000000" w:sz="4" w:space="0"/>
              <w:right w:val="single" w:color="000000" w:sz="4" w:space="0"/>
            </w:tcBorders>
            <w:vAlign w:val="center"/>
          </w:tcPr>
          <w:p w14:paraId="379D7102">
            <w:pPr>
              <w:rPr>
                <w:rFonts w:ascii="仿宋" w:hAnsi="仿宋" w:eastAsia="仿宋" w:cs="仿宋"/>
                <w:sz w:val="22"/>
                <w:szCs w:val="22"/>
                <w:lang w:eastAsia="zh-CN"/>
              </w:rPr>
            </w:pPr>
            <w:r>
              <w:rPr>
                <w:rFonts w:hint="eastAsia" w:ascii="仿宋" w:hAnsi="仿宋" w:eastAsia="仿宋" w:cs="仿宋"/>
                <w:sz w:val="22"/>
                <w:szCs w:val="22"/>
                <w:lang w:eastAsia="zh-CN" w:bidi="ar"/>
              </w:rPr>
              <w:t>支付施工阶段BIM技术应用费的20%</w:t>
            </w:r>
          </w:p>
        </w:tc>
        <w:tc>
          <w:tcPr>
            <w:tcW w:w="1679" w:type="pct"/>
            <w:tcBorders>
              <w:top w:val="single" w:color="000000" w:sz="4" w:space="0"/>
              <w:left w:val="single" w:color="000000" w:sz="4" w:space="0"/>
              <w:bottom w:val="single" w:color="000000" w:sz="4" w:space="0"/>
              <w:right w:val="single" w:color="000000" w:sz="4" w:space="0"/>
            </w:tcBorders>
            <w:vAlign w:val="center"/>
          </w:tcPr>
          <w:p w14:paraId="676A905E">
            <w:pPr>
              <w:rPr>
                <w:rFonts w:ascii="仿宋" w:hAnsi="仿宋" w:eastAsia="仿宋" w:cs="仿宋"/>
                <w:sz w:val="22"/>
                <w:szCs w:val="22"/>
                <w:lang w:eastAsia="zh-CN"/>
              </w:rPr>
            </w:pPr>
            <w:r>
              <w:rPr>
                <w:rFonts w:hint="eastAsia" w:ascii="仿宋" w:hAnsi="仿宋" w:eastAsia="仿宋" w:cs="仿宋"/>
                <w:sz w:val="22"/>
                <w:szCs w:val="22"/>
                <w:lang w:eastAsia="zh-CN" w:bidi="ar"/>
              </w:rPr>
              <w:t>累计支付至施工阶段BIM技术应用费用的90%</w:t>
            </w:r>
          </w:p>
        </w:tc>
      </w:tr>
      <w:tr w14:paraId="35AE72E0">
        <w:tblPrEx>
          <w:tblCellMar>
            <w:top w:w="0" w:type="dxa"/>
            <w:left w:w="108" w:type="dxa"/>
            <w:bottom w:w="0" w:type="dxa"/>
            <w:right w:w="108" w:type="dxa"/>
          </w:tblCellMar>
        </w:tblPrEx>
        <w:trPr>
          <w:trHeight w:val="780" w:hRule="atLeast"/>
        </w:trPr>
        <w:tc>
          <w:tcPr>
            <w:tcW w:w="697" w:type="pct"/>
            <w:tcBorders>
              <w:top w:val="single" w:color="000000" w:sz="4" w:space="0"/>
              <w:left w:val="single" w:color="000000" w:sz="4" w:space="0"/>
              <w:bottom w:val="single" w:color="000000" w:sz="4" w:space="0"/>
              <w:right w:val="single" w:color="000000" w:sz="4" w:space="0"/>
            </w:tcBorders>
            <w:vAlign w:val="center"/>
          </w:tcPr>
          <w:p w14:paraId="357DE54E">
            <w:pPr>
              <w:rPr>
                <w:rFonts w:ascii="仿宋" w:hAnsi="仿宋" w:eastAsia="仿宋" w:cs="仿宋"/>
                <w:sz w:val="22"/>
                <w:szCs w:val="22"/>
              </w:rPr>
            </w:pPr>
            <w:r>
              <w:rPr>
                <w:rFonts w:hint="eastAsia" w:ascii="仿宋" w:hAnsi="仿宋" w:eastAsia="仿宋" w:cs="仿宋"/>
                <w:sz w:val="22"/>
                <w:szCs w:val="22"/>
                <w:lang w:eastAsia="zh-CN" w:bidi="ar"/>
              </w:rPr>
              <w:t>第四期</w:t>
            </w:r>
          </w:p>
        </w:tc>
        <w:tc>
          <w:tcPr>
            <w:tcW w:w="2968" w:type="dxa"/>
            <w:tcBorders>
              <w:top w:val="single" w:color="000000" w:sz="4" w:space="0"/>
              <w:left w:val="single" w:color="000000" w:sz="4" w:space="0"/>
              <w:bottom w:val="single" w:color="000000" w:sz="4" w:space="0"/>
              <w:right w:val="single" w:color="000000" w:sz="4" w:space="0"/>
            </w:tcBorders>
            <w:vAlign w:val="center"/>
          </w:tcPr>
          <w:p w14:paraId="1E35840D">
            <w:pPr>
              <w:rPr>
                <w:rFonts w:ascii="仿宋" w:hAnsi="仿宋" w:eastAsia="仿宋" w:cs="仿宋"/>
                <w:sz w:val="22"/>
                <w:szCs w:val="22"/>
              </w:rPr>
            </w:pPr>
            <w:r>
              <w:rPr>
                <w:rFonts w:hint="eastAsia" w:ascii="仿宋" w:hAnsi="仿宋" w:eastAsia="仿宋" w:cs="仿宋"/>
                <w:sz w:val="22"/>
                <w:szCs w:val="22"/>
                <w:lang w:eastAsia="zh-CN" w:bidi="ar"/>
              </w:rPr>
              <w:t>合同结算终审后</w:t>
            </w:r>
          </w:p>
        </w:tc>
        <w:tc>
          <w:tcPr>
            <w:tcW w:w="2036" w:type="dxa"/>
            <w:tcBorders>
              <w:top w:val="single" w:color="000000" w:sz="4" w:space="0"/>
              <w:left w:val="single" w:color="000000" w:sz="4" w:space="0"/>
              <w:bottom w:val="single" w:color="000000" w:sz="4" w:space="0"/>
              <w:right w:val="single" w:color="000000" w:sz="4" w:space="0"/>
            </w:tcBorders>
            <w:vAlign w:val="center"/>
          </w:tcPr>
          <w:p w14:paraId="7F6612A8">
            <w:pPr>
              <w:rPr>
                <w:rFonts w:ascii="仿宋" w:hAnsi="仿宋" w:eastAsia="仿宋" w:cs="仿宋"/>
                <w:sz w:val="22"/>
                <w:szCs w:val="22"/>
                <w:lang w:eastAsia="zh-CN"/>
              </w:rPr>
            </w:pPr>
            <w:r>
              <w:rPr>
                <w:rFonts w:hint="eastAsia" w:ascii="仿宋" w:hAnsi="仿宋" w:eastAsia="仿宋" w:cs="仿宋"/>
                <w:sz w:val="22"/>
                <w:szCs w:val="22"/>
                <w:lang w:eastAsia="zh-CN" w:bidi="ar"/>
              </w:rPr>
              <w:t>按结算终审金额一次性支付尾款</w:t>
            </w:r>
          </w:p>
        </w:tc>
        <w:tc>
          <w:tcPr>
            <w:tcW w:w="1679" w:type="pct"/>
            <w:tcBorders>
              <w:top w:val="single" w:color="000000" w:sz="4" w:space="0"/>
              <w:left w:val="single" w:color="000000" w:sz="4" w:space="0"/>
              <w:bottom w:val="single" w:color="000000" w:sz="4" w:space="0"/>
              <w:right w:val="single" w:color="000000" w:sz="4" w:space="0"/>
            </w:tcBorders>
            <w:vAlign w:val="center"/>
          </w:tcPr>
          <w:p w14:paraId="57A3E2C0">
            <w:pPr>
              <w:rPr>
                <w:rFonts w:ascii="仿宋" w:hAnsi="仿宋" w:eastAsia="仿宋" w:cs="仿宋"/>
                <w:sz w:val="22"/>
                <w:szCs w:val="22"/>
                <w:lang w:eastAsia="zh-CN"/>
              </w:rPr>
            </w:pPr>
          </w:p>
        </w:tc>
      </w:tr>
    </w:tbl>
    <w:p w14:paraId="1ED939C4">
      <w:pPr>
        <w:spacing w:line="400" w:lineRule="exact"/>
        <w:ind w:firstLine="480"/>
        <w:rPr>
          <w:rFonts w:ascii="仿宋" w:hAnsi="仿宋" w:eastAsia="仿宋" w:cs="仿宋"/>
          <w:lang w:eastAsia="zh-CN"/>
        </w:rPr>
      </w:pPr>
    </w:p>
    <w:p w14:paraId="5577FEA0">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②政府资金投资工程的支付期、支付办法：</w:t>
      </w:r>
      <w:r>
        <w:rPr>
          <w:rFonts w:hint="eastAsia" w:ascii="仿宋" w:hAnsi="仿宋" w:eastAsia="仿宋" w:cs="仿宋"/>
          <w:u w:val="single"/>
          <w:lang w:eastAsia="zh-CN"/>
        </w:rPr>
        <w:t xml:space="preserve">   /   。</w:t>
      </w:r>
    </w:p>
    <w:p w14:paraId="2E8995BC">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(11)本期间应支付或扣留（回）的其他款项：</w:t>
      </w:r>
      <w:r>
        <w:rPr>
          <w:rFonts w:hint="eastAsia" w:ascii="仿宋" w:hAnsi="仿宋" w:eastAsia="仿宋" w:cs="仿宋"/>
          <w:u w:val="single"/>
          <w:lang w:eastAsia="zh-CN"/>
        </w:rPr>
        <w:t xml:space="preserve">     /   </w:t>
      </w:r>
      <w:r>
        <w:rPr>
          <w:rFonts w:hint="eastAsia" w:ascii="仿宋" w:hAnsi="仿宋" w:eastAsia="仿宋" w:cs="仿宋"/>
          <w:lang w:eastAsia="zh-CN"/>
        </w:rPr>
        <w:t>。</w:t>
      </w:r>
    </w:p>
    <w:p w14:paraId="1B6F0656">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设备及工器具购置</w:t>
      </w:r>
    </w:p>
    <w:p w14:paraId="7C4A2904">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①支付期限、比例</w:t>
      </w:r>
    </w:p>
    <w:p w14:paraId="1A419AA3">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以月为支付周期，支付比例为本月已完工作或工程款的</w:t>
      </w:r>
      <w:r>
        <w:rPr>
          <w:rFonts w:hint="eastAsia" w:ascii="仿宋" w:hAnsi="仿宋" w:eastAsia="仿宋" w:cs="仿宋"/>
          <w:u w:val="single"/>
          <w:lang w:eastAsia="zh-CN"/>
        </w:rPr>
        <w:t xml:space="preserve">  / </w:t>
      </w:r>
      <w:r>
        <w:rPr>
          <w:rFonts w:hint="eastAsia" w:ascii="仿宋" w:hAnsi="仿宋" w:eastAsia="仿宋" w:cs="仿宋"/>
          <w:lang w:eastAsia="zh-CN"/>
        </w:rPr>
        <w:t>%。</w:t>
      </w:r>
    </w:p>
    <w:p w14:paraId="24754B26">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以季度为支付周期，支付比例为本季度已完工作或工程款的</w:t>
      </w:r>
      <w:r>
        <w:rPr>
          <w:rFonts w:hint="eastAsia" w:ascii="仿宋" w:hAnsi="仿宋" w:eastAsia="仿宋" w:cs="仿宋"/>
          <w:u w:val="single"/>
          <w:lang w:eastAsia="zh-CN"/>
        </w:rPr>
        <w:t xml:space="preserve"> /  </w:t>
      </w:r>
      <w:r>
        <w:rPr>
          <w:rFonts w:hint="eastAsia" w:ascii="仿宋" w:hAnsi="仿宋" w:eastAsia="仿宋" w:cs="仿宋"/>
          <w:lang w:eastAsia="zh-CN"/>
        </w:rPr>
        <w:t>%。</w:t>
      </w:r>
    </w:p>
    <w:p w14:paraId="2B38CEAE">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以形象进度为支付周期，支付比例为本形象进度内已完工作或工程款的</w:t>
      </w:r>
      <w:r>
        <w:rPr>
          <w:rFonts w:hint="eastAsia" w:ascii="仿宋" w:hAnsi="仿宋" w:eastAsia="仿宋" w:cs="仿宋"/>
          <w:u w:val="single"/>
          <w:lang w:eastAsia="zh-CN"/>
        </w:rPr>
        <w:t xml:space="preserve"> /  </w:t>
      </w:r>
      <w:r>
        <w:rPr>
          <w:rFonts w:hint="eastAsia" w:ascii="仿宋" w:hAnsi="仿宋" w:eastAsia="仿宋" w:cs="仿宋"/>
          <w:lang w:eastAsia="zh-CN"/>
        </w:rPr>
        <w:t>%或另行约定，具体约定如下：</w:t>
      </w:r>
      <w:r>
        <w:rPr>
          <w:rFonts w:hint="eastAsia" w:ascii="仿宋" w:hAnsi="仿宋" w:eastAsia="仿宋" w:cs="仿宋"/>
          <w:u w:val="single"/>
          <w:lang w:eastAsia="zh-CN"/>
        </w:rPr>
        <w:t xml:space="preserve">    /     </w:t>
      </w:r>
      <w:r>
        <w:rPr>
          <w:rFonts w:hint="eastAsia" w:ascii="仿宋" w:hAnsi="仿宋" w:eastAsia="仿宋" w:cs="仿宋"/>
          <w:lang w:eastAsia="zh-CN"/>
        </w:rPr>
        <w:t>。</w:t>
      </w:r>
    </w:p>
    <w:p w14:paraId="52CD143F">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其它方式：</w:t>
      </w:r>
      <w:r>
        <w:rPr>
          <w:rFonts w:hint="eastAsia" w:ascii="仿宋" w:hAnsi="仿宋" w:eastAsia="仿宋" w:cs="仿宋"/>
          <w:u w:val="single"/>
          <w:lang w:eastAsia="zh-CN"/>
        </w:rPr>
        <w:t xml:space="preserve">   /           </w:t>
      </w:r>
      <w:r>
        <w:rPr>
          <w:rFonts w:hint="eastAsia" w:ascii="仿宋" w:hAnsi="仿宋" w:eastAsia="仿宋" w:cs="仿宋"/>
          <w:lang w:eastAsia="zh-CN"/>
        </w:rPr>
        <w:t>。</w:t>
      </w:r>
    </w:p>
    <w:p w14:paraId="77574189">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②政府资金投资工程的支付期、支付办法：</w:t>
      </w:r>
      <w:r>
        <w:rPr>
          <w:rFonts w:hint="eastAsia" w:ascii="仿宋" w:hAnsi="仿宋" w:eastAsia="仿宋" w:cs="仿宋"/>
          <w:u w:val="single"/>
          <w:lang w:eastAsia="zh-CN"/>
        </w:rPr>
        <w:t xml:space="preserve">   /     。</w:t>
      </w:r>
    </w:p>
    <w:p w14:paraId="57B7F1FC">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(11)本期间应支付或扣留（回）的其他款项：</w:t>
      </w:r>
      <w:r>
        <w:rPr>
          <w:rFonts w:hint="eastAsia" w:ascii="仿宋" w:hAnsi="仿宋" w:eastAsia="仿宋" w:cs="仿宋"/>
          <w:u w:val="single"/>
          <w:lang w:eastAsia="zh-CN"/>
        </w:rPr>
        <w:t xml:space="preserve">      /    </w:t>
      </w:r>
      <w:r>
        <w:rPr>
          <w:rFonts w:hint="eastAsia" w:ascii="仿宋" w:hAnsi="仿宋" w:eastAsia="仿宋" w:cs="仿宋"/>
          <w:lang w:eastAsia="zh-CN"/>
        </w:rPr>
        <w:t>。</w:t>
      </w:r>
    </w:p>
    <w:p w14:paraId="6969F524">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其它</w:t>
      </w:r>
    </w:p>
    <w:p w14:paraId="52E834DB">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①支付期限、比例</w:t>
      </w:r>
    </w:p>
    <w:p w14:paraId="69D239CF">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以月为支付周期，支付比例为本月已完工作或工程款的</w:t>
      </w:r>
      <w:r>
        <w:rPr>
          <w:rFonts w:hint="eastAsia" w:ascii="仿宋" w:hAnsi="仿宋" w:eastAsia="仿宋" w:cs="仿宋"/>
          <w:u w:val="single"/>
          <w:lang w:eastAsia="zh-CN"/>
        </w:rPr>
        <w:t xml:space="preserve">  / </w:t>
      </w:r>
      <w:r>
        <w:rPr>
          <w:rFonts w:hint="eastAsia" w:ascii="仿宋" w:hAnsi="仿宋" w:eastAsia="仿宋" w:cs="仿宋"/>
          <w:lang w:eastAsia="zh-CN"/>
        </w:rPr>
        <w:t>%。</w:t>
      </w:r>
    </w:p>
    <w:p w14:paraId="335968BB">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以季度为支付周期，支付比例为本季度已完工作或工程款的</w:t>
      </w:r>
      <w:r>
        <w:rPr>
          <w:rFonts w:hint="eastAsia" w:ascii="仿宋" w:hAnsi="仿宋" w:eastAsia="仿宋" w:cs="仿宋"/>
          <w:u w:val="single"/>
          <w:lang w:eastAsia="zh-CN"/>
        </w:rPr>
        <w:t xml:space="preserve">  / </w:t>
      </w:r>
      <w:r>
        <w:rPr>
          <w:rFonts w:hint="eastAsia" w:ascii="仿宋" w:hAnsi="仿宋" w:eastAsia="仿宋" w:cs="仿宋"/>
          <w:lang w:eastAsia="zh-CN"/>
        </w:rPr>
        <w:t>%。</w:t>
      </w:r>
    </w:p>
    <w:p w14:paraId="141F5802">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以形象进度为支付周期，支付比例为本形象进度内已完工作或工程款的</w:t>
      </w:r>
      <w:r>
        <w:rPr>
          <w:rFonts w:hint="eastAsia" w:ascii="仿宋" w:hAnsi="仿宋" w:eastAsia="仿宋" w:cs="仿宋"/>
          <w:u w:val="single"/>
          <w:lang w:eastAsia="zh-CN"/>
        </w:rPr>
        <w:t xml:space="preserve"> /  </w:t>
      </w:r>
      <w:r>
        <w:rPr>
          <w:rFonts w:hint="eastAsia" w:ascii="仿宋" w:hAnsi="仿宋" w:eastAsia="仿宋" w:cs="仿宋"/>
          <w:lang w:eastAsia="zh-CN"/>
        </w:rPr>
        <w:t>%或另行约定，具体约定如下：</w:t>
      </w:r>
      <w:r>
        <w:rPr>
          <w:rFonts w:hint="eastAsia" w:ascii="仿宋" w:hAnsi="仿宋" w:eastAsia="仿宋" w:cs="仿宋"/>
          <w:u w:val="single"/>
          <w:lang w:eastAsia="zh-CN"/>
        </w:rPr>
        <w:t xml:space="preserve">   /     </w:t>
      </w:r>
      <w:r>
        <w:rPr>
          <w:rFonts w:hint="eastAsia" w:ascii="仿宋" w:hAnsi="仿宋" w:eastAsia="仿宋" w:cs="仿宋"/>
          <w:lang w:eastAsia="zh-CN"/>
        </w:rPr>
        <w:t>。</w:t>
      </w:r>
    </w:p>
    <w:p w14:paraId="12080FAA">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 其它方式：</w:t>
      </w:r>
      <w:r>
        <w:rPr>
          <w:rFonts w:hint="eastAsia" w:ascii="仿宋" w:hAnsi="仿宋" w:eastAsia="仿宋" w:cs="仿宋"/>
          <w:u w:val="single"/>
          <w:lang w:eastAsia="zh-CN"/>
        </w:rPr>
        <w:t xml:space="preserve">  /           </w:t>
      </w:r>
      <w:r>
        <w:rPr>
          <w:rFonts w:hint="eastAsia" w:ascii="仿宋" w:hAnsi="仿宋" w:eastAsia="仿宋" w:cs="仿宋"/>
          <w:lang w:eastAsia="zh-CN"/>
        </w:rPr>
        <w:t>。</w:t>
      </w:r>
    </w:p>
    <w:p w14:paraId="4B499396">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②政府资金投资工程的支付期、支付办法：</w:t>
      </w:r>
      <w:r>
        <w:rPr>
          <w:rFonts w:hint="eastAsia" w:ascii="仿宋" w:hAnsi="仿宋" w:eastAsia="仿宋" w:cs="仿宋"/>
          <w:u w:val="single"/>
          <w:lang w:eastAsia="zh-CN"/>
        </w:rPr>
        <w:t xml:space="preserve">   /    </w:t>
      </w:r>
      <w:r>
        <w:rPr>
          <w:rFonts w:hint="eastAsia" w:ascii="仿宋" w:hAnsi="仿宋" w:eastAsia="仿宋" w:cs="仿宋"/>
          <w:lang w:eastAsia="zh-CN"/>
        </w:rPr>
        <w:t xml:space="preserve"> </w:t>
      </w:r>
    </w:p>
    <w:p w14:paraId="7160227E">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(11)本期间应支付或扣留（回）的其他款项：</w:t>
      </w:r>
      <w:r>
        <w:rPr>
          <w:rFonts w:hint="eastAsia" w:ascii="仿宋" w:hAnsi="仿宋" w:eastAsia="仿宋" w:cs="仿宋"/>
          <w:u w:val="single"/>
          <w:lang w:eastAsia="zh-CN"/>
        </w:rPr>
        <w:t xml:space="preserve">   /   </w:t>
      </w:r>
      <w:r>
        <w:rPr>
          <w:rFonts w:hint="eastAsia" w:ascii="仿宋" w:hAnsi="仿宋" w:eastAsia="仿宋" w:cs="仿宋"/>
          <w:lang w:eastAsia="zh-CN"/>
        </w:rPr>
        <w:t xml:space="preserve"> 。</w:t>
      </w:r>
    </w:p>
    <w:p w14:paraId="7585A6D7">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86.2 期中支付的最低限额为：□勘察</w:t>
      </w:r>
      <w:r>
        <w:rPr>
          <w:rFonts w:hint="eastAsia" w:ascii="仿宋" w:hAnsi="仿宋" w:eastAsia="仿宋" w:cs="仿宋"/>
          <w:u w:val="single"/>
          <w:lang w:eastAsia="zh-CN"/>
        </w:rPr>
        <w:t xml:space="preserve">    /  </w:t>
      </w:r>
      <w:r>
        <w:rPr>
          <w:rFonts w:hint="eastAsia" w:ascii="仿宋" w:hAnsi="仿宋" w:eastAsia="仿宋" w:cs="仿宋"/>
          <w:lang w:eastAsia="zh-CN"/>
        </w:rPr>
        <w:t>元；□ 设计</w:t>
      </w:r>
      <w:r>
        <w:rPr>
          <w:rFonts w:hint="eastAsia" w:ascii="仿宋" w:hAnsi="仿宋" w:eastAsia="仿宋" w:cs="仿宋"/>
          <w:u w:val="single"/>
          <w:lang w:eastAsia="zh-CN"/>
        </w:rPr>
        <w:t xml:space="preserve"> /  </w:t>
      </w:r>
      <w:r>
        <w:rPr>
          <w:rFonts w:hint="eastAsia" w:ascii="仿宋" w:hAnsi="仿宋" w:eastAsia="仿宋" w:cs="仿宋"/>
          <w:lang w:eastAsia="zh-CN"/>
        </w:rPr>
        <w:t>元；</w:t>
      </w:r>
    </w:p>
    <w:p w14:paraId="21E3210F">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施工</w:t>
      </w:r>
      <w:r>
        <w:rPr>
          <w:rFonts w:hint="eastAsia" w:ascii="仿宋" w:hAnsi="仿宋" w:eastAsia="仿宋" w:cs="仿宋"/>
          <w:u w:val="single"/>
          <w:lang w:eastAsia="zh-CN"/>
        </w:rPr>
        <w:t xml:space="preserve"> / </w:t>
      </w:r>
      <w:r>
        <w:rPr>
          <w:rFonts w:hint="eastAsia" w:ascii="仿宋" w:hAnsi="仿宋" w:eastAsia="仿宋" w:cs="仿宋"/>
          <w:lang w:eastAsia="zh-CN"/>
        </w:rPr>
        <w:t>元；□BIM技术应用</w:t>
      </w:r>
      <w:r>
        <w:rPr>
          <w:rFonts w:hint="eastAsia" w:ascii="仿宋" w:hAnsi="仿宋" w:eastAsia="仿宋" w:cs="仿宋"/>
          <w:u w:val="single"/>
          <w:lang w:eastAsia="zh-CN"/>
        </w:rPr>
        <w:t xml:space="preserve">  / </w:t>
      </w:r>
      <w:r>
        <w:rPr>
          <w:rFonts w:hint="eastAsia" w:ascii="仿宋" w:hAnsi="仿宋" w:eastAsia="仿宋" w:cs="仿宋"/>
          <w:lang w:eastAsia="zh-CN"/>
        </w:rPr>
        <w:t>元；□设备及工器具购置</w:t>
      </w:r>
      <w:r>
        <w:rPr>
          <w:rFonts w:hint="eastAsia" w:ascii="仿宋" w:hAnsi="仿宋" w:eastAsia="仿宋" w:cs="仿宋"/>
          <w:u w:val="single"/>
          <w:lang w:eastAsia="zh-CN"/>
        </w:rPr>
        <w:t xml:space="preserve">  /  </w:t>
      </w:r>
      <w:r>
        <w:rPr>
          <w:rFonts w:hint="eastAsia" w:ascii="仿宋" w:hAnsi="仿宋" w:eastAsia="仿宋" w:cs="仿宋"/>
          <w:lang w:eastAsia="zh-CN"/>
        </w:rPr>
        <w:t>元；其它</w:t>
      </w:r>
      <w:r>
        <w:rPr>
          <w:rFonts w:hint="eastAsia" w:ascii="仿宋" w:hAnsi="仿宋" w:eastAsia="仿宋" w:cs="仿宋"/>
          <w:u w:val="single"/>
          <w:lang w:eastAsia="zh-CN"/>
        </w:rPr>
        <w:t xml:space="preserve">  / </w:t>
      </w:r>
      <w:r>
        <w:rPr>
          <w:rFonts w:hint="eastAsia" w:ascii="仿宋" w:hAnsi="仿宋" w:eastAsia="仿宋" w:cs="仿宋"/>
          <w:lang w:eastAsia="zh-CN"/>
        </w:rPr>
        <w:t>元。</w:t>
      </w:r>
    </w:p>
    <w:p w14:paraId="3FA69EFB">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86.7 补充条款 </w:t>
      </w:r>
    </w:p>
    <w:p w14:paraId="7E3AE7FC">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(1) 已完工程的计量与支付必须按合同约定的技术条件、发包人批准的施工图有关要求及规定完成，包括合同约定的与已完工程计量有关且必须完成的责任和义务。 </w:t>
      </w:r>
    </w:p>
    <w:p w14:paraId="259486CF">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（2）各阶段支付如需财政部门（含政策性银行）审核，则按财政部门（含政策性银行）审定要求及结果为准，承包人不得以审核导致的延迟支付申请索赔。因上述原因导致的工期延误不予顺延。</w:t>
      </w:r>
    </w:p>
    <w:p w14:paraId="74D8FAD6">
      <w:pPr>
        <w:pStyle w:val="42"/>
        <w:spacing w:line="360" w:lineRule="auto"/>
        <w:ind w:firstLine="482"/>
        <w:rPr>
          <w:rFonts w:ascii="仿宋" w:hAnsi="仿宋" w:eastAsia="仿宋" w:cs="仿宋"/>
          <w:b/>
          <w:bCs/>
          <w:i/>
          <w:iCs/>
          <w:sz w:val="24"/>
          <w:szCs w:val="24"/>
          <w:lang w:eastAsia="zh-CN"/>
        </w:rPr>
      </w:pPr>
    </w:p>
    <w:p w14:paraId="7FC355D3">
      <w:pPr>
        <w:pStyle w:val="3"/>
        <w:tabs>
          <w:tab w:val="left" w:pos="420"/>
        </w:tabs>
        <w:spacing w:before="0" w:after="0" w:line="360" w:lineRule="auto"/>
        <w:rPr>
          <w:rFonts w:ascii="仿宋" w:hAnsi="仿宋" w:eastAsia="仿宋"/>
          <w:b w:val="0"/>
          <w:bCs w:val="0"/>
          <w:i w:val="0"/>
          <w:sz w:val="24"/>
          <w:szCs w:val="24"/>
          <w:lang w:eastAsia="zh-CN"/>
        </w:rPr>
      </w:pPr>
      <w:bookmarkStart w:id="1066" w:name="_Toc1044"/>
      <w:bookmarkStart w:id="1067" w:name="_Toc23452"/>
      <w:bookmarkStart w:id="1068" w:name="_Toc194073278"/>
      <w:bookmarkStart w:id="1069" w:name="_Toc25681"/>
      <w:r>
        <w:rPr>
          <w:rFonts w:hint="eastAsia" w:ascii="仿宋" w:hAnsi="仿宋" w:eastAsia="仿宋" w:cs="仿宋"/>
          <w:sz w:val="24"/>
          <w:szCs w:val="24"/>
          <w:lang w:eastAsia="zh-CN"/>
        </w:rPr>
        <w:t>★</w:t>
      </w:r>
      <w:r>
        <w:rPr>
          <w:rFonts w:hint="eastAsia" w:ascii="仿宋" w:hAnsi="仿宋" w:eastAsia="仿宋" w:cs="仿宋"/>
          <w:b w:val="0"/>
          <w:bCs w:val="0"/>
          <w:i w:val="0"/>
          <w:sz w:val="24"/>
          <w:szCs w:val="24"/>
          <w:lang w:eastAsia="zh-CN"/>
        </w:rPr>
        <w:t>87.  竣工结算</w:t>
      </w:r>
      <w:bookmarkEnd w:id="1066"/>
      <w:bookmarkEnd w:id="1067"/>
      <w:bookmarkEnd w:id="1068"/>
      <w:bookmarkEnd w:id="1069"/>
    </w:p>
    <w:p w14:paraId="6A997EA4">
      <w:pPr>
        <w:spacing w:line="360" w:lineRule="auto"/>
        <w:ind w:firstLine="720" w:firstLineChars="300"/>
        <w:rPr>
          <w:rFonts w:ascii="仿宋" w:hAnsi="仿宋" w:eastAsia="仿宋" w:cs="仿宋"/>
          <w:lang w:eastAsia="zh-CN"/>
        </w:rPr>
      </w:pPr>
      <w:r>
        <w:rPr>
          <w:rFonts w:hint="eastAsia" w:ascii="仿宋" w:hAnsi="仿宋" w:eastAsia="仿宋" w:cs="仿宋"/>
          <w:lang w:eastAsia="zh-CN"/>
        </w:rPr>
        <w:t>87.1 约定结算程序和时限</w:t>
      </w:r>
    </w:p>
    <w:p w14:paraId="53069D97">
      <w:pPr>
        <w:spacing w:line="360" w:lineRule="auto"/>
        <w:ind w:firstLine="480" w:firstLineChars="200"/>
        <w:rPr>
          <w:rFonts w:ascii="仿宋" w:hAnsi="仿宋" w:eastAsia="仿宋"/>
          <w:lang w:eastAsia="zh-CN"/>
        </w:rPr>
      </w:pPr>
      <w:r>
        <w:rPr>
          <w:rFonts w:hint="eastAsia" w:ascii="仿宋" w:hAnsi="仿宋" w:eastAsia="仿宋" w:cs="仿宋"/>
          <w:lang w:eastAsia="zh-CN"/>
        </w:rPr>
        <w:t>1、竣工结算的程序和时限：</w:t>
      </w:r>
    </w:p>
    <w:p w14:paraId="0C5317AE">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按通用条款的规定办理。</w:t>
      </w:r>
    </w:p>
    <w:p w14:paraId="5A6AA511">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另作约定：</w:t>
      </w:r>
    </w:p>
    <w:p w14:paraId="00949F41">
      <w:pPr>
        <w:adjustRightInd w:val="0"/>
        <w:snapToGrid w:val="0"/>
        <w:spacing w:line="360" w:lineRule="auto"/>
        <w:ind w:firstLine="480" w:firstLineChars="200"/>
        <w:rPr>
          <w:rFonts w:ascii="仿宋" w:hAnsi="仿宋" w:eastAsia="仿宋" w:cs="仿宋"/>
          <w:lang w:eastAsia="zh-CN"/>
        </w:rPr>
      </w:pPr>
      <w:r>
        <w:rPr>
          <w:rFonts w:hint="eastAsia" w:ascii="仿宋" w:hAnsi="仿宋" w:eastAsia="仿宋" w:cs="仿宋"/>
          <w:lang w:eastAsia="zh-CN"/>
        </w:rPr>
        <w:t>①工程竣工验收后90天内，承包人向监理人提交完整的竣工结算文件；</w:t>
      </w:r>
    </w:p>
    <w:p w14:paraId="3AFFC74E">
      <w:pPr>
        <w:adjustRightInd w:val="0"/>
        <w:snapToGrid w:val="0"/>
        <w:spacing w:line="360" w:lineRule="auto"/>
        <w:ind w:firstLine="480" w:firstLineChars="200"/>
        <w:rPr>
          <w:rFonts w:ascii="仿宋" w:hAnsi="仿宋" w:eastAsia="仿宋" w:cs="仿宋"/>
          <w:lang w:eastAsia="zh-CN"/>
        </w:rPr>
      </w:pPr>
      <w:r>
        <w:rPr>
          <w:rFonts w:hint="eastAsia" w:ascii="仿宋" w:hAnsi="仿宋" w:eastAsia="仿宋" w:cs="仿宋"/>
          <w:lang w:eastAsia="zh-CN"/>
        </w:rPr>
        <w:t>②监理人收到完整的竣工结算文件后 30 天内提出初步审核意见并通知承包人核对，核</w:t>
      </w:r>
    </w:p>
    <w:p w14:paraId="2E684AC2">
      <w:pPr>
        <w:adjustRightInd w:val="0"/>
        <w:snapToGrid w:val="0"/>
        <w:spacing w:line="360" w:lineRule="auto"/>
        <w:rPr>
          <w:rFonts w:ascii="仿宋" w:hAnsi="仿宋" w:eastAsia="仿宋" w:cs="仿宋"/>
          <w:lang w:eastAsia="zh-CN"/>
        </w:rPr>
      </w:pPr>
      <w:r>
        <w:rPr>
          <w:rFonts w:hint="eastAsia" w:ascii="仿宋" w:hAnsi="仿宋" w:eastAsia="仿宋" w:cs="仿宋"/>
          <w:lang w:eastAsia="zh-CN"/>
        </w:rPr>
        <w:t>对无异议后承包人将其提交给发包人；</w:t>
      </w:r>
    </w:p>
    <w:p w14:paraId="0E347CEE">
      <w:pPr>
        <w:adjustRightInd w:val="0"/>
        <w:snapToGrid w:val="0"/>
        <w:spacing w:line="360" w:lineRule="auto"/>
        <w:ind w:firstLine="480" w:firstLineChars="200"/>
        <w:rPr>
          <w:rFonts w:ascii="仿宋" w:hAnsi="仿宋" w:eastAsia="仿宋" w:cs="仿宋"/>
          <w:lang w:eastAsia="zh-CN"/>
        </w:rPr>
      </w:pPr>
      <w:r>
        <w:rPr>
          <w:rFonts w:hint="eastAsia" w:ascii="仿宋" w:hAnsi="仿宋" w:eastAsia="仿宋" w:cs="仿宋"/>
          <w:lang w:eastAsia="zh-CN"/>
        </w:rPr>
        <w:t>③发包人收到上述竣工结算文件后即组织审核；</w:t>
      </w:r>
    </w:p>
    <w:p w14:paraId="1021F8B2">
      <w:pPr>
        <w:adjustRightInd w:val="0"/>
        <w:snapToGrid w:val="0"/>
        <w:spacing w:line="360" w:lineRule="auto"/>
        <w:ind w:firstLine="480" w:firstLineChars="200"/>
        <w:rPr>
          <w:rFonts w:ascii="仿宋" w:hAnsi="仿宋" w:eastAsia="仿宋" w:cs="仿宋"/>
          <w:lang w:eastAsia="zh-CN"/>
        </w:rPr>
      </w:pPr>
      <w:r>
        <w:rPr>
          <w:rFonts w:hint="eastAsia" w:ascii="仿宋" w:hAnsi="仿宋" w:eastAsia="仿宋" w:cs="仿宋"/>
          <w:lang w:eastAsia="zh-CN"/>
        </w:rPr>
        <w:t>④经有权审核部门审核的竣工结算，作为支付结算款的依据；</w:t>
      </w:r>
    </w:p>
    <w:p w14:paraId="54891FE1">
      <w:pPr>
        <w:adjustRightInd w:val="0"/>
        <w:snapToGrid w:val="0"/>
        <w:spacing w:line="360" w:lineRule="auto"/>
        <w:ind w:firstLine="480" w:firstLineChars="200"/>
        <w:rPr>
          <w:rFonts w:ascii="仿宋" w:hAnsi="仿宋" w:eastAsia="仿宋" w:cs="仿宋"/>
          <w:lang w:eastAsia="zh-CN"/>
        </w:rPr>
      </w:pPr>
      <w:r>
        <w:rPr>
          <w:rFonts w:hint="eastAsia" w:ascii="仿宋" w:hAnsi="仿宋" w:eastAsia="仿宋" w:cs="仿宋"/>
          <w:lang w:eastAsia="zh-CN"/>
        </w:rPr>
        <w:t>⑤工程规模较大或情况复杂，经发包人、承包人协商同意上述期限可适当延长，原则上每个程序延长次数不超过 2 次、每次延长时间不超过 10 天，具体延长期限根据实际情况协商确定；</w:t>
      </w:r>
    </w:p>
    <w:p w14:paraId="6A7A119D">
      <w:pPr>
        <w:adjustRightInd w:val="0"/>
        <w:snapToGrid w:val="0"/>
        <w:spacing w:line="360" w:lineRule="auto"/>
        <w:ind w:firstLine="480" w:firstLineChars="200"/>
        <w:rPr>
          <w:rFonts w:ascii="仿宋" w:hAnsi="仿宋" w:eastAsia="仿宋" w:cs="仿宋"/>
          <w:lang w:eastAsia="zh-CN"/>
        </w:rPr>
      </w:pPr>
      <w:r>
        <w:rPr>
          <w:rFonts w:hint="eastAsia" w:ascii="仿宋" w:hAnsi="仿宋" w:eastAsia="仿宋" w:cs="仿宋"/>
          <w:lang w:eastAsia="zh-CN"/>
        </w:rPr>
        <w:t>⑥上述审核过程，承包人应积极配合并提交必要的文件、资料；</w:t>
      </w:r>
    </w:p>
    <w:p w14:paraId="4D43A5EC">
      <w:pPr>
        <w:adjustRightInd w:val="0"/>
        <w:snapToGrid w:val="0"/>
        <w:spacing w:line="360" w:lineRule="auto"/>
        <w:ind w:firstLine="480" w:firstLineChars="200"/>
        <w:rPr>
          <w:rFonts w:ascii="仿宋" w:hAnsi="仿宋" w:eastAsia="仿宋" w:cs="仿宋"/>
          <w:lang w:eastAsia="zh-CN"/>
        </w:rPr>
      </w:pPr>
      <w:r>
        <w:rPr>
          <w:rFonts w:hint="eastAsia" w:ascii="仿宋" w:hAnsi="仿宋" w:eastAsia="仿宋" w:cs="仿宋"/>
          <w:lang w:eastAsia="zh-CN"/>
        </w:rPr>
        <w:t>⑦承包人未及时提交竣工结算文件、资料，或提交竣工结算文件、资料不完整，或审</w:t>
      </w:r>
    </w:p>
    <w:p w14:paraId="3498527C">
      <w:pPr>
        <w:adjustRightInd w:val="0"/>
        <w:snapToGrid w:val="0"/>
        <w:spacing w:line="360" w:lineRule="auto"/>
        <w:rPr>
          <w:rFonts w:ascii="仿宋" w:hAnsi="仿宋" w:eastAsia="仿宋" w:cs="仿宋"/>
          <w:lang w:eastAsia="zh-CN"/>
        </w:rPr>
      </w:pPr>
      <w:r>
        <w:rPr>
          <w:rFonts w:hint="eastAsia" w:ascii="仿宋" w:hAnsi="仿宋" w:eastAsia="仿宋" w:cs="仿宋"/>
          <w:lang w:eastAsia="zh-CN"/>
        </w:rPr>
        <w:t>核过程不配合，经催告两次后承包人仍未改正，监理人、造价咨询人、发包人可根据自己所掌握的资料编制竣工结算文件，作为支付结算款的依据，由此所产生的后果及责任由承包人承担。</w:t>
      </w:r>
    </w:p>
    <w:p w14:paraId="1160CE45">
      <w:pPr>
        <w:adjustRightInd w:val="0"/>
        <w:snapToGrid w:val="0"/>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2、过程结算约定 </w:t>
      </w:r>
    </w:p>
    <w:p w14:paraId="4C2D1D07">
      <w:pPr>
        <w:adjustRightInd w:val="0"/>
        <w:snapToGrid w:val="0"/>
        <w:spacing w:line="360" w:lineRule="auto"/>
        <w:ind w:firstLine="480" w:firstLineChars="200"/>
        <w:rPr>
          <w:rFonts w:ascii="仿宋" w:hAnsi="仿宋" w:eastAsia="仿宋" w:cs="仿宋"/>
          <w:lang w:eastAsia="zh-CN"/>
        </w:rPr>
      </w:pPr>
      <w:r>
        <w:rPr>
          <w:rFonts w:hint="eastAsia" w:ascii="仿宋" w:hAnsi="仿宋" w:eastAsia="仿宋" w:cs="仿宋"/>
          <w:lang w:eastAsia="zh-CN"/>
        </w:rPr>
        <w:t>（a）工程勘察费结算的程序：</w:t>
      </w:r>
      <w:r>
        <w:rPr>
          <w:rFonts w:hint="eastAsia" w:ascii="仿宋" w:hAnsi="仿宋" w:eastAsia="仿宋" w:cs="仿宋"/>
          <w:u w:val="single"/>
          <w:lang w:eastAsia="zh-CN"/>
        </w:rPr>
        <w:t xml:space="preserve">           /            。</w:t>
      </w:r>
    </w:p>
    <w:p w14:paraId="7D554A94">
      <w:pPr>
        <w:adjustRightInd w:val="0"/>
        <w:snapToGrid w:val="0"/>
        <w:spacing w:line="360" w:lineRule="auto"/>
        <w:ind w:firstLine="480" w:firstLineChars="200"/>
        <w:rPr>
          <w:rFonts w:ascii="仿宋" w:hAnsi="仿宋" w:eastAsia="仿宋" w:cs="仿宋"/>
          <w:lang w:eastAsia="zh-CN"/>
        </w:rPr>
      </w:pPr>
      <w:r>
        <w:rPr>
          <w:rFonts w:hint="eastAsia" w:ascii="仿宋" w:hAnsi="仿宋" w:eastAsia="仿宋" w:cs="仿宋"/>
          <w:lang w:eastAsia="zh-CN"/>
        </w:rPr>
        <w:t>过程结算支付时限与支付比例：</w:t>
      </w:r>
      <w:r>
        <w:rPr>
          <w:rFonts w:hint="eastAsia" w:ascii="仿宋" w:hAnsi="仿宋" w:eastAsia="仿宋" w:cs="仿宋"/>
          <w:u w:val="single"/>
          <w:lang w:eastAsia="zh-CN"/>
        </w:rPr>
        <w:t xml:space="preserve">           /            。</w:t>
      </w:r>
    </w:p>
    <w:p w14:paraId="5126DF22">
      <w:pPr>
        <w:adjustRightInd w:val="0"/>
        <w:snapToGrid w:val="0"/>
        <w:spacing w:line="360" w:lineRule="auto"/>
        <w:ind w:firstLine="480" w:firstLineChars="200"/>
        <w:rPr>
          <w:rFonts w:ascii="仿宋" w:hAnsi="仿宋" w:eastAsia="仿宋" w:cs="仿宋"/>
          <w:lang w:eastAsia="zh-CN"/>
        </w:rPr>
      </w:pPr>
      <w:r>
        <w:rPr>
          <w:rFonts w:hint="eastAsia" w:ascii="仿宋" w:hAnsi="仿宋" w:eastAsia="仿宋" w:cs="仿宋"/>
          <w:lang w:eastAsia="zh-CN"/>
        </w:rPr>
        <w:t>采用过程结算方法时结算价款的编制与核对：</w:t>
      </w:r>
      <w:r>
        <w:rPr>
          <w:rFonts w:hint="eastAsia" w:ascii="仿宋" w:hAnsi="仿宋" w:eastAsia="仿宋" w:cs="仿宋"/>
          <w:u w:val="single"/>
          <w:lang w:eastAsia="zh-CN"/>
        </w:rPr>
        <w:t xml:space="preserve">          /             。</w:t>
      </w:r>
    </w:p>
    <w:p w14:paraId="4969C4C7">
      <w:pPr>
        <w:adjustRightInd w:val="0"/>
        <w:snapToGrid w:val="0"/>
        <w:spacing w:line="360" w:lineRule="auto"/>
        <w:ind w:firstLine="480" w:firstLineChars="200"/>
        <w:rPr>
          <w:rFonts w:ascii="仿宋" w:hAnsi="仿宋" w:eastAsia="仿宋" w:cs="仿宋"/>
          <w:lang w:eastAsia="zh-CN"/>
        </w:rPr>
      </w:pPr>
      <w:r>
        <w:rPr>
          <w:rFonts w:hint="eastAsia" w:ascii="仿宋" w:hAnsi="仿宋" w:eastAsia="仿宋" w:cs="仿宋"/>
          <w:lang w:eastAsia="zh-CN"/>
        </w:rPr>
        <w:t>（b）工程设计费结算的程序：</w:t>
      </w:r>
      <w:r>
        <w:rPr>
          <w:rFonts w:hint="eastAsia" w:ascii="仿宋" w:hAnsi="仿宋" w:eastAsia="仿宋" w:cs="仿宋"/>
          <w:u w:val="single"/>
          <w:lang w:eastAsia="zh-CN"/>
        </w:rPr>
        <w:t xml:space="preserve">          /             。</w:t>
      </w:r>
    </w:p>
    <w:p w14:paraId="7F0EF844">
      <w:pPr>
        <w:adjustRightInd w:val="0"/>
        <w:snapToGrid w:val="0"/>
        <w:spacing w:line="360" w:lineRule="auto"/>
        <w:ind w:firstLine="480" w:firstLineChars="200"/>
        <w:rPr>
          <w:rFonts w:ascii="仿宋" w:hAnsi="仿宋" w:eastAsia="仿宋" w:cs="仿宋"/>
          <w:lang w:eastAsia="zh-CN"/>
        </w:rPr>
      </w:pPr>
      <w:r>
        <w:rPr>
          <w:rFonts w:hint="eastAsia" w:ascii="仿宋" w:hAnsi="仿宋" w:eastAsia="仿宋" w:cs="仿宋"/>
          <w:lang w:eastAsia="zh-CN"/>
        </w:rPr>
        <w:t>过程结算支付时限：</w:t>
      </w:r>
      <w:r>
        <w:rPr>
          <w:rFonts w:hint="eastAsia" w:ascii="仿宋" w:hAnsi="仿宋" w:eastAsia="仿宋" w:cs="仿宋"/>
          <w:u w:val="single"/>
          <w:lang w:eastAsia="zh-CN"/>
        </w:rPr>
        <w:t xml:space="preserve">           /            。</w:t>
      </w:r>
    </w:p>
    <w:p w14:paraId="6F095D4D">
      <w:pPr>
        <w:adjustRightInd w:val="0"/>
        <w:snapToGrid w:val="0"/>
        <w:spacing w:line="360" w:lineRule="auto"/>
        <w:ind w:firstLine="480" w:firstLineChars="200"/>
        <w:rPr>
          <w:rFonts w:ascii="仿宋" w:hAnsi="仿宋" w:eastAsia="仿宋" w:cs="仿宋"/>
          <w:lang w:eastAsia="zh-CN"/>
        </w:rPr>
      </w:pPr>
      <w:r>
        <w:rPr>
          <w:rFonts w:hint="eastAsia" w:ascii="仿宋" w:hAnsi="仿宋" w:eastAsia="仿宋" w:cs="仿宋"/>
          <w:lang w:eastAsia="zh-CN"/>
        </w:rPr>
        <w:t>采用过程结算方法时结算价款的编制与核对：</w:t>
      </w:r>
      <w:r>
        <w:rPr>
          <w:rFonts w:hint="eastAsia" w:ascii="仿宋" w:hAnsi="仿宋" w:eastAsia="仿宋" w:cs="仿宋"/>
          <w:u w:val="single"/>
          <w:lang w:eastAsia="zh-CN"/>
        </w:rPr>
        <w:t xml:space="preserve">          /             。</w:t>
      </w:r>
    </w:p>
    <w:p w14:paraId="00B5F66F">
      <w:pPr>
        <w:adjustRightInd w:val="0"/>
        <w:snapToGrid w:val="0"/>
        <w:spacing w:line="360" w:lineRule="auto"/>
        <w:ind w:firstLine="480" w:firstLineChars="200"/>
        <w:rPr>
          <w:rFonts w:ascii="仿宋" w:hAnsi="仿宋" w:eastAsia="仿宋" w:cs="仿宋"/>
          <w:lang w:eastAsia="zh-CN"/>
        </w:rPr>
      </w:pPr>
      <w:r>
        <w:rPr>
          <w:rFonts w:hint="eastAsia" w:ascii="仿宋" w:hAnsi="仿宋" w:eastAsia="仿宋" w:cs="仿宋"/>
          <w:lang w:eastAsia="zh-CN"/>
        </w:rPr>
        <w:t>（c）BIM 技术应用费结算的程序：</w:t>
      </w:r>
      <w:r>
        <w:rPr>
          <w:rFonts w:hint="eastAsia" w:ascii="仿宋" w:hAnsi="仿宋" w:eastAsia="仿宋" w:cs="仿宋"/>
          <w:u w:val="single"/>
          <w:lang w:eastAsia="zh-CN"/>
        </w:rPr>
        <w:t xml:space="preserve">             /          。</w:t>
      </w:r>
    </w:p>
    <w:p w14:paraId="4895E463">
      <w:pPr>
        <w:adjustRightInd w:val="0"/>
        <w:snapToGrid w:val="0"/>
        <w:spacing w:line="360" w:lineRule="auto"/>
        <w:ind w:firstLine="480" w:firstLineChars="200"/>
        <w:rPr>
          <w:rFonts w:ascii="仿宋" w:hAnsi="仿宋" w:eastAsia="仿宋" w:cs="仿宋"/>
          <w:lang w:eastAsia="zh-CN"/>
        </w:rPr>
      </w:pPr>
      <w:r>
        <w:rPr>
          <w:rFonts w:hint="eastAsia" w:ascii="仿宋" w:hAnsi="仿宋" w:eastAsia="仿宋" w:cs="仿宋"/>
          <w:lang w:eastAsia="zh-CN"/>
        </w:rPr>
        <w:t>过程结算支付时限：</w:t>
      </w:r>
      <w:r>
        <w:rPr>
          <w:rFonts w:hint="eastAsia" w:ascii="仿宋" w:hAnsi="仿宋" w:eastAsia="仿宋" w:cs="仿宋"/>
          <w:u w:val="single"/>
          <w:lang w:eastAsia="zh-CN"/>
        </w:rPr>
        <w:t xml:space="preserve">           /            。</w:t>
      </w:r>
    </w:p>
    <w:p w14:paraId="09470DD3">
      <w:pPr>
        <w:adjustRightInd w:val="0"/>
        <w:snapToGrid w:val="0"/>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采用过程结算方法时结算价款的编制与核对：</w:t>
      </w:r>
      <w:r>
        <w:rPr>
          <w:rFonts w:hint="eastAsia" w:ascii="仿宋" w:hAnsi="仿宋" w:eastAsia="仿宋" w:cs="仿宋"/>
          <w:u w:val="single"/>
          <w:lang w:eastAsia="zh-CN"/>
        </w:rPr>
        <w:t xml:space="preserve">            /           。</w:t>
      </w:r>
    </w:p>
    <w:p w14:paraId="097FBBFF">
      <w:pPr>
        <w:adjustRightInd w:val="0"/>
        <w:snapToGrid w:val="0"/>
        <w:spacing w:line="360" w:lineRule="auto"/>
        <w:ind w:firstLine="480" w:firstLineChars="200"/>
        <w:rPr>
          <w:rFonts w:ascii="仿宋" w:hAnsi="仿宋" w:eastAsia="仿宋" w:cs="仿宋"/>
          <w:lang w:eastAsia="zh-CN"/>
        </w:rPr>
      </w:pPr>
      <w:r>
        <w:rPr>
          <w:rFonts w:hint="eastAsia" w:ascii="仿宋" w:hAnsi="仿宋" w:eastAsia="仿宋" w:cs="仿宋"/>
          <w:lang w:eastAsia="zh-CN"/>
        </w:rPr>
        <w:t>（d）设备及工器具购置费结算的程序：</w:t>
      </w:r>
      <w:r>
        <w:rPr>
          <w:rFonts w:hint="eastAsia" w:ascii="仿宋" w:hAnsi="仿宋" w:eastAsia="仿宋" w:cs="仿宋"/>
          <w:u w:val="single"/>
          <w:lang w:eastAsia="zh-CN"/>
        </w:rPr>
        <w:t xml:space="preserve">            /           。</w:t>
      </w:r>
    </w:p>
    <w:p w14:paraId="0E70782A">
      <w:pPr>
        <w:adjustRightInd w:val="0"/>
        <w:snapToGrid w:val="0"/>
        <w:spacing w:line="360" w:lineRule="auto"/>
        <w:ind w:firstLine="480" w:firstLineChars="200"/>
        <w:rPr>
          <w:rFonts w:ascii="仿宋" w:hAnsi="仿宋" w:eastAsia="仿宋" w:cs="仿宋"/>
          <w:lang w:eastAsia="zh-CN"/>
        </w:rPr>
      </w:pPr>
      <w:r>
        <w:rPr>
          <w:rFonts w:hint="eastAsia" w:ascii="仿宋" w:hAnsi="仿宋" w:eastAsia="仿宋" w:cs="仿宋"/>
          <w:lang w:eastAsia="zh-CN"/>
        </w:rPr>
        <w:t>过程结算支付时限：</w:t>
      </w:r>
      <w:r>
        <w:rPr>
          <w:rFonts w:hint="eastAsia" w:ascii="仿宋" w:hAnsi="仿宋" w:eastAsia="仿宋" w:cs="仿宋"/>
          <w:u w:val="single"/>
          <w:lang w:eastAsia="zh-CN"/>
        </w:rPr>
        <w:t xml:space="preserve">          /             。</w:t>
      </w:r>
    </w:p>
    <w:p w14:paraId="0ECD669F">
      <w:pPr>
        <w:adjustRightInd w:val="0"/>
        <w:snapToGrid w:val="0"/>
        <w:spacing w:line="360" w:lineRule="auto"/>
        <w:ind w:firstLine="480" w:firstLineChars="200"/>
        <w:rPr>
          <w:rFonts w:ascii="仿宋" w:hAnsi="仿宋" w:eastAsia="仿宋" w:cs="仿宋"/>
          <w:lang w:eastAsia="zh-CN"/>
        </w:rPr>
      </w:pPr>
      <w:r>
        <w:rPr>
          <w:rFonts w:hint="eastAsia" w:ascii="仿宋" w:hAnsi="仿宋" w:eastAsia="仿宋" w:cs="仿宋"/>
          <w:lang w:eastAsia="zh-CN"/>
        </w:rPr>
        <w:t>采用过程结算方法时结算价款的编制与核对：</w:t>
      </w:r>
      <w:r>
        <w:rPr>
          <w:rFonts w:hint="eastAsia" w:ascii="仿宋" w:hAnsi="仿宋" w:eastAsia="仿宋" w:cs="仿宋"/>
          <w:u w:val="single"/>
          <w:lang w:eastAsia="zh-CN"/>
        </w:rPr>
        <w:t xml:space="preserve">            /           。</w:t>
      </w:r>
    </w:p>
    <w:p w14:paraId="2E70A39D">
      <w:pPr>
        <w:adjustRightInd w:val="0"/>
        <w:snapToGrid w:val="0"/>
        <w:spacing w:line="360" w:lineRule="auto"/>
        <w:ind w:firstLine="480" w:firstLineChars="200"/>
        <w:rPr>
          <w:rFonts w:ascii="仿宋" w:hAnsi="仿宋" w:eastAsia="仿宋" w:cs="仿宋"/>
          <w:lang w:eastAsia="zh-CN"/>
        </w:rPr>
      </w:pPr>
      <w:r>
        <w:rPr>
          <w:rFonts w:hint="eastAsia" w:ascii="仿宋" w:hAnsi="仿宋" w:eastAsia="仿宋" w:cs="仿宋"/>
          <w:lang w:eastAsia="zh-CN"/>
        </w:rPr>
        <w:t>（e）建筑安装工程费结算的程序：</w:t>
      </w:r>
      <w:r>
        <w:rPr>
          <w:rFonts w:hint="eastAsia" w:ascii="仿宋" w:hAnsi="仿宋" w:eastAsia="仿宋" w:cs="仿宋"/>
          <w:u w:val="single"/>
          <w:lang w:eastAsia="zh-CN"/>
        </w:rPr>
        <w:t xml:space="preserve">           /            。</w:t>
      </w:r>
    </w:p>
    <w:p w14:paraId="01D4D8C7">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一、施工过程结算的程序：</w:t>
      </w:r>
      <w:r>
        <w:rPr>
          <w:rFonts w:hint="eastAsia" w:ascii="仿宋" w:hAnsi="仿宋" w:eastAsia="仿宋" w:cs="仿宋"/>
          <w:u w:val="single"/>
          <w:lang w:eastAsia="zh-CN"/>
        </w:rPr>
        <w:t xml:space="preserve">              /         。</w:t>
      </w:r>
      <w:r>
        <w:rPr>
          <w:rFonts w:hint="eastAsia" w:ascii="仿宋" w:hAnsi="仿宋" w:eastAsia="仿宋" w:cs="仿宋"/>
          <w:lang w:eastAsia="zh-CN"/>
        </w:rPr>
        <w:t xml:space="preserve"> </w:t>
      </w:r>
    </w:p>
    <w:p w14:paraId="32BB2D05">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二、施工过程结算节点的约定： </w:t>
      </w:r>
    </w:p>
    <w:p w14:paraId="4D2D5801">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□工程分标段施工的，以标段完成作为施工过程结算节点：</w:t>
      </w:r>
      <w:r>
        <w:rPr>
          <w:rFonts w:hint="eastAsia" w:ascii="仿宋" w:hAnsi="仿宋" w:eastAsia="仿宋" w:cs="仿宋"/>
          <w:u w:val="single"/>
          <w:lang w:eastAsia="zh-CN"/>
        </w:rPr>
        <w:t xml:space="preserve">          /             </w:t>
      </w:r>
    </w:p>
    <w:p w14:paraId="19B11750">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□合同工程包括有多个单项工程、单位工程，以单项工程、单位工程竣工作为施工过程结算节点，具体节点为：</w:t>
      </w:r>
      <w:r>
        <w:rPr>
          <w:rFonts w:hint="eastAsia" w:ascii="仿宋" w:hAnsi="仿宋" w:eastAsia="仿宋" w:cs="仿宋"/>
          <w:u w:val="single"/>
          <w:lang w:eastAsia="zh-CN"/>
        </w:rPr>
        <w:t xml:space="preserve">          /             </w:t>
      </w:r>
      <w:r>
        <w:rPr>
          <w:rFonts w:hint="eastAsia" w:ascii="仿宋" w:hAnsi="仿宋" w:eastAsia="仿宋" w:cs="仿宋"/>
          <w:lang w:eastAsia="zh-CN"/>
        </w:rPr>
        <w:t>。</w:t>
      </w:r>
    </w:p>
    <w:p w14:paraId="41D91B4E">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□规模较大且计划工期超过一年的单项工程，以年度内完成的形象进度节点或时间（季、年等）作为施工过程结算节点，具体节点为：</w:t>
      </w:r>
      <w:r>
        <w:rPr>
          <w:rFonts w:hint="eastAsia" w:ascii="仿宋" w:hAnsi="仿宋" w:eastAsia="仿宋" w:cs="仿宋"/>
          <w:u w:val="single"/>
          <w:lang w:eastAsia="zh-CN"/>
        </w:rPr>
        <w:t xml:space="preserve">           /            </w:t>
      </w:r>
      <w:r>
        <w:rPr>
          <w:rFonts w:hint="eastAsia" w:ascii="仿宋" w:hAnsi="仿宋" w:eastAsia="仿宋" w:cs="仿宋"/>
          <w:lang w:eastAsia="zh-CN"/>
        </w:rPr>
        <w:t>。</w:t>
      </w:r>
    </w:p>
    <w:p w14:paraId="5F3DEB06">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□以完成合同约定的专业工程或附属工程作为施工过程结算节点，具体节点为：</w:t>
      </w:r>
      <w:r>
        <w:rPr>
          <w:rFonts w:hint="eastAsia" w:ascii="仿宋" w:hAnsi="仿宋" w:eastAsia="仿宋" w:cs="仿宋"/>
          <w:u w:val="single"/>
          <w:lang w:eastAsia="zh-CN"/>
        </w:rPr>
        <w:t xml:space="preserve">          /             </w:t>
      </w:r>
      <w:r>
        <w:rPr>
          <w:rFonts w:hint="eastAsia" w:ascii="仿宋" w:hAnsi="仿宋" w:eastAsia="仿宋" w:cs="仿宋"/>
          <w:lang w:eastAsia="zh-CN"/>
        </w:rPr>
        <w:t xml:space="preserve">。 </w:t>
      </w:r>
    </w:p>
    <w:p w14:paraId="1D422947">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☑其它：</w:t>
      </w:r>
      <w:r>
        <w:rPr>
          <w:rFonts w:hint="eastAsia" w:ascii="仿宋" w:hAnsi="仿宋" w:eastAsia="仿宋" w:cs="仿宋"/>
          <w:u w:val="single"/>
          <w:lang w:eastAsia="zh-CN"/>
        </w:rPr>
        <w:t>按有权审核部门要求为准</w:t>
      </w:r>
      <w:r>
        <w:rPr>
          <w:rFonts w:hint="eastAsia" w:ascii="仿宋" w:hAnsi="仿宋" w:eastAsia="仿宋" w:cs="仿宋"/>
          <w:lang w:eastAsia="zh-CN"/>
        </w:rPr>
        <w:t xml:space="preserve">。 </w:t>
      </w:r>
    </w:p>
    <w:p w14:paraId="4781904C">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三、施工过程结算价款的编制与核对：</w:t>
      </w:r>
      <w:r>
        <w:rPr>
          <w:rFonts w:hint="eastAsia" w:ascii="仿宋" w:hAnsi="仿宋" w:eastAsia="仿宋" w:cs="仿宋"/>
          <w:u w:val="single"/>
          <w:lang w:eastAsia="zh-CN"/>
        </w:rPr>
        <w:t xml:space="preserve">          /             。</w:t>
      </w:r>
    </w:p>
    <w:p w14:paraId="7B5B5B9E">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四、采用施工过程结算方法时竣工结算价款的编制与核对：</w:t>
      </w:r>
      <w:r>
        <w:rPr>
          <w:rFonts w:hint="eastAsia" w:ascii="仿宋" w:hAnsi="仿宋" w:eastAsia="仿宋" w:cs="仿宋"/>
          <w:u w:val="single"/>
          <w:lang w:eastAsia="zh-CN"/>
        </w:rPr>
        <w:t xml:space="preserve">          /             。</w:t>
      </w:r>
    </w:p>
    <w:p w14:paraId="6230C277">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五、施工过程结算支付时限：</w:t>
      </w:r>
      <w:r>
        <w:rPr>
          <w:rFonts w:hint="eastAsia" w:ascii="仿宋" w:hAnsi="仿宋" w:eastAsia="仿宋" w:cs="仿宋"/>
          <w:u w:val="single"/>
          <w:lang w:eastAsia="zh-CN"/>
        </w:rPr>
        <w:t xml:space="preserve">           /            。</w:t>
      </w:r>
    </w:p>
    <w:p w14:paraId="4CC39C5F">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六、施工过程结算的其他约定：</w:t>
      </w:r>
      <w:r>
        <w:rPr>
          <w:rFonts w:hint="eastAsia" w:ascii="仿宋" w:hAnsi="仿宋" w:eastAsia="仿宋" w:cs="仿宋"/>
          <w:u w:val="single"/>
          <w:lang w:eastAsia="zh-CN"/>
        </w:rPr>
        <w:t xml:space="preserve">         /              </w:t>
      </w:r>
      <w:r>
        <w:rPr>
          <w:rFonts w:hint="eastAsia" w:ascii="仿宋" w:hAnsi="仿宋" w:eastAsia="仿宋" w:cs="仿宋"/>
          <w:lang w:eastAsia="zh-CN"/>
        </w:rPr>
        <w:t>。</w:t>
      </w:r>
    </w:p>
    <w:p w14:paraId="05045ECF">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（f）其它项目结算的程序：</w:t>
      </w:r>
      <w:r>
        <w:rPr>
          <w:rFonts w:hint="eastAsia" w:ascii="仿宋" w:hAnsi="仿宋" w:eastAsia="仿宋" w:cs="仿宋"/>
          <w:u w:val="single"/>
          <w:lang w:eastAsia="zh-CN"/>
        </w:rPr>
        <w:t xml:space="preserve">           /            </w:t>
      </w:r>
    </w:p>
    <w:p w14:paraId="3DFBFF8E">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过程结算支付时限： </w:t>
      </w:r>
    </w:p>
    <w:p w14:paraId="18FA3C81">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采用过程结算方法时结算价款的编制与核对：</w:t>
      </w:r>
      <w:r>
        <w:rPr>
          <w:rFonts w:hint="eastAsia" w:ascii="仿宋" w:hAnsi="仿宋" w:eastAsia="仿宋" w:cs="仿宋"/>
          <w:u w:val="single"/>
          <w:lang w:eastAsia="zh-CN"/>
        </w:rPr>
        <w:t xml:space="preserve">         /              </w:t>
      </w:r>
    </w:p>
    <w:p w14:paraId="459936D9">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87.2 递交结算文件及其限制</w:t>
      </w:r>
    </w:p>
    <w:p w14:paraId="3D433540">
      <w:pPr>
        <w:spacing w:line="360" w:lineRule="auto"/>
        <w:ind w:firstLine="480" w:firstLineChars="200"/>
        <w:rPr>
          <w:rFonts w:ascii="仿宋" w:hAnsi="仿宋" w:eastAsia="仿宋"/>
          <w:lang w:eastAsia="zh-CN"/>
        </w:rPr>
      </w:pPr>
      <w:r>
        <w:rPr>
          <w:rFonts w:hint="eastAsia" w:ascii="仿宋" w:hAnsi="仿宋" w:eastAsia="仿宋" w:cs="仿宋"/>
          <w:lang w:eastAsia="zh-CN"/>
        </w:rPr>
        <w:t>1、竣工结算文件清单：</w:t>
      </w:r>
    </w:p>
    <w:p w14:paraId="01161803">
      <w:pPr>
        <w:spacing w:line="360" w:lineRule="auto"/>
        <w:ind w:firstLine="480" w:firstLineChars="200"/>
        <w:rPr>
          <w:rFonts w:ascii="仿宋" w:hAnsi="仿宋" w:eastAsia="仿宋"/>
          <w:lang w:eastAsia="zh-CN"/>
        </w:rPr>
      </w:pPr>
      <w:r>
        <w:rPr>
          <w:rFonts w:hint="eastAsia" w:ascii="仿宋" w:hAnsi="仿宋" w:eastAsia="仿宋" w:cs="仿宋"/>
          <w:lang w:eastAsia="zh-CN"/>
        </w:rPr>
        <w:t>□勘察服务费结算书</w:t>
      </w:r>
    </w:p>
    <w:p w14:paraId="26E8D196">
      <w:pPr>
        <w:spacing w:line="360" w:lineRule="auto"/>
        <w:ind w:firstLine="480" w:firstLineChars="200"/>
        <w:rPr>
          <w:rFonts w:ascii="仿宋" w:hAnsi="仿宋" w:eastAsia="仿宋"/>
          <w:lang w:eastAsia="zh-CN"/>
        </w:rPr>
      </w:pPr>
      <w:r>
        <w:rPr>
          <w:rFonts w:hint="eastAsia" w:ascii="仿宋" w:hAnsi="仿宋" w:eastAsia="仿宋" w:cs="仿宋"/>
          <w:lang w:eastAsia="zh-CN"/>
        </w:rPr>
        <w:t>☑设计服务费结算书</w:t>
      </w:r>
    </w:p>
    <w:p w14:paraId="6F68138D">
      <w:pPr>
        <w:spacing w:line="360" w:lineRule="auto"/>
        <w:ind w:firstLine="480" w:firstLineChars="200"/>
        <w:rPr>
          <w:rFonts w:ascii="仿宋" w:hAnsi="仿宋" w:eastAsia="仿宋"/>
          <w:lang w:eastAsia="zh-CN"/>
        </w:rPr>
      </w:pPr>
      <w:r>
        <w:rPr>
          <w:rFonts w:hint="eastAsia" w:ascii="仿宋" w:hAnsi="仿宋" w:eastAsia="仿宋" w:cs="仿宋"/>
          <w:lang w:eastAsia="zh-CN"/>
        </w:rPr>
        <w:t>☑设备购置费结算书（如有）</w:t>
      </w:r>
    </w:p>
    <w:p w14:paraId="521E3EA2">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☑建筑安装工程费结算书</w:t>
      </w:r>
    </w:p>
    <w:p w14:paraId="5656DBA1">
      <w:pPr>
        <w:spacing w:line="360" w:lineRule="auto"/>
        <w:ind w:firstLine="480" w:firstLineChars="200"/>
        <w:rPr>
          <w:lang w:eastAsia="zh-CN"/>
        </w:rPr>
      </w:pPr>
      <w:r>
        <w:rPr>
          <w:rFonts w:hint="eastAsia" w:ascii="仿宋" w:hAnsi="仿宋" w:eastAsia="仿宋" w:cs="仿宋"/>
          <w:lang w:eastAsia="zh-CN"/>
        </w:rPr>
        <w:t>☑其他：</w:t>
      </w:r>
      <w:r>
        <w:rPr>
          <w:rFonts w:hint="eastAsia" w:ascii="仿宋" w:hAnsi="仿宋" w:eastAsia="仿宋" w:cs="仿宋"/>
          <w:u w:val="single"/>
          <w:lang w:eastAsia="zh-CN"/>
        </w:rPr>
        <w:t>BIM技术应用费结算书  。</w:t>
      </w:r>
    </w:p>
    <w:p w14:paraId="3C9C81E6">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2、竣工结算需要提供的其它资料</w:t>
      </w:r>
    </w:p>
    <w:p w14:paraId="78206485">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☑（1）工程量计算书</w:t>
      </w:r>
    </w:p>
    <w:p w14:paraId="11826B9E">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☑（2）钢筋抽料表（如有）</w:t>
      </w:r>
    </w:p>
    <w:p w14:paraId="1351288B">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☑（3）工程总承包合同</w:t>
      </w:r>
    </w:p>
    <w:p w14:paraId="7638BABC">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☑（4）工程竣工图</w:t>
      </w:r>
    </w:p>
    <w:p w14:paraId="2159D0EE">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☑（5）工作成果验收确认或工程竣工验收资料</w:t>
      </w:r>
    </w:p>
    <w:p w14:paraId="060611D3">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☑（6）图纸会审记录</w:t>
      </w:r>
    </w:p>
    <w:p w14:paraId="216B37F3">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☑（7）设计变更单</w:t>
      </w:r>
    </w:p>
    <w:p w14:paraId="4F7CD703">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☑（8）工程洽商记录</w:t>
      </w:r>
    </w:p>
    <w:p w14:paraId="58ECA687">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☑（9）监理人通知或发包人工作指令、开工令</w:t>
      </w:r>
    </w:p>
    <w:p w14:paraId="2818C406">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☑（10）会议纪要</w:t>
      </w:r>
    </w:p>
    <w:p w14:paraId="3A9DCB3B">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☑（11）现场签证单</w:t>
      </w:r>
    </w:p>
    <w:p w14:paraId="3F42660F">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☑（12）工程材料、工程设备单价呈批审核单</w:t>
      </w:r>
    </w:p>
    <w:p w14:paraId="4DFDB018">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（13）综合单价呈批审核单</w:t>
      </w:r>
    </w:p>
    <w:p w14:paraId="42335378">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☑（14）招标文件、答疑纪要</w:t>
      </w:r>
    </w:p>
    <w:p w14:paraId="73FEC9BE">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☑（15）投标文件（含经济标软件版）、中标通知书</w:t>
      </w:r>
    </w:p>
    <w:p w14:paraId="79963CB0">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☑（16）发包人供应材料收货验收签收单</w:t>
      </w:r>
    </w:p>
    <w:p w14:paraId="7E796B94">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☑（17）工期履行审核表</w:t>
      </w:r>
    </w:p>
    <w:p w14:paraId="4C66F3B8">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☑（18）移交资料签收表</w:t>
      </w:r>
    </w:p>
    <w:p w14:paraId="51EB8A8A">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☑（19）其他有关资料              </w:t>
      </w:r>
    </w:p>
    <w:p w14:paraId="548C58D3">
      <w:pPr>
        <w:spacing w:line="360" w:lineRule="auto"/>
        <w:ind w:firstLine="480" w:firstLineChars="200"/>
        <w:rPr>
          <w:rFonts w:ascii="仿宋" w:hAnsi="仿宋" w:eastAsia="仿宋" w:cs="仿宋"/>
          <w:lang w:eastAsia="zh-CN"/>
        </w:rPr>
      </w:pPr>
    </w:p>
    <w:p w14:paraId="0579A208">
      <w:pPr>
        <w:pStyle w:val="3"/>
        <w:tabs>
          <w:tab w:val="left" w:pos="420"/>
        </w:tabs>
        <w:spacing w:before="0" w:after="0" w:line="360" w:lineRule="auto"/>
        <w:rPr>
          <w:rFonts w:ascii="仿宋" w:hAnsi="仿宋" w:eastAsia="仿宋"/>
          <w:b w:val="0"/>
          <w:bCs w:val="0"/>
          <w:i w:val="0"/>
          <w:sz w:val="24"/>
          <w:szCs w:val="24"/>
          <w:lang w:eastAsia="zh-CN"/>
        </w:rPr>
      </w:pPr>
      <w:bookmarkStart w:id="1070" w:name="_Toc28870"/>
      <w:bookmarkStart w:id="1071" w:name="_Toc194073279"/>
      <w:bookmarkStart w:id="1072" w:name="_Toc10810"/>
      <w:r>
        <w:rPr>
          <w:rFonts w:hint="eastAsia" w:ascii="仿宋" w:hAnsi="仿宋" w:eastAsia="仿宋" w:cs="仿宋"/>
          <w:b w:val="0"/>
          <w:bCs w:val="0"/>
          <w:i w:val="0"/>
          <w:sz w:val="24"/>
          <w:szCs w:val="24"/>
          <w:lang w:eastAsia="zh-CN"/>
        </w:rPr>
        <w:t>★88.  结算款</w:t>
      </w:r>
      <w:bookmarkEnd w:id="1070"/>
      <w:bookmarkEnd w:id="1071"/>
      <w:bookmarkEnd w:id="1072"/>
    </w:p>
    <w:p w14:paraId="4AE6B15F">
      <w:pPr>
        <w:spacing w:line="360" w:lineRule="auto"/>
        <w:rPr>
          <w:rFonts w:ascii="仿宋" w:hAnsi="仿宋" w:eastAsia="仿宋"/>
          <w:lang w:eastAsia="zh-CN"/>
        </w:rPr>
      </w:pPr>
      <w:r>
        <w:rPr>
          <w:rFonts w:hint="eastAsia" w:ascii="仿宋" w:hAnsi="仿宋" w:eastAsia="仿宋" w:cs="仿宋"/>
          <w:lang w:eastAsia="zh-CN"/>
        </w:rPr>
        <w:t xml:space="preserve">  88.1 提交竣工支付申请</w:t>
      </w:r>
    </w:p>
    <w:p w14:paraId="4247FB55">
      <w:pPr>
        <w:spacing w:line="360" w:lineRule="auto"/>
        <w:ind w:firstLine="480" w:firstLineChars="200"/>
        <w:rPr>
          <w:rFonts w:ascii="仿宋" w:hAnsi="仿宋" w:eastAsia="仿宋"/>
          <w:lang w:eastAsia="zh-CN"/>
        </w:rPr>
      </w:pPr>
      <w:r>
        <w:rPr>
          <w:rFonts w:hint="eastAsia" w:ascii="仿宋" w:hAnsi="仿宋" w:eastAsia="仿宋" w:cs="仿宋"/>
          <w:lang w:eastAsia="zh-CN"/>
        </w:rPr>
        <w:t>①竣工支付时限</w:t>
      </w:r>
    </w:p>
    <w:p w14:paraId="6A544CCB">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按通用条款的约定，在造价咨询人签发竣工结算支付证书后的28天内。</w:t>
      </w:r>
    </w:p>
    <w:p w14:paraId="687582AE">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 另有约定：</w:t>
      </w:r>
      <w:r>
        <w:rPr>
          <w:rFonts w:hint="eastAsia" w:ascii="仿宋" w:hAnsi="仿宋" w:eastAsia="仿宋" w:cs="仿宋"/>
          <w:u w:val="single"/>
          <w:lang w:eastAsia="zh-CN"/>
        </w:rPr>
        <w:t xml:space="preserve"> 工程结算终审完成后15天内，承包人应在申请结算款时提供包括结算款及质量保证金在内的全额增值税专用发票，发包人、承包人按结算审核结果办理结算款清算和支付。结算款清算时发包人发现工程款超付，则承包人必须在收到发包人的书面通知后 15天内无条件退还发包人。</w:t>
      </w:r>
    </w:p>
    <w:p w14:paraId="05674833">
      <w:pPr>
        <w:spacing w:line="360" w:lineRule="auto"/>
        <w:ind w:firstLine="480" w:firstLineChars="200"/>
        <w:rPr>
          <w:rFonts w:ascii="仿宋" w:hAnsi="仿宋" w:eastAsia="仿宋"/>
          <w:lang w:eastAsia="zh-CN"/>
        </w:rPr>
      </w:pPr>
      <w:bookmarkStart w:id="1073" w:name="_Toc25969"/>
      <w:r>
        <w:rPr>
          <w:rFonts w:hint="eastAsia" w:ascii="仿宋" w:hAnsi="仿宋" w:eastAsia="仿宋" w:cs="仿宋"/>
          <w:lang w:eastAsia="zh-CN"/>
        </w:rPr>
        <w:t>②政府资金投资工程的支付期、支付办法</w:t>
      </w:r>
      <w:bookmarkEnd w:id="1073"/>
    </w:p>
    <w:p w14:paraId="64C1788A">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按通用条款的约定。</w:t>
      </w:r>
    </w:p>
    <w:p w14:paraId="389B95BB">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 另有约定：</w:t>
      </w:r>
      <w:r>
        <w:rPr>
          <w:rFonts w:hint="eastAsia" w:ascii="仿宋" w:hAnsi="仿宋" w:eastAsia="仿宋" w:cs="仿宋"/>
          <w:u w:val="single"/>
          <w:lang w:eastAsia="zh-CN"/>
        </w:rPr>
        <w:t xml:space="preserve">   /    </w:t>
      </w:r>
      <w:r>
        <w:rPr>
          <w:rFonts w:hint="eastAsia" w:ascii="仿宋" w:hAnsi="仿宋" w:eastAsia="仿宋" w:cs="仿宋"/>
          <w:lang w:eastAsia="zh-CN"/>
        </w:rPr>
        <w:t>。</w:t>
      </w:r>
    </w:p>
    <w:p w14:paraId="22C15B5C">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③实施过程结算的，其竣工结算支付方法：</w:t>
      </w:r>
      <w:r>
        <w:rPr>
          <w:rFonts w:hint="eastAsia" w:ascii="仿宋" w:hAnsi="仿宋" w:eastAsia="仿宋" w:cs="仿宋"/>
          <w:u w:val="single"/>
          <w:lang w:eastAsia="zh-CN"/>
        </w:rPr>
        <w:t xml:space="preserve">   /   。</w:t>
      </w:r>
    </w:p>
    <w:p w14:paraId="69A1F241">
      <w:pPr>
        <w:spacing w:line="360" w:lineRule="auto"/>
        <w:ind w:firstLine="480" w:firstLineChars="200"/>
        <w:rPr>
          <w:rFonts w:ascii="仿宋" w:hAnsi="仿宋" w:eastAsia="仿宋" w:cs="仿宋"/>
          <w:lang w:eastAsia="zh-CN"/>
        </w:rPr>
      </w:pPr>
    </w:p>
    <w:p w14:paraId="6B9572AF">
      <w:pPr>
        <w:pStyle w:val="3"/>
        <w:tabs>
          <w:tab w:val="left" w:pos="420"/>
        </w:tabs>
        <w:spacing w:before="0" w:after="0" w:line="360" w:lineRule="auto"/>
        <w:rPr>
          <w:rFonts w:ascii="仿宋" w:hAnsi="仿宋" w:eastAsia="仿宋"/>
          <w:b w:val="0"/>
          <w:bCs w:val="0"/>
          <w:i w:val="0"/>
          <w:sz w:val="24"/>
          <w:szCs w:val="24"/>
          <w:lang w:eastAsia="zh-CN"/>
        </w:rPr>
      </w:pPr>
      <w:bookmarkStart w:id="1074" w:name="_Toc4261"/>
      <w:bookmarkStart w:id="1075" w:name="_Toc194073280"/>
      <w:bookmarkStart w:id="1076" w:name="_Toc4630"/>
      <w:bookmarkStart w:id="1077" w:name="_Toc15047"/>
      <w:r>
        <w:rPr>
          <w:rFonts w:hint="eastAsia" w:ascii="仿宋" w:hAnsi="仿宋" w:eastAsia="仿宋" w:cs="仿宋"/>
          <w:b w:val="0"/>
          <w:bCs w:val="0"/>
          <w:i w:val="0"/>
          <w:sz w:val="24"/>
          <w:szCs w:val="24"/>
          <w:lang w:eastAsia="zh-CN"/>
        </w:rPr>
        <w:t>★89.  质量保证金</w:t>
      </w:r>
      <w:bookmarkEnd w:id="1074"/>
      <w:bookmarkEnd w:id="1075"/>
      <w:bookmarkEnd w:id="1076"/>
      <w:bookmarkEnd w:id="1077"/>
    </w:p>
    <w:p w14:paraId="79044042">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89.2 质量保证金的约定与扣留</w:t>
      </w:r>
    </w:p>
    <w:p w14:paraId="7CB90047">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89.2.1质量保证金预留方式</w:t>
      </w:r>
    </w:p>
    <w:p w14:paraId="47E7F934">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□由承包人提交质量保证金银行保函；</w:t>
      </w:r>
    </w:p>
    <w:p w14:paraId="14DF51F1">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□由承包人提交质量保证金担保公司担保；</w:t>
      </w:r>
    </w:p>
    <w:p w14:paraId="0A941C48">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□由承包人提交质量保证金保证保险；</w:t>
      </w:r>
    </w:p>
    <w:p w14:paraId="358BD944">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□由发包人在支付工程进度款或结算款时逐次扣留，直到扣留的质量保证金总额达到专用条款约定的的金额为止；</w:t>
      </w:r>
    </w:p>
    <w:p w14:paraId="60E40731">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□由发包人选择在工程竣工结算时一次性扣留相应比例的工程款；</w:t>
      </w:r>
    </w:p>
    <w:p w14:paraId="3057EC5F">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☑双方约定的其他方式： 工程竣工且结算终审完成后按本合同专用条款第 86.1 款、第 87.1 款约定支付工程结算款，扣留 3％质量保证金。</w:t>
      </w:r>
    </w:p>
    <w:p w14:paraId="5D38D5D3">
      <w:pPr>
        <w:spacing w:line="360" w:lineRule="auto"/>
        <w:ind w:firstLine="480" w:firstLineChars="200"/>
        <w:rPr>
          <w:rFonts w:ascii="仿宋" w:hAnsi="仿宋" w:eastAsia="仿宋"/>
          <w:lang w:eastAsia="zh-CN"/>
        </w:rPr>
      </w:pPr>
      <w:r>
        <w:rPr>
          <w:rFonts w:hint="eastAsia" w:ascii="仿宋" w:hAnsi="仿宋" w:eastAsia="仿宋" w:cs="仿宋"/>
          <w:lang w:eastAsia="zh-CN"/>
        </w:rPr>
        <w:t>89.2.2质量保证金金额的约定：</w:t>
      </w:r>
    </w:p>
    <w:p w14:paraId="03EBF0EF">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□按通用条款约定为合同价格中建筑安装工程费、设备及工器具购置费（如果有）部分结算总额的3%，即 </w:t>
      </w:r>
      <w:r>
        <w:rPr>
          <w:rFonts w:hint="eastAsia" w:ascii="仿宋" w:hAnsi="仿宋" w:eastAsia="仿宋" w:cs="仿宋"/>
          <w:u w:val="single"/>
          <w:lang w:eastAsia="zh-CN"/>
        </w:rPr>
        <w:t xml:space="preserve">           /         </w:t>
      </w:r>
      <w:r>
        <w:rPr>
          <w:rFonts w:hint="eastAsia" w:ascii="仿宋" w:hAnsi="仿宋" w:eastAsia="仿宋" w:cs="仿宋"/>
          <w:lang w:eastAsia="zh-CN"/>
        </w:rPr>
        <w:t>元。</w:t>
      </w:r>
    </w:p>
    <w:p w14:paraId="64ED8FA4">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☑另有约定：</w:t>
      </w:r>
      <w:r>
        <w:rPr>
          <w:rFonts w:hint="eastAsia" w:ascii="仿宋" w:hAnsi="仿宋" w:eastAsia="仿宋" w:cs="仿宋"/>
          <w:u w:val="single"/>
          <w:lang w:eastAsia="zh-CN"/>
        </w:rPr>
        <w:t>为合同施工费结算终审金额的3%。</w:t>
      </w:r>
    </w:p>
    <w:p w14:paraId="2ABC424C">
      <w:pPr>
        <w:spacing w:line="360" w:lineRule="auto"/>
        <w:ind w:firstLine="840" w:firstLineChars="350"/>
        <w:rPr>
          <w:rFonts w:ascii="仿宋" w:hAnsi="仿宋" w:eastAsia="仿宋" w:cs="仿宋"/>
          <w:lang w:eastAsia="zh-CN"/>
        </w:rPr>
      </w:pPr>
      <w:r>
        <w:rPr>
          <w:rFonts w:hint="eastAsia" w:ascii="仿宋" w:hAnsi="仿宋" w:eastAsia="仿宋" w:cs="仿宋"/>
          <w:lang w:eastAsia="zh-CN"/>
        </w:rPr>
        <w:t>89.3 质量保证金的逾期返还</w:t>
      </w:r>
    </w:p>
    <w:p w14:paraId="3680E06E">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（1）质量保证金的返还: </w:t>
      </w:r>
    </w:p>
    <w:p w14:paraId="34B19B48">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根据国家和省市的有关规定，承包人自竣工联合验收合格且移交完成之日起对工程质量实施保修。保修期间，若无任何质量问题，则在竣工验收满一年且工程项目结算终审完成后，方可返还质量保证金的 50%；竣工验收满二年，返还质量保证金的 40%；竣工验收满五年，把余下的质量保证金无息返还给承包人；质量保证金在每一阶段期满后 30 天内（扣除此期间的维修费用）退回。若在保修期内发生质量问题造成损害，质量保证金余额不足以支付赔偿金的，发包人有权依法追偿。结清工程款尾款不豁免承包人继续按照本合同（含合同附件）约定应承担的保修责任。</w:t>
      </w:r>
    </w:p>
    <w:p w14:paraId="5E8D0809">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（2）逾期返还质量保证金的计息标准：</w:t>
      </w:r>
    </w:p>
    <w:p w14:paraId="4746B8FC">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中国人民银行公布的同期贷款利率；</w:t>
      </w:r>
    </w:p>
    <w:p w14:paraId="671EDC35">
      <w:pPr>
        <w:spacing w:line="360" w:lineRule="auto"/>
        <w:ind w:firstLine="480" w:firstLineChars="200"/>
        <w:rPr>
          <w:rFonts w:ascii="仿宋" w:hAnsi="仿宋" w:eastAsia="仿宋" w:cs="仿宋"/>
          <w:lang w:eastAsia="zh-CN" w:bidi="ar-SA"/>
        </w:rPr>
      </w:pPr>
      <w:r>
        <w:rPr>
          <w:rFonts w:hint="eastAsia" w:ascii="仿宋" w:hAnsi="仿宋" w:eastAsia="仿宋" w:cs="仿宋"/>
          <w:lang w:eastAsia="zh-CN"/>
        </w:rPr>
        <w:t xml:space="preserve">□ </w:t>
      </w:r>
      <w:r>
        <w:rPr>
          <w:rFonts w:hint="eastAsia" w:ascii="仿宋" w:hAnsi="仿宋" w:eastAsia="仿宋" w:cs="仿宋"/>
          <w:lang w:eastAsia="zh-CN" w:bidi="ar-SA"/>
        </w:rPr>
        <w:t>全国银行间同业拆借中心公布的贷款市场报价利率（LPR）；</w:t>
      </w:r>
    </w:p>
    <w:p w14:paraId="2F5AC7AF">
      <w:pPr>
        <w:spacing w:line="360" w:lineRule="auto"/>
        <w:ind w:firstLine="480" w:firstLineChars="200"/>
        <w:rPr>
          <w:rFonts w:ascii="仿宋" w:hAnsi="仿宋" w:eastAsia="仿宋" w:cs="仿宋"/>
          <w:lang w:eastAsia="zh-CN" w:bidi="ar-SA"/>
        </w:rPr>
      </w:pPr>
      <w:r>
        <w:rPr>
          <w:rFonts w:hint="eastAsia" w:ascii="仿宋" w:hAnsi="仿宋" w:eastAsia="仿宋" w:cs="仿宋"/>
          <w:lang w:eastAsia="zh-CN"/>
        </w:rPr>
        <w:t>☑ 另有约定：</w:t>
      </w:r>
      <w:r>
        <w:rPr>
          <w:rFonts w:hint="eastAsia" w:ascii="仿宋" w:hAnsi="仿宋" w:eastAsia="仿宋" w:cs="仿宋"/>
          <w:u w:val="single"/>
          <w:lang w:eastAsia="zh-CN"/>
        </w:rPr>
        <w:t xml:space="preserve">  发包人不进行任何利息支付。</w:t>
      </w:r>
    </w:p>
    <w:p w14:paraId="3C3C8A57">
      <w:pPr>
        <w:spacing w:line="360" w:lineRule="auto"/>
        <w:ind w:firstLine="480" w:firstLineChars="200"/>
        <w:rPr>
          <w:rFonts w:ascii="仿宋" w:hAnsi="仿宋" w:eastAsia="仿宋" w:cs="仿宋"/>
          <w:u w:val="single"/>
          <w:lang w:eastAsia="zh-CN"/>
        </w:rPr>
      </w:pPr>
    </w:p>
    <w:p w14:paraId="449E2961">
      <w:pPr>
        <w:pStyle w:val="3"/>
        <w:tabs>
          <w:tab w:val="left" w:pos="420"/>
        </w:tabs>
        <w:spacing w:before="0" w:after="0" w:line="360" w:lineRule="auto"/>
        <w:rPr>
          <w:rFonts w:ascii="仿宋" w:hAnsi="仿宋" w:eastAsia="仿宋" w:cs="仿宋"/>
          <w:b w:val="0"/>
          <w:bCs w:val="0"/>
          <w:i w:val="0"/>
          <w:iCs w:val="0"/>
          <w:sz w:val="24"/>
          <w:szCs w:val="24"/>
          <w:lang w:eastAsia="zh-CN"/>
        </w:rPr>
      </w:pPr>
      <w:bookmarkStart w:id="1078" w:name="_Toc14898"/>
      <w:bookmarkStart w:id="1079" w:name="_Toc194073281"/>
      <w:bookmarkStart w:id="1080" w:name="_Toc30002"/>
      <w:bookmarkStart w:id="1081" w:name="_Toc3255"/>
      <w:r>
        <w:rPr>
          <w:rFonts w:hint="eastAsia" w:ascii="仿宋" w:hAnsi="仿宋" w:eastAsia="仿宋" w:cs="仿宋"/>
          <w:b w:val="0"/>
          <w:bCs w:val="0"/>
          <w:i w:val="0"/>
          <w:iCs w:val="0"/>
          <w:sz w:val="24"/>
          <w:szCs w:val="24"/>
          <w:lang w:eastAsia="zh-CN"/>
        </w:rPr>
        <w:t>90.  最终清算款</w:t>
      </w:r>
      <w:bookmarkEnd w:id="1078"/>
      <w:bookmarkEnd w:id="1079"/>
      <w:bookmarkEnd w:id="1080"/>
      <w:bookmarkEnd w:id="1081"/>
    </w:p>
    <w:p w14:paraId="74383405">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90.1 提交最终清算支付申请</w:t>
      </w:r>
    </w:p>
    <w:p w14:paraId="04C43D37">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1、最终清算支付申请</w:t>
      </w:r>
    </w:p>
    <w:p w14:paraId="444BB92D">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☑提交份数：一式肆份。           </w:t>
      </w:r>
    </w:p>
    <w:p w14:paraId="1B00439E">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☑提交期限：：结算审核完成、档案验收备案和移交工作完成且按专用条款第 89.3 款约定的最后一期质量保证金退还时间期满后 5 天内。           </w:t>
      </w:r>
    </w:p>
    <w:p w14:paraId="7689D71E">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2、最终清算支付时限</w:t>
      </w:r>
    </w:p>
    <w:p w14:paraId="3C9EBEEE">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按通用条款的约定，在造价咨询人签发最终清算支付证书后的14天内。</w:t>
      </w:r>
    </w:p>
    <w:p w14:paraId="056C27B1">
      <w:pPr>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 另有约定：</w:t>
      </w:r>
      <w:r>
        <w:rPr>
          <w:rFonts w:hint="eastAsia" w:ascii="仿宋" w:hAnsi="仿宋" w:eastAsia="仿宋" w:cs="仿宋"/>
          <w:u w:val="single"/>
          <w:lang w:eastAsia="zh-CN"/>
        </w:rPr>
        <w:t>/  。</w:t>
      </w:r>
    </w:p>
    <w:p w14:paraId="79993BDB">
      <w:pPr>
        <w:adjustRightInd w:val="0"/>
        <w:snapToGrid w:val="0"/>
        <w:spacing w:line="360" w:lineRule="auto"/>
        <w:ind w:firstLine="480" w:firstLineChars="200"/>
        <w:jc w:val="both"/>
        <w:rPr>
          <w:rFonts w:ascii="仿宋" w:hAnsi="仿宋" w:eastAsia="仿宋" w:cs="仿宋"/>
          <w:lang w:eastAsia="zh-CN"/>
        </w:rPr>
      </w:pPr>
      <w:r>
        <w:rPr>
          <w:rFonts w:hint="eastAsia" w:ascii="仿宋" w:hAnsi="仿宋" w:eastAsia="仿宋" w:cs="仿宋"/>
          <w:lang w:eastAsia="zh-CN"/>
        </w:rPr>
        <w:t xml:space="preserve">                                                                </w:t>
      </w:r>
    </w:p>
    <w:p w14:paraId="52BD4F12">
      <w:pPr>
        <w:pStyle w:val="3"/>
        <w:tabs>
          <w:tab w:val="left" w:pos="420"/>
        </w:tabs>
        <w:spacing w:before="0" w:after="0" w:line="360" w:lineRule="auto"/>
        <w:rPr>
          <w:rFonts w:ascii="仿宋" w:hAnsi="仿宋" w:eastAsia="仿宋" w:cs="仿宋"/>
          <w:lang w:eastAsia="zh-CN"/>
        </w:rPr>
      </w:pPr>
      <w:bookmarkStart w:id="1082" w:name="_Toc12542"/>
      <w:bookmarkStart w:id="1083" w:name="_Toc31333"/>
      <w:bookmarkStart w:id="1084" w:name="_Toc194073282"/>
      <w:bookmarkStart w:id="1085" w:name="_Toc19661"/>
      <w:r>
        <w:rPr>
          <w:rFonts w:hint="eastAsia" w:ascii="仿宋" w:hAnsi="仿宋" w:eastAsia="仿宋" w:cs="仿宋"/>
          <w:b w:val="0"/>
          <w:bCs w:val="0"/>
          <w:i w:val="0"/>
          <w:iCs w:val="0"/>
          <w:sz w:val="24"/>
          <w:szCs w:val="24"/>
          <w:lang w:eastAsia="zh-CN"/>
        </w:rPr>
        <w:t>91.  合同争议</w:t>
      </w:r>
      <w:bookmarkEnd w:id="1082"/>
      <w:bookmarkEnd w:id="1083"/>
      <w:bookmarkEnd w:id="1084"/>
      <w:bookmarkEnd w:id="1085"/>
    </w:p>
    <w:p w14:paraId="0E4E0BE1">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91.4 调解或认定</w:t>
      </w:r>
    </w:p>
    <w:p w14:paraId="143C3A5A">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争议调解或认定机构：</w:t>
      </w:r>
    </w:p>
    <w:p w14:paraId="6714ED09">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按通用条款的规定。</w:t>
      </w:r>
    </w:p>
    <w:p w14:paraId="123530B2">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另有约定：</w:t>
      </w:r>
      <w:r>
        <w:rPr>
          <w:rFonts w:hint="eastAsia" w:ascii="仿宋" w:hAnsi="仿宋" w:eastAsia="仿宋" w:cs="仿宋"/>
          <w:u w:val="single"/>
          <w:lang w:eastAsia="zh-CN"/>
        </w:rPr>
        <w:t xml:space="preserve">  /  。</w:t>
      </w:r>
    </w:p>
    <w:p w14:paraId="22DD112C">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91.6 仲裁或诉讼</w:t>
      </w:r>
    </w:p>
    <w:p w14:paraId="2F4078B3">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解决争议的方式：</w:t>
      </w:r>
    </w:p>
    <w:p w14:paraId="5B94E8CC">
      <w:pPr>
        <w:spacing w:line="360" w:lineRule="auto"/>
        <w:ind w:firstLine="480" w:firstLineChars="200"/>
        <w:rPr>
          <w:rFonts w:ascii="仿宋" w:hAnsi="仿宋" w:eastAsia="仿宋"/>
          <w:lang w:eastAsia="zh-CN"/>
        </w:rPr>
      </w:pPr>
      <w:r>
        <w:rPr>
          <w:rFonts w:hint="eastAsia" w:ascii="仿宋" w:hAnsi="仿宋" w:eastAsia="仿宋" w:cs="仿宋"/>
          <w:lang w:eastAsia="zh-CN"/>
        </w:rPr>
        <w:t>□ 向约定的仲裁委员会申请仲裁，约定的仲裁委员会为：</w:t>
      </w:r>
      <w:r>
        <w:rPr>
          <w:rFonts w:hint="eastAsia" w:ascii="仿宋" w:hAnsi="仿宋" w:eastAsia="仿宋" w:cs="仿宋"/>
          <w:u w:val="single"/>
          <w:lang w:eastAsia="zh-CN"/>
        </w:rPr>
        <w:t xml:space="preserve">  /  。</w:t>
      </w:r>
    </w:p>
    <w:p w14:paraId="49188BAB">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向工程所在地有管辖权的人民法院提起诉讼。</w:t>
      </w:r>
    </w:p>
    <w:p w14:paraId="5212A64E">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91.7 争议期间继续施工 </w:t>
      </w:r>
    </w:p>
    <w:p w14:paraId="036CB4B8">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发生合同争议时（包括合同变更、设计变更、签证及违约责任等），由监理人代表或造价工程师协调解决或请第三方调解，除非仲裁机关或人民法院明确同意暂停施工外，在调解期间承包人不得因此拒绝施工或拖延施工，应保持连续施工，否则承包人应承担工期违约责任，发包人有权要求承包人按合同约定支付违约金。</w:t>
      </w:r>
    </w:p>
    <w:p w14:paraId="692FD2AA">
      <w:pPr>
        <w:spacing w:line="360" w:lineRule="auto"/>
        <w:ind w:firstLine="480" w:firstLineChars="200"/>
        <w:rPr>
          <w:rFonts w:ascii="仿宋" w:hAnsi="仿宋" w:eastAsia="仿宋" w:cs="仿宋"/>
          <w:lang w:eastAsia="zh-CN"/>
        </w:rPr>
      </w:pPr>
    </w:p>
    <w:p w14:paraId="4A9C346C">
      <w:pPr>
        <w:pStyle w:val="3"/>
        <w:tabs>
          <w:tab w:val="left" w:pos="360"/>
          <w:tab w:val="left" w:pos="420"/>
        </w:tabs>
        <w:spacing w:before="0" w:after="0" w:line="360" w:lineRule="auto"/>
        <w:rPr>
          <w:rFonts w:ascii="仿宋" w:hAnsi="仿宋" w:eastAsia="仿宋"/>
          <w:b w:val="0"/>
          <w:bCs w:val="0"/>
          <w:i w:val="0"/>
          <w:sz w:val="24"/>
          <w:szCs w:val="24"/>
          <w:lang w:eastAsia="zh-CN"/>
        </w:rPr>
      </w:pPr>
      <w:bookmarkStart w:id="1086" w:name="_Toc5156"/>
      <w:bookmarkStart w:id="1087" w:name="_Toc194073283"/>
      <w:bookmarkStart w:id="1088" w:name="_Toc26824"/>
      <w:r>
        <w:rPr>
          <w:rFonts w:hint="eastAsia" w:ascii="仿宋" w:hAnsi="仿宋" w:eastAsia="仿宋" w:cs="仿宋"/>
          <w:b w:val="0"/>
          <w:bCs w:val="0"/>
          <w:i w:val="0"/>
          <w:sz w:val="24"/>
          <w:szCs w:val="24"/>
          <w:lang w:eastAsia="zh-CN"/>
        </w:rPr>
        <w:t xml:space="preserve">92.  </w:t>
      </w:r>
      <w:bookmarkStart w:id="1089" w:name="_Toc2227"/>
      <w:r>
        <w:rPr>
          <w:rFonts w:hint="eastAsia" w:ascii="仿宋" w:hAnsi="仿宋" w:eastAsia="仿宋" w:cs="仿宋"/>
          <w:b w:val="0"/>
          <w:bCs w:val="0"/>
          <w:i w:val="0"/>
          <w:sz w:val="24"/>
          <w:szCs w:val="24"/>
          <w:lang w:eastAsia="zh-CN"/>
        </w:rPr>
        <w:t>合同解除</w:t>
      </w:r>
      <w:bookmarkEnd w:id="1086"/>
      <w:bookmarkEnd w:id="1087"/>
      <w:bookmarkEnd w:id="1088"/>
      <w:bookmarkEnd w:id="1089"/>
    </w:p>
    <w:p w14:paraId="57588C0E">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92.3 因承包人的原因解除</w:t>
      </w:r>
    </w:p>
    <w:p w14:paraId="15AD8917">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承包人有下列情形之一者，发包人可以解除合同：</w:t>
      </w:r>
    </w:p>
    <w:p w14:paraId="62B2F6B2">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（4）承包人拖延完工且能偿付的误期赔偿费费达到合同总金额的</w:t>
      </w:r>
      <w:r>
        <w:rPr>
          <w:rFonts w:hint="eastAsia" w:ascii="仿宋" w:hAnsi="仿宋" w:eastAsia="仿宋" w:cs="仿宋"/>
          <w:u w:val="single"/>
          <w:lang w:eastAsia="zh-CN"/>
        </w:rPr>
        <w:t xml:space="preserve"> 5 </w:t>
      </w:r>
      <w:r>
        <w:rPr>
          <w:rFonts w:hint="eastAsia" w:ascii="仿宋" w:hAnsi="仿宋" w:eastAsia="仿宋" w:cs="仿宋"/>
          <w:lang w:eastAsia="zh-CN"/>
        </w:rPr>
        <w:t>%。</w:t>
      </w:r>
    </w:p>
    <w:p w14:paraId="42852AF5">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（13）承包人严重违反合同的其他违约行为：</w:t>
      </w:r>
      <w:r>
        <w:rPr>
          <w:rFonts w:hint="eastAsia" w:ascii="仿宋" w:hAnsi="仿宋" w:eastAsia="仿宋" w:cs="仿宋"/>
          <w:u w:val="single"/>
          <w:lang w:eastAsia="zh-CN"/>
        </w:rPr>
        <w:t xml:space="preserve"> 双方另行协商</w:t>
      </w:r>
      <w:r>
        <w:rPr>
          <w:rFonts w:hint="eastAsia" w:ascii="仿宋" w:hAnsi="仿宋" w:eastAsia="仿宋" w:cs="仿宋"/>
          <w:lang w:eastAsia="zh-CN"/>
        </w:rPr>
        <w:t>。</w:t>
      </w:r>
    </w:p>
    <w:p w14:paraId="47BD3516">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发包人和承包人一致同意适用通用条款第 92.4条(除第(1)、(2)款的情形外)。</w:t>
      </w:r>
    </w:p>
    <w:p w14:paraId="200B3AC3">
      <w:pPr>
        <w:spacing w:line="360" w:lineRule="auto"/>
        <w:ind w:firstLine="480" w:firstLineChars="200"/>
        <w:rPr>
          <w:rFonts w:ascii="仿宋" w:hAnsi="仿宋" w:eastAsia="仿宋"/>
          <w:lang w:eastAsia="zh-CN"/>
        </w:rPr>
      </w:pPr>
      <w:r>
        <w:rPr>
          <w:rFonts w:hint="eastAsia" w:ascii="仿宋" w:hAnsi="仿宋" w:eastAsia="仿宋" w:cs="仿宋"/>
          <w:lang w:eastAsia="zh-CN"/>
        </w:rPr>
        <w:t>92.4  发包人有下列情形之一者，承包人可以解除合同：</w:t>
      </w:r>
    </w:p>
    <w:p w14:paraId="7A063FC2">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（9）发包人严重违反合同的其他违约行为：</w:t>
      </w:r>
      <w:r>
        <w:rPr>
          <w:rFonts w:hint="eastAsia" w:ascii="仿宋" w:hAnsi="仿宋" w:eastAsia="仿宋" w:cs="仿宋"/>
          <w:u w:val="single"/>
          <w:lang w:eastAsia="zh-CN"/>
        </w:rPr>
        <w:t>双方另行协商</w:t>
      </w:r>
      <w:r>
        <w:rPr>
          <w:rFonts w:hint="eastAsia" w:ascii="仿宋" w:hAnsi="仿宋" w:eastAsia="仿宋" w:cs="仿宋"/>
          <w:lang w:eastAsia="zh-CN"/>
        </w:rPr>
        <w:t>。</w:t>
      </w:r>
    </w:p>
    <w:p w14:paraId="68743DFC">
      <w:pPr>
        <w:spacing w:line="360" w:lineRule="auto"/>
        <w:ind w:firstLine="480" w:firstLineChars="200"/>
        <w:rPr>
          <w:rFonts w:ascii="仿宋" w:hAnsi="仿宋" w:eastAsia="仿宋" w:cs="仿宋"/>
          <w:lang w:eastAsia="zh-CN"/>
        </w:rPr>
      </w:pPr>
    </w:p>
    <w:p w14:paraId="3EBD16BA">
      <w:pPr>
        <w:pStyle w:val="3"/>
        <w:tabs>
          <w:tab w:val="left" w:pos="360"/>
          <w:tab w:val="left" w:pos="420"/>
        </w:tabs>
        <w:spacing w:before="0" w:after="0" w:line="360" w:lineRule="auto"/>
        <w:rPr>
          <w:rFonts w:ascii="仿宋" w:hAnsi="仿宋" w:eastAsia="仿宋" w:cs="仿宋"/>
          <w:b w:val="0"/>
          <w:bCs w:val="0"/>
          <w:i w:val="0"/>
          <w:sz w:val="24"/>
          <w:szCs w:val="24"/>
          <w:lang w:eastAsia="zh-CN"/>
        </w:rPr>
      </w:pPr>
      <w:bookmarkStart w:id="1090" w:name="_Toc18941"/>
      <w:bookmarkStart w:id="1091" w:name="_Toc194073284"/>
      <w:bookmarkStart w:id="1092" w:name="_Toc27667"/>
      <w:bookmarkStart w:id="1093" w:name="_Toc18002"/>
      <w:r>
        <w:rPr>
          <w:rFonts w:hint="eastAsia" w:ascii="仿宋" w:hAnsi="仿宋" w:eastAsia="仿宋" w:cs="仿宋"/>
          <w:sz w:val="24"/>
          <w:szCs w:val="24"/>
          <w:lang w:eastAsia="zh-CN"/>
        </w:rPr>
        <w:t>★</w:t>
      </w:r>
      <w:r>
        <w:rPr>
          <w:rFonts w:hint="eastAsia" w:ascii="仿宋" w:hAnsi="仿宋" w:eastAsia="仿宋" w:cs="仿宋"/>
          <w:bCs w:val="0"/>
          <w:i w:val="0"/>
          <w:sz w:val="24"/>
          <w:szCs w:val="24"/>
          <w:lang w:eastAsia="zh-CN"/>
        </w:rPr>
        <w:t>95</w:t>
      </w:r>
      <w:r>
        <w:rPr>
          <w:rFonts w:ascii="仿宋" w:hAnsi="仿宋" w:eastAsia="仿宋" w:cs="仿宋"/>
          <w:bCs w:val="0"/>
          <w:i w:val="0"/>
          <w:sz w:val="24"/>
          <w:szCs w:val="24"/>
          <w:lang w:eastAsia="zh-CN"/>
        </w:rPr>
        <w:t xml:space="preserve">  </w:t>
      </w:r>
      <w:r>
        <w:rPr>
          <w:rFonts w:hint="eastAsia" w:ascii="仿宋" w:hAnsi="仿宋" w:eastAsia="仿宋" w:cs="仿宋"/>
          <w:b w:val="0"/>
          <w:bCs w:val="0"/>
          <w:i w:val="0"/>
          <w:sz w:val="24"/>
          <w:szCs w:val="24"/>
          <w:lang w:eastAsia="zh-CN"/>
        </w:rPr>
        <w:t>承包人违约</w:t>
      </w:r>
      <w:bookmarkEnd w:id="1090"/>
      <w:bookmarkEnd w:id="1091"/>
      <w:bookmarkEnd w:id="1092"/>
      <w:bookmarkEnd w:id="1093"/>
    </w:p>
    <w:p w14:paraId="7629D58D">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95.1 承包人违约的情形</w:t>
      </w:r>
    </w:p>
    <w:p w14:paraId="3E69F372">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95.1.1承包人违约的其他情形：</w:t>
      </w:r>
    </w:p>
    <w:p w14:paraId="50D462EB">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（1）承包人的设计、承包人文件、实施和竣工的工程不符合法律以及合同约定；</w:t>
      </w:r>
    </w:p>
    <w:p w14:paraId="3F3B048D">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（2）承包人违反约定，私自将合同的全部或部分权利转让给其他人，或私自将合同的全部或部分义务转移给其他人；</w:t>
      </w:r>
    </w:p>
    <w:p w14:paraId="1251AE24">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（3）承包人违反约定，未经监理人批准，私自将已按合同约定进入施工场地的施工设备、临时设施或材料撤离施工场地；</w:t>
      </w:r>
    </w:p>
    <w:p w14:paraId="34B07943">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（4）承包人违反约定使用了不合格材料或工程设备，工程质量达不到标准要求，又拒绝清除不合格工程；</w:t>
      </w:r>
    </w:p>
    <w:p w14:paraId="3DE3E260">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（5）承包人未能按合同进度计划及时完成合同约定的工作，造成工期延误；</w:t>
      </w:r>
    </w:p>
    <w:p w14:paraId="53339806">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（6）由于承包人原因未能通过竣工试验或竣工后试验的；</w:t>
      </w:r>
    </w:p>
    <w:p w14:paraId="29CDFC52">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（7）承包人在缺陷责任期内，未能对监理人所列的缺陷清单的内容或缺陷责任期内发生的缺陷进行修复，而又拒绝按监理人指示再进行修补；</w:t>
      </w:r>
    </w:p>
    <w:p w14:paraId="6C10F32E">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（8）承包人无法继续履行或明确表示不履行或实质上已停止履行合同；</w:t>
      </w:r>
    </w:p>
    <w:p w14:paraId="7870FB11">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9）承包人未严格按照其投标文件所列的项目管理机构在监理人指定的日期内派驻现场管理人员进场，或未经发包人和监理人批准擅自更换项目管理机构人员，或者项目管理机构人员未经监理人批准擅自离岗的；</w:t>
      </w:r>
    </w:p>
    <w:p w14:paraId="2CDA5012">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（10）根据《广州市城中村改造项目改造主体工作评估实施细则（试行）》开展的年度评估中，本项目设计、施工相关指标未达到“良好”档次的；</w:t>
      </w:r>
    </w:p>
    <w:p w14:paraId="6CB536C0">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（11）承包人不按合同约定履行义务的其他情况。</w:t>
      </w:r>
    </w:p>
    <w:p w14:paraId="08A90085">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95.1.2 对承包人违约的处理</w:t>
      </w:r>
    </w:p>
    <w:p w14:paraId="1EBF20F4">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（1）承包人发生第95.1.1（6）目约定的违约情况时，承包人应对因此给发包人造成的直接及间接损失进行赔偿。发生延期的，承包人应承担延期责任。</w:t>
      </w:r>
    </w:p>
    <w:p w14:paraId="7B482619">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（2）承包人发生第95.1.1（2）目或第95.1.1（8）目约定的违约情况时，发包人可通知承包人立即解除合同，并按第95.1.3项、第95.1.4项约定处理。</w:t>
      </w:r>
    </w:p>
    <w:p w14:paraId="16EDEABB">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3）承包人发生第95.1.1（1）目和第95.1.1（4）目约定的违约情况时，由承包人负责修理（修改）、更换或返工，并承担其违约所引起的费用增加和（或）工期延误。承包人在发包人要求的期限内拒绝整改或经整改仍未达到发包人要求和约定质量标准的，发包人可以另行采取补救措施，并由承包人承担全部费用和发包人直接和间接损失；情节严重的，发包人可通知承包人立即解除合同，并按第95.1.3项、第95.1.4项约定处理。</w:t>
      </w:r>
    </w:p>
    <w:p w14:paraId="26B48925">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4）承包人发生第95.1.1（3）目约定的违约情况时，监理人可向承包人发出整改通知，要求其在指定的期限内纠正。承包人应承担其违约所引起的费用增加和（或）工期延误。承包人拒绝整改或整改未达要求的，由承包人按该设备、材料、设施等的重置价值向发包人支付违约金。</w:t>
      </w:r>
    </w:p>
    <w:p w14:paraId="1A930C08">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（5）承包人发生第95.1.1（5）目约定的违约情况时，属于因承包人原因造成的工期延误或根据合同约定应当由承包人承担的工期延误，每延期一天由承包人按5000元/天向发包人支付逾期竣工违约金。</w:t>
      </w:r>
    </w:p>
    <w:p w14:paraId="52594BD4">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6）因承包人原因（如资金、技术力量、人员不足，拖欠民工工资、发生重特大安全事故或其他内部管理问题等）造成工程连续全面停工超过15天或比进度计划工期拖延超过30天的，发包人可通知承包人立即解除合同，并按第95.1.3项、第95.1.4项约定处理。 </w:t>
      </w:r>
    </w:p>
    <w:p w14:paraId="275F7848">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7）承包人发生第95.1.1（7）目约定的违约情况时，由发包人自行修复或委托他人修复的，因此发生的应该由承包人承担的费用超过剩余质量保证金的部分由发包人从尚未支付的承包人工程款中扣除；工程款不足扣除的，由承包人另行支付；承包人未支付的，发包人有权向承包人追索。</w:t>
      </w:r>
    </w:p>
    <w:p w14:paraId="20B00DB5">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8）承包人发生第95.1.1（9）目约定的违约情况时，监理人可向承包人发出整改通知，要求其在指定的期限内纠正。对于未经监理人（总监理工程师）同意并报发包人批准，没有按时进场、擅自更换或未经批准擅自缺离工地的项目经理或技术负责人，由承包人按10000元/人·次向发包人支付违约金；对于未按时进场、擅自更换或未经批准擅自缺离工地的项目管理机构其他人员，由承包人按5000元/人·次向发包人支付违约金。承包人投标文件所列的项目经理或技术负责人连续缺员达5天或累计缺员达10天以上，或承包人投标文件所列的项目管理机构其他人员连续缺员达7天或累计缺员达14天以上的，发包人或监理人有权责令承包人限期停工整顿，因此而造成的损失由承包人承担，工期不予顺延；承包人逾期仍不符合整顿要求的，发包人可通知承包人立即解除合同，并按第95.1.3项、第95.1.4项约定处理。 </w:t>
      </w:r>
    </w:p>
    <w:p w14:paraId="30AB2E2B">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9）在施工期间，承包人若违反施工规范、规程及安全生产管理规定，一经发现，承包人按5000元-20000元/人·次向发包人支付违约金，由此造成的一切后果均由承包人自行承担。发生较大质量或安全事故以上的，除了赔偿相关事故损失外，还应当视事故严重程度支付发包人10万元-100万元/次的违约金，并依法承担相应的法律责任。</w:t>
      </w:r>
    </w:p>
    <w:p w14:paraId="3B284C84">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（10）承包人在施工期间如果在各种报表及检查试验记录中作假或诱导监理人作假，一经查实，视其严重情况和影响程度，由承包人按1万元～5万元/次支付违约金。</w:t>
      </w:r>
    </w:p>
    <w:p w14:paraId="3E01A2D8">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 xml:space="preserve">（11）因承包人原因未能及时支付材料费、机械费和工人（含民工）工资等，由此造成相关人员、单位集体上访（5人以上为集体）的, 每发生上访一次，承包人需承担最高30万元、最低5万元的违约金；造成停工、阻塞交通等的，承包人需承担最高50万元的违约金；情节严重导致施工无法继续进行的，发包人可通知承包人立即解除合同，并按第95.1.3项、第95.1.4项约定处理。 </w:t>
      </w:r>
    </w:p>
    <w:p w14:paraId="2BA92C88">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12）承包人发生合同约定的违约情况时，监理人可向承包人发出整改通知，要求其在指定的期限内纠正。承包人应承担其违约所引起的费用增加和（或）工期延误；因承包人违约给发包人和（或）他人造成损失的，应当承担相应的赔偿责任。</w:t>
      </w:r>
    </w:p>
    <w:p w14:paraId="609F7829">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（13）因承包人违约而应当赔偿给发包人的损失或（和）支付给发包人的违约金，按照以下顺序支付：</w:t>
      </w:r>
    </w:p>
    <w:p w14:paraId="7D1EE2B0">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a、发包人从应付承包人的款项中扣除；</w:t>
      </w:r>
    </w:p>
    <w:p w14:paraId="544566A9">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b、发包人从承包人的履约担保中扣除；</w:t>
      </w:r>
    </w:p>
    <w:p w14:paraId="18979D3E">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c、上述两项不足扣除部分由承包人直接向发包人支付。</w:t>
      </w:r>
    </w:p>
    <w:p w14:paraId="02DAB307">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（14）承包人因拖欠民工等施工人员工资而引起停（怠）工、上访或发生劳资纠纷的，发包人有权从承包人应付承包人的工程款、履约保证金中扣除相应金额支付承包人拖欠的民工等施工人员工资。</w:t>
      </w:r>
    </w:p>
    <w:p w14:paraId="12579A72">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（15）承包人关于材料送审价脱离市场价水平的违约责任</w:t>
      </w:r>
    </w:p>
    <w:p w14:paraId="57C98CDC">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关于材料报价，承包人不得脱离市场价水平向发包人报价，如经核实，承包人的材料送审单价高出发包人市场核价的10%，承包人按以下方式承担违约金，违约金＝(承包人报送涉及该项材料的总价－发包人市场核定涉及该项材料的总价×1.1)×20%。本条款适用于本项目所需的所有材料定价，承包人能证明非恶意行为除外。</w:t>
      </w:r>
    </w:p>
    <w:p w14:paraId="2FB4CB7C">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16）承包人发生第95.1.1（10）目约定的违约情况时，在年度评估结果确定后，由承包人向发包人支付200万元/评估周期的违约金（如为联合体中标，则根据联合体各方的工作职责情况、未达标指标进行责任划分判定），并依法承担相应的法律责任。</w:t>
      </w:r>
    </w:p>
    <w:p w14:paraId="042C59C6">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95.1.3 因承包人违约解除合同</w:t>
      </w:r>
    </w:p>
    <w:p w14:paraId="45B21BE5">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监理人发出整改通知7天后，承包人仍不纠正违约行为的，发包人有权解除合同并向承包人发出解除合同通知。承包人收到发包人解除合同通知后14天内，承包人应撤离现场，发包人派员进驻施工场地完成现场交接手续，发包人有权另行组织人员或委托其他承包人。发包人因继续完成该工程的需要，有权暂时扣留使用承包人在现场的材料、设备和临时设施。但发包人的这一行动不免除承包人应承担的违约责任，也不影响发包人根据合同约定享有的索赔权利。</w:t>
      </w:r>
    </w:p>
    <w:p w14:paraId="20AA1B58">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95.1.4 发包人发出合同解除通知后的估价、付款和结清</w:t>
      </w:r>
    </w:p>
    <w:p w14:paraId="26010716">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（1）承包人收到发包人解除合同通知后28天内，监理人按专用合同条款第3.5 款商定或确定承包人实际完成工作的价值。</w:t>
      </w:r>
    </w:p>
    <w:p w14:paraId="06CB0D40">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（2）发包人发出解除合同通知后，发包人有权暂停对承包人的一切付款，查清各项付款和已扣款金额，包括承包人应支付的违约金。</w:t>
      </w:r>
    </w:p>
    <w:p w14:paraId="30C9F11E">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（3）发包人发出解除合同通知后，发包人有权按第23.4 款的约定向承包人索赔由于解除合同给发包人造成的损失。</w:t>
      </w:r>
    </w:p>
    <w:p w14:paraId="4AAF0ACE">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4）承包人实际完成的工程价款经双方确认后，发包人按照经确认审定的已完工程价款的80%作为承包人的工程结算价款，在扣除已经支付的工程进度款后，余款由发包人在解除合同后两年内付清。其余工程款作为承包人违约金，发包人不再支付。</w:t>
      </w:r>
    </w:p>
    <w:p w14:paraId="3E3C9767">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（5）发包人和承包人未能就解除合同后的结清达成一致而形成争议的，按第24条的约定执行。</w:t>
      </w:r>
    </w:p>
    <w:p w14:paraId="06813962">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95.2 通知改正</w:t>
      </w:r>
    </w:p>
    <w:p w14:paraId="1F6F809F">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发包人通知承包人纠正或采取补救措施的合理期限是：</w:t>
      </w:r>
      <w:r>
        <w:rPr>
          <w:rFonts w:hint="eastAsia" w:ascii="仿宋" w:hAnsi="仿宋" w:eastAsia="仿宋" w:cs="仿宋"/>
          <w:u w:val="single"/>
          <w:lang w:eastAsia="zh-CN"/>
        </w:rPr>
        <w:t xml:space="preserve"> </w:t>
      </w:r>
      <w:r>
        <w:rPr>
          <w:rFonts w:ascii="仿宋" w:hAnsi="仿宋" w:eastAsia="仿宋" w:cs="仿宋"/>
          <w:u w:val="single"/>
          <w:lang w:eastAsia="zh-CN"/>
        </w:rPr>
        <w:t xml:space="preserve">   </w:t>
      </w:r>
      <w:r>
        <w:rPr>
          <w:rFonts w:hint="eastAsia" w:ascii="仿宋" w:hAnsi="仿宋" w:eastAsia="仿宋" w:cs="仿宋"/>
          <w:u w:val="single"/>
          <w:lang w:eastAsia="zh-CN"/>
        </w:rPr>
        <w:t xml:space="preserve">5天 </w:t>
      </w:r>
      <w:r>
        <w:rPr>
          <w:rFonts w:ascii="仿宋" w:hAnsi="仿宋" w:eastAsia="仿宋" w:cs="仿宋"/>
          <w:u w:val="single"/>
          <w:lang w:eastAsia="zh-CN"/>
        </w:rPr>
        <w:t xml:space="preserve">  </w:t>
      </w:r>
      <w:r>
        <w:rPr>
          <w:rFonts w:hint="eastAsia" w:ascii="仿宋" w:hAnsi="仿宋" w:eastAsia="仿宋" w:cs="仿宋"/>
          <w:u w:val="single"/>
          <w:lang w:eastAsia="zh-CN"/>
        </w:rPr>
        <w:t xml:space="preserve"> 。</w:t>
      </w:r>
    </w:p>
    <w:p w14:paraId="62848735">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95.3 承包人违约的责任</w:t>
      </w:r>
    </w:p>
    <w:p w14:paraId="517928A2">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承包人违约责任的承担方式和计算方法：</w:t>
      </w:r>
      <w:r>
        <w:rPr>
          <w:rFonts w:hint="eastAsia" w:ascii="仿宋" w:hAnsi="仿宋" w:eastAsia="仿宋" w:cs="仿宋"/>
          <w:u w:val="single"/>
          <w:lang w:eastAsia="zh-CN"/>
        </w:rPr>
        <w:t xml:space="preserve"> </w:t>
      </w:r>
      <w:r>
        <w:rPr>
          <w:rFonts w:ascii="仿宋" w:hAnsi="仿宋" w:eastAsia="仿宋" w:cs="仿宋"/>
          <w:u w:val="single"/>
          <w:lang w:eastAsia="zh-CN"/>
        </w:rPr>
        <w:t xml:space="preserve">   </w:t>
      </w:r>
      <w:r>
        <w:rPr>
          <w:rFonts w:hint="eastAsia" w:ascii="仿宋" w:hAnsi="仿宋" w:eastAsia="仿宋" w:cs="仿宋"/>
          <w:u w:val="single"/>
          <w:lang w:eastAsia="zh-CN"/>
        </w:rPr>
        <w:t>专用条款95.1款</w:t>
      </w:r>
      <w:r>
        <w:rPr>
          <w:rFonts w:ascii="仿宋" w:hAnsi="仿宋" w:eastAsia="仿宋" w:cs="仿宋"/>
          <w:u w:val="single"/>
          <w:lang w:eastAsia="zh-CN"/>
        </w:rPr>
        <w:t xml:space="preserve">  </w:t>
      </w:r>
      <w:r>
        <w:rPr>
          <w:rFonts w:hint="eastAsia" w:ascii="仿宋" w:hAnsi="仿宋" w:eastAsia="仿宋" w:cs="仿宋"/>
          <w:u w:val="single"/>
          <w:lang w:eastAsia="zh-CN"/>
        </w:rPr>
        <w:t>。</w:t>
      </w:r>
    </w:p>
    <w:p w14:paraId="5240024D">
      <w:pPr>
        <w:spacing w:line="360" w:lineRule="auto"/>
        <w:ind w:firstLine="480" w:firstLineChars="200"/>
        <w:rPr>
          <w:rFonts w:ascii="仿宋" w:hAnsi="仿宋" w:eastAsia="仿宋" w:cs="仿宋"/>
          <w:lang w:eastAsia="zh-CN"/>
        </w:rPr>
      </w:pPr>
    </w:p>
    <w:p w14:paraId="36C9EACB">
      <w:pPr>
        <w:pStyle w:val="3"/>
        <w:tabs>
          <w:tab w:val="left" w:pos="360"/>
          <w:tab w:val="left" w:pos="420"/>
        </w:tabs>
        <w:spacing w:before="0" w:after="0" w:line="360" w:lineRule="auto"/>
        <w:rPr>
          <w:rFonts w:ascii="仿宋" w:hAnsi="仿宋" w:eastAsia="仿宋" w:cs="仿宋"/>
          <w:b w:val="0"/>
          <w:bCs w:val="0"/>
          <w:i w:val="0"/>
          <w:sz w:val="24"/>
          <w:szCs w:val="24"/>
          <w:lang w:eastAsia="zh-CN"/>
        </w:rPr>
      </w:pPr>
      <w:bookmarkStart w:id="1094" w:name="_Toc20786"/>
      <w:bookmarkStart w:id="1095" w:name="_Toc194073285"/>
      <w:bookmarkStart w:id="1096" w:name="_Toc1711"/>
      <w:r>
        <w:rPr>
          <w:rFonts w:hint="eastAsia" w:ascii="仿宋" w:hAnsi="仿宋" w:eastAsia="仿宋" w:cs="仿宋"/>
          <w:b w:val="0"/>
          <w:bCs w:val="0"/>
          <w:i w:val="0"/>
          <w:iCs w:val="0"/>
          <w:sz w:val="24"/>
          <w:szCs w:val="24"/>
          <w:lang w:eastAsia="zh-CN"/>
        </w:rPr>
        <w:t>★96  发包人违约</w:t>
      </w:r>
      <w:bookmarkEnd w:id="1094"/>
      <w:bookmarkEnd w:id="1095"/>
      <w:bookmarkEnd w:id="1096"/>
    </w:p>
    <w:p w14:paraId="5D3A5F58">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96.1 发包人违约的情形</w:t>
      </w:r>
    </w:p>
    <w:p w14:paraId="009A7299">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发包人违约的其他情形</w:t>
      </w:r>
      <w:r>
        <w:rPr>
          <w:rFonts w:hint="eastAsia" w:ascii="仿宋" w:hAnsi="仿宋" w:eastAsia="仿宋" w:cs="仿宋"/>
          <w:u w:val="single"/>
          <w:lang w:eastAsia="zh-CN"/>
        </w:rPr>
        <w:t xml:space="preserve">          /        。</w:t>
      </w:r>
    </w:p>
    <w:p w14:paraId="0DC78EDA">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96.3 发包人违约的责任</w:t>
      </w:r>
    </w:p>
    <w:p w14:paraId="06D7802E">
      <w:pPr>
        <w:spacing w:line="360" w:lineRule="auto"/>
        <w:ind w:firstLine="480" w:firstLineChars="200"/>
        <w:rPr>
          <w:rFonts w:ascii="仿宋" w:hAnsi="仿宋" w:eastAsia="仿宋" w:cs="仿宋"/>
          <w:lang w:eastAsia="zh-CN"/>
        </w:rPr>
      </w:pPr>
      <w:r>
        <w:rPr>
          <w:rFonts w:hint="eastAsia" w:ascii="仿宋" w:hAnsi="仿宋" w:eastAsia="仿宋" w:cs="仿宋"/>
          <w:lang w:eastAsia="zh-CN"/>
        </w:rPr>
        <w:t>发包人违约责任的承担方式和计算方法：</w:t>
      </w:r>
      <w:r>
        <w:rPr>
          <w:rFonts w:hint="eastAsia" w:ascii="仿宋" w:hAnsi="仿宋" w:eastAsia="仿宋" w:cs="仿宋"/>
          <w:u w:val="single"/>
          <w:lang w:eastAsia="zh-CN"/>
        </w:rPr>
        <w:t xml:space="preserve">      /      。</w:t>
      </w:r>
    </w:p>
    <w:p w14:paraId="5C817B5D">
      <w:pPr>
        <w:spacing w:line="400" w:lineRule="exact"/>
        <w:ind w:firstLine="480" w:firstLineChars="200"/>
        <w:jc w:val="center"/>
        <w:rPr>
          <w:rFonts w:ascii="仿宋" w:hAnsi="仿宋" w:eastAsia="仿宋" w:cs="仿宋"/>
          <w:lang w:eastAsia="zh-CN"/>
        </w:rPr>
      </w:pPr>
    </w:p>
    <w:p w14:paraId="2AC402B9">
      <w:pPr>
        <w:pStyle w:val="2"/>
        <w:tabs>
          <w:tab w:val="left" w:pos="420"/>
        </w:tabs>
        <w:ind w:left="494" w:leftChars="206"/>
        <w:jc w:val="center"/>
        <w:rPr>
          <w:rFonts w:ascii="宋体" w:hAnsi="宋体" w:cs="宋体"/>
          <w:b w:val="0"/>
          <w:bCs w:val="0"/>
          <w:sz w:val="36"/>
          <w:szCs w:val="36"/>
          <w:lang w:val="zh-CN" w:eastAsia="zh-CN"/>
        </w:rPr>
      </w:pPr>
      <w:r>
        <w:rPr>
          <w:rFonts w:hint="eastAsia" w:ascii="仿宋" w:hAnsi="仿宋" w:eastAsia="仿宋" w:cs="仿宋"/>
          <w:lang w:eastAsia="zh-CN"/>
        </w:rPr>
        <w:br w:type="page"/>
      </w:r>
      <w:bookmarkStart w:id="1097" w:name="_Toc1475"/>
      <w:bookmarkStart w:id="1098" w:name="_Toc107"/>
      <w:bookmarkStart w:id="1099" w:name="_Toc12890"/>
      <w:r>
        <w:rPr>
          <w:rFonts w:hint="eastAsia" w:ascii="宋体" w:hAnsi="宋体" w:cs="宋体"/>
          <w:b w:val="0"/>
          <w:bCs w:val="0"/>
          <w:sz w:val="36"/>
          <w:szCs w:val="36"/>
          <w:lang w:val="zh-CN" w:eastAsia="zh-CN"/>
        </w:rPr>
        <w:t>第四部分  附件与格式</w:t>
      </w:r>
      <w:bookmarkEnd w:id="1097"/>
      <w:bookmarkEnd w:id="1098"/>
      <w:bookmarkEnd w:id="1099"/>
    </w:p>
    <w:p w14:paraId="5C3CEF3B">
      <w:pPr>
        <w:spacing w:line="400" w:lineRule="exact"/>
        <w:ind w:firstLine="482" w:firstLineChars="200"/>
        <w:rPr>
          <w:rFonts w:ascii="仿宋" w:hAnsi="仿宋" w:eastAsia="仿宋"/>
          <w:b/>
          <w:bCs/>
          <w:lang w:eastAsia="zh-CN"/>
        </w:rPr>
      </w:pPr>
    </w:p>
    <w:p w14:paraId="5554AF6B">
      <w:pPr>
        <w:spacing w:line="360" w:lineRule="auto"/>
        <w:ind w:firstLine="840" w:firstLineChars="350"/>
        <w:rPr>
          <w:rFonts w:ascii="仿宋" w:hAnsi="仿宋" w:eastAsia="仿宋" w:cs="仿宋"/>
          <w:lang w:eastAsia="zh-CN"/>
        </w:rPr>
      </w:pPr>
      <w:r>
        <w:rPr>
          <w:rFonts w:hint="eastAsia" w:ascii="仿宋" w:hAnsi="仿宋" w:eastAsia="仿宋" w:cs="仿宋"/>
          <w:lang w:eastAsia="zh-CN"/>
        </w:rPr>
        <w:t>附件一：中标通知书</w:t>
      </w:r>
    </w:p>
    <w:p w14:paraId="07057F4A">
      <w:pPr>
        <w:spacing w:line="360" w:lineRule="auto"/>
        <w:ind w:firstLine="840" w:firstLineChars="350"/>
        <w:rPr>
          <w:rFonts w:ascii="仿宋" w:hAnsi="仿宋" w:eastAsia="仿宋" w:cs="仿宋"/>
          <w:lang w:eastAsia="zh-CN"/>
        </w:rPr>
      </w:pPr>
      <w:r>
        <w:rPr>
          <w:rFonts w:hint="eastAsia" w:ascii="仿宋" w:hAnsi="仿宋" w:eastAsia="仿宋" w:cs="仿宋"/>
          <w:lang w:eastAsia="zh-CN"/>
        </w:rPr>
        <w:t xml:space="preserve">附件二：联合体承包协议书 </w:t>
      </w:r>
    </w:p>
    <w:p w14:paraId="20D7C16A">
      <w:pPr>
        <w:spacing w:line="360" w:lineRule="auto"/>
        <w:ind w:firstLine="840" w:firstLineChars="350"/>
        <w:rPr>
          <w:rFonts w:ascii="仿宋" w:hAnsi="仿宋" w:eastAsia="仿宋" w:cs="仿宋"/>
          <w:lang w:eastAsia="zh-CN"/>
        </w:rPr>
      </w:pPr>
      <w:r>
        <w:rPr>
          <w:rFonts w:hint="eastAsia" w:ascii="仿宋" w:hAnsi="仿宋" w:eastAsia="仿宋" w:cs="仿宋"/>
          <w:lang w:eastAsia="zh-CN"/>
        </w:rPr>
        <w:t xml:space="preserve">附件三：工程质量保修书 </w:t>
      </w:r>
    </w:p>
    <w:p w14:paraId="6AAE46AC">
      <w:pPr>
        <w:spacing w:line="360" w:lineRule="auto"/>
        <w:ind w:firstLine="840" w:firstLineChars="350"/>
        <w:rPr>
          <w:rFonts w:ascii="仿宋" w:hAnsi="仿宋" w:eastAsia="仿宋" w:cs="仿宋"/>
          <w:lang w:eastAsia="zh-CN"/>
        </w:rPr>
      </w:pPr>
      <w:r>
        <w:rPr>
          <w:rFonts w:hint="eastAsia" w:ascii="仿宋" w:hAnsi="仿宋" w:eastAsia="仿宋" w:cs="仿宋"/>
          <w:lang w:eastAsia="zh-CN"/>
        </w:rPr>
        <w:t xml:space="preserve">附件四：廉洁协议书 </w:t>
      </w:r>
    </w:p>
    <w:p w14:paraId="07B34EA3">
      <w:pPr>
        <w:spacing w:line="360" w:lineRule="auto"/>
        <w:ind w:firstLine="840" w:firstLineChars="350"/>
        <w:rPr>
          <w:rFonts w:ascii="仿宋" w:hAnsi="仿宋" w:eastAsia="仿宋" w:cs="仿宋"/>
          <w:lang w:eastAsia="zh-CN"/>
        </w:rPr>
      </w:pPr>
      <w:r>
        <w:rPr>
          <w:rFonts w:hint="eastAsia" w:ascii="仿宋" w:hAnsi="仿宋" w:eastAsia="仿宋" w:cs="仿宋"/>
          <w:lang w:eastAsia="zh-CN"/>
        </w:rPr>
        <w:t xml:space="preserve">附件五：民工权益保障承诺书 </w:t>
      </w:r>
    </w:p>
    <w:p w14:paraId="3DE9FA36">
      <w:pPr>
        <w:spacing w:line="360" w:lineRule="auto"/>
        <w:ind w:firstLine="840" w:firstLineChars="350"/>
        <w:rPr>
          <w:rFonts w:ascii="仿宋" w:hAnsi="仿宋" w:eastAsia="仿宋" w:cs="仿宋"/>
          <w:lang w:eastAsia="zh-CN"/>
        </w:rPr>
      </w:pPr>
      <w:r>
        <w:rPr>
          <w:rFonts w:hint="eastAsia" w:ascii="仿宋" w:hAnsi="仿宋" w:eastAsia="仿宋" w:cs="仿宋"/>
          <w:lang w:eastAsia="zh-CN"/>
        </w:rPr>
        <w:t xml:space="preserve">附件六：材料设备供应管理办法 </w:t>
      </w:r>
    </w:p>
    <w:p w14:paraId="43AEC7E5">
      <w:pPr>
        <w:spacing w:line="360" w:lineRule="auto"/>
        <w:ind w:firstLine="840" w:firstLineChars="350"/>
        <w:rPr>
          <w:rFonts w:ascii="仿宋" w:hAnsi="仿宋" w:eastAsia="仿宋" w:cs="仿宋"/>
          <w:lang w:eastAsia="zh-CN"/>
        </w:rPr>
      </w:pPr>
      <w:r>
        <w:rPr>
          <w:rFonts w:hint="eastAsia" w:ascii="仿宋" w:hAnsi="仿宋" w:eastAsia="仿宋" w:cs="仿宋"/>
          <w:lang w:eastAsia="zh-CN"/>
        </w:rPr>
        <w:t xml:space="preserve">附件七：主要材料（设备）品牌推荐表 </w:t>
      </w:r>
    </w:p>
    <w:p w14:paraId="23999887">
      <w:pPr>
        <w:spacing w:line="360" w:lineRule="auto"/>
        <w:ind w:firstLine="840" w:firstLineChars="350"/>
        <w:rPr>
          <w:rFonts w:ascii="仿宋" w:hAnsi="仿宋" w:eastAsia="仿宋" w:cs="仿宋"/>
          <w:lang w:eastAsia="zh-CN"/>
        </w:rPr>
      </w:pPr>
      <w:r>
        <w:rPr>
          <w:rFonts w:hint="eastAsia" w:ascii="仿宋" w:hAnsi="仿宋" w:eastAsia="仿宋" w:cs="仿宋"/>
          <w:lang w:eastAsia="zh-CN"/>
        </w:rPr>
        <w:t xml:space="preserve">附件八：工人工资支付分账管理协议书 </w:t>
      </w:r>
    </w:p>
    <w:p w14:paraId="0DE7A1D5">
      <w:pPr>
        <w:spacing w:line="360" w:lineRule="auto"/>
        <w:ind w:firstLine="840" w:firstLineChars="350"/>
        <w:rPr>
          <w:rFonts w:ascii="仿宋" w:hAnsi="仿宋" w:eastAsia="仿宋" w:cs="仿宋"/>
          <w:lang w:eastAsia="zh-CN"/>
        </w:rPr>
      </w:pPr>
      <w:r>
        <w:rPr>
          <w:rFonts w:hint="eastAsia" w:ascii="仿宋" w:hAnsi="仿宋" w:eastAsia="仿宋" w:cs="仿宋"/>
          <w:lang w:eastAsia="zh-CN"/>
        </w:rPr>
        <w:t xml:space="preserve">附件九：安全生产协议 </w:t>
      </w:r>
    </w:p>
    <w:p w14:paraId="34F52EFB">
      <w:pPr>
        <w:spacing w:line="360" w:lineRule="auto"/>
        <w:ind w:firstLine="840" w:firstLineChars="350"/>
        <w:rPr>
          <w:rFonts w:ascii="仿宋" w:hAnsi="仿宋" w:eastAsia="仿宋" w:cs="仿宋"/>
          <w:lang w:eastAsia="zh-CN"/>
        </w:rPr>
      </w:pPr>
      <w:r>
        <w:rPr>
          <w:rFonts w:hint="eastAsia" w:ascii="仿宋" w:hAnsi="仿宋" w:eastAsia="仿宋" w:cs="仿宋"/>
          <w:lang w:eastAsia="zh-CN"/>
        </w:rPr>
        <w:t xml:space="preserve">履约保函（格式仅供参考） </w:t>
      </w:r>
    </w:p>
    <w:p w14:paraId="17518EE6">
      <w:pPr>
        <w:spacing w:line="360" w:lineRule="auto"/>
        <w:ind w:firstLine="840" w:firstLineChars="350"/>
        <w:rPr>
          <w:rFonts w:ascii="仿宋" w:hAnsi="仿宋" w:eastAsia="仿宋" w:cs="仿宋"/>
          <w:lang w:eastAsia="zh-CN"/>
        </w:rPr>
      </w:pPr>
    </w:p>
    <w:p w14:paraId="4B1105CB">
      <w:pPr>
        <w:spacing w:line="360" w:lineRule="auto"/>
        <w:ind w:firstLine="840" w:firstLineChars="350"/>
        <w:rPr>
          <w:rFonts w:ascii="仿宋" w:hAnsi="仿宋" w:eastAsia="仿宋" w:cs="仿宋"/>
          <w:lang w:eastAsia="zh-CN"/>
        </w:rPr>
      </w:pPr>
    </w:p>
    <w:p w14:paraId="6AF059A7">
      <w:pPr>
        <w:spacing w:line="360" w:lineRule="auto"/>
        <w:ind w:firstLine="840" w:firstLineChars="350"/>
        <w:rPr>
          <w:rFonts w:ascii="仿宋" w:hAnsi="仿宋" w:eastAsia="仿宋" w:cs="仿宋"/>
          <w:lang w:eastAsia="zh-CN"/>
        </w:rPr>
      </w:pPr>
    </w:p>
    <w:p w14:paraId="5940AE59">
      <w:pPr>
        <w:spacing w:line="360" w:lineRule="auto"/>
        <w:ind w:firstLine="840" w:firstLineChars="350"/>
        <w:rPr>
          <w:rFonts w:ascii="仿宋" w:hAnsi="仿宋" w:eastAsia="仿宋" w:cs="仿宋"/>
          <w:lang w:eastAsia="zh-CN"/>
        </w:rPr>
      </w:pPr>
    </w:p>
    <w:p w14:paraId="0F1B33DC">
      <w:pPr>
        <w:spacing w:line="360" w:lineRule="auto"/>
        <w:ind w:firstLine="840" w:firstLineChars="350"/>
        <w:rPr>
          <w:rFonts w:ascii="仿宋" w:hAnsi="仿宋" w:eastAsia="仿宋" w:cs="仿宋"/>
          <w:lang w:eastAsia="zh-CN"/>
        </w:rPr>
      </w:pPr>
    </w:p>
    <w:p w14:paraId="11327554">
      <w:pPr>
        <w:spacing w:line="360" w:lineRule="auto"/>
        <w:outlineLvl w:val="1"/>
        <w:rPr>
          <w:rFonts w:ascii="仿宋" w:hAnsi="仿宋" w:eastAsia="仿宋" w:cs="仿宋"/>
          <w:lang w:eastAsia="zh-CN"/>
        </w:rPr>
      </w:pPr>
      <w:r>
        <w:rPr>
          <w:rFonts w:hint="eastAsia" w:ascii="仿宋" w:hAnsi="仿宋" w:eastAsia="仿宋" w:cs="仿宋"/>
          <w:b/>
          <w:bCs/>
          <w:lang w:eastAsia="zh-CN"/>
        </w:rPr>
        <w:br w:type="page"/>
      </w:r>
      <w:bookmarkStart w:id="1100" w:name="_Toc31794"/>
      <w:bookmarkStart w:id="1101" w:name="_Toc194073286"/>
      <w:bookmarkStart w:id="1102" w:name="_Toc16901"/>
      <w:r>
        <w:rPr>
          <w:rFonts w:hint="eastAsia" w:ascii="仿宋" w:hAnsi="仿宋" w:eastAsia="仿宋" w:cs="仿宋"/>
          <w:b/>
          <w:bCs/>
          <w:lang w:eastAsia="zh-CN"/>
        </w:rPr>
        <w:t>附件一：中标通知书</w:t>
      </w:r>
      <w:bookmarkEnd w:id="1100"/>
      <w:bookmarkEnd w:id="1101"/>
      <w:bookmarkEnd w:id="1102"/>
    </w:p>
    <w:p w14:paraId="0C77D496">
      <w:pPr>
        <w:spacing w:line="360" w:lineRule="auto"/>
        <w:ind w:firstLine="843" w:firstLineChars="350"/>
        <w:rPr>
          <w:rFonts w:ascii="仿宋" w:hAnsi="仿宋" w:eastAsia="仿宋" w:cs="仿宋"/>
          <w:b/>
          <w:bCs/>
          <w:lang w:eastAsia="zh-CN"/>
        </w:rPr>
      </w:pPr>
    </w:p>
    <w:p w14:paraId="28D31C62">
      <w:pPr>
        <w:spacing w:line="360" w:lineRule="auto"/>
        <w:ind w:firstLine="843" w:firstLineChars="350"/>
        <w:rPr>
          <w:rFonts w:ascii="仿宋" w:hAnsi="仿宋" w:eastAsia="仿宋" w:cs="仿宋"/>
          <w:b/>
          <w:bCs/>
          <w:lang w:eastAsia="zh-CN"/>
        </w:rPr>
      </w:pPr>
    </w:p>
    <w:p w14:paraId="5784E5AE">
      <w:pPr>
        <w:spacing w:line="360" w:lineRule="auto"/>
        <w:ind w:firstLine="843" w:firstLineChars="350"/>
        <w:rPr>
          <w:rFonts w:ascii="仿宋" w:hAnsi="仿宋" w:eastAsia="仿宋" w:cs="仿宋"/>
          <w:b/>
          <w:bCs/>
          <w:lang w:eastAsia="zh-CN"/>
        </w:rPr>
      </w:pPr>
    </w:p>
    <w:p w14:paraId="4A932F81">
      <w:pPr>
        <w:spacing w:line="360" w:lineRule="auto"/>
        <w:ind w:firstLine="843" w:firstLineChars="350"/>
        <w:rPr>
          <w:rFonts w:ascii="仿宋" w:hAnsi="仿宋" w:eastAsia="仿宋" w:cs="仿宋"/>
          <w:b/>
          <w:bCs/>
          <w:lang w:eastAsia="zh-CN"/>
        </w:rPr>
      </w:pPr>
    </w:p>
    <w:p w14:paraId="39872A16">
      <w:pPr>
        <w:spacing w:line="360" w:lineRule="auto"/>
        <w:ind w:firstLine="843" w:firstLineChars="350"/>
        <w:rPr>
          <w:rFonts w:ascii="仿宋" w:hAnsi="仿宋" w:eastAsia="仿宋" w:cs="仿宋"/>
          <w:b/>
          <w:bCs/>
          <w:lang w:eastAsia="zh-CN"/>
        </w:rPr>
      </w:pPr>
    </w:p>
    <w:p w14:paraId="0B38EEAE">
      <w:pPr>
        <w:spacing w:line="360" w:lineRule="auto"/>
        <w:ind w:firstLine="843" w:firstLineChars="350"/>
        <w:rPr>
          <w:rFonts w:ascii="仿宋" w:hAnsi="仿宋" w:eastAsia="仿宋" w:cs="仿宋"/>
          <w:b/>
          <w:bCs/>
          <w:lang w:eastAsia="zh-CN"/>
        </w:rPr>
      </w:pPr>
    </w:p>
    <w:p w14:paraId="38CBE58E">
      <w:pPr>
        <w:spacing w:line="360" w:lineRule="auto"/>
        <w:ind w:firstLine="843" w:firstLineChars="350"/>
        <w:rPr>
          <w:rFonts w:ascii="仿宋" w:hAnsi="仿宋" w:eastAsia="仿宋" w:cs="仿宋"/>
          <w:b/>
          <w:bCs/>
          <w:lang w:eastAsia="zh-CN"/>
        </w:rPr>
      </w:pPr>
    </w:p>
    <w:p w14:paraId="261CDB13">
      <w:pPr>
        <w:spacing w:line="360" w:lineRule="auto"/>
        <w:ind w:firstLine="843" w:firstLineChars="350"/>
        <w:rPr>
          <w:rFonts w:ascii="仿宋" w:hAnsi="仿宋" w:eastAsia="仿宋" w:cs="仿宋"/>
          <w:b/>
          <w:bCs/>
          <w:lang w:eastAsia="zh-CN"/>
        </w:rPr>
      </w:pPr>
    </w:p>
    <w:p w14:paraId="583451EB">
      <w:pPr>
        <w:spacing w:line="360" w:lineRule="auto"/>
        <w:ind w:firstLine="843" w:firstLineChars="350"/>
        <w:rPr>
          <w:rFonts w:ascii="仿宋" w:hAnsi="仿宋" w:eastAsia="仿宋" w:cs="仿宋"/>
          <w:b/>
          <w:bCs/>
          <w:lang w:eastAsia="zh-CN"/>
        </w:rPr>
      </w:pPr>
    </w:p>
    <w:p w14:paraId="7557FC19">
      <w:pPr>
        <w:spacing w:line="360" w:lineRule="auto"/>
        <w:ind w:firstLine="843" w:firstLineChars="350"/>
        <w:rPr>
          <w:rFonts w:ascii="仿宋" w:hAnsi="仿宋" w:eastAsia="仿宋" w:cs="仿宋"/>
          <w:b/>
          <w:bCs/>
          <w:lang w:eastAsia="zh-CN"/>
        </w:rPr>
      </w:pPr>
    </w:p>
    <w:p w14:paraId="1FC056A5">
      <w:pPr>
        <w:spacing w:line="360" w:lineRule="auto"/>
        <w:ind w:firstLine="843" w:firstLineChars="350"/>
        <w:rPr>
          <w:rFonts w:ascii="仿宋" w:hAnsi="仿宋" w:eastAsia="仿宋" w:cs="仿宋"/>
          <w:b/>
          <w:bCs/>
          <w:lang w:eastAsia="zh-CN"/>
        </w:rPr>
      </w:pPr>
    </w:p>
    <w:p w14:paraId="001F049E">
      <w:pPr>
        <w:spacing w:line="360" w:lineRule="auto"/>
        <w:ind w:firstLine="843" w:firstLineChars="350"/>
        <w:rPr>
          <w:rFonts w:ascii="仿宋" w:hAnsi="仿宋" w:eastAsia="仿宋" w:cs="仿宋"/>
          <w:b/>
          <w:bCs/>
          <w:lang w:eastAsia="zh-CN"/>
        </w:rPr>
      </w:pPr>
    </w:p>
    <w:p w14:paraId="2DCD24CD">
      <w:pPr>
        <w:spacing w:line="360" w:lineRule="auto"/>
        <w:outlineLvl w:val="1"/>
        <w:rPr>
          <w:rFonts w:ascii="仿宋" w:hAnsi="仿宋" w:eastAsia="仿宋"/>
          <w:b/>
          <w:bCs/>
          <w:lang w:eastAsia="zh-CN"/>
        </w:rPr>
      </w:pPr>
      <w:r>
        <w:rPr>
          <w:rFonts w:ascii="仿宋" w:hAnsi="仿宋" w:eastAsia="仿宋" w:cs="仿宋"/>
          <w:b/>
          <w:bCs/>
          <w:lang w:eastAsia="zh-CN"/>
        </w:rPr>
        <w:br w:type="page"/>
      </w:r>
      <w:bookmarkStart w:id="1103" w:name="_Toc23727"/>
      <w:bookmarkStart w:id="1104" w:name="_Toc194073287"/>
      <w:bookmarkStart w:id="1105" w:name="_Toc4144"/>
      <w:r>
        <w:rPr>
          <w:rFonts w:hint="eastAsia" w:ascii="仿宋" w:hAnsi="仿宋" w:eastAsia="仿宋" w:cs="仿宋"/>
          <w:b/>
          <w:bCs/>
          <w:lang w:eastAsia="zh-CN"/>
        </w:rPr>
        <w:t>附件二：联合体承包协议书</w:t>
      </w:r>
      <w:bookmarkEnd w:id="1103"/>
      <w:bookmarkEnd w:id="1104"/>
      <w:bookmarkEnd w:id="1105"/>
    </w:p>
    <w:p w14:paraId="4009AFE5">
      <w:pPr>
        <w:spacing w:line="360" w:lineRule="auto"/>
        <w:rPr>
          <w:rFonts w:ascii="仿宋" w:hAnsi="仿宋" w:eastAsia="仿宋"/>
          <w:lang w:eastAsia="zh-CN"/>
        </w:rPr>
      </w:pPr>
    </w:p>
    <w:p w14:paraId="0F7387B9">
      <w:pPr>
        <w:spacing w:line="360" w:lineRule="auto"/>
        <w:jc w:val="center"/>
        <w:rPr>
          <w:rFonts w:ascii="仿宋" w:hAnsi="仿宋" w:eastAsia="仿宋" w:cs="仿宋"/>
          <w:b/>
          <w:bCs/>
          <w:sz w:val="36"/>
          <w:szCs w:val="36"/>
          <w:lang w:eastAsia="zh-CN"/>
        </w:rPr>
      </w:pPr>
    </w:p>
    <w:p w14:paraId="355F1012">
      <w:pPr>
        <w:spacing w:line="360" w:lineRule="auto"/>
        <w:jc w:val="center"/>
        <w:rPr>
          <w:rFonts w:ascii="仿宋" w:hAnsi="仿宋" w:eastAsia="仿宋" w:cs="仿宋"/>
          <w:b/>
          <w:bCs/>
          <w:sz w:val="36"/>
          <w:szCs w:val="36"/>
          <w:lang w:eastAsia="zh-CN"/>
        </w:rPr>
      </w:pPr>
    </w:p>
    <w:p w14:paraId="263A82BD">
      <w:pPr>
        <w:spacing w:line="360" w:lineRule="auto"/>
        <w:jc w:val="center"/>
        <w:rPr>
          <w:rFonts w:ascii="仿宋" w:hAnsi="仿宋" w:eastAsia="仿宋" w:cs="仿宋"/>
          <w:b/>
          <w:bCs/>
          <w:sz w:val="36"/>
          <w:szCs w:val="36"/>
          <w:lang w:eastAsia="zh-CN"/>
        </w:rPr>
      </w:pPr>
    </w:p>
    <w:p w14:paraId="7100E44E">
      <w:pPr>
        <w:spacing w:line="360" w:lineRule="auto"/>
        <w:jc w:val="center"/>
        <w:rPr>
          <w:rFonts w:ascii="仿宋" w:hAnsi="仿宋" w:eastAsia="仿宋" w:cs="仿宋"/>
          <w:b/>
          <w:bCs/>
          <w:sz w:val="36"/>
          <w:szCs w:val="36"/>
          <w:lang w:eastAsia="zh-CN"/>
        </w:rPr>
      </w:pPr>
    </w:p>
    <w:p w14:paraId="0A2BA7E9">
      <w:pPr>
        <w:spacing w:line="360" w:lineRule="auto"/>
        <w:jc w:val="center"/>
        <w:rPr>
          <w:rFonts w:ascii="仿宋" w:hAnsi="仿宋" w:eastAsia="仿宋" w:cs="仿宋"/>
          <w:b/>
          <w:bCs/>
          <w:sz w:val="36"/>
          <w:szCs w:val="36"/>
          <w:lang w:eastAsia="zh-CN"/>
        </w:rPr>
      </w:pPr>
    </w:p>
    <w:p w14:paraId="52220AA3">
      <w:pPr>
        <w:spacing w:line="360" w:lineRule="auto"/>
        <w:jc w:val="center"/>
        <w:rPr>
          <w:rFonts w:ascii="仿宋" w:hAnsi="仿宋" w:eastAsia="仿宋" w:cs="仿宋"/>
          <w:b/>
          <w:bCs/>
          <w:sz w:val="36"/>
          <w:szCs w:val="36"/>
          <w:lang w:eastAsia="zh-CN"/>
        </w:rPr>
      </w:pPr>
    </w:p>
    <w:p w14:paraId="587914F7">
      <w:pPr>
        <w:spacing w:line="360" w:lineRule="auto"/>
        <w:jc w:val="center"/>
        <w:rPr>
          <w:rFonts w:ascii="仿宋" w:hAnsi="仿宋" w:eastAsia="仿宋" w:cs="仿宋"/>
          <w:b/>
          <w:bCs/>
          <w:sz w:val="36"/>
          <w:szCs w:val="36"/>
          <w:lang w:eastAsia="zh-CN"/>
        </w:rPr>
      </w:pPr>
    </w:p>
    <w:p w14:paraId="64EB75C6">
      <w:pPr>
        <w:spacing w:line="360" w:lineRule="auto"/>
        <w:jc w:val="center"/>
        <w:rPr>
          <w:rFonts w:ascii="仿宋" w:hAnsi="仿宋" w:eastAsia="仿宋" w:cs="仿宋"/>
          <w:b/>
          <w:bCs/>
          <w:sz w:val="36"/>
          <w:szCs w:val="36"/>
          <w:lang w:eastAsia="zh-CN"/>
        </w:rPr>
      </w:pPr>
    </w:p>
    <w:p w14:paraId="2E5D547E">
      <w:pPr>
        <w:spacing w:line="360" w:lineRule="auto"/>
        <w:jc w:val="center"/>
        <w:rPr>
          <w:rFonts w:ascii="仿宋" w:hAnsi="仿宋" w:eastAsia="仿宋" w:cs="仿宋"/>
          <w:b/>
          <w:bCs/>
          <w:sz w:val="36"/>
          <w:szCs w:val="36"/>
          <w:lang w:eastAsia="zh-CN"/>
        </w:rPr>
      </w:pPr>
    </w:p>
    <w:p w14:paraId="7AEC1526">
      <w:pPr>
        <w:spacing w:line="360" w:lineRule="auto"/>
        <w:jc w:val="center"/>
        <w:rPr>
          <w:rFonts w:ascii="仿宋" w:hAnsi="仿宋" w:eastAsia="仿宋" w:cs="仿宋"/>
          <w:b/>
          <w:bCs/>
          <w:sz w:val="36"/>
          <w:szCs w:val="36"/>
          <w:lang w:eastAsia="zh-CN"/>
        </w:rPr>
      </w:pPr>
    </w:p>
    <w:p w14:paraId="37E438B4">
      <w:pPr>
        <w:spacing w:line="360" w:lineRule="auto"/>
        <w:jc w:val="center"/>
        <w:rPr>
          <w:rFonts w:ascii="仿宋" w:hAnsi="仿宋" w:eastAsia="仿宋" w:cs="仿宋"/>
          <w:b/>
          <w:bCs/>
          <w:sz w:val="36"/>
          <w:szCs w:val="36"/>
          <w:lang w:eastAsia="zh-CN"/>
        </w:rPr>
      </w:pPr>
    </w:p>
    <w:p w14:paraId="18595646">
      <w:pPr>
        <w:spacing w:line="360" w:lineRule="auto"/>
        <w:jc w:val="center"/>
        <w:rPr>
          <w:rFonts w:ascii="仿宋" w:hAnsi="仿宋" w:eastAsia="仿宋" w:cs="仿宋"/>
          <w:b/>
          <w:bCs/>
          <w:sz w:val="36"/>
          <w:szCs w:val="36"/>
          <w:lang w:eastAsia="zh-CN"/>
        </w:rPr>
      </w:pPr>
    </w:p>
    <w:p w14:paraId="098E7268">
      <w:pPr>
        <w:spacing w:line="360" w:lineRule="auto"/>
        <w:jc w:val="center"/>
        <w:rPr>
          <w:rFonts w:ascii="仿宋" w:hAnsi="仿宋" w:eastAsia="仿宋" w:cs="仿宋"/>
          <w:b/>
          <w:bCs/>
          <w:sz w:val="36"/>
          <w:szCs w:val="36"/>
          <w:lang w:eastAsia="zh-CN"/>
        </w:rPr>
      </w:pPr>
    </w:p>
    <w:p w14:paraId="70715DD0">
      <w:pPr>
        <w:spacing w:line="360" w:lineRule="auto"/>
        <w:jc w:val="center"/>
        <w:rPr>
          <w:rFonts w:ascii="仿宋" w:hAnsi="仿宋" w:eastAsia="仿宋" w:cs="仿宋"/>
          <w:b/>
          <w:bCs/>
          <w:sz w:val="36"/>
          <w:szCs w:val="36"/>
          <w:lang w:eastAsia="zh-CN"/>
        </w:rPr>
      </w:pPr>
    </w:p>
    <w:p w14:paraId="592F7BE5">
      <w:pPr>
        <w:spacing w:line="360" w:lineRule="auto"/>
        <w:jc w:val="center"/>
        <w:rPr>
          <w:rFonts w:ascii="仿宋" w:hAnsi="仿宋" w:eastAsia="仿宋" w:cs="仿宋"/>
          <w:b/>
          <w:bCs/>
          <w:sz w:val="36"/>
          <w:szCs w:val="36"/>
          <w:lang w:eastAsia="zh-CN"/>
        </w:rPr>
      </w:pPr>
    </w:p>
    <w:p w14:paraId="572F9AE1">
      <w:pPr>
        <w:spacing w:line="360" w:lineRule="auto"/>
        <w:jc w:val="center"/>
        <w:rPr>
          <w:rFonts w:ascii="仿宋" w:hAnsi="仿宋" w:eastAsia="仿宋" w:cs="仿宋"/>
          <w:b/>
          <w:bCs/>
          <w:sz w:val="36"/>
          <w:szCs w:val="36"/>
          <w:lang w:eastAsia="zh-CN"/>
        </w:rPr>
      </w:pPr>
    </w:p>
    <w:p w14:paraId="2E912CE9">
      <w:pPr>
        <w:spacing w:line="360" w:lineRule="auto"/>
        <w:jc w:val="center"/>
        <w:rPr>
          <w:rFonts w:ascii="仿宋" w:hAnsi="仿宋" w:eastAsia="仿宋" w:cs="仿宋"/>
          <w:b/>
          <w:bCs/>
          <w:sz w:val="36"/>
          <w:szCs w:val="36"/>
          <w:lang w:eastAsia="zh-CN"/>
        </w:rPr>
      </w:pPr>
    </w:p>
    <w:p w14:paraId="5BF59B40">
      <w:pPr>
        <w:spacing w:line="360" w:lineRule="auto"/>
        <w:jc w:val="center"/>
        <w:rPr>
          <w:rFonts w:ascii="仿宋" w:hAnsi="仿宋" w:eastAsia="仿宋" w:cs="仿宋"/>
          <w:b/>
          <w:bCs/>
          <w:sz w:val="36"/>
          <w:szCs w:val="36"/>
          <w:lang w:eastAsia="zh-CN"/>
        </w:rPr>
      </w:pPr>
    </w:p>
    <w:p w14:paraId="2C4FC2D3">
      <w:pPr>
        <w:spacing w:line="360" w:lineRule="auto"/>
        <w:jc w:val="both"/>
        <w:rPr>
          <w:rFonts w:ascii="仿宋" w:hAnsi="仿宋" w:eastAsia="仿宋" w:cs="仿宋"/>
          <w:b/>
          <w:bCs/>
          <w:sz w:val="36"/>
          <w:szCs w:val="36"/>
          <w:lang w:eastAsia="zh-CN"/>
        </w:rPr>
      </w:pPr>
    </w:p>
    <w:p w14:paraId="5CC8F6F8">
      <w:pPr>
        <w:spacing w:line="360" w:lineRule="auto"/>
        <w:jc w:val="both"/>
        <w:rPr>
          <w:rFonts w:ascii="仿宋" w:hAnsi="仿宋" w:eastAsia="仿宋" w:cs="仿宋"/>
          <w:b/>
          <w:bCs/>
          <w:sz w:val="36"/>
          <w:szCs w:val="36"/>
          <w:lang w:eastAsia="zh-CN"/>
        </w:rPr>
      </w:pPr>
    </w:p>
    <w:p w14:paraId="75E88D1E">
      <w:pPr>
        <w:spacing w:line="360" w:lineRule="auto"/>
        <w:outlineLvl w:val="1"/>
        <w:rPr>
          <w:rFonts w:ascii="仿宋" w:hAnsi="仿宋" w:eastAsia="仿宋"/>
          <w:b/>
          <w:bCs/>
          <w:lang w:eastAsia="zh-CN"/>
        </w:rPr>
      </w:pPr>
      <w:bookmarkStart w:id="1106" w:name="_Toc7877"/>
      <w:bookmarkStart w:id="1107" w:name="_Toc27081"/>
      <w:bookmarkStart w:id="1108" w:name="_Toc47694458"/>
      <w:bookmarkStart w:id="1109" w:name="_Toc15525"/>
      <w:bookmarkStart w:id="1110" w:name="_Toc194073288"/>
      <w:bookmarkStart w:id="1111" w:name="_Toc12109"/>
      <w:bookmarkStart w:id="1112" w:name="_Toc30557"/>
      <w:r>
        <w:rPr>
          <w:rFonts w:hint="eastAsia" w:ascii="仿宋" w:hAnsi="仿宋" w:eastAsia="仿宋" w:cs="仿宋"/>
          <w:b/>
          <w:bCs/>
          <w:lang w:eastAsia="zh-CN"/>
        </w:rPr>
        <w:t>附件</w:t>
      </w:r>
      <w:bookmarkEnd w:id="1106"/>
      <w:bookmarkEnd w:id="1107"/>
      <w:bookmarkEnd w:id="1108"/>
      <w:bookmarkEnd w:id="1109"/>
      <w:r>
        <w:rPr>
          <w:rFonts w:hint="eastAsia" w:ascii="仿宋" w:hAnsi="仿宋" w:eastAsia="仿宋" w:cs="仿宋"/>
          <w:b/>
          <w:bCs/>
          <w:lang w:eastAsia="zh-CN"/>
        </w:rPr>
        <w:t>三：工程质量保修书</w:t>
      </w:r>
      <w:bookmarkEnd w:id="1110"/>
      <w:bookmarkEnd w:id="1111"/>
      <w:bookmarkEnd w:id="1112"/>
    </w:p>
    <w:p w14:paraId="3C4B65C1">
      <w:pPr>
        <w:spacing w:line="360" w:lineRule="auto"/>
        <w:rPr>
          <w:rFonts w:ascii="仿宋" w:hAnsi="仿宋" w:eastAsia="仿宋"/>
          <w:lang w:eastAsia="zh-CN"/>
        </w:rPr>
      </w:pPr>
    </w:p>
    <w:p w14:paraId="6BE5201A">
      <w:pPr>
        <w:adjustRightInd w:val="0"/>
        <w:snapToGrid w:val="0"/>
        <w:spacing w:line="360" w:lineRule="auto"/>
        <w:jc w:val="center"/>
        <w:rPr>
          <w:rFonts w:ascii="仿宋" w:hAnsi="仿宋" w:eastAsia="仿宋"/>
          <w:b/>
          <w:bCs/>
          <w:spacing w:val="32"/>
          <w:sz w:val="36"/>
          <w:szCs w:val="36"/>
          <w:lang w:eastAsia="zh-CN"/>
        </w:rPr>
      </w:pPr>
      <w:r>
        <w:rPr>
          <w:rFonts w:hint="eastAsia" w:ascii="仿宋" w:hAnsi="仿宋" w:eastAsia="仿宋" w:cs="仿宋"/>
          <w:b/>
          <w:bCs/>
          <w:spacing w:val="32"/>
          <w:sz w:val="36"/>
          <w:szCs w:val="36"/>
          <w:lang w:eastAsia="zh-CN"/>
        </w:rPr>
        <w:t>工程质量保修书</w:t>
      </w:r>
    </w:p>
    <w:p w14:paraId="23462AFA">
      <w:pPr>
        <w:spacing w:line="360" w:lineRule="auto"/>
        <w:rPr>
          <w:rFonts w:ascii="仿宋" w:hAnsi="仿宋" w:eastAsia="仿宋"/>
          <w:lang w:eastAsia="zh-CN"/>
        </w:rPr>
      </w:pPr>
      <w:r>
        <w:rPr>
          <w:rFonts w:hint="eastAsia" w:ascii="仿宋" w:hAnsi="仿宋" w:eastAsia="仿宋" w:cs="仿宋"/>
          <w:lang w:eastAsia="zh-CN"/>
        </w:rPr>
        <w:t>发包人</w:t>
      </w:r>
      <w:r>
        <w:rPr>
          <w:rFonts w:ascii="仿宋" w:hAnsi="仿宋" w:eastAsia="仿宋" w:cs="仿宋"/>
          <w:lang w:eastAsia="zh-CN"/>
        </w:rPr>
        <w:t>:</w:t>
      </w:r>
      <w:r>
        <w:rPr>
          <w:rFonts w:hint="eastAsia" w:ascii="仿宋" w:hAnsi="仿宋" w:eastAsia="仿宋" w:cs="仿宋"/>
          <w:lang w:eastAsia="zh-CN"/>
        </w:rPr>
        <w:t>（全称）广州天华科韵城市更新有限公司</w:t>
      </w:r>
    </w:p>
    <w:p w14:paraId="3730D43B">
      <w:pPr>
        <w:spacing w:line="360" w:lineRule="auto"/>
        <w:rPr>
          <w:rFonts w:ascii="仿宋" w:hAnsi="仿宋" w:eastAsia="仿宋" w:cs="仿宋"/>
          <w:lang w:eastAsia="zh-CN"/>
        </w:rPr>
      </w:pPr>
      <w:r>
        <w:rPr>
          <w:rFonts w:hint="eastAsia" w:ascii="仿宋" w:hAnsi="仿宋" w:eastAsia="仿宋" w:cs="仿宋"/>
          <w:lang w:eastAsia="zh-CN"/>
        </w:rPr>
        <w:t>承包人（承包人为联合体时）：</w:t>
      </w:r>
    </w:p>
    <w:p w14:paraId="2B818CA2">
      <w:pPr>
        <w:spacing w:line="360" w:lineRule="auto"/>
        <w:rPr>
          <w:rFonts w:ascii="仿宋" w:hAnsi="仿宋" w:eastAsia="仿宋" w:cs="仿宋"/>
          <w:u w:val="single"/>
          <w:lang w:eastAsia="zh-CN"/>
        </w:rPr>
      </w:pPr>
      <w:r>
        <w:rPr>
          <w:rFonts w:hint="eastAsia" w:ascii="仿宋" w:hAnsi="仿宋" w:eastAsia="仿宋" w:cs="仿宋"/>
          <w:lang w:eastAsia="zh-CN"/>
        </w:rPr>
        <w:t>(联合体牵头单位全称)：</w:t>
      </w:r>
      <w:r>
        <w:rPr>
          <w:rFonts w:hint="eastAsia" w:ascii="仿宋" w:hAnsi="仿宋" w:eastAsia="仿宋" w:cs="仿宋"/>
          <w:b/>
          <w:u w:val="single"/>
          <w:lang w:eastAsia="zh-CN"/>
        </w:rPr>
        <w:t xml:space="preserve">                          </w:t>
      </w:r>
    </w:p>
    <w:p w14:paraId="2DB49ADD">
      <w:pPr>
        <w:spacing w:line="360" w:lineRule="auto"/>
        <w:rPr>
          <w:rFonts w:ascii="仿宋" w:hAnsi="仿宋" w:eastAsia="仿宋" w:cs="仿宋"/>
          <w:b/>
          <w:u w:val="single"/>
          <w:lang w:eastAsia="zh-CN"/>
        </w:rPr>
      </w:pPr>
      <w:r>
        <w:rPr>
          <w:rFonts w:hint="eastAsia" w:ascii="仿宋" w:hAnsi="仿宋" w:eastAsia="仿宋" w:cs="仿宋"/>
          <w:u w:val="single"/>
          <w:lang w:eastAsia="zh-CN"/>
        </w:rPr>
        <w:t>(联合体成员全称)：</w:t>
      </w:r>
      <w:r>
        <w:rPr>
          <w:rFonts w:hint="eastAsia" w:ascii="仿宋" w:hAnsi="仿宋" w:eastAsia="仿宋" w:cs="仿宋"/>
          <w:b/>
          <w:u w:val="single"/>
          <w:lang w:eastAsia="zh-CN"/>
        </w:rPr>
        <w:t xml:space="preserve">                            </w:t>
      </w:r>
    </w:p>
    <w:p w14:paraId="1C684565">
      <w:pPr>
        <w:adjustRightInd w:val="0"/>
        <w:snapToGrid w:val="0"/>
        <w:spacing w:line="360" w:lineRule="auto"/>
        <w:ind w:firstLine="480" w:firstLineChars="200"/>
        <w:rPr>
          <w:rFonts w:ascii="仿宋" w:hAnsi="仿宋" w:eastAsia="仿宋" w:cs="仿宋"/>
          <w:lang w:eastAsia="zh-CN"/>
        </w:rPr>
      </w:pPr>
      <w:r>
        <w:rPr>
          <w:rFonts w:hint="eastAsia" w:ascii="仿宋" w:hAnsi="仿宋" w:eastAsia="仿宋" w:cs="仿宋"/>
          <w:lang w:eastAsia="zh-CN"/>
        </w:rPr>
        <w:t>为保证</w:t>
      </w:r>
      <w:r>
        <w:rPr>
          <w:rFonts w:hint="eastAsia" w:ascii="仿宋" w:hAnsi="仿宋" w:eastAsia="仿宋" w:cs="仿宋"/>
          <w:b/>
          <w:u w:val="single"/>
          <w:lang w:eastAsia="zh-CN"/>
        </w:rPr>
        <w:t>天河区凌塘村城中村改造项目-首开区复建安置房及配套设施工程设计施工总承包</w:t>
      </w:r>
      <w:r>
        <w:rPr>
          <w:rFonts w:hint="eastAsia" w:ascii="仿宋" w:hAnsi="仿宋" w:eastAsia="仿宋" w:cs="仿宋"/>
          <w:lang w:eastAsia="zh-CN"/>
        </w:rPr>
        <w:t>（工程名称）在合理使用期限内正常使用，合同双方当事人根据《中华人民共和国建筑法》、《建设工程质量管理条例》和《房屋建筑工程质量保修办法》等规定，经协商一致，订立本质量保修书。</w:t>
      </w:r>
    </w:p>
    <w:p w14:paraId="3AB23CE2">
      <w:pPr>
        <w:pStyle w:val="42"/>
        <w:ind w:firstLine="400"/>
        <w:rPr>
          <w:lang w:eastAsia="zh-CN"/>
        </w:rPr>
      </w:pPr>
    </w:p>
    <w:p w14:paraId="31C0FC4C">
      <w:pPr>
        <w:numPr>
          <w:ilvl w:val="0"/>
          <w:numId w:val="48"/>
        </w:numPr>
        <w:adjustRightInd w:val="0"/>
        <w:snapToGrid w:val="0"/>
        <w:spacing w:line="360" w:lineRule="auto"/>
        <w:ind w:left="962" w:leftChars="200" w:hanging="482" w:hangingChars="200"/>
        <w:rPr>
          <w:rFonts w:ascii="仿宋" w:hAnsi="仿宋" w:eastAsia="仿宋"/>
          <w:b/>
          <w:bCs/>
        </w:rPr>
      </w:pPr>
      <w:r>
        <w:rPr>
          <w:rFonts w:hint="eastAsia" w:ascii="仿宋" w:hAnsi="仿宋" w:eastAsia="仿宋" w:cs="仿宋"/>
          <w:b/>
          <w:bCs/>
        </w:rPr>
        <w:t>质量保修范围</w:t>
      </w:r>
    </w:p>
    <w:p w14:paraId="6F3BFA05">
      <w:pPr>
        <w:adjustRightInd w:val="0"/>
        <w:snapToGrid w:val="0"/>
        <w:spacing w:line="360" w:lineRule="auto"/>
        <w:ind w:firstLine="480" w:firstLineChars="200"/>
        <w:rPr>
          <w:rFonts w:ascii="仿宋" w:hAnsi="仿宋" w:eastAsia="仿宋" w:cs="仿宋"/>
          <w:u w:val="single"/>
          <w:lang w:eastAsia="zh-CN"/>
        </w:rPr>
      </w:pPr>
      <w:r>
        <w:rPr>
          <w:rFonts w:hint="eastAsia" w:ascii="仿宋" w:hAnsi="仿宋" w:eastAsia="仿宋" w:cs="仿宋"/>
          <w:lang w:eastAsia="zh-CN"/>
        </w:rPr>
        <w:t>质量保修范围包括地基基础工程、主体结构工程、屋面防水工程、有防水要求的卫生间、房间、外墙面的防渗漏工程、电气管线工程、给排水管道工程、设备安装工程、供热、供冷系统工程、装饰装修工程以及双方约定其他项目。具体质量保修范围，合同双方当事人约定如下：</w:t>
      </w:r>
      <w:r>
        <w:rPr>
          <w:rFonts w:hint="eastAsia" w:ascii="仿宋" w:hAnsi="仿宋" w:eastAsia="仿宋" w:cs="仿宋"/>
          <w:u w:val="single"/>
          <w:lang w:eastAsia="zh-CN"/>
        </w:rPr>
        <w:t xml:space="preserve"> 招标文件、施工图纸和合同约定的内容。</w:t>
      </w:r>
    </w:p>
    <w:p w14:paraId="44461F2F">
      <w:pPr>
        <w:pStyle w:val="42"/>
        <w:ind w:firstLine="400"/>
        <w:rPr>
          <w:lang w:eastAsia="zh-CN"/>
        </w:rPr>
      </w:pPr>
    </w:p>
    <w:p w14:paraId="068D1330">
      <w:pPr>
        <w:numPr>
          <w:ilvl w:val="0"/>
          <w:numId w:val="48"/>
        </w:numPr>
        <w:adjustRightInd w:val="0"/>
        <w:snapToGrid w:val="0"/>
        <w:spacing w:line="360" w:lineRule="auto"/>
        <w:ind w:left="962" w:leftChars="200" w:hanging="482" w:hangingChars="200"/>
        <w:rPr>
          <w:rFonts w:ascii="仿宋" w:hAnsi="仿宋" w:eastAsia="仿宋"/>
          <w:b/>
          <w:bCs/>
        </w:rPr>
      </w:pPr>
      <w:r>
        <w:rPr>
          <w:rFonts w:hint="eastAsia" w:ascii="仿宋" w:hAnsi="仿宋" w:eastAsia="仿宋" w:cs="仿宋"/>
          <w:b/>
          <w:bCs/>
        </w:rPr>
        <w:t>质量保修期</w:t>
      </w:r>
    </w:p>
    <w:p w14:paraId="544EEF4C">
      <w:pPr>
        <w:adjustRightInd w:val="0"/>
        <w:snapToGrid w:val="0"/>
        <w:spacing w:line="360" w:lineRule="auto"/>
        <w:ind w:firstLine="480" w:firstLineChars="200"/>
        <w:rPr>
          <w:rFonts w:ascii="仿宋" w:hAnsi="仿宋" w:eastAsia="仿宋"/>
          <w:lang w:eastAsia="zh-CN"/>
        </w:rPr>
      </w:pPr>
      <w:r>
        <w:rPr>
          <w:rFonts w:hint="eastAsia" w:ascii="仿宋" w:hAnsi="仿宋" w:eastAsia="仿宋" w:cs="仿宋"/>
          <w:lang w:eastAsia="zh-CN"/>
        </w:rPr>
        <w:t xml:space="preserve">2.1 </w:t>
      </w:r>
      <w:r>
        <w:rPr>
          <w:rFonts w:ascii="仿宋" w:hAnsi="仿宋" w:eastAsia="仿宋" w:cs="仿宋"/>
          <w:lang w:eastAsia="zh-CN"/>
        </w:rPr>
        <w:t xml:space="preserve"> </w:t>
      </w:r>
      <w:r>
        <w:rPr>
          <w:rFonts w:hint="eastAsia" w:ascii="仿宋" w:hAnsi="仿宋" w:eastAsia="仿宋" w:cs="仿宋"/>
          <w:lang w:eastAsia="zh-CN"/>
        </w:rPr>
        <w:t>质量保修期从工程实际竣工联合验收合格并移交完成之日算起。单项竣工验收的工程，按单项工程分别计算质量保修期。</w:t>
      </w:r>
    </w:p>
    <w:p w14:paraId="771BA7B8">
      <w:pPr>
        <w:adjustRightInd w:val="0"/>
        <w:snapToGrid w:val="0"/>
        <w:spacing w:line="360" w:lineRule="auto"/>
        <w:ind w:firstLine="480" w:firstLineChars="200"/>
        <w:rPr>
          <w:rFonts w:ascii="仿宋" w:hAnsi="仿宋" w:eastAsia="仿宋"/>
          <w:lang w:eastAsia="zh-CN"/>
        </w:rPr>
      </w:pPr>
      <w:r>
        <w:rPr>
          <w:rFonts w:hint="eastAsia" w:ascii="仿宋" w:hAnsi="仿宋" w:eastAsia="仿宋" w:cs="仿宋"/>
          <w:lang w:eastAsia="zh-CN"/>
        </w:rPr>
        <w:t xml:space="preserve">2.2 </w:t>
      </w:r>
      <w:r>
        <w:rPr>
          <w:rFonts w:ascii="仿宋" w:hAnsi="仿宋" w:eastAsia="仿宋" w:cs="仿宋"/>
          <w:lang w:eastAsia="zh-CN"/>
        </w:rPr>
        <w:t xml:space="preserve"> </w:t>
      </w:r>
      <w:r>
        <w:rPr>
          <w:rFonts w:hint="eastAsia" w:ascii="仿宋" w:hAnsi="仿宋" w:eastAsia="仿宋" w:cs="仿宋"/>
          <w:lang w:val="zh-CN" w:eastAsia="zh-CN"/>
        </w:rPr>
        <w:t>合同工程质量保修期，合同双方当事人约定如下</w:t>
      </w:r>
      <w:r>
        <w:rPr>
          <w:rFonts w:hint="eastAsia" w:ascii="仿宋" w:hAnsi="仿宋" w:eastAsia="仿宋" w:cs="仿宋"/>
          <w:lang w:eastAsia="zh-CN"/>
        </w:rPr>
        <w:t>：</w:t>
      </w:r>
    </w:p>
    <w:p w14:paraId="0000C608">
      <w:pPr>
        <w:adjustRightInd w:val="0"/>
        <w:snapToGrid w:val="0"/>
        <w:spacing w:line="360" w:lineRule="auto"/>
        <w:ind w:firstLine="480" w:firstLineChars="200"/>
        <w:rPr>
          <w:rFonts w:ascii="仿宋" w:hAnsi="仿宋" w:eastAsia="仿宋"/>
          <w:lang w:eastAsia="zh-CN"/>
        </w:rPr>
      </w:pPr>
      <w:r>
        <w:rPr>
          <w:rFonts w:hint="eastAsia" w:ascii="仿宋" w:hAnsi="仿宋" w:eastAsia="仿宋" w:cs="仿宋"/>
          <w:lang w:eastAsia="zh-CN"/>
        </w:rPr>
        <w:t>（1）地基基础工程、主体结构工程为设计文件规定的合理使用年限；</w:t>
      </w:r>
    </w:p>
    <w:p w14:paraId="3DBAED37">
      <w:pPr>
        <w:adjustRightInd w:val="0"/>
        <w:snapToGrid w:val="0"/>
        <w:spacing w:line="360" w:lineRule="auto"/>
        <w:ind w:firstLine="480" w:firstLineChars="200"/>
        <w:rPr>
          <w:rFonts w:ascii="仿宋" w:hAnsi="仿宋" w:eastAsia="仿宋"/>
          <w:lang w:eastAsia="zh-CN"/>
        </w:rPr>
      </w:pPr>
      <w:r>
        <w:rPr>
          <w:rFonts w:hint="eastAsia" w:ascii="仿宋" w:hAnsi="仿宋" w:eastAsia="仿宋" w:cs="仿宋"/>
          <w:lang w:eastAsia="zh-CN"/>
        </w:rPr>
        <w:t>（2）屋面防水工程、有防水要求的卫生间、房间和外墙面的防渗漏工程为</w:t>
      </w:r>
      <w:r>
        <w:rPr>
          <w:rFonts w:hint="eastAsia" w:ascii="仿宋" w:hAnsi="仿宋" w:eastAsia="仿宋" w:cs="仿宋"/>
          <w:u w:val="single"/>
          <w:lang w:eastAsia="zh-CN"/>
        </w:rPr>
        <w:t xml:space="preserve"> 5</w:t>
      </w:r>
      <w:r>
        <w:rPr>
          <w:rFonts w:ascii="仿宋" w:hAnsi="仿宋" w:eastAsia="仿宋" w:cs="仿宋"/>
          <w:u w:val="single"/>
          <w:lang w:eastAsia="zh-CN"/>
        </w:rPr>
        <w:t xml:space="preserve"> </w:t>
      </w:r>
      <w:r>
        <w:rPr>
          <w:rFonts w:hint="eastAsia" w:ascii="仿宋" w:hAnsi="仿宋" w:eastAsia="仿宋" w:cs="仿宋"/>
          <w:lang w:eastAsia="zh-CN"/>
        </w:rPr>
        <w:t>年；</w:t>
      </w:r>
    </w:p>
    <w:p w14:paraId="4DBA2136">
      <w:pPr>
        <w:adjustRightInd w:val="0"/>
        <w:snapToGrid w:val="0"/>
        <w:spacing w:line="360" w:lineRule="auto"/>
        <w:ind w:firstLine="480" w:firstLineChars="200"/>
        <w:rPr>
          <w:rFonts w:ascii="仿宋" w:hAnsi="仿宋" w:eastAsia="仿宋"/>
          <w:lang w:eastAsia="zh-CN"/>
        </w:rPr>
      </w:pPr>
      <w:r>
        <w:rPr>
          <w:rFonts w:hint="eastAsia" w:ascii="仿宋" w:hAnsi="仿宋" w:eastAsia="仿宋" w:cs="仿宋"/>
          <w:lang w:eastAsia="zh-CN"/>
        </w:rPr>
        <w:t>（3）电气管线工程、给排水管道工程、设备安装工程为</w:t>
      </w:r>
      <w:r>
        <w:rPr>
          <w:rFonts w:hint="eastAsia" w:ascii="仿宋" w:hAnsi="仿宋" w:eastAsia="仿宋" w:cs="仿宋"/>
          <w:u w:val="single"/>
          <w:lang w:eastAsia="zh-CN"/>
        </w:rPr>
        <w:t>2</w:t>
      </w:r>
      <w:r>
        <w:rPr>
          <w:rFonts w:hint="eastAsia" w:ascii="仿宋" w:hAnsi="仿宋" w:eastAsia="仿宋" w:cs="仿宋"/>
          <w:lang w:eastAsia="zh-CN"/>
        </w:rPr>
        <w:t>年；</w:t>
      </w:r>
    </w:p>
    <w:p w14:paraId="36337E09">
      <w:pPr>
        <w:adjustRightInd w:val="0"/>
        <w:snapToGrid w:val="0"/>
        <w:spacing w:line="360" w:lineRule="auto"/>
        <w:ind w:firstLine="480" w:firstLineChars="200"/>
        <w:rPr>
          <w:rFonts w:ascii="仿宋" w:hAnsi="仿宋" w:eastAsia="仿宋"/>
          <w:lang w:eastAsia="zh-CN"/>
        </w:rPr>
      </w:pPr>
      <w:r>
        <w:rPr>
          <w:rFonts w:hint="eastAsia" w:ascii="仿宋" w:hAnsi="仿宋" w:eastAsia="仿宋" w:cs="仿宋"/>
          <w:lang w:eastAsia="zh-CN"/>
        </w:rPr>
        <w:t>（4）供热、供冷系统工程为</w:t>
      </w:r>
      <w:r>
        <w:rPr>
          <w:rFonts w:hint="eastAsia" w:ascii="仿宋" w:hAnsi="仿宋" w:eastAsia="仿宋" w:cs="仿宋"/>
          <w:u w:val="single"/>
          <w:lang w:eastAsia="zh-CN"/>
        </w:rPr>
        <w:t xml:space="preserve"> 2</w:t>
      </w:r>
      <w:r>
        <w:rPr>
          <w:rFonts w:ascii="仿宋" w:hAnsi="仿宋" w:eastAsia="仿宋" w:cs="仿宋"/>
          <w:u w:val="single"/>
          <w:lang w:eastAsia="zh-CN"/>
        </w:rPr>
        <w:t xml:space="preserve"> </w:t>
      </w:r>
      <w:r>
        <w:rPr>
          <w:rFonts w:hint="eastAsia" w:ascii="仿宋" w:hAnsi="仿宋" w:eastAsia="仿宋" w:cs="仿宋"/>
          <w:lang w:eastAsia="zh-CN"/>
        </w:rPr>
        <w:t>个采暖期、供冷期；</w:t>
      </w:r>
    </w:p>
    <w:p w14:paraId="015F6FE7">
      <w:pPr>
        <w:adjustRightInd w:val="0"/>
        <w:snapToGrid w:val="0"/>
        <w:spacing w:line="360" w:lineRule="auto"/>
        <w:ind w:firstLine="480" w:firstLineChars="200"/>
        <w:rPr>
          <w:rFonts w:ascii="仿宋" w:hAnsi="仿宋" w:eastAsia="仿宋"/>
          <w:lang w:eastAsia="zh-CN"/>
        </w:rPr>
      </w:pPr>
      <w:r>
        <w:rPr>
          <w:rFonts w:hint="eastAsia" w:ascii="仿宋" w:hAnsi="仿宋" w:eastAsia="仿宋" w:cs="仿宋"/>
          <w:lang w:eastAsia="zh-CN"/>
        </w:rPr>
        <w:t>（5）装饰装修工程为</w:t>
      </w:r>
      <w:r>
        <w:rPr>
          <w:rFonts w:hint="eastAsia" w:ascii="仿宋" w:hAnsi="仿宋" w:eastAsia="仿宋" w:cs="仿宋"/>
          <w:u w:val="single"/>
          <w:lang w:eastAsia="zh-CN"/>
        </w:rPr>
        <w:t xml:space="preserve"> 2 </w:t>
      </w:r>
      <w:r>
        <w:rPr>
          <w:rFonts w:hint="eastAsia" w:ascii="仿宋" w:hAnsi="仿宋" w:eastAsia="仿宋" w:cs="仿宋"/>
          <w:lang w:eastAsia="zh-CN"/>
        </w:rPr>
        <w:t>年；</w:t>
      </w:r>
    </w:p>
    <w:p w14:paraId="5CB71344">
      <w:pPr>
        <w:adjustRightInd w:val="0"/>
        <w:snapToGrid w:val="0"/>
        <w:spacing w:line="360" w:lineRule="auto"/>
        <w:ind w:firstLine="480" w:firstLineChars="200"/>
        <w:rPr>
          <w:rFonts w:ascii="仿宋" w:hAnsi="仿宋" w:eastAsia="仿宋" w:cs="仿宋"/>
          <w:lang w:eastAsia="zh-CN"/>
        </w:rPr>
      </w:pPr>
      <w:r>
        <w:rPr>
          <w:rFonts w:hint="eastAsia" w:ascii="仿宋" w:hAnsi="仿宋" w:eastAsia="仿宋" w:cs="仿宋"/>
          <w:lang w:eastAsia="zh-CN"/>
        </w:rPr>
        <w:t>（6）电梯工程为</w:t>
      </w:r>
      <w:r>
        <w:rPr>
          <w:rFonts w:hint="eastAsia" w:ascii="仿宋" w:hAnsi="仿宋" w:eastAsia="仿宋" w:cs="仿宋"/>
          <w:u w:val="single"/>
          <w:lang w:eastAsia="zh-CN"/>
        </w:rPr>
        <w:t>3</w:t>
      </w:r>
      <w:r>
        <w:rPr>
          <w:rFonts w:hint="eastAsia" w:ascii="仿宋" w:hAnsi="仿宋" w:eastAsia="仿宋" w:cs="仿宋"/>
          <w:lang w:eastAsia="zh-CN"/>
        </w:rPr>
        <w:t>年；</w:t>
      </w:r>
    </w:p>
    <w:p w14:paraId="2FDC52C9">
      <w:pPr>
        <w:adjustRightInd w:val="0"/>
        <w:snapToGrid w:val="0"/>
        <w:spacing w:line="360" w:lineRule="auto"/>
        <w:ind w:firstLine="480" w:firstLineChars="200"/>
        <w:rPr>
          <w:rFonts w:ascii="仿宋" w:hAnsi="仿宋" w:eastAsia="仿宋"/>
          <w:lang w:eastAsia="zh-CN"/>
        </w:rPr>
      </w:pPr>
      <w:r>
        <w:rPr>
          <w:rFonts w:hint="eastAsia" w:ascii="仿宋" w:hAnsi="仿宋" w:eastAsia="仿宋" w:cs="仿宋"/>
          <w:lang w:eastAsia="zh-CN"/>
        </w:rPr>
        <w:t>（7）其他项目</w:t>
      </w:r>
      <w:r>
        <w:rPr>
          <w:rFonts w:hint="eastAsia" w:ascii="仿宋" w:hAnsi="仿宋" w:eastAsia="仿宋" w:cs="仿宋"/>
          <w:u w:val="single"/>
          <w:lang w:eastAsia="zh-CN"/>
        </w:rPr>
        <w:t xml:space="preserve"> </w:t>
      </w:r>
      <w:r>
        <w:rPr>
          <w:rFonts w:ascii="仿宋" w:hAnsi="仿宋" w:eastAsia="仿宋" w:cs="仿宋"/>
          <w:u w:val="single"/>
          <w:lang w:eastAsia="zh-CN"/>
        </w:rPr>
        <w:t>2</w:t>
      </w:r>
      <w:r>
        <w:rPr>
          <w:rFonts w:hint="eastAsia" w:ascii="仿宋" w:hAnsi="仿宋" w:eastAsia="仿宋" w:cs="仿宋"/>
          <w:u w:val="single"/>
          <w:lang w:eastAsia="zh-CN"/>
        </w:rPr>
        <w:t xml:space="preserve"> </w:t>
      </w:r>
      <w:r>
        <w:rPr>
          <w:rFonts w:hint="eastAsia" w:ascii="仿宋" w:hAnsi="仿宋" w:eastAsia="仿宋" w:cs="仿宋"/>
          <w:lang w:eastAsia="zh-CN"/>
        </w:rPr>
        <w:t>年。</w:t>
      </w:r>
    </w:p>
    <w:p w14:paraId="5A92546E">
      <w:pPr>
        <w:spacing w:after="120" w:line="360" w:lineRule="auto"/>
        <w:ind w:firstLine="480" w:firstLineChars="200"/>
        <w:rPr>
          <w:rFonts w:ascii="仿宋" w:hAnsi="仿宋" w:eastAsia="仿宋"/>
          <w:lang w:eastAsia="zh-CN"/>
        </w:rPr>
      </w:pPr>
      <w:r>
        <w:rPr>
          <w:rFonts w:ascii="仿宋" w:hAnsi="仿宋" w:eastAsia="仿宋"/>
          <w:lang w:eastAsia="zh-CN"/>
        </w:rPr>
        <w:t>（</w:t>
      </w:r>
      <w:r>
        <w:rPr>
          <w:rFonts w:hint="eastAsia" w:ascii="仿宋" w:hAnsi="仿宋" w:eastAsia="仿宋"/>
          <w:lang w:eastAsia="zh-CN"/>
        </w:rPr>
        <w:t>8</w:t>
      </w:r>
      <w:r>
        <w:rPr>
          <w:rFonts w:ascii="仿宋" w:hAnsi="仿宋" w:eastAsia="仿宋"/>
          <w:lang w:eastAsia="zh-CN"/>
        </w:rPr>
        <w:t>）</w:t>
      </w:r>
      <w:r>
        <w:rPr>
          <w:rFonts w:hint="eastAsia" w:ascii="仿宋" w:hAnsi="仿宋" w:eastAsia="仿宋" w:cs="仿宋"/>
          <w:lang w:eastAsia="zh-CN"/>
        </w:rPr>
        <w:t>园林绿化工程保修期从竣工验收之日起算为</w:t>
      </w:r>
      <w:r>
        <w:rPr>
          <w:rFonts w:ascii="仿宋" w:hAnsi="仿宋" w:eastAsia="仿宋" w:cs="仿宋"/>
          <w:u w:val="single"/>
          <w:lang w:eastAsia="zh-CN"/>
        </w:rPr>
        <w:t>2</w:t>
      </w:r>
      <w:r>
        <w:rPr>
          <w:rFonts w:ascii="仿宋" w:hAnsi="仿宋" w:eastAsia="仿宋" w:cs="仿宋"/>
          <w:lang w:eastAsia="zh-CN"/>
        </w:rPr>
        <w:t>年</w:t>
      </w:r>
      <w:r>
        <w:rPr>
          <w:rFonts w:hint="eastAsia" w:ascii="仿宋" w:hAnsi="仿宋" w:eastAsia="仿宋" w:cs="仿宋"/>
          <w:lang w:eastAsia="zh-CN"/>
        </w:rPr>
        <w:t>。园林绿化工程保修期指的是保成养护期，在施工过程中的管理措施为保活养护；施工完毕，竣工验收后的管理措施为保成养护。</w:t>
      </w:r>
    </w:p>
    <w:p w14:paraId="7B35EC48">
      <w:pPr>
        <w:adjustRightInd w:val="0"/>
        <w:snapToGrid w:val="0"/>
        <w:spacing w:line="360" w:lineRule="auto"/>
        <w:ind w:left="480"/>
        <w:rPr>
          <w:rFonts w:ascii="仿宋" w:hAnsi="仿宋" w:eastAsia="仿宋"/>
          <w:lang w:eastAsia="zh-CN"/>
        </w:rPr>
      </w:pPr>
      <w:r>
        <w:rPr>
          <w:rFonts w:hint="eastAsia" w:ascii="仿宋" w:hAnsi="仿宋" w:eastAsia="仿宋" w:cs="仿宋"/>
          <w:lang w:eastAsia="zh-CN"/>
        </w:rPr>
        <w:t>3．</w:t>
      </w:r>
      <w:r>
        <w:rPr>
          <w:rFonts w:hint="eastAsia" w:ascii="仿宋" w:hAnsi="仿宋" w:eastAsia="仿宋" w:cs="仿宋"/>
          <w:b/>
          <w:bCs/>
          <w:lang w:eastAsia="zh-CN"/>
        </w:rPr>
        <w:t>质量保修责任</w:t>
      </w:r>
    </w:p>
    <w:p w14:paraId="07A9AFB1">
      <w:pPr>
        <w:adjustRightInd w:val="0"/>
        <w:snapToGrid w:val="0"/>
        <w:spacing w:line="360" w:lineRule="auto"/>
        <w:ind w:firstLine="480" w:firstLineChars="200"/>
        <w:rPr>
          <w:rFonts w:ascii="仿宋" w:hAnsi="仿宋" w:eastAsia="仿宋"/>
          <w:lang w:eastAsia="zh-CN"/>
        </w:rPr>
      </w:pPr>
      <w:r>
        <w:rPr>
          <w:rFonts w:hint="eastAsia" w:ascii="仿宋" w:hAnsi="仿宋" w:eastAsia="仿宋" w:cs="仿宋"/>
          <w:lang w:eastAsia="zh-CN"/>
        </w:rPr>
        <w:t xml:space="preserve">3.1  </w:t>
      </w:r>
      <w:r>
        <w:rPr>
          <w:rFonts w:hint="eastAsia" w:ascii="仿宋" w:hAnsi="仿宋" w:eastAsia="仿宋" w:cs="仿宋"/>
          <w:lang w:val="zh-CN" w:eastAsia="zh-CN"/>
        </w:rPr>
        <w:t>属于保修范围的项目，承包人应在接到故障保修响应方面应做到：承包人须在接到发包人（或物业管理）通知的</w:t>
      </w:r>
      <w:r>
        <w:rPr>
          <w:rFonts w:ascii="仿宋" w:hAnsi="仿宋" w:eastAsia="仿宋" w:cs="仿宋"/>
          <w:lang w:val="zh-CN" w:eastAsia="zh-CN"/>
        </w:rPr>
        <w:t>1小时内予以答复；在</w:t>
      </w:r>
      <w:r>
        <w:rPr>
          <w:rFonts w:hint="eastAsia" w:ascii="仿宋" w:hAnsi="仿宋" w:eastAsia="仿宋" w:cs="仿宋"/>
          <w:lang w:val="zh-CN" w:eastAsia="zh-CN"/>
        </w:rPr>
        <w:t>发包人要求时，承包人的技术人员须在收到通知后</w:t>
      </w:r>
      <w:r>
        <w:rPr>
          <w:rFonts w:ascii="仿宋" w:hAnsi="仿宋" w:eastAsia="仿宋" w:cs="仿宋"/>
          <w:lang w:val="zh-CN" w:eastAsia="zh-CN"/>
        </w:rPr>
        <w:t>12小时之内到现场进行修理，相关的维修必须连续进行，直至故障完全修复为止。若在24小时内不能排除故障，承包人应立即采取切实有效的补救措施（包括免费提供应急设备），全力防止损失的扩大。</w:t>
      </w:r>
      <w:r>
        <w:rPr>
          <w:rFonts w:hint="eastAsia" w:ascii="仿宋" w:hAnsi="仿宋" w:eastAsia="仿宋" w:cs="仿宋"/>
          <w:b w:val="0"/>
          <w:bCs w:val="0"/>
          <w:lang w:val="zh-CN" w:eastAsia="zh-CN"/>
        </w:rPr>
        <w:t>承包人未能在规定时间内派人保修的，发包人可自行或</w:t>
      </w:r>
      <w:r>
        <w:rPr>
          <w:rFonts w:hint="eastAsia" w:ascii="仿宋" w:hAnsi="仿宋" w:eastAsia="仿宋" w:cs="仿宋"/>
          <w:lang w:val="zh-CN" w:eastAsia="zh-CN"/>
        </w:rPr>
        <w:t>委托第三方保修</w:t>
      </w:r>
      <w:r>
        <w:rPr>
          <w:rFonts w:hint="eastAsia" w:ascii="仿宋" w:hAnsi="仿宋" w:eastAsia="仿宋" w:cs="仿宋"/>
          <w:lang w:eastAsia="zh-CN"/>
        </w:rPr>
        <w:t>。</w:t>
      </w:r>
    </w:p>
    <w:p w14:paraId="3B9C105A">
      <w:pPr>
        <w:adjustRightInd w:val="0"/>
        <w:snapToGrid w:val="0"/>
        <w:spacing w:line="360" w:lineRule="auto"/>
        <w:ind w:firstLine="480" w:firstLineChars="200"/>
        <w:rPr>
          <w:rFonts w:ascii="仿宋" w:hAnsi="仿宋" w:eastAsia="仿宋"/>
          <w:lang w:eastAsia="zh-CN"/>
        </w:rPr>
      </w:pPr>
      <w:r>
        <w:rPr>
          <w:rFonts w:hint="eastAsia" w:ascii="仿宋" w:hAnsi="仿宋" w:eastAsia="仿宋" w:cs="仿宋"/>
          <w:lang w:eastAsia="zh-CN"/>
        </w:rPr>
        <w:t>3.2  发生紧急抢修事故的，承包人在接到通知后，应立即到达事故现场抢修。</w:t>
      </w:r>
    </w:p>
    <w:p w14:paraId="5AB9FB90">
      <w:pPr>
        <w:adjustRightInd w:val="0"/>
        <w:snapToGrid w:val="0"/>
        <w:spacing w:line="360" w:lineRule="auto"/>
        <w:ind w:firstLine="480" w:firstLineChars="200"/>
        <w:rPr>
          <w:rFonts w:ascii="仿宋" w:hAnsi="仿宋" w:eastAsia="仿宋"/>
          <w:lang w:eastAsia="zh-CN"/>
        </w:rPr>
      </w:pPr>
      <w:r>
        <w:rPr>
          <w:rFonts w:hint="eastAsia" w:ascii="仿宋" w:hAnsi="仿宋" w:eastAsia="仿宋" w:cs="仿宋"/>
          <w:lang w:eastAsia="zh-CN"/>
        </w:rPr>
        <w:t>3.3  在国家规定的工程合理使用期限内，承包人应确保地基基础工程和主体结构的质量和安全。凡出现其质量问题，应立即报告当地建设行政主管部门，由承包人或具有相应资质等级的设计单位提出保修方案后，承包人应立即实施保修。</w:t>
      </w:r>
    </w:p>
    <w:p w14:paraId="26780F04">
      <w:pPr>
        <w:adjustRightInd w:val="0"/>
        <w:snapToGrid w:val="0"/>
        <w:spacing w:line="360" w:lineRule="auto"/>
        <w:ind w:firstLine="480" w:firstLineChars="200"/>
        <w:rPr>
          <w:rFonts w:ascii="仿宋" w:hAnsi="仿宋" w:eastAsia="仿宋"/>
          <w:lang w:eastAsia="zh-CN"/>
        </w:rPr>
      </w:pPr>
      <w:r>
        <w:rPr>
          <w:rFonts w:hint="eastAsia" w:ascii="仿宋" w:hAnsi="仿宋" w:eastAsia="仿宋" w:cs="仿宋"/>
          <w:lang w:eastAsia="zh-CN"/>
        </w:rPr>
        <w:t>3.4  质量保修完成后，由发包人组织验收。</w:t>
      </w:r>
    </w:p>
    <w:p w14:paraId="1E0BEB58">
      <w:pPr>
        <w:adjustRightInd w:val="0"/>
        <w:snapToGrid w:val="0"/>
        <w:ind w:firstLine="480" w:firstLineChars="200"/>
        <w:rPr>
          <w:rFonts w:ascii="仿宋" w:hAnsi="仿宋" w:eastAsia="仿宋"/>
          <w:lang w:eastAsia="zh-CN"/>
        </w:rPr>
      </w:pPr>
    </w:p>
    <w:p w14:paraId="4AE1D7F9">
      <w:pPr>
        <w:adjustRightInd w:val="0"/>
        <w:snapToGrid w:val="0"/>
        <w:spacing w:line="360" w:lineRule="auto"/>
        <w:ind w:left="480"/>
        <w:rPr>
          <w:rFonts w:ascii="仿宋" w:hAnsi="仿宋" w:eastAsia="仿宋"/>
          <w:lang w:eastAsia="zh-CN"/>
        </w:rPr>
      </w:pPr>
      <w:r>
        <w:rPr>
          <w:rFonts w:hint="eastAsia" w:ascii="仿宋" w:hAnsi="仿宋" w:eastAsia="仿宋" w:cs="仿宋"/>
          <w:lang w:eastAsia="zh-CN"/>
        </w:rPr>
        <w:t>4．</w:t>
      </w:r>
      <w:r>
        <w:rPr>
          <w:rFonts w:hint="eastAsia" w:ascii="仿宋" w:hAnsi="仿宋" w:eastAsia="仿宋" w:cs="仿宋"/>
          <w:b/>
          <w:bCs/>
          <w:lang w:eastAsia="zh-CN"/>
        </w:rPr>
        <w:t>质量保修费用</w:t>
      </w:r>
    </w:p>
    <w:p w14:paraId="601F963A">
      <w:pPr>
        <w:adjustRightInd w:val="0"/>
        <w:snapToGrid w:val="0"/>
        <w:spacing w:line="360" w:lineRule="auto"/>
        <w:ind w:firstLine="480" w:firstLineChars="200"/>
        <w:rPr>
          <w:rFonts w:ascii="仿宋" w:hAnsi="仿宋" w:eastAsia="仿宋"/>
          <w:lang w:eastAsia="zh-CN"/>
        </w:rPr>
      </w:pPr>
      <w:r>
        <w:rPr>
          <w:rFonts w:hint="eastAsia" w:ascii="仿宋" w:hAnsi="仿宋" w:eastAsia="仿宋" w:cs="仿宋"/>
          <w:lang w:val="zh-CN" w:eastAsia="zh-CN"/>
        </w:rPr>
        <w:t>质量保修等费用，由责任方承担</w:t>
      </w:r>
      <w:r>
        <w:rPr>
          <w:rFonts w:hint="eastAsia" w:ascii="仿宋" w:hAnsi="仿宋" w:eastAsia="仿宋" w:cs="仿宋"/>
          <w:lang w:eastAsia="zh-CN"/>
        </w:rPr>
        <w:t>。</w:t>
      </w:r>
    </w:p>
    <w:p w14:paraId="7C7970F4">
      <w:pPr>
        <w:adjustRightInd w:val="0"/>
        <w:snapToGrid w:val="0"/>
        <w:ind w:firstLine="480" w:firstLineChars="200"/>
        <w:rPr>
          <w:rFonts w:ascii="仿宋" w:hAnsi="仿宋" w:eastAsia="仿宋"/>
          <w:lang w:eastAsia="zh-CN"/>
        </w:rPr>
      </w:pPr>
    </w:p>
    <w:p w14:paraId="73B97F28">
      <w:pPr>
        <w:adjustRightInd w:val="0"/>
        <w:snapToGrid w:val="0"/>
        <w:spacing w:line="360" w:lineRule="auto"/>
        <w:ind w:firstLine="480" w:firstLineChars="200"/>
        <w:rPr>
          <w:rFonts w:ascii="仿宋" w:hAnsi="仿宋" w:eastAsia="仿宋"/>
          <w:lang w:eastAsia="zh-CN"/>
        </w:rPr>
      </w:pPr>
      <w:r>
        <w:rPr>
          <w:rFonts w:hint="eastAsia" w:ascii="仿宋" w:hAnsi="仿宋" w:eastAsia="仿宋" w:cs="仿宋"/>
          <w:lang w:eastAsia="zh-CN"/>
        </w:rPr>
        <w:t>5．</w:t>
      </w:r>
      <w:r>
        <w:rPr>
          <w:rFonts w:hint="eastAsia" w:ascii="仿宋" w:hAnsi="仿宋" w:eastAsia="仿宋" w:cs="仿宋"/>
          <w:b/>
          <w:bCs/>
          <w:lang w:eastAsia="zh-CN"/>
        </w:rPr>
        <w:t>质量保证金</w:t>
      </w:r>
    </w:p>
    <w:p w14:paraId="214758A2">
      <w:pPr>
        <w:adjustRightInd w:val="0"/>
        <w:snapToGrid w:val="0"/>
        <w:spacing w:line="360" w:lineRule="auto"/>
        <w:ind w:firstLine="480" w:firstLineChars="200"/>
        <w:rPr>
          <w:rFonts w:ascii="仿宋" w:hAnsi="仿宋" w:eastAsia="仿宋"/>
          <w:lang w:eastAsia="zh-CN"/>
        </w:rPr>
      </w:pPr>
      <w:r>
        <w:rPr>
          <w:rFonts w:hint="eastAsia" w:ascii="仿宋" w:hAnsi="仿宋" w:eastAsia="仿宋" w:cs="仿宋"/>
          <w:lang w:val="zh-CN" w:eastAsia="zh-CN"/>
        </w:rPr>
        <w:t>质量保证金的约定、支付和使用与本合同第二部分《通用条款》第</w:t>
      </w:r>
      <w:r>
        <w:rPr>
          <w:rFonts w:hint="eastAsia" w:ascii="仿宋" w:hAnsi="仿宋" w:eastAsia="仿宋" w:cs="仿宋"/>
          <w:lang w:eastAsia="zh-CN"/>
        </w:rPr>
        <w:t>90</w:t>
      </w:r>
      <w:r>
        <w:rPr>
          <w:rFonts w:hint="eastAsia" w:ascii="仿宋" w:hAnsi="仿宋" w:eastAsia="仿宋" w:cs="仿宋"/>
          <w:lang w:val="zh-CN" w:eastAsia="zh-CN"/>
        </w:rPr>
        <w:t>条赋予的规</w:t>
      </w:r>
      <w:r>
        <w:rPr>
          <w:rFonts w:hint="eastAsia" w:ascii="仿宋" w:hAnsi="仿宋" w:eastAsia="仿宋" w:cs="仿宋"/>
          <w:lang w:eastAsia="zh-CN"/>
        </w:rPr>
        <w:t>定一致。</w:t>
      </w:r>
    </w:p>
    <w:p w14:paraId="0989876B">
      <w:pPr>
        <w:adjustRightInd w:val="0"/>
        <w:snapToGrid w:val="0"/>
        <w:ind w:firstLine="480" w:firstLineChars="200"/>
        <w:rPr>
          <w:rFonts w:ascii="仿宋" w:hAnsi="仿宋" w:eastAsia="仿宋"/>
          <w:lang w:eastAsia="zh-CN"/>
        </w:rPr>
      </w:pPr>
    </w:p>
    <w:p w14:paraId="685CCAB9">
      <w:pPr>
        <w:adjustRightInd w:val="0"/>
        <w:snapToGrid w:val="0"/>
        <w:spacing w:line="360" w:lineRule="auto"/>
        <w:ind w:left="480"/>
        <w:rPr>
          <w:rFonts w:ascii="仿宋" w:hAnsi="仿宋" w:eastAsia="仿宋"/>
          <w:lang w:eastAsia="zh-CN"/>
        </w:rPr>
      </w:pPr>
      <w:r>
        <w:rPr>
          <w:rFonts w:hint="eastAsia" w:ascii="仿宋" w:hAnsi="仿宋" w:eastAsia="仿宋" w:cs="仿宋"/>
          <w:lang w:eastAsia="zh-CN"/>
        </w:rPr>
        <w:t>6．</w:t>
      </w:r>
      <w:r>
        <w:rPr>
          <w:rFonts w:hint="eastAsia" w:ascii="仿宋" w:hAnsi="仿宋" w:eastAsia="仿宋" w:cs="仿宋"/>
          <w:b/>
          <w:bCs/>
          <w:lang w:eastAsia="zh-CN"/>
        </w:rPr>
        <w:t>其他</w:t>
      </w:r>
    </w:p>
    <w:p w14:paraId="50897401">
      <w:pPr>
        <w:adjustRightInd w:val="0"/>
        <w:snapToGrid w:val="0"/>
        <w:spacing w:line="360" w:lineRule="auto"/>
        <w:ind w:firstLine="480" w:firstLineChars="200"/>
        <w:rPr>
          <w:rFonts w:ascii="仿宋" w:hAnsi="仿宋" w:eastAsia="仿宋"/>
          <w:lang w:eastAsia="zh-CN"/>
        </w:rPr>
      </w:pPr>
      <w:r>
        <w:rPr>
          <w:rFonts w:hint="eastAsia" w:ascii="仿宋" w:hAnsi="仿宋" w:eastAsia="仿宋" w:cs="仿宋"/>
          <w:lang w:eastAsia="zh-CN"/>
        </w:rPr>
        <w:t xml:space="preserve">6.1  </w:t>
      </w:r>
      <w:r>
        <w:rPr>
          <w:rFonts w:hint="eastAsia" w:ascii="仿宋" w:hAnsi="仿宋" w:eastAsia="仿宋" w:cs="仿宋"/>
          <w:lang w:val="zh-CN" w:eastAsia="zh-CN"/>
        </w:rPr>
        <w:t>合同双方当事人约定的其他质量保修事</w:t>
      </w:r>
      <w:r>
        <w:rPr>
          <w:rFonts w:hint="eastAsia" w:ascii="仿宋" w:hAnsi="仿宋" w:eastAsia="仿宋" w:cs="仿宋"/>
          <w:lang w:eastAsia="zh-CN"/>
        </w:rPr>
        <w:t>项：</w:t>
      </w:r>
    </w:p>
    <w:p w14:paraId="2AA9A815">
      <w:pPr>
        <w:adjustRightInd w:val="0"/>
        <w:snapToGrid w:val="0"/>
        <w:spacing w:line="360" w:lineRule="auto"/>
        <w:ind w:firstLine="480" w:firstLineChars="200"/>
        <w:rPr>
          <w:rFonts w:ascii="仿宋" w:hAnsi="仿宋" w:eastAsia="仿宋"/>
          <w:lang w:eastAsia="zh-CN"/>
        </w:rPr>
      </w:pPr>
      <w:r>
        <w:rPr>
          <w:rFonts w:hint="eastAsia" w:ascii="仿宋" w:hAnsi="仿宋" w:eastAsia="仿宋" w:cs="仿宋"/>
          <w:lang w:eastAsia="zh-CN"/>
        </w:rPr>
        <w:t xml:space="preserve">6.2  </w:t>
      </w:r>
      <w:r>
        <w:rPr>
          <w:rFonts w:hint="eastAsia" w:ascii="仿宋" w:hAnsi="仿宋" w:eastAsia="仿宋" w:cs="仿宋"/>
          <w:lang w:val="zh-CN" w:eastAsia="zh-CN"/>
        </w:rPr>
        <w:t>本质量保修书，由合同双方当事人在承包人向发包人提交竣工验收申请报告时签署，作为本合同的附件</w:t>
      </w:r>
      <w:r>
        <w:rPr>
          <w:rFonts w:hint="eastAsia" w:ascii="仿宋" w:hAnsi="仿宋" w:eastAsia="仿宋" w:cs="仿宋"/>
          <w:lang w:eastAsia="zh-CN"/>
        </w:rPr>
        <w:t>。</w:t>
      </w:r>
    </w:p>
    <w:p w14:paraId="1FA041CA">
      <w:pPr>
        <w:adjustRightInd w:val="0"/>
        <w:snapToGrid w:val="0"/>
        <w:spacing w:line="360" w:lineRule="auto"/>
        <w:ind w:firstLine="480" w:firstLineChars="200"/>
        <w:rPr>
          <w:rFonts w:ascii="仿宋" w:hAnsi="仿宋" w:eastAsia="仿宋"/>
          <w:lang w:eastAsia="zh-CN"/>
        </w:rPr>
      </w:pPr>
      <w:r>
        <w:rPr>
          <w:rFonts w:hint="eastAsia" w:ascii="仿宋" w:hAnsi="仿宋" w:eastAsia="仿宋" w:cs="仿宋"/>
          <w:lang w:eastAsia="zh-CN"/>
        </w:rPr>
        <w:t xml:space="preserve">6.3  </w:t>
      </w:r>
      <w:r>
        <w:rPr>
          <w:rFonts w:hint="eastAsia" w:ascii="仿宋" w:hAnsi="仿宋" w:eastAsia="仿宋" w:cs="仿宋"/>
          <w:lang w:val="zh-CN" w:eastAsia="zh-CN"/>
        </w:rPr>
        <w:t>本质量保修书，自合同双方当事人签署之日起生效，至质量保修期满后失效。</w:t>
      </w:r>
    </w:p>
    <w:p w14:paraId="1E77573F">
      <w:pPr>
        <w:adjustRightInd w:val="0"/>
        <w:snapToGrid w:val="0"/>
        <w:ind w:firstLine="480" w:firstLineChars="200"/>
        <w:rPr>
          <w:rFonts w:ascii="仿宋" w:hAnsi="仿宋" w:eastAsia="仿宋"/>
          <w:lang w:eastAsia="zh-CN"/>
        </w:rPr>
      </w:pPr>
    </w:p>
    <w:p w14:paraId="0E2E6B94">
      <w:pPr>
        <w:adjustRightInd w:val="0"/>
        <w:snapToGrid w:val="0"/>
        <w:ind w:firstLine="480" w:firstLineChars="200"/>
        <w:rPr>
          <w:rFonts w:ascii="仿宋" w:hAnsi="仿宋" w:eastAsia="仿宋"/>
          <w:lang w:eastAsia="zh-CN"/>
        </w:rPr>
      </w:pPr>
    </w:p>
    <w:p w14:paraId="0284A0E0">
      <w:pPr>
        <w:adjustRightInd w:val="0"/>
        <w:snapToGrid w:val="0"/>
        <w:ind w:firstLine="480" w:firstLineChars="200"/>
        <w:rPr>
          <w:rFonts w:ascii="仿宋" w:hAnsi="仿宋" w:eastAsia="仿宋"/>
          <w:lang w:eastAsia="zh-CN"/>
        </w:rPr>
      </w:pPr>
    </w:p>
    <w:p w14:paraId="7B22C364">
      <w:pPr>
        <w:adjustRightInd w:val="0"/>
        <w:snapToGrid w:val="0"/>
        <w:ind w:firstLine="480" w:firstLineChars="200"/>
        <w:rPr>
          <w:rFonts w:ascii="仿宋" w:hAnsi="仿宋" w:eastAsia="仿宋"/>
          <w:lang w:eastAsia="zh-CN"/>
        </w:rPr>
      </w:pPr>
    </w:p>
    <w:p w14:paraId="56E59EB2">
      <w:pPr>
        <w:adjustRightInd w:val="0"/>
        <w:snapToGrid w:val="0"/>
        <w:ind w:firstLine="480" w:firstLineChars="200"/>
        <w:rPr>
          <w:rFonts w:ascii="仿宋" w:hAnsi="仿宋" w:eastAsia="仿宋"/>
          <w:lang w:eastAsia="zh-CN"/>
        </w:rPr>
      </w:pPr>
    </w:p>
    <w:p w14:paraId="514A9F68">
      <w:pPr>
        <w:adjustRightInd w:val="0"/>
        <w:snapToGrid w:val="0"/>
        <w:ind w:firstLine="480" w:firstLineChars="200"/>
        <w:rPr>
          <w:rFonts w:ascii="仿宋" w:hAnsi="仿宋" w:eastAsia="仿宋"/>
          <w:lang w:eastAsia="zh-CN"/>
        </w:rPr>
      </w:pPr>
    </w:p>
    <w:p w14:paraId="40392174">
      <w:pPr>
        <w:adjustRightInd w:val="0"/>
        <w:snapToGrid w:val="0"/>
        <w:ind w:firstLine="480" w:firstLineChars="200"/>
        <w:rPr>
          <w:rFonts w:ascii="仿宋" w:hAnsi="仿宋" w:eastAsia="仿宋"/>
          <w:lang w:eastAsia="zh-CN"/>
        </w:rPr>
      </w:pPr>
    </w:p>
    <w:p w14:paraId="676CD9C2">
      <w:pPr>
        <w:adjustRightInd w:val="0"/>
        <w:snapToGrid w:val="0"/>
        <w:ind w:firstLine="480" w:firstLineChars="200"/>
        <w:rPr>
          <w:rFonts w:hint="eastAsia" w:ascii="仿宋" w:hAnsi="仿宋" w:eastAsia="仿宋"/>
          <w:lang w:eastAsia="zh-CN"/>
        </w:rPr>
      </w:pPr>
      <w:r>
        <w:rPr>
          <w:rFonts w:hint="eastAsia" w:ascii="仿宋" w:hAnsi="仿宋" w:eastAsia="仿宋"/>
          <w:lang w:eastAsia="zh-CN"/>
        </w:rPr>
        <w:t>（</w:t>
      </w:r>
      <w:r>
        <w:rPr>
          <w:rFonts w:hint="eastAsia" w:ascii="仿宋" w:hAnsi="仿宋" w:eastAsia="仿宋"/>
          <w:lang w:val="en-US" w:eastAsia="zh-CN"/>
        </w:rPr>
        <w:t>以下为签署页</w:t>
      </w:r>
      <w:r>
        <w:rPr>
          <w:rFonts w:hint="eastAsia" w:ascii="仿宋" w:hAnsi="仿宋" w:eastAsia="仿宋"/>
          <w:lang w:eastAsia="zh-CN"/>
        </w:rPr>
        <w:t>）</w:t>
      </w:r>
    </w:p>
    <w:p w14:paraId="6D3AD00C">
      <w:pPr>
        <w:adjustRightInd w:val="0"/>
        <w:snapToGrid w:val="0"/>
        <w:ind w:firstLine="480" w:firstLineChars="200"/>
        <w:rPr>
          <w:rFonts w:hint="eastAsia" w:ascii="仿宋" w:hAnsi="仿宋" w:eastAsia="仿宋"/>
          <w:lang w:eastAsia="zh-CN"/>
        </w:rPr>
      </w:pPr>
    </w:p>
    <w:p w14:paraId="2F5EB307">
      <w:pPr>
        <w:spacing w:line="360" w:lineRule="auto"/>
        <w:rPr>
          <w:rFonts w:ascii="仿宋" w:hAnsi="仿宋" w:eastAsia="仿宋"/>
          <w:lang w:eastAsia="zh-CN"/>
        </w:rPr>
      </w:pPr>
      <w:r>
        <w:rPr>
          <w:rFonts w:hint="eastAsia" w:ascii="仿宋" w:hAnsi="仿宋" w:eastAsia="仿宋" w:cs="仿宋"/>
          <w:lang w:eastAsia="zh-CN"/>
        </w:rPr>
        <w:t xml:space="preserve">发包人：（盖章） </w:t>
      </w:r>
      <w:r>
        <w:rPr>
          <w:rFonts w:ascii="仿宋" w:hAnsi="仿宋" w:eastAsia="仿宋" w:cs="仿宋"/>
          <w:lang w:eastAsia="zh-CN"/>
        </w:rPr>
        <w:t xml:space="preserve"> </w:t>
      </w:r>
      <w:r>
        <w:rPr>
          <w:rFonts w:hint="eastAsia" w:ascii="仿宋" w:hAnsi="仿宋" w:eastAsia="仿宋" w:cs="仿宋"/>
          <w:lang w:eastAsia="zh-CN"/>
        </w:rPr>
        <w:t xml:space="preserve">                     承包人（联合体牵头单位）：（盖章）</w:t>
      </w:r>
    </w:p>
    <w:p w14:paraId="4CE9F5E3">
      <w:pPr>
        <w:spacing w:line="360" w:lineRule="auto"/>
        <w:rPr>
          <w:rFonts w:ascii="仿宋" w:hAnsi="仿宋" w:eastAsia="仿宋"/>
        </w:rPr>
      </w:pPr>
      <w:r>
        <w:rPr>
          <w:rFonts w:hint="eastAsia" w:ascii="仿宋" w:hAnsi="仿宋" w:eastAsia="仿宋" w:cs="仿宋"/>
        </w:rPr>
        <w:t>法定代表人：</w:t>
      </w:r>
      <w:r>
        <w:rPr>
          <w:rFonts w:ascii="仿宋" w:hAnsi="仿宋" w:eastAsia="仿宋" w:cs="仿宋"/>
        </w:rPr>
        <w:t xml:space="preserve">                           </w:t>
      </w:r>
      <w:r>
        <w:rPr>
          <w:rFonts w:hint="eastAsia" w:ascii="仿宋" w:hAnsi="仿宋" w:eastAsia="仿宋" w:cs="仿宋"/>
        </w:rPr>
        <w:t>法定代表人：</w:t>
      </w:r>
    </w:p>
    <w:p w14:paraId="3BE77DE1">
      <w:pPr>
        <w:spacing w:line="360" w:lineRule="auto"/>
        <w:rPr>
          <w:rFonts w:ascii="仿宋" w:hAnsi="仿宋" w:eastAsia="仿宋"/>
          <w:lang w:eastAsia="zh-CN"/>
        </w:rPr>
      </w:pPr>
      <w:r>
        <w:rPr>
          <w:rFonts w:hint="eastAsia" w:ascii="仿宋" w:hAnsi="仿宋" w:eastAsia="仿宋" w:cs="仿宋"/>
          <w:lang w:eastAsia="zh-CN"/>
        </w:rPr>
        <w:t>或委托代理人：</w:t>
      </w:r>
      <w:r>
        <w:rPr>
          <w:rFonts w:ascii="仿宋" w:hAnsi="仿宋" w:eastAsia="仿宋" w:cs="仿宋"/>
          <w:lang w:eastAsia="zh-CN"/>
        </w:rPr>
        <w:t xml:space="preserve">                         </w:t>
      </w:r>
      <w:r>
        <w:rPr>
          <w:rFonts w:hint="eastAsia" w:ascii="仿宋" w:hAnsi="仿宋" w:eastAsia="仿宋" w:cs="仿宋"/>
          <w:lang w:eastAsia="zh-CN"/>
        </w:rPr>
        <w:t>或委托代理人：</w:t>
      </w:r>
    </w:p>
    <w:p w14:paraId="334CFC30">
      <w:pPr>
        <w:spacing w:line="360" w:lineRule="auto"/>
        <w:ind w:firstLine="1080" w:firstLineChars="450"/>
        <w:rPr>
          <w:rFonts w:ascii="仿宋" w:hAnsi="仿宋" w:eastAsia="仿宋" w:cs="仿宋"/>
          <w:lang w:eastAsia="zh-CN"/>
        </w:rPr>
      </w:pPr>
      <w:r>
        <w:rPr>
          <w:rFonts w:hint="eastAsia" w:ascii="仿宋" w:hAnsi="仿宋" w:eastAsia="仿宋" w:cs="仿宋"/>
          <w:lang w:eastAsia="zh-CN"/>
        </w:rPr>
        <w:t xml:space="preserve"> </w:t>
      </w:r>
    </w:p>
    <w:p w14:paraId="08B1DBF6">
      <w:pPr>
        <w:spacing w:line="360" w:lineRule="auto"/>
        <w:rPr>
          <w:rFonts w:ascii="仿宋" w:hAnsi="仿宋" w:eastAsia="仿宋"/>
          <w:lang w:eastAsia="zh-CN"/>
        </w:rPr>
      </w:pPr>
      <w:r>
        <w:rPr>
          <w:rFonts w:hint="eastAsia" w:ascii="仿宋" w:hAnsi="仿宋" w:eastAsia="仿宋" w:cs="仿宋"/>
          <w:lang w:eastAsia="zh-CN"/>
        </w:rPr>
        <w:t xml:space="preserve">承包人（联合体成员单位）：（盖章）   </w:t>
      </w:r>
      <w:r>
        <w:rPr>
          <w:rFonts w:ascii="仿宋" w:hAnsi="仿宋" w:eastAsia="仿宋" w:cs="仿宋"/>
          <w:lang w:eastAsia="zh-CN"/>
        </w:rPr>
        <w:t xml:space="preserve"> </w:t>
      </w:r>
      <w:r>
        <w:rPr>
          <w:rFonts w:hint="eastAsia" w:ascii="仿宋" w:hAnsi="仿宋" w:eastAsia="仿宋" w:cs="仿宋"/>
          <w:lang w:eastAsia="zh-CN"/>
        </w:rPr>
        <w:t xml:space="preserve">         </w:t>
      </w:r>
    </w:p>
    <w:p w14:paraId="46F7C4CE">
      <w:pPr>
        <w:spacing w:line="360" w:lineRule="auto"/>
        <w:rPr>
          <w:rFonts w:ascii="仿宋" w:hAnsi="仿宋" w:eastAsia="仿宋" w:cs="仿宋"/>
          <w:lang w:eastAsia="zh-CN"/>
        </w:rPr>
      </w:pPr>
      <w:r>
        <w:rPr>
          <w:rFonts w:hint="eastAsia" w:ascii="仿宋" w:hAnsi="仿宋" w:eastAsia="仿宋" w:cs="仿宋"/>
          <w:lang w:eastAsia="zh-CN"/>
        </w:rPr>
        <w:t xml:space="preserve">法定代表人：                           </w:t>
      </w:r>
      <w:r>
        <w:rPr>
          <w:rFonts w:ascii="仿宋" w:hAnsi="仿宋" w:eastAsia="仿宋" w:cs="仿宋"/>
          <w:lang w:eastAsia="zh-CN"/>
        </w:rPr>
        <w:t xml:space="preserve">                         </w:t>
      </w:r>
      <w:r>
        <w:rPr>
          <w:rFonts w:hint="eastAsia" w:ascii="仿宋" w:hAnsi="仿宋" w:eastAsia="仿宋" w:cs="仿宋"/>
          <w:lang w:eastAsia="zh-CN"/>
        </w:rPr>
        <w:t xml:space="preserve"> </w:t>
      </w:r>
    </w:p>
    <w:p w14:paraId="670678EE">
      <w:pPr>
        <w:spacing w:line="360" w:lineRule="auto"/>
        <w:rPr>
          <w:rFonts w:hint="eastAsia" w:ascii="仿宋" w:hAnsi="仿宋" w:eastAsia="仿宋" w:cs="仿宋"/>
          <w:lang w:eastAsia="zh-CN"/>
        </w:rPr>
      </w:pPr>
      <w:r>
        <w:rPr>
          <w:rFonts w:hint="eastAsia" w:ascii="仿宋" w:hAnsi="仿宋" w:eastAsia="仿宋" w:cs="仿宋"/>
          <w:lang w:eastAsia="zh-CN"/>
        </w:rPr>
        <w:t>或委托代理人：</w:t>
      </w:r>
    </w:p>
    <w:p w14:paraId="772C2AFF">
      <w:pPr>
        <w:spacing w:line="360" w:lineRule="auto"/>
        <w:rPr>
          <w:rFonts w:hint="eastAsia" w:ascii="仿宋" w:hAnsi="仿宋" w:eastAsia="仿宋" w:cs="仿宋"/>
          <w:lang w:eastAsia="zh-CN"/>
        </w:rPr>
      </w:pPr>
    </w:p>
    <w:p w14:paraId="171CA07B">
      <w:pPr>
        <w:spacing w:line="360" w:lineRule="auto"/>
        <w:rPr>
          <w:rFonts w:hint="eastAsia" w:ascii="仿宋" w:hAnsi="仿宋" w:eastAsia="仿宋" w:cs="仿宋"/>
          <w:lang w:eastAsia="zh-CN"/>
        </w:rPr>
      </w:pPr>
    </w:p>
    <w:p w14:paraId="3AD0442B">
      <w:pPr>
        <w:spacing w:line="360" w:lineRule="auto"/>
        <w:rPr>
          <w:rFonts w:hint="eastAsia" w:ascii="仿宋" w:hAnsi="仿宋" w:eastAsia="仿宋" w:cs="仿宋"/>
          <w:lang w:eastAsia="zh-CN"/>
        </w:rPr>
      </w:pPr>
    </w:p>
    <w:p w14:paraId="0264F8C0">
      <w:pPr>
        <w:spacing w:line="360" w:lineRule="auto"/>
        <w:rPr>
          <w:rFonts w:hint="eastAsia" w:ascii="仿宋" w:hAnsi="仿宋" w:eastAsia="仿宋" w:cs="仿宋"/>
          <w:lang w:eastAsia="zh-CN"/>
        </w:rPr>
      </w:pPr>
    </w:p>
    <w:p w14:paraId="3FD1B8EB">
      <w:pPr>
        <w:spacing w:line="360" w:lineRule="auto"/>
        <w:rPr>
          <w:rFonts w:hint="eastAsia" w:ascii="仿宋" w:hAnsi="仿宋" w:eastAsia="仿宋" w:cs="仿宋"/>
          <w:lang w:eastAsia="zh-CN"/>
        </w:rPr>
      </w:pPr>
    </w:p>
    <w:p w14:paraId="4FE05905">
      <w:pPr>
        <w:spacing w:line="360" w:lineRule="auto"/>
        <w:rPr>
          <w:rFonts w:hint="eastAsia" w:ascii="仿宋" w:hAnsi="仿宋" w:eastAsia="仿宋" w:cs="仿宋"/>
          <w:lang w:eastAsia="zh-CN"/>
        </w:rPr>
      </w:pPr>
    </w:p>
    <w:p w14:paraId="01308B81">
      <w:pPr>
        <w:spacing w:line="360" w:lineRule="auto"/>
        <w:rPr>
          <w:rFonts w:hint="eastAsia" w:ascii="仿宋" w:hAnsi="仿宋" w:eastAsia="仿宋" w:cs="仿宋"/>
          <w:lang w:eastAsia="zh-CN"/>
        </w:rPr>
      </w:pPr>
    </w:p>
    <w:p w14:paraId="2953F8D1">
      <w:pPr>
        <w:spacing w:line="360" w:lineRule="auto"/>
        <w:rPr>
          <w:rFonts w:hint="eastAsia" w:ascii="仿宋" w:hAnsi="仿宋" w:eastAsia="仿宋" w:cs="仿宋"/>
          <w:lang w:eastAsia="zh-CN"/>
        </w:rPr>
      </w:pPr>
    </w:p>
    <w:p w14:paraId="10B3D7F5">
      <w:pPr>
        <w:spacing w:line="360" w:lineRule="auto"/>
        <w:rPr>
          <w:rFonts w:hint="eastAsia" w:ascii="仿宋" w:hAnsi="仿宋" w:eastAsia="仿宋" w:cs="仿宋"/>
          <w:lang w:eastAsia="zh-CN"/>
        </w:rPr>
      </w:pPr>
    </w:p>
    <w:p w14:paraId="6BAC0226">
      <w:pPr>
        <w:spacing w:line="360" w:lineRule="auto"/>
        <w:rPr>
          <w:rFonts w:hint="eastAsia" w:ascii="仿宋" w:hAnsi="仿宋" w:eastAsia="仿宋" w:cs="仿宋"/>
          <w:lang w:eastAsia="zh-CN"/>
        </w:rPr>
      </w:pPr>
    </w:p>
    <w:p w14:paraId="3E8450F3">
      <w:pPr>
        <w:spacing w:line="360" w:lineRule="auto"/>
        <w:rPr>
          <w:rFonts w:hint="eastAsia" w:ascii="仿宋" w:hAnsi="仿宋" w:eastAsia="仿宋" w:cs="仿宋"/>
          <w:lang w:eastAsia="zh-CN"/>
        </w:rPr>
      </w:pPr>
    </w:p>
    <w:p w14:paraId="57469682">
      <w:pPr>
        <w:spacing w:line="360" w:lineRule="auto"/>
        <w:rPr>
          <w:rFonts w:hint="eastAsia" w:ascii="仿宋" w:hAnsi="仿宋" w:eastAsia="仿宋" w:cs="仿宋"/>
          <w:lang w:eastAsia="zh-CN"/>
        </w:rPr>
      </w:pPr>
    </w:p>
    <w:p w14:paraId="6FBB57DA">
      <w:pPr>
        <w:spacing w:line="360" w:lineRule="auto"/>
        <w:rPr>
          <w:rFonts w:hint="eastAsia" w:ascii="仿宋" w:hAnsi="仿宋" w:eastAsia="仿宋" w:cs="仿宋"/>
          <w:lang w:eastAsia="zh-CN"/>
        </w:rPr>
      </w:pPr>
    </w:p>
    <w:p w14:paraId="449B8DE0">
      <w:pPr>
        <w:spacing w:line="360" w:lineRule="auto"/>
        <w:rPr>
          <w:rFonts w:hint="eastAsia" w:ascii="仿宋" w:hAnsi="仿宋" w:eastAsia="仿宋" w:cs="仿宋"/>
          <w:lang w:eastAsia="zh-CN"/>
        </w:rPr>
      </w:pPr>
    </w:p>
    <w:p w14:paraId="15B75178">
      <w:pPr>
        <w:spacing w:line="360" w:lineRule="auto"/>
        <w:rPr>
          <w:rFonts w:hint="eastAsia" w:ascii="仿宋" w:hAnsi="仿宋" w:eastAsia="仿宋" w:cs="仿宋"/>
          <w:lang w:eastAsia="zh-CN"/>
        </w:rPr>
      </w:pPr>
    </w:p>
    <w:p w14:paraId="69F72584">
      <w:pPr>
        <w:spacing w:line="360" w:lineRule="auto"/>
        <w:rPr>
          <w:rFonts w:hint="eastAsia" w:ascii="仿宋" w:hAnsi="仿宋" w:eastAsia="仿宋" w:cs="仿宋"/>
          <w:lang w:eastAsia="zh-CN"/>
        </w:rPr>
      </w:pPr>
    </w:p>
    <w:p w14:paraId="723ABB49">
      <w:pPr>
        <w:spacing w:line="360" w:lineRule="auto"/>
        <w:rPr>
          <w:rFonts w:hint="eastAsia" w:ascii="仿宋" w:hAnsi="仿宋" w:eastAsia="仿宋" w:cs="仿宋"/>
          <w:lang w:eastAsia="zh-CN"/>
        </w:rPr>
      </w:pPr>
    </w:p>
    <w:p w14:paraId="02368E43">
      <w:pPr>
        <w:spacing w:line="360" w:lineRule="auto"/>
        <w:rPr>
          <w:rFonts w:hint="eastAsia" w:ascii="仿宋" w:hAnsi="仿宋" w:eastAsia="仿宋" w:cs="仿宋"/>
          <w:lang w:eastAsia="zh-CN"/>
        </w:rPr>
      </w:pPr>
    </w:p>
    <w:p w14:paraId="2BB66E70">
      <w:pPr>
        <w:spacing w:line="360" w:lineRule="auto"/>
        <w:rPr>
          <w:rFonts w:hint="eastAsia" w:ascii="仿宋" w:hAnsi="仿宋" w:eastAsia="仿宋" w:cs="仿宋"/>
          <w:lang w:eastAsia="zh-CN"/>
        </w:rPr>
      </w:pPr>
    </w:p>
    <w:p w14:paraId="2A545603">
      <w:pPr>
        <w:spacing w:line="360" w:lineRule="auto"/>
        <w:rPr>
          <w:rFonts w:hint="eastAsia" w:ascii="仿宋" w:hAnsi="仿宋" w:eastAsia="仿宋" w:cs="仿宋"/>
          <w:lang w:eastAsia="zh-CN"/>
        </w:rPr>
      </w:pPr>
    </w:p>
    <w:p w14:paraId="57EE6457">
      <w:pPr>
        <w:spacing w:line="360" w:lineRule="auto"/>
        <w:rPr>
          <w:rFonts w:hint="eastAsia" w:ascii="仿宋" w:hAnsi="仿宋" w:eastAsia="仿宋" w:cs="仿宋"/>
          <w:lang w:eastAsia="zh-CN"/>
        </w:rPr>
      </w:pPr>
    </w:p>
    <w:p w14:paraId="575FF8AF">
      <w:pPr>
        <w:spacing w:line="360" w:lineRule="auto"/>
        <w:rPr>
          <w:rFonts w:hint="eastAsia" w:ascii="仿宋" w:hAnsi="仿宋" w:eastAsia="仿宋" w:cs="仿宋"/>
          <w:lang w:eastAsia="zh-CN"/>
        </w:rPr>
      </w:pPr>
    </w:p>
    <w:p w14:paraId="62B7D86C">
      <w:pPr>
        <w:spacing w:line="360" w:lineRule="auto"/>
        <w:rPr>
          <w:rFonts w:hint="eastAsia" w:ascii="仿宋" w:hAnsi="仿宋" w:eastAsia="仿宋" w:cs="仿宋"/>
          <w:lang w:eastAsia="zh-CN"/>
        </w:rPr>
      </w:pPr>
    </w:p>
    <w:p w14:paraId="3304C4CC">
      <w:pPr>
        <w:spacing w:line="360" w:lineRule="auto"/>
        <w:outlineLvl w:val="1"/>
        <w:rPr>
          <w:rFonts w:ascii="仿宋" w:hAnsi="仿宋" w:eastAsia="仿宋" w:cs="仿宋"/>
          <w:b/>
          <w:bCs/>
          <w:lang w:eastAsia="zh-CN"/>
        </w:rPr>
      </w:pPr>
      <w:bookmarkStart w:id="1113" w:name="_Toc12634"/>
      <w:bookmarkStart w:id="1114" w:name="_Toc5449"/>
      <w:bookmarkStart w:id="1115" w:name="_Toc15029"/>
      <w:bookmarkStart w:id="1116" w:name="_Toc47694459"/>
      <w:bookmarkStart w:id="1117" w:name="_Toc194073289"/>
      <w:bookmarkStart w:id="1118" w:name="_Toc23780"/>
      <w:bookmarkStart w:id="1119" w:name="_Toc29968"/>
      <w:r>
        <w:rPr>
          <w:rFonts w:hint="eastAsia" w:ascii="仿宋" w:hAnsi="仿宋" w:eastAsia="仿宋" w:cs="仿宋"/>
          <w:b/>
          <w:bCs/>
          <w:lang w:eastAsia="zh-CN"/>
        </w:rPr>
        <w:t>附件</w:t>
      </w:r>
      <w:bookmarkEnd w:id="1113"/>
      <w:bookmarkEnd w:id="1114"/>
      <w:bookmarkEnd w:id="1115"/>
      <w:bookmarkEnd w:id="1116"/>
      <w:r>
        <w:rPr>
          <w:rFonts w:hint="eastAsia" w:ascii="仿宋" w:hAnsi="仿宋" w:eastAsia="仿宋" w:cs="仿宋"/>
          <w:b/>
          <w:bCs/>
          <w:lang w:eastAsia="zh-CN"/>
        </w:rPr>
        <w:t>四：</w:t>
      </w:r>
      <w:bookmarkEnd w:id="1117"/>
      <w:r>
        <w:rPr>
          <w:rFonts w:hint="eastAsia" w:ascii="仿宋" w:hAnsi="仿宋" w:eastAsia="仿宋" w:cs="仿宋"/>
          <w:b/>
          <w:bCs/>
          <w:lang w:eastAsia="zh-CN"/>
        </w:rPr>
        <w:t>廉洁协议书</w:t>
      </w:r>
      <w:bookmarkEnd w:id="1118"/>
      <w:bookmarkEnd w:id="1119"/>
    </w:p>
    <w:p w14:paraId="2251BD26">
      <w:pPr>
        <w:spacing w:line="560" w:lineRule="exact"/>
        <w:jc w:val="center"/>
        <w:rPr>
          <w:rFonts w:ascii="仿宋" w:hAnsi="仿宋" w:eastAsia="仿宋" w:cs="仿宋"/>
          <w:b/>
          <w:bCs/>
          <w:sz w:val="36"/>
          <w:szCs w:val="36"/>
          <w:lang w:eastAsia="zh-CN"/>
        </w:rPr>
      </w:pPr>
      <w:r>
        <w:rPr>
          <w:rFonts w:hint="eastAsia" w:ascii="仿宋" w:hAnsi="仿宋" w:eastAsia="仿宋" w:cs="仿宋"/>
          <w:b/>
          <w:bCs/>
          <w:sz w:val="36"/>
          <w:szCs w:val="36"/>
          <w:lang w:eastAsia="zh-CN"/>
        </w:rPr>
        <w:t>廉洁协议书</w:t>
      </w:r>
    </w:p>
    <w:p w14:paraId="59C82C24">
      <w:pPr>
        <w:spacing w:line="560" w:lineRule="exact"/>
        <w:ind w:firstLine="480" w:firstLineChars="200"/>
        <w:rPr>
          <w:rFonts w:ascii="仿宋" w:hAnsi="仿宋" w:eastAsia="仿宋" w:cs="仿宋"/>
          <w:lang w:eastAsia="zh-CN"/>
        </w:rPr>
      </w:pPr>
      <w:r>
        <w:rPr>
          <w:rFonts w:hint="eastAsia" w:ascii="仿宋" w:hAnsi="仿宋" w:eastAsia="仿宋" w:cs="仿宋"/>
          <w:lang w:eastAsia="zh-CN"/>
        </w:rPr>
        <w:t>甲方：广州天华科韵城市更新有限公司</w:t>
      </w:r>
    </w:p>
    <w:p w14:paraId="52852922">
      <w:pPr>
        <w:spacing w:line="560" w:lineRule="exact"/>
        <w:ind w:firstLine="480" w:firstLineChars="200"/>
        <w:rPr>
          <w:rFonts w:ascii="仿宋" w:hAnsi="仿宋" w:eastAsia="仿宋" w:cs="仿宋"/>
          <w:lang w:eastAsia="zh-CN"/>
        </w:rPr>
      </w:pPr>
      <w:r>
        <w:rPr>
          <w:rFonts w:hint="eastAsia" w:ascii="仿宋" w:hAnsi="仿宋" w:eastAsia="仿宋" w:cs="仿宋"/>
          <w:lang w:eastAsia="zh-CN"/>
        </w:rPr>
        <w:t>乙方：</w:t>
      </w:r>
    </w:p>
    <w:p w14:paraId="08289B2B">
      <w:pPr>
        <w:spacing w:line="560" w:lineRule="exact"/>
        <w:ind w:firstLine="560" w:firstLineChars="200"/>
        <w:rPr>
          <w:rFonts w:ascii="华文楷体" w:hAnsi="华文楷体" w:eastAsia="华文楷体"/>
          <w:sz w:val="28"/>
          <w:szCs w:val="28"/>
          <w:lang w:eastAsia="zh-CN"/>
        </w:rPr>
      </w:pPr>
    </w:p>
    <w:p w14:paraId="33C62D90">
      <w:pPr>
        <w:pStyle w:val="18"/>
        <w:spacing w:line="560" w:lineRule="exact"/>
        <w:ind w:firstLine="560"/>
        <w:rPr>
          <w:rFonts w:ascii="仿宋_GB2312" w:eastAsia="仿宋_GB2312"/>
          <w:sz w:val="24"/>
          <w:szCs w:val="24"/>
          <w:lang w:eastAsia="zh-CN"/>
        </w:rPr>
      </w:pPr>
      <w:r>
        <w:rPr>
          <w:rFonts w:hint="eastAsia" w:ascii="仿宋_GB2312" w:eastAsia="仿宋_GB2312" w:cs="仿宋_GB2312"/>
          <w:sz w:val="24"/>
          <w:szCs w:val="24"/>
          <w:lang w:eastAsia="zh-CN"/>
        </w:rPr>
        <w:t>为了增强甲乙双方依法经营、廉洁从业意识，完善自我约束、自我监督机制，营造守法诚信、廉洁高效的工作环境，防止发生违法违纪行为，保护国家、集体和当事人的合法权益，根据国家有关法律法规和廉洁自律规定，特订立本廉洁协议书：</w:t>
      </w:r>
    </w:p>
    <w:p w14:paraId="638B7373">
      <w:pPr>
        <w:spacing w:line="560" w:lineRule="exact"/>
        <w:ind w:firstLine="480" w:firstLineChars="200"/>
        <w:rPr>
          <w:rFonts w:ascii="仿宋_GB2312" w:eastAsia="仿宋_GB2312"/>
          <w:lang w:eastAsia="zh-CN"/>
        </w:rPr>
      </w:pPr>
      <w:r>
        <w:rPr>
          <w:rFonts w:hint="eastAsia" w:ascii="仿宋_GB2312" w:eastAsia="仿宋_GB2312" w:cs="仿宋_GB2312"/>
          <w:lang w:eastAsia="zh-CN"/>
        </w:rPr>
        <w:t>第一条 甲、乙双方的共同责任</w:t>
      </w:r>
    </w:p>
    <w:p w14:paraId="1B825A5F">
      <w:pPr>
        <w:spacing w:line="560" w:lineRule="exact"/>
        <w:ind w:firstLine="480" w:firstLineChars="200"/>
        <w:rPr>
          <w:rFonts w:ascii="仿宋_GB2312" w:eastAsia="仿宋_GB2312"/>
          <w:lang w:eastAsia="zh-CN"/>
        </w:rPr>
      </w:pPr>
      <w:r>
        <w:rPr>
          <w:rFonts w:hint="eastAsia" w:ascii="仿宋_GB2312" w:eastAsia="仿宋_GB2312" w:cs="仿宋_GB2312"/>
          <w:lang w:eastAsia="zh-CN"/>
        </w:rPr>
        <w:t>（一）严格遵守国家关于市场准入、招标投标、工程建设、物资采购、投资并购、国有资产处置等市场经济活动的法律法规制度以及廉洁建设规定。</w:t>
      </w:r>
    </w:p>
    <w:p w14:paraId="7E7A7511">
      <w:pPr>
        <w:spacing w:line="560" w:lineRule="exact"/>
        <w:ind w:firstLine="480" w:firstLineChars="200"/>
        <w:rPr>
          <w:rFonts w:ascii="仿宋_GB2312" w:eastAsia="仿宋_GB2312"/>
          <w:lang w:eastAsia="zh-CN"/>
        </w:rPr>
      </w:pPr>
      <w:r>
        <w:rPr>
          <w:rFonts w:hint="eastAsia" w:ascii="仿宋_GB2312" w:eastAsia="仿宋_GB2312" w:cs="仿宋_GB2312"/>
          <w:lang w:eastAsia="zh-CN"/>
        </w:rPr>
        <w:t>（二）严格履行合同约定，自觉承担合同义务。</w:t>
      </w:r>
    </w:p>
    <w:p w14:paraId="5A2AB5CB">
      <w:pPr>
        <w:spacing w:line="560" w:lineRule="exact"/>
        <w:ind w:firstLine="480" w:firstLineChars="200"/>
        <w:rPr>
          <w:rFonts w:ascii="仿宋_GB2312" w:eastAsia="仿宋_GB2312"/>
          <w:lang w:eastAsia="zh-CN"/>
        </w:rPr>
      </w:pPr>
      <w:r>
        <w:rPr>
          <w:rFonts w:hint="eastAsia" w:ascii="仿宋_GB2312" w:eastAsia="仿宋_GB2312" w:cs="仿宋_GB2312"/>
          <w:lang w:eastAsia="zh-CN"/>
        </w:rPr>
        <w:t>（三）业务活动必须坚持公平、公正、公开和诚实守信的原则（除法律法规另有规定者外），不得为获取不正当利益，损害国家、集体和对方利益，不违反招标投标、工程建设管理、物资采购、投资并购、国有资产处置等方面的规章制度。</w:t>
      </w:r>
    </w:p>
    <w:p w14:paraId="13A0AFB8">
      <w:pPr>
        <w:spacing w:line="560" w:lineRule="exact"/>
        <w:ind w:firstLine="480" w:firstLineChars="200"/>
        <w:rPr>
          <w:rFonts w:ascii="仿宋_GB2312" w:eastAsia="仿宋_GB2312"/>
          <w:lang w:eastAsia="zh-CN"/>
        </w:rPr>
      </w:pPr>
      <w:r>
        <w:rPr>
          <w:rFonts w:hint="eastAsia" w:ascii="仿宋_GB2312" w:eastAsia="仿宋_GB2312" w:cs="仿宋_GB2312"/>
          <w:lang w:eastAsia="zh-CN"/>
        </w:rPr>
        <w:t>（四）建立健全自我制约制度，开展廉洁教育，公布举报电话，监督并认真查处违法违纪行为。</w:t>
      </w:r>
    </w:p>
    <w:p w14:paraId="53E42675">
      <w:pPr>
        <w:spacing w:line="560" w:lineRule="exact"/>
        <w:ind w:firstLine="480" w:firstLineChars="200"/>
        <w:rPr>
          <w:rFonts w:ascii="仿宋_GB2312" w:eastAsia="仿宋_GB2312"/>
          <w:lang w:eastAsia="zh-CN"/>
        </w:rPr>
      </w:pPr>
      <w:r>
        <w:rPr>
          <w:rFonts w:hint="eastAsia" w:ascii="仿宋_GB2312" w:eastAsia="仿宋_GB2312" w:cs="仿宋_GB2312"/>
          <w:lang w:eastAsia="zh-CN"/>
        </w:rPr>
        <w:t>（五）发现对方在业务活动中有违规、违纪、违法行为的，应及时提醒对方，情节严重的，应向有关纪检监察部门举报。</w:t>
      </w:r>
    </w:p>
    <w:p w14:paraId="3BFA5AB1">
      <w:pPr>
        <w:spacing w:line="560" w:lineRule="exact"/>
        <w:ind w:firstLine="480" w:firstLineChars="200"/>
        <w:rPr>
          <w:rFonts w:ascii="仿宋_GB2312" w:eastAsia="仿宋_GB2312"/>
          <w:lang w:eastAsia="zh-CN"/>
        </w:rPr>
      </w:pPr>
      <w:r>
        <w:rPr>
          <w:rFonts w:hint="eastAsia" w:ascii="仿宋_GB2312" w:eastAsia="仿宋_GB2312" w:cs="仿宋_GB2312"/>
          <w:lang w:eastAsia="zh-CN"/>
        </w:rPr>
        <w:t>第二条  甲方的责任：</w:t>
      </w:r>
    </w:p>
    <w:p w14:paraId="598FA0F4">
      <w:pPr>
        <w:spacing w:line="560" w:lineRule="exact"/>
        <w:ind w:firstLine="480" w:firstLineChars="200"/>
        <w:rPr>
          <w:rFonts w:ascii="仿宋_GB2312" w:eastAsia="仿宋_GB2312"/>
          <w:lang w:eastAsia="zh-CN"/>
        </w:rPr>
      </w:pPr>
      <w:r>
        <w:rPr>
          <w:rFonts w:hint="eastAsia" w:ascii="仿宋_GB2312" w:eastAsia="仿宋_GB2312" w:cs="仿宋_GB2312"/>
          <w:lang w:eastAsia="zh-CN"/>
        </w:rPr>
        <w:t>甲方相关工作人员，在与乙方业务活动的事前、事中、事后，应遵守以下规定：</w:t>
      </w:r>
    </w:p>
    <w:p w14:paraId="1F92819C">
      <w:pPr>
        <w:spacing w:line="560" w:lineRule="exact"/>
        <w:ind w:firstLine="480" w:firstLineChars="200"/>
        <w:rPr>
          <w:rFonts w:ascii="仿宋_GB2312" w:eastAsia="仿宋_GB2312"/>
          <w:lang w:eastAsia="zh-CN"/>
        </w:rPr>
      </w:pPr>
      <w:r>
        <w:rPr>
          <w:rFonts w:hint="eastAsia" w:ascii="仿宋_GB2312" w:eastAsia="仿宋_GB2312" w:cs="仿宋_GB2312"/>
          <w:lang w:eastAsia="zh-CN"/>
        </w:rPr>
        <w:t>（一）贯彻落实广州城投城市更新集团有限公司有关党风廉政建设责任制及廉洁从业的规定；</w:t>
      </w:r>
    </w:p>
    <w:p w14:paraId="1B11C7D7">
      <w:pPr>
        <w:spacing w:line="560" w:lineRule="exact"/>
        <w:ind w:firstLine="480" w:firstLineChars="200"/>
        <w:rPr>
          <w:rFonts w:ascii="仿宋_GB2312" w:eastAsia="仿宋_GB2312"/>
          <w:lang w:eastAsia="zh-CN"/>
        </w:rPr>
      </w:pPr>
      <w:r>
        <w:rPr>
          <w:rFonts w:hint="eastAsia" w:ascii="仿宋_GB2312" w:eastAsia="仿宋_GB2312" w:cs="仿宋_GB2312"/>
          <w:lang w:eastAsia="zh-CN"/>
        </w:rPr>
        <w:t>（二）按照公平、公正、公开和诚实守信的原则开展各项业务活动；</w:t>
      </w:r>
    </w:p>
    <w:p w14:paraId="7EB5261D">
      <w:pPr>
        <w:spacing w:line="560" w:lineRule="exact"/>
        <w:ind w:firstLine="480" w:firstLineChars="200"/>
        <w:rPr>
          <w:rFonts w:ascii="仿宋_GB2312" w:eastAsia="仿宋_GB2312"/>
          <w:lang w:eastAsia="zh-CN"/>
        </w:rPr>
      </w:pPr>
      <w:r>
        <w:rPr>
          <w:rFonts w:hint="eastAsia" w:ascii="仿宋_GB2312" w:eastAsia="仿宋_GB2312" w:cs="仿宋_GB2312"/>
          <w:lang w:eastAsia="zh-CN"/>
        </w:rPr>
        <w:t>（三）</w:t>
      </w:r>
      <w:r>
        <w:rPr>
          <w:rFonts w:hint="eastAsia" w:ascii="仿宋_GB2312" w:eastAsia="仿宋_GB2312" w:cs="仿宋_GB2312"/>
          <w:color w:val="000000"/>
          <w:lang w:eastAsia="zh-CN"/>
        </w:rPr>
        <w:t>不准向</w:t>
      </w:r>
      <w:r>
        <w:rPr>
          <w:rFonts w:hint="eastAsia" w:ascii="仿宋_GB2312" w:eastAsia="仿宋_GB2312" w:cs="仿宋_GB2312"/>
          <w:lang w:eastAsia="zh-CN"/>
        </w:rPr>
        <w:t>乙方</w:t>
      </w:r>
      <w:r>
        <w:rPr>
          <w:rFonts w:hint="eastAsia" w:ascii="仿宋_GB2312" w:eastAsia="仿宋_GB2312" w:cs="仿宋_GB2312"/>
          <w:color w:val="000000"/>
          <w:lang w:eastAsia="zh-CN"/>
        </w:rPr>
        <w:t>泄漏涉及</w:t>
      </w:r>
      <w:r>
        <w:rPr>
          <w:rFonts w:hint="eastAsia" w:ascii="仿宋_GB2312" w:eastAsia="仿宋_GB2312" w:cs="仿宋_GB2312"/>
          <w:lang w:eastAsia="zh-CN"/>
        </w:rPr>
        <w:t>有关业务活动</w:t>
      </w:r>
      <w:r>
        <w:rPr>
          <w:rFonts w:hint="eastAsia" w:ascii="仿宋_GB2312" w:eastAsia="仿宋_GB2312" w:cs="仿宋_GB2312"/>
          <w:color w:val="000000"/>
          <w:lang w:eastAsia="zh-CN"/>
        </w:rPr>
        <w:t>的秘密，不准以谋取非正当利益为目的，擅自与乙方工作人员就业务问题达成利益默契；</w:t>
      </w:r>
    </w:p>
    <w:p w14:paraId="1CC30BCB">
      <w:pPr>
        <w:spacing w:line="560" w:lineRule="exact"/>
        <w:ind w:firstLine="480" w:firstLineChars="200"/>
        <w:rPr>
          <w:rFonts w:ascii="仿宋_GB2312" w:eastAsia="仿宋_GB2312"/>
          <w:lang w:eastAsia="zh-CN"/>
        </w:rPr>
      </w:pPr>
      <w:r>
        <w:rPr>
          <w:rFonts w:hint="eastAsia" w:ascii="仿宋_GB2312" w:eastAsia="仿宋_GB2312" w:cs="仿宋_GB2312"/>
          <w:lang w:eastAsia="zh-CN"/>
        </w:rPr>
        <w:t>（四）不准向乙方和相关单位索要或接受回扣、红包、礼金、购物卡、有价证券、贵重物品和好处费、感谢费等；</w:t>
      </w:r>
    </w:p>
    <w:p w14:paraId="78E5B6C5">
      <w:pPr>
        <w:spacing w:line="560" w:lineRule="exact"/>
        <w:ind w:firstLine="480" w:firstLineChars="200"/>
        <w:rPr>
          <w:rFonts w:ascii="仿宋_GB2312" w:eastAsia="仿宋_GB2312"/>
          <w:lang w:eastAsia="zh-CN"/>
        </w:rPr>
      </w:pPr>
      <w:r>
        <w:rPr>
          <w:rFonts w:hint="eastAsia" w:ascii="仿宋_GB2312" w:eastAsia="仿宋_GB2312" w:cs="仿宋_GB2312"/>
          <w:lang w:eastAsia="zh-CN"/>
        </w:rPr>
        <w:t>（五）不准在乙方和相关单位报销任何应由甲方或个人支付的费用；</w:t>
      </w:r>
    </w:p>
    <w:p w14:paraId="1A4791B2">
      <w:pPr>
        <w:spacing w:line="560" w:lineRule="exact"/>
        <w:ind w:firstLine="480" w:firstLineChars="200"/>
        <w:rPr>
          <w:rFonts w:ascii="仿宋_GB2312" w:eastAsia="仿宋_GB2312"/>
          <w:lang w:eastAsia="zh-CN"/>
        </w:rPr>
      </w:pPr>
      <w:r>
        <w:rPr>
          <w:rFonts w:hint="eastAsia" w:ascii="仿宋_GB2312" w:eastAsia="仿宋_GB2312" w:cs="仿宋_GB2312"/>
          <w:lang w:eastAsia="zh-CN"/>
        </w:rPr>
        <w:t>（六）不准要求、暗示或接受乙方和相关单位为个人装修住房、婚丧嫁娶、配偶子女的工作安排以及境内外旅游等提供方便；</w:t>
      </w:r>
    </w:p>
    <w:p w14:paraId="462E95BB">
      <w:pPr>
        <w:spacing w:line="560" w:lineRule="exact"/>
        <w:ind w:firstLine="480" w:firstLineChars="200"/>
        <w:rPr>
          <w:rFonts w:ascii="仿宋_GB2312" w:eastAsia="仿宋_GB2312"/>
          <w:lang w:eastAsia="zh-CN"/>
        </w:rPr>
      </w:pPr>
      <w:r>
        <w:rPr>
          <w:rFonts w:hint="eastAsia" w:ascii="仿宋_GB2312" w:eastAsia="仿宋_GB2312" w:cs="仿宋_GB2312"/>
          <w:lang w:eastAsia="zh-CN"/>
        </w:rPr>
        <w:t>（七）不准向乙方介绍配偶、子女、亲属参与与甲方有关的经济活动，不得以任何理由向乙方和相关单位推荐第三方单位；</w:t>
      </w:r>
    </w:p>
    <w:p w14:paraId="5D204F79">
      <w:pPr>
        <w:spacing w:line="560" w:lineRule="exact"/>
        <w:ind w:firstLine="480" w:firstLineChars="200"/>
        <w:rPr>
          <w:rFonts w:ascii="仿宋_GB2312" w:eastAsia="仿宋_GB2312"/>
          <w:lang w:eastAsia="zh-CN"/>
        </w:rPr>
      </w:pPr>
      <w:r>
        <w:rPr>
          <w:rFonts w:hint="eastAsia" w:ascii="仿宋_GB2312" w:eastAsia="仿宋_GB2312" w:cs="仿宋_GB2312"/>
          <w:lang w:eastAsia="zh-CN"/>
        </w:rPr>
        <w:t>（八）不准参与影响相关工作正常和公正开展的其他活动；</w:t>
      </w:r>
    </w:p>
    <w:p w14:paraId="364BCD49">
      <w:pPr>
        <w:spacing w:line="560" w:lineRule="exact"/>
        <w:ind w:firstLine="480" w:firstLineChars="200"/>
        <w:rPr>
          <w:rFonts w:ascii="仿宋_GB2312" w:eastAsia="仿宋_GB2312"/>
          <w:lang w:eastAsia="zh-CN"/>
        </w:rPr>
      </w:pPr>
      <w:r>
        <w:rPr>
          <w:rFonts w:hint="eastAsia" w:ascii="仿宋_GB2312" w:eastAsia="仿宋_GB2312" w:cs="仿宋_GB2312"/>
          <w:lang w:eastAsia="zh-CN"/>
        </w:rPr>
        <w:t>（九）不准违反《中共中央纪委关于严格禁止利用职务上的便利谋取不正当利益的若干规定》的内容。</w:t>
      </w:r>
    </w:p>
    <w:p w14:paraId="4D3CBE37">
      <w:pPr>
        <w:spacing w:line="560" w:lineRule="exact"/>
        <w:ind w:firstLine="480" w:firstLineChars="200"/>
        <w:rPr>
          <w:rFonts w:ascii="仿宋_GB2312" w:eastAsia="仿宋_GB2312"/>
          <w:lang w:eastAsia="zh-CN"/>
        </w:rPr>
      </w:pPr>
      <w:r>
        <w:rPr>
          <w:rFonts w:hint="eastAsia" w:ascii="仿宋_GB2312" w:eastAsia="仿宋_GB2312" w:cs="仿宋_GB2312"/>
          <w:lang w:eastAsia="zh-CN"/>
        </w:rPr>
        <w:t>第三条 乙方的责任：</w:t>
      </w:r>
    </w:p>
    <w:p w14:paraId="13CBA7C9">
      <w:pPr>
        <w:spacing w:line="560" w:lineRule="exact"/>
        <w:ind w:firstLine="480" w:firstLineChars="200"/>
        <w:rPr>
          <w:rFonts w:ascii="仿宋_GB2312" w:eastAsia="仿宋_GB2312"/>
          <w:lang w:eastAsia="zh-CN"/>
        </w:rPr>
      </w:pPr>
      <w:r>
        <w:rPr>
          <w:rFonts w:hint="eastAsia" w:ascii="仿宋_GB2312" w:eastAsia="仿宋_GB2312" w:cs="仿宋_GB2312"/>
          <w:lang w:eastAsia="zh-CN"/>
        </w:rPr>
        <w:t>在与甲方业务交往过程中，按照有关法律法规和程序开展工作，严格执行国家的有关方针、政策，并遵守以下规定：</w:t>
      </w:r>
    </w:p>
    <w:p w14:paraId="352D959A">
      <w:pPr>
        <w:spacing w:line="560" w:lineRule="exact"/>
        <w:ind w:firstLine="480" w:firstLineChars="200"/>
        <w:rPr>
          <w:rFonts w:ascii="仿宋_GB2312" w:eastAsia="仿宋_GB2312"/>
          <w:lang w:eastAsia="zh-CN"/>
        </w:rPr>
      </w:pPr>
      <w:r>
        <w:rPr>
          <w:rFonts w:hint="eastAsia" w:ascii="仿宋_GB2312" w:eastAsia="仿宋_GB2312" w:cs="仿宋_GB2312"/>
          <w:lang w:eastAsia="zh-CN"/>
        </w:rPr>
        <w:t>（一）不准以任何理由为甲方和相关单位报销应由对方或个人支付的费用；</w:t>
      </w:r>
    </w:p>
    <w:p w14:paraId="5AD0E9A1">
      <w:pPr>
        <w:spacing w:line="560" w:lineRule="exact"/>
        <w:ind w:firstLine="480" w:firstLineChars="200"/>
        <w:rPr>
          <w:rFonts w:ascii="仿宋_GB2312" w:eastAsia="仿宋_GB2312"/>
          <w:lang w:eastAsia="zh-CN"/>
        </w:rPr>
      </w:pPr>
      <w:r>
        <w:rPr>
          <w:rFonts w:hint="eastAsia" w:ascii="仿宋_GB2312" w:eastAsia="仿宋_GB2312" w:cs="仿宋_GB2312"/>
          <w:lang w:eastAsia="zh-CN"/>
        </w:rPr>
        <w:t>（二）不准以任何理由向甲方负责人及其工作人员赠送回扣、红包、礼金、购物卡、有价证券、贵重物品和好处费、感谢费等；</w:t>
      </w:r>
    </w:p>
    <w:p w14:paraId="12F9D6FB">
      <w:pPr>
        <w:spacing w:line="560" w:lineRule="exact"/>
        <w:ind w:firstLine="480" w:firstLineChars="200"/>
        <w:rPr>
          <w:rFonts w:ascii="仿宋_GB2312" w:eastAsia="仿宋_GB2312"/>
          <w:lang w:eastAsia="zh-CN"/>
        </w:rPr>
      </w:pPr>
      <w:r>
        <w:rPr>
          <w:rFonts w:hint="eastAsia" w:ascii="仿宋_GB2312" w:eastAsia="仿宋_GB2312" w:cs="仿宋_GB2312"/>
          <w:lang w:eastAsia="zh-CN"/>
        </w:rPr>
        <w:t>（三）不准以任何理由为甲方、与甲方相关的单位或个人提供高消费宴请及娱乐活动；</w:t>
      </w:r>
    </w:p>
    <w:p w14:paraId="1E721AD7">
      <w:pPr>
        <w:spacing w:line="560" w:lineRule="exact"/>
        <w:ind w:firstLine="480" w:firstLineChars="200"/>
        <w:rPr>
          <w:rFonts w:ascii="仿宋_GB2312" w:eastAsia="仿宋_GB2312"/>
          <w:lang w:eastAsia="zh-CN"/>
        </w:rPr>
      </w:pPr>
      <w:r>
        <w:rPr>
          <w:rFonts w:hint="eastAsia" w:ascii="仿宋_GB2312" w:eastAsia="仿宋_GB2312" w:cs="仿宋_GB2312"/>
          <w:lang w:eastAsia="zh-CN"/>
        </w:rPr>
        <w:t>（四）不准以任何理由为甲方、与甲方相关的单位或个人购置或提供通讯工具、交通工具和高档办公用品；</w:t>
      </w:r>
    </w:p>
    <w:p w14:paraId="78CE7A93">
      <w:pPr>
        <w:spacing w:line="560" w:lineRule="exact"/>
        <w:ind w:firstLine="480" w:firstLineChars="200"/>
        <w:rPr>
          <w:rFonts w:ascii="仿宋_GB2312" w:eastAsia="仿宋_GB2312"/>
          <w:lang w:eastAsia="zh-CN"/>
        </w:rPr>
      </w:pPr>
      <w:r>
        <w:rPr>
          <w:rFonts w:hint="eastAsia" w:ascii="仿宋_GB2312" w:eastAsia="仿宋_GB2312" w:cs="仿宋_GB2312"/>
          <w:lang w:eastAsia="zh-CN"/>
        </w:rPr>
        <w:t>（五）不准接受或暗示为甲方、与甲方相关的单位或个人装修住房、婚丧嫁取、配偶子女的工作安排以及境内外旅游等提供方便；</w:t>
      </w:r>
    </w:p>
    <w:p w14:paraId="02B54D1D">
      <w:pPr>
        <w:spacing w:line="560" w:lineRule="exact"/>
        <w:ind w:firstLine="480" w:firstLineChars="200"/>
        <w:rPr>
          <w:rFonts w:ascii="仿宋_GB2312" w:eastAsia="仿宋_GB2312"/>
          <w:lang w:eastAsia="zh-CN"/>
        </w:rPr>
      </w:pPr>
      <w:r>
        <w:rPr>
          <w:rFonts w:hint="eastAsia" w:ascii="仿宋_GB2312" w:eastAsia="仿宋_GB2312" w:cs="仿宋_GB2312"/>
          <w:lang w:eastAsia="zh-CN"/>
        </w:rPr>
        <w:t>（六）不准以谋取非正当利益为目的，擅自与甲方工作人员就业务问题进行私下商谈或者达成利益默契；</w:t>
      </w:r>
    </w:p>
    <w:p w14:paraId="1BF1C608">
      <w:pPr>
        <w:spacing w:line="560" w:lineRule="exact"/>
        <w:ind w:firstLine="480" w:firstLineChars="200"/>
        <w:rPr>
          <w:rFonts w:ascii="仿宋_GB2312" w:eastAsia="仿宋_GB2312"/>
          <w:lang w:eastAsia="zh-CN"/>
        </w:rPr>
      </w:pPr>
      <w:r>
        <w:rPr>
          <w:rFonts w:hint="eastAsia" w:ascii="仿宋_GB2312" w:eastAsia="仿宋_GB2312" w:cs="仿宋_GB2312"/>
          <w:lang w:eastAsia="zh-CN"/>
        </w:rPr>
        <w:t>（七）发现甲方工作人员有违反本廉洁协议书规定的，应向甲方单位举报（反映）。广州城投城市更新集团有限公司受理部门：纪检室；举报邮箱：</w:t>
      </w:r>
      <w:r>
        <w:rPr>
          <w:rFonts w:hint="eastAsia" w:ascii="仿宋_GB2312" w:eastAsia="仿宋_GB2312"/>
          <w:lang w:eastAsia="zh-CN"/>
        </w:rPr>
        <w:t>ctcgjtjjs@163.com</w:t>
      </w:r>
      <w:r>
        <w:rPr>
          <w:rFonts w:hint="eastAsia" w:ascii="仿宋_GB2312" w:eastAsia="仿宋_GB2312" w:cs="仿宋_GB2312"/>
          <w:lang w:eastAsia="zh-CN"/>
        </w:rPr>
        <w:t>。</w:t>
      </w:r>
    </w:p>
    <w:p w14:paraId="22C1BDC7">
      <w:pPr>
        <w:spacing w:line="560" w:lineRule="exact"/>
        <w:ind w:firstLine="480" w:firstLineChars="200"/>
        <w:rPr>
          <w:rFonts w:ascii="仿宋_GB2312" w:eastAsia="仿宋_GB2312"/>
          <w:lang w:eastAsia="zh-CN"/>
        </w:rPr>
      </w:pPr>
      <w:r>
        <w:rPr>
          <w:rFonts w:hint="eastAsia" w:ascii="仿宋_GB2312" w:eastAsia="仿宋_GB2312" w:cs="仿宋_GB2312"/>
          <w:lang w:eastAsia="zh-CN"/>
        </w:rPr>
        <w:t>第四条 相关责任</w:t>
      </w:r>
    </w:p>
    <w:p w14:paraId="6158C8B4">
      <w:pPr>
        <w:spacing w:line="560" w:lineRule="exact"/>
        <w:ind w:firstLine="480" w:firstLineChars="200"/>
        <w:rPr>
          <w:rFonts w:ascii="仿宋_GB2312" w:eastAsia="仿宋_GB2312"/>
          <w:lang w:eastAsia="zh-CN"/>
        </w:rPr>
      </w:pPr>
      <w:r>
        <w:rPr>
          <w:rFonts w:hint="eastAsia" w:ascii="仿宋_GB2312" w:eastAsia="仿宋_GB2312" w:cs="仿宋_GB2312"/>
          <w:lang w:eastAsia="zh-CN"/>
        </w:rPr>
        <w:t>（一）甲方有违反本廉洁协议书第一、二条规定的，严格按照管理权限，依据有关法律法规和规章制度给予纪律处分或组织处理；涉嫌犯罪的，移送司法机关依法追究刑事责任；给乙方单位造成经济损失的，应依法予以赔偿。</w:t>
      </w:r>
    </w:p>
    <w:p w14:paraId="0A01E355">
      <w:pPr>
        <w:spacing w:line="560" w:lineRule="exact"/>
        <w:ind w:firstLine="480" w:firstLineChars="200"/>
        <w:rPr>
          <w:rFonts w:ascii="仿宋_GB2312" w:eastAsia="仿宋_GB2312" w:cs="仿宋_GB2312"/>
          <w:lang w:eastAsia="zh-CN"/>
        </w:rPr>
      </w:pPr>
      <w:r>
        <w:rPr>
          <w:rFonts w:hint="eastAsia" w:ascii="仿宋_GB2312" w:eastAsia="仿宋_GB2312" w:cs="仿宋_GB2312"/>
          <w:lang w:eastAsia="zh-CN"/>
        </w:rPr>
        <w:t>（二）乙方违反本廉洁协议书第一、三条规定的，根据招投标等有关规定，对乙方进行处理；甲方有权终止与乙方的合同。涉嫌犯罪的，移送司法机关依法追究刑事责任；给甲方单位造成经济损失的，应依法予以赔偿。</w:t>
      </w:r>
    </w:p>
    <w:p w14:paraId="2DD66F59">
      <w:pPr>
        <w:spacing w:line="560" w:lineRule="exact"/>
        <w:ind w:firstLine="480" w:firstLineChars="200"/>
        <w:rPr>
          <w:rFonts w:ascii="仿宋_GB2312" w:eastAsia="仿宋_GB2312"/>
          <w:lang w:eastAsia="zh-CN"/>
        </w:rPr>
      </w:pPr>
      <w:r>
        <w:rPr>
          <w:rFonts w:hint="eastAsia" w:ascii="仿宋_GB2312" w:eastAsia="仿宋_GB2312" w:cs="仿宋_GB2312"/>
          <w:lang w:eastAsia="zh-CN"/>
        </w:rPr>
        <w:t>（三）乙方违反本廉洁协议书第一、三条规定，发生行贿行为，经有关执纪执法部门或甲方纪检机构查证属实，甲方对乙方实施3年的市场禁入。</w:t>
      </w:r>
    </w:p>
    <w:p w14:paraId="3EF78D40">
      <w:pPr>
        <w:spacing w:line="560" w:lineRule="exact"/>
        <w:ind w:firstLine="480" w:firstLineChars="200"/>
        <w:rPr>
          <w:rFonts w:ascii="仿宋_GB2312" w:eastAsia="仿宋_GB2312"/>
          <w:lang w:eastAsia="zh-CN"/>
        </w:rPr>
      </w:pPr>
      <w:r>
        <w:rPr>
          <w:rFonts w:hint="eastAsia" w:ascii="仿宋_GB2312" w:eastAsia="仿宋_GB2312" w:cs="仿宋_GB2312"/>
          <w:lang w:eastAsia="zh-CN"/>
        </w:rPr>
        <w:t>第五条 协议书生效及法律效力</w:t>
      </w:r>
    </w:p>
    <w:p w14:paraId="06B13EA4">
      <w:pPr>
        <w:spacing w:line="560" w:lineRule="exact"/>
        <w:ind w:firstLine="480" w:firstLineChars="200"/>
        <w:rPr>
          <w:rFonts w:ascii="仿宋_GB2312" w:eastAsia="仿宋_GB2312"/>
          <w:color w:val="000000"/>
          <w:lang w:eastAsia="zh-CN"/>
        </w:rPr>
      </w:pPr>
      <w:r>
        <w:rPr>
          <w:rFonts w:hint="eastAsia" w:ascii="仿宋_GB2312" w:eastAsia="仿宋_GB2312" w:cs="仿宋_GB2312"/>
          <w:lang w:eastAsia="zh-CN"/>
        </w:rPr>
        <w:t>（一）本廉洁协议书作为合同的附件，与合同具有同等法律效力，经</w:t>
      </w:r>
      <w:r>
        <w:rPr>
          <w:rFonts w:hint="eastAsia" w:ascii="仿宋_GB2312" w:eastAsia="仿宋_GB2312" w:cs="仿宋_GB2312"/>
          <w:color w:val="000000"/>
          <w:lang w:eastAsia="zh-CN"/>
        </w:rPr>
        <w:t>双方签字盖章后立即生效。</w:t>
      </w:r>
    </w:p>
    <w:p w14:paraId="7D386276">
      <w:pPr>
        <w:pStyle w:val="18"/>
        <w:spacing w:line="560" w:lineRule="exact"/>
        <w:ind w:firstLine="560"/>
        <w:rPr>
          <w:rFonts w:ascii="仿宋_GB2312" w:eastAsia="仿宋_GB2312"/>
          <w:color w:val="000000"/>
          <w:sz w:val="24"/>
          <w:szCs w:val="24"/>
          <w:lang w:eastAsia="zh-CN"/>
        </w:rPr>
      </w:pPr>
      <w:r>
        <w:rPr>
          <w:rFonts w:hint="eastAsia" w:ascii="仿宋_GB2312" w:eastAsia="仿宋_GB2312" w:cs="仿宋_GB2312"/>
          <w:sz w:val="24"/>
          <w:szCs w:val="24"/>
          <w:lang w:eastAsia="zh-CN"/>
        </w:rPr>
        <w:t>（二）除非甲乙双方另行签订新的廉洁协议书，否则本廉洁协议书在甲方与乙方存在业务关系期间均对双方产生约束力。</w:t>
      </w:r>
    </w:p>
    <w:p w14:paraId="6DB848AA">
      <w:pPr>
        <w:spacing w:line="560" w:lineRule="exact"/>
        <w:ind w:firstLine="480" w:firstLineChars="200"/>
        <w:rPr>
          <w:rFonts w:ascii="仿宋_GB2312" w:eastAsia="仿宋_GB2312"/>
          <w:color w:val="000000"/>
          <w:lang w:eastAsia="zh-CN"/>
        </w:rPr>
      </w:pPr>
      <w:r>
        <w:rPr>
          <w:rFonts w:hint="eastAsia" w:ascii="仿宋_GB2312" w:eastAsia="仿宋_GB2312" w:cs="仿宋_GB2312"/>
          <w:color w:val="000000"/>
          <w:lang w:eastAsia="zh-CN"/>
        </w:rPr>
        <w:t xml:space="preserve">第六条 </w:t>
      </w:r>
      <w:r>
        <w:rPr>
          <w:rFonts w:hint="eastAsia" w:ascii="仿宋_GB2312" w:eastAsia="仿宋_GB2312" w:cs="仿宋_GB2312"/>
          <w:lang w:eastAsia="zh-CN"/>
        </w:rPr>
        <w:t>协议书</w:t>
      </w:r>
      <w:r>
        <w:rPr>
          <w:rFonts w:hint="eastAsia" w:ascii="仿宋_GB2312" w:eastAsia="仿宋_GB2312" w:cs="仿宋_GB2312"/>
          <w:color w:val="000000"/>
          <w:lang w:eastAsia="zh-CN"/>
        </w:rPr>
        <w:t>份数</w:t>
      </w:r>
    </w:p>
    <w:p w14:paraId="4433E62F">
      <w:pPr>
        <w:spacing w:line="560" w:lineRule="exact"/>
        <w:ind w:firstLine="480" w:firstLineChars="200"/>
        <w:rPr>
          <w:rFonts w:ascii="仿宋_GB2312" w:eastAsia="仿宋_GB2312"/>
          <w:color w:val="000000"/>
          <w:lang w:eastAsia="zh-CN"/>
        </w:rPr>
      </w:pPr>
      <w:r>
        <w:rPr>
          <w:rFonts w:hint="eastAsia" w:ascii="仿宋_GB2312" w:eastAsia="仿宋_GB2312" w:cs="仿宋_GB2312"/>
          <w:lang w:eastAsia="zh-CN"/>
        </w:rPr>
        <w:t>本廉洁协议书一式</w:t>
      </w:r>
      <w:r>
        <w:rPr>
          <w:rFonts w:hint="eastAsia" w:ascii="仿宋_GB2312" w:eastAsia="仿宋_GB2312" w:cs="仿宋_GB2312"/>
          <w:u w:val="single"/>
          <w:lang w:eastAsia="zh-CN"/>
        </w:rPr>
        <w:t xml:space="preserve">  </w:t>
      </w:r>
      <w:r>
        <w:rPr>
          <w:rFonts w:hint="eastAsia" w:ascii="仿宋_GB2312" w:eastAsia="仿宋_GB2312" w:cs="仿宋_GB2312"/>
          <w:lang w:eastAsia="zh-CN"/>
        </w:rPr>
        <w:t>份，甲方</w:t>
      </w:r>
      <w:r>
        <w:rPr>
          <w:rFonts w:hint="eastAsia" w:ascii="仿宋_GB2312" w:eastAsia="仿宋_GB2312" w:cs="仿宋_GB2312"/>
          <w:u w:val="single"/>
          <w:lang w:eastAsia="zh-CN"/>
        </w:rPr>
        <w:t xml:space="preserve">  </w:t>
      </w:r>
      <w:r>
        <w:rPr>
          <w:rFonts w:hint="eastAsia" w:ascii="仿宋_GB2312" w:eastAsia="仿宋_GB2312" w:cs="仿宋_GB2312"/>
          <w:lang w:eastAsia="zh-CN"/>
        </w:rPr>
        <w:t>份，乙方</w:t>
      </w:r>
      <w:r>
        <w:rPr>
          <w:rFonts w:hint="eastAsia" w:ascii="仿宋_GB2312" w:eastAsia="仿宋_GB2312" w:cs="仿宋_GB2312"/>
          <w:u w:val="single"/>
          <w:lang w:eastAsia="zh-CN"/>
        </w:rPr>
        <w:t xml:space="preserve">  </w:t>
      </w:r>
      <w:r>
        <w:rPr>
          <w:rFonts w:hint="eastAsia" w:ascii="仿宋_GB2312" w:eastAsia="仿宋_GB2312" w:cs="仿宋_GB2312"/>
          <w:lang w:eastAsia="zh-CN"/>
        </w:rPr>
        <w:t>份</w:t>
      </w:r>
      <w:r>
        <w:rPr>
          <w:rFonts w:hint="eastAsia" w:ascii="仿宋_GB2312" w:eastAsia="仿宋_GB2312" w:cs="仿宋_GB2312"/>
          <w:color w:val="000000"/>
          <w:lang w:eastAsia="zh-CN"/>
        </w:rPr>
        <w:t>。</w:t>
      </w:r>
    </w:p>
    <w:p w14:paraId="71139917">
      <w:pPr>
        <w:pStyle w:val="25"/>
        <w:spacing w:line="560" w:lineRule="exact"/>
        <w:rPr>
          <w:rFonts w:eastAsia="仿宋_GB2312"/>
          <w:lang w:eastAsia="zh-CN"/>
        </w:rPr>
      </w:pPr>
    </w:p>
    <w:p w14:paraId="6EB9280C">
      <w:pPr>
        <w:pStyle w:val="25"/>
        <w:spacing w:line="560" w:lineRule="exact"/>
        <w:rPr>
          <w:rFonts w:eastAsia="仿宋_GB2312"/>
          <w:lang w:eastAsia="zh-CN"/>
        </w:rPr>
      </w:pPr>
      <w:r>
        <w:rPr>
          <w:rFonts w:hint="eastAsia" w:eastAsia="仿宋_GB2312" w:cs="仿宋_GB2312"/>
          <w:lang w:eastAsia="zh-CN"/>
        </w:rPr>
        <w:t>甲乙双方确认在签订本廉洁协议书前已仔细阅读条款内容，甲乙双方对本廉洁协议书所产生的法律责任已清楚知悉并承诺遵守。</w:t>
      </w:r>
    </w:p>
    <w:p w14:paraId="7EB26E5B">
      <w:pPr>
        <w:spacing w:line="560" w:lineRule="exact"/>
        <w:rPr>
          <w:color w:val="000000"/>
          <w:lang w:eastAsia="zh-CN"/>
        </w:rPr>
      </w:pPr>
    </w:p>
    <w:p w14:paraId="6E718A92">
      <w:pPr>
        <w:spacing w:line="560" w:lineRule="exact"/>
        <w:rPr>
          <w:color w:val="000000"/>
          <w:lang w:eastAsia="zh-CN"/>
        </w:rPr>
      </w:pPr>
    </w:p>
    <w:p w14:paraId="5A4B5701">
      <w:pPr>
        <w:spacing w:line="560" w:lineRule="exact"/>
        <w:ind w:firstLine="240" w:firstLineChars="100"/>
        <w:rPr>
          <w:rFonts w:ascii="仿宋" w:hAnsi="仿宋" w:eastAsia="仿宋" w:cs="仿宋"/>
          <w:color w:val="000000"/>
          <w:lang w:eastAsia="zh-CN"/>
        </w:rPr>
      </w:pPr>
      <w:r>
        <w:rPr>
          <w:rFonts w:hint="eastAsia" w:ascii="仿宋" w:hAnsi="仿宋" w:eastAsia="仿宋" w:cs="仿宋"/>
          <w:color w:val="000000"/>
          <w:lang w:eastAsia="zh-CN"/>
        </w:rPr>
        <w:t>甲方（盖章）                     乙方（盖章）：</w:t>
      </w:r>
    </w:p>
    <w:p w14:paraId="29A88A88">
      <w:pPr>
        <w:spacing w:line="560" w:lineRule="exact"/>
        <w:ind w:firstLine="240" w:firstLineChars="100"/>
        <w:rPr>
          <w:rFonts w:ascii="仿宋" w:hAnsi="仿宋" w:eastAsia="仿宋" w:cs="仿宋"/>
          <w:color w:val="000000"/>
        </w:rPr>
      </w:pPr>
      <w:r>
        <w:rPr>
          <w:rFonts w:hint="eastAsia" w:ascii="仿宋" w:hAnsi="仿宋" w:eastAsia="仿宋" w:cs="仿宋"/>
          <w:color w:val="000000"/>
        </w:rPr>
        <w:t>法定代表人                       法定代表人</w:t>
      </w:r>
    </w:p>
    <w:p w14:paraId="3F24FAF3">
      <w:pPr>
        <w:spacing w:line="560" w:lineRule="exact"/>
        <w:rPr>
          <w:rFonts w:ascii="仿宋" w:hAnsi="仿宋" w:eastAsia="仿宋" w:cs="仿宋"/>
          <w:color w:val="000000"/>
        </w:rPr>
      </w:pPr>
      <w:r>
        <w:rPr>
          <w:rFonts w:hint="eastAsia" w:ascii="仿宋" w:hAnsi="仿宋" w:eastAsia="仿宋" w:cs="仿宋"/>
          <w:color w:val="000000"/>
        </w:rPr>
        <w:t>（或委托代理人）：               （或委托代理人）：</w:t>
      </w:r>
    </w:p>
    <w:p w14:paraId="02E800BD">
      <w:pPr>
        <w:spacing w:line="360" w:lineRule="auto"/>
        <w:outlineLvl w:val="1"/>
        <w:rPr>
          <w:rFonts w:ascii="仿宋" w:hAnsi="仿宋" w:eastAsia="仿宋" w:cs="仿宋"/>
          <w:b/>
          <w:bCs/>
          <w:lang w:eastAsia="zh-CN"/>
        </w:rPr>
      </w:pPr>
      <w:r>
        <w:rPr>
          <w:rFonts w:ascii="仿宋" w:hAnsi="仿宋" w:eastAsia="仿宋" w:cs="仿宋"/>
          <w:lang w:eastAsia="zh-CN"/>
        </w:rPr>
        <w:t xml:space="preserve"> </w:t>
      </w:r>
      <w:r>
        <w:rPr>
          <w:rFonts w:hint="eastAsia" w:ascii="仿宋" w:hAnsi="仿宋" w:eastAsia="仿宋" w:cs="仿宋"/>
          <w:b/>
          <w:bCs/>
          <w:lang w:eastAsia="zh-CN"/>
        </w:rPr>
        <w:br w:type="page"/>
      </w:r>
      <w:bookmarkStart w:id="1120" w:name="_Toc18549"/>
      <w:bookmarkStart w:id="1121" w:name="_Toc7865"/>
      <w:bookmarkStart w:id="1122" w:name="_Toc194073290"/>
      <w:bookmarkStart w:id="1123" w:name="_Toc26642"/>
      <w:r>
        <w:rPr>
          <w:rFonts w:hint="eastAsia" w:ascii="仿宋" w:hAnsi="仿宋" w:eastAsia="仿宋" w:cs="仿宋"/>
          <w:b/>
          <w:bCs/>
          <w:lang w:eastAsia="zh-CN"/>
        </w:rPr>
        <w:t>附件</w:t>
      </w:r>
      <w:bookmarkEnd w:id="1120"/>
      <w:r>
        <w:rPr>
          <w:rFonts w:hint="eastAsia" w:ascii="仿宋" w:hAnsi="仿宋" w:eastAsia="仿宋" w:cs="仿宋"/>
          <w:b/>
          <w:bCs/>
          <w:lang w:eastAsia="zh-CN"/>
        </w:rPr>
        <w:t>五：民工权益保障承诺书</w:t>
      </w:r>
      <w:bookmarkEnd w:id="1121"/>
      <w:bookmarkEnd w:id="1122"/>
      <w:bookmarkEnd w:id="1123"/>
    </w:p>
    <w:p w14:paraId="6E0E898E">
      <w:pPr>
        <w:spacing w:line="360" w:lineRule="auto"/>
        <w:jc w:val="center"/>
        <w:rPr>
          <w:rFonts w:ascii="仿宋" w:hAnsi="仿宋" w:eastAsia="仿宋" w:cs="仿宋"/>
          <w:b/>
          <w:bCs/>
          <w:sz w:val="36"/>
          <w:szCs w:val="36"/>
          <w:lang w:eastAsia="zh-CN"/>
        </w:rPr>
      </w:pPr>
      <w:bookmarkStart w:id="1124" w:name="OLE_LINK5"/>
      <w:bookmarkStart w:id="1125" w:name="OLE_LINK6"/>
      <w:r>
        <w:rPr>
          <w:rFonts w:hint="eastAsia" w:ascii="仿宋" w:hAnsi="仿宋" w:eastAsia="仿宋" w:cs="仿宋"/>
          <w:b/>
          <w:bCs/>
          <w:sz w:val="36"/>
          <w:szCs w:val="36"/>
          <w:lang w:eastAsia="zh-CN"/>
        </w:rPr>
        <w:t>民工权益保障承诺书</w:t>
      </w:r>
      <w:bookmarkEnd w:id="1124"/>
      <w:bookmarkEnd w:id="1125"/>
      <w:r>
        <w:rPr>
          <w:rFonts w:hint="eastAsia" w:ascii="仿宋" w:hAnsi="仿宋" w:eastAsia="仿宋" w:cs="仿宋"/>
          <w:b/>
          <w:bCs/>
          <w:sz w:val="36"/>
          <w:szCs w:val="36"/>
          <w:lang w:eastAsia="zh-CN"/>
        </w:rPr>
        <w:t xml:space="preserve"> </w:t>
      </w:r>
    </w:p>
    <w:p w14:paraId="70F05564">
      <w:pPr>
        <w:adjustRightInd w:val="0"/>
        <w:snapToGrid w:val="0"/>
        <w:spacing w:line="360" w:lineRule="auto"/>
        <w:rPr>
          <w:rFonts w:ascii="仿宋" w:hAnsi="仿宋" w:eastAsia="仿宋" w:cs="仿宋"/>
          <w:b/>
          <w:lang w:eastAsia="zh-CN"/>
        </w:rPr>
      </w:pPr>
      <w:bookmarkStart w:id="1126" w:name="_Toc23171"/>
      <w:bookmarkStart w:id="1127" w:name="_Toc13826"/>
      <w:r>
        <w:rPr>
          <w:rFonts w:hint="eastAsia" w:ascii="仿宋" w:hAnsi="仿宋" w:eastAsia="仿宋" w:cs="仿宋"/>
          <w:b/>
          <w:lang w:eastAsia="zh-CN"/>
        </w:rPr>
        <w:t>致</w:t>
      </w:r>
      <w:r>
        <w:rPr>
          <w:rFonts w:hint="eastAsia" w:ascii="仿宋" w:hAnsi="仿宋" w:eastAsia="仿宋" w:cs="仿宋"/>
          <w:b/>
          <w:u w:val="single"/>
          <w:lang w:eastAsia="zh-CN"/>
        </w:rPr>
        <w:t>广州天华科韵城市更新有限公司</w:t>
      </w:r>
      <w:r>
        <w:rPr>
          <w:rFonts w:hint="eastAsia" w:ascii="仿宋" w:hAnsi="仿宋" w:eastAsia="仿宋" w:cs="仿宋"/>
          <w:b/>
          <w:lang w:eastAsia="zh-CN"/>
        </w:rPr>
        <w:t>:</w:t>
      </w:r>
      <w:bookmarkEnd w:id="1126"/>
      <w:bookmarkEnd w:id="1127"/>
      <w:r>
        <w:rPr>
          <w:rFonts w:hint="eastAsia" w:ascii="仿宋" w:hAnsi="仿宋" w:eastAsia="仿宋" w:cs="仿宋"/>
          <w:b/>
          <w:lang w:eastAsia="zh-CN"/>
        </w:rPr>
        <w:t xml:space="preserve"> </w:t>
      </w:r>
    </w:p>
    <w:p w14:paraId="2704A30F">
      <w:pPr>
        <w:pStyle w:val="18"/>
        <w:spacing w:line="360" w:lineRule="auto"/>
        <w:ind w:firstLine="480" w:firstLineChars="200"/>
        <w:rPr>
          <w:rFonts w:ascii="仿宋" w:hAnsi="仿宋" w:eastAsia="仿宋" w:cs="仿宋"/>
          <w:sz w:val="24"/>
          <w:szCs w:val="24"/>
          <w:lang w:eastAsia="zh-CN"/>
        </w:rPr>
      </w:pPr>
      <w:bookmarkStart w:id="1128" w:name="_Toc32306"/>
      <w:bookmarkStart w:id="1129" w:name="_Toc29883"/>
      <w:r>
        <w:rPr>
          <w:rFonts w:hint="eastAsia" w:ascii="仿宋" w:hAnsi="仿宋" w:eastAsia="仿宋" w:cs="仿宋"/>
          <w:sz w:val="24"/>
          <w:szCs w:val="24"/>
          <w:lang w:eastAsia="zh-CN"/>
        </w:rPr>
        <w:t>本公司与贵司签订《</w:t>
      </w:r>
      <w:r>
        <w:rPr>
          <w:rFonts w:hint="eastAsia" w:ascii="仿宋" w:hAnsi="仿宋" w:eastAsia="仿宋" w:cs="仿宋"/>
          <w:sz w:val="24"/>
          <w:szCs w:val="24"/>
          <w:u w:val="single"/>
          <w:lang w:eastAsia="zh-CN"/>
        </w:rPr>
        <w:t xml:space="preserve">              </w:t>
      </w:r>
      <w:r>
        <w:rPr>
          <w:rFonts w:hint="eastAsia" w:ascii="仿宋" w:hAnsi="仿宋" w:eastAsia="仿宋" w:cs="仿宋"/>
          <w:sz w:val="24"/>
          <w:szCs w:val="24"/>
          <w:lang w:eastAsia="zh-CN"/>
        </w:rPr>
        <w:t>合同》，我司同意在合同履行过程中，向贵司就民工权益保障工作做出如下承诺，并作为《</w:t>
      </w:r>
      <w:r>
        <w:rPr>
          <w:rFonts w:hint="eastAsia" w:ascii="仿宋" w:hAnsi="仿宋" w:eastAsia="仿宋" w:cs="仿宋"/>
          <w:sz w:val="24"/>
          <w:szCs w:val="24"/>
          <w:u w:val="single"/>
          <w:lang w:eastAsia="zh-CN"/>
        </w:rPr>
        <w:t xml:space="preserve">             </w:t>
      </w:r>
      <w:r>
        <w:rPr>
          <w:rFonts w:hint="eastAsia" w:ascii="仿宋" w:hAnsi="仿宋" w:eastAsia="仿宋" w:cs="仿宋"/>
          <w:sz w:val="24"/>
          <w:szCs w:val="24"/>
          <w:lang w:eastAsia="zh-CN"/>
        </w:rPr>
        <w:t>合同》的附件，与其具有同等法律效力。</w:t>
      </w:r>
      <w:bookmarkEnd w:id="1128"/>
      <w:bookmarkEnd w:id="1129"/>
      <w:r>
        <w:rPr>
          <w:rFonts w:hint="eastAsia" w:ascii="仿宋" w:hAnsi="仿宋" w:eastAsia="仿宋" w:cs="仿宋"/>
          <w:sz w:val="24"/>
          <w:szCs w:val="24"/>
          <w:lang w:eastAsia="zh-CN"/>
        </w:rPr>
        <w:t xml:space="preserve"> </w:t>
      </w:r>
    </w:p>
    <w:p w14:paraId="65BE65D3">
      <w:pPr>
        <w:pStyle w:val="18"/>
        <w:spacing w:line="360" w:lineRule="auto"/>
        <w:ind w:firstLine="480" w:firstLineChars="200"/>
        <w:rPr>
          <w:rFonts w:ascii="仿宋" w:hAnsi="仿宋" w:eastAsia="仿宋" w:cs="仿宋"/>
          <w:sz w:val="24"/>
          <w:szCs w:val="24"/>
          <w:lang w:eastAsia="zh-CN"/>
        </w:rPr>
      </w:pPr>
      <w:bookmarkStart w:id="1130" w:name="_Toc7718"/>
      <w:bookmarkStart w:id="1131" w:name="_Toc17997"/>
      <w:r>
        <w:rPr>
          <w:rFonts w:hint="eastAsia" w:ascii="仿宋" w:hAnsi="仿宋" w:eastAsia="仿宋" w:cs="仿宋"/>
          <w:sz w:val="24"/>
          <w:szCs w:val="24"/>
          <w:lang w:eastAsia="zh-CN"/>
        </w:rPr>
        <w:t>1、我司承诺成立专人负责的民工权益保障专职部门，部门人员由项目经理、预算</w:t>
      </w:r>
      <w:bookmarkEnd w:id="1130"/>
      <w:bookmarkEnd w:id="1131"/>
      <w:bookmarkStart w:id="1132" w:name="_Toc21113"/>
      <w:bookmarkStart w:id="1133" w:name="_Toc5388"/>
      <w:r>
        <w:rPr>
          <w:rFonts w:hint="eastAsia" w:ascii="仿宋" w:hAnsi="仿宋" w:eastAsia="仿宋" w:cs="仿宋"/>
          <w:sz w:val="24"/>
          <w:szCs w:val="24"/>
          <w:lang w:eastAsia="zh-CN"/>
        </w:rPr>
        <w:t>部经理、财务部经理、民工权益保障专员组成；项目经理兼任部门经理，与贵司负责民工权益保障的部门工作对接。</w:t>
      </w:r>
      <w:bookmarkEnd w:id="1132"/>
      <w:bookmarkEnd w:id="1133"/>
      <w:r>
        <w:rPr>
          <w:rFonts w:hint="eastAsia" w:ascii="仿宋" w:hAnsi="仿宋" w:eastAsia="仿宋" w:cs="仿宋"/>
          <w:sz w:val="24"/>
          <w:szCs w:val="24"/>
          <w:lang w:eastAsia="zh-CN"/>
        </w:rPr>
        <w:t xml:space="preserve"> </w:t>
      </w:r>
    </w:p>
    <w:p w14:paraId="6832195E">
      <w:pPr>
        <w:pStyle w:val="18"/>
        <w:spacing w:line="360" w:lineRule="auto"/>
        <w:ind w:firstLine="480" w:firstLineChars="200"/>
        <w:rPr>
          <w:rFonts w:ascii="仿宋" w:hAnsi="仿宋" w:eastAsia="仿宋" w:cs="仿宋"/>
          <w:sz w:val="24"/>
          <w:szCs w:val="24"/>
          <w:lang w:eastAsia="zh-CN"/>
        </w:rPr>
      </w:pPr>
      <w:bookmarkStart w:id="1134" w:name="_Toc18096"/>
      <w:bookmarkStart w:id="1135" w:name="_Toc11029"/>
      <w:r>
        <w:rPr>
          <w:rFonts w:hint="eastAsia" w:ascii="仿宋" w:hAnsi="仿宋" w:eastAsia="仿宋" w:cs="仿宋"/>
          <w:sz w:val="24"/>
          <w:szCs w:val="24"/>
          <w:lang w:eastAsia="zh-CN"/>
        </w:rPr>
        <w:t>2、我司承诺严格遵守国家、省、市劳务用工制度和有关农民工工资支付管理暂行</w:t>
      </w:r>
      <w:bookmarkEnd w:id="1134"/>
      <w:bookmarkEnd w:id="1135"/>
      <w:bookmarkStart w:id="1136" w:name="_Toc15421"/>
      <w:bookmarkStart w:id="1137" w:name="_Toc3397"/>
      <w:r>
        <w:rPr>
          <w:rFonts w:hint="eastAsia" w:ascii="仿宋" w:hAnsi="仿宋" w:eastAsia="仿宋" w:cs="仿宋"/>
          <w:sz w:val="24"/>
          <w:szCs w:val="24"/>
          <w:lang w:eastAsia="zh-CN"/>
        </w:rPr>
        <w:t>办法，认真履行职责，做好本公司在贵司承建的施工项目的民工用工和管理工作，确保</w:t>
      </w:r>
      <w:bookmarkEnd w:id="1136"/>
      <w:bookmarkEnd w:id="1137"/>
      <w:bookmarkStart w:id="1138" w:name="_Toc1201"/>
      <w:bookmarkStart w:id="1139" w:name="_Toc18313"/>
      <w:r>
        <w:rPr>
          <w:rFonts w:hint="eastAsia" w:ascii="仿宋" w:hAnsi="仿宋" w:eastAsia="仿宋" w:cs="仿宋"/>
          <w:sz w:val="24"/>
          <w:szCs w:val="24"/>
          <w:lang w:eastAsia="zh-CN"/>
        </w:rPr>
        <w:t>按时、足额支付劳务分包单位的劳务款，确保按时、足额将民工工资发放到民工本人，</w:t>
      </w:r>
      <w:bookmarkEnd w:id="1138"/>
      <w:bookmarkEnd w:id="1139"/>
      <w:bookmarkStart w:id="1140" w:name="_Toc18342"/>
      <w:bookmarkStart w:id="1141" w:name="_Toc5763"/>
      <w:r>
        <w:rPr>
          <w:rFonts w:hint="eastAsia" w:ascii="仿宋" w:hAnsi="仿宋" w:eastAsia="仿宋" w:cs="仿宋"/>
          <w:sz w:val="24"/>
          <w:szCs w:val="24"/>
          <w:lang w:eastAsia="zh-CN"/>
        </w:rPr>
        <w:t>安排好本公司民工的生活，做好本公司民工的安全教育和管理工作，发放劳保和安全用</w:t>
      </w:r>
      <w:bookmarkEnd w:id="1140"/>
      <w:bookmarkEnd w:id="1141"/>
      <w:bookmarkStart w:id="1142" w:name="_Toc17069"/>
      <w:bookmarkStart w:id="1143" w:name="_Toc28604"/>
      <w:r>
        <w:rPr>
          <w:rFonts w:hint="eastAsia" w:ascii="仿宋" w:hAnsi="仿宋" w:eastAsia="仿宋" w:cs="仿宋"/>
          <w:sz w:val="24"/>
          <w:szCs w:val="24"/>
          <w:lang w:eastAsia="zh-CN"/>
        </w:rPr>
        <w:t>品。</w:t>
      </w:r>
      <w:bookmarkEnd w:id="1142"/>
      <w:bookmarkEnd w:id="1143"/>
      <w:r>
        <w:rPr>
          <w:rFonts w:hint="eastAsia" w:ascii="仿宋" w:hAnsi="仿宋" w:eastAsia="仿宋" w:cs="仿宋"/>
          <w:sz w:val="24"/>
          <w:szCs w:val="24"/>
          <w:lang w:eastAsia="zh-CN"/>
        </w:rPr>
        <w:t xml:space="preserve"> </w:t>
      </w:r>
    </w:p>
    <w:p w14:paraId="0C6381E9">
      <w:pPr>
        <w:pStyle w:val="18"/>
        <w:spacing w:line="360" w:lineRule="auto"/>
        <w:ind w:firstLine="480" w:firstLineChars="200"/>
        <w:rPr>
          <w:rFonts w:ascii="仿宋" w:hAnsi="仿宋" w:eastAsia="仿宋" w:cs="仿宋"/>
          <w:sz w:val="24"/>
          <w:szCs w:val="24"/>
          <w:lang w:eastAsia="zh-CN"/>
        </w:rPr>
      </w:pPr>
      <w:bookmarkStart w:id="1144" w:name="_Toc28599"/>
      <w:bookmarkStart w:id="1145" w:name="_Toc7843"/>
      <w:r>
        <w:rPr>
          <w:rFonts w:hint="eastAsia" w:ascii="仿宋" w:hAnsi="仿宋" w:eastAsia="仿宋" w:cs="仿宋"/>
          <w:sz w:val="24"/>
          <w:szCs w:val="24"/>
          <w:lang w:eastAsia="zh-CN"/>
        </w:rPr>
        <w:t>3、我司承诺按贵司要求按时如实填报有关民工权益保障资料（包括如实记录支付</w:t>
      </w:r>
      <w:bookmarkEnd w:id="1144"/>
      <w:bookmarkEnd w:id="1145"/>
      <w:bookmarkStart w:id="1146" w:name="_Toc4276"/>
      <w:bookmarkStart w:id="1147" w:name="_Toc31528"/>
      <w:r>
        <w:rPr>
          <w:rFonts w:hint="eastAsia" w:ascii="仿宋" w:hAnsi="仿宋" w:eastAsia="仿宋" w:cs="仿宋"/>
          <w:sz w:val="24"/>
          <w:szCs w:val="24"/>
          <w:lang w:eastAsia="zh-CN"/>
        </w:rPr>
        <w:t>单位、支付时间、支付对象、支付数额等工资支付情况的农民工工资支付凭证），并作</w:t>
      </w:r>
      <w:bookmarkEnd w:id="1146"/>
      <w:bookmarkEnd w:id="1147"/>
      <w:bookmarkStart w:id="1148" w:name="_Toc19934"/>
      <w:bookmarkStart w:id="1149" w:name="_Toc16223"/>
      <w:r>
        <w:rPr>
          <w:rFonts w:hint="eastAsia" w:ascii="仿宋" w:hAnsi="仿宋" w:eastAsia="仿宋" w:cs="仿宋"/>
          <w:sz w:val="24"/>
          <w:szCs w:val="24"/>
          <w:lang w:eastAsia="zh-CN"/>
        </w:rPr>
        <w:t>为工程款支付依据之一（工程进度款支付申请资料除应附确认的形象进度资料外，同时</w:t>
      </w:r>
      <w:bookmarkEnd w:id="1148"/>
      <w:bookmarkEnd w:id="1149"/>
      <w:bookmarkStart w:id="1150" w:name="_Toc8360"/>
      <w:bookmarkStart w:id="1151" w:name="_Toc28952"/>
      <w:r>
        <w:rPr>
          <w:rFonts w:hint="eastAsia" w:ascii="仿宋" w:hAnsi="仿宋" w:eastAsia="仿宋" w:cs="仿宋"/>
          <w:sz w:val="24"/>
          <w:szCs w:val="24"/>
          <w:lang w:eastAsia="zh-CN"/>
        </w:rPr>
        <w:t>应附确认的民工权益保障合格资料）。若未按贵司要求及时提供完整的相关资料和凭证</w:t>
      </w:r>
      <w:bookmarkEnd w:id="1150"/>
      <w:bookmarkEnd w:id="1151"/>
      <w:bookmarkStart w:id="1152" w:name="_Toc3685"/>
      <w:bookmarkStart w:id="1153" w:name="_Toc30924"/>
      <w:r>
        <w:rPr>
          <w:rFonts w:hint="eastAsia" w:ascii="仿宋" w:hAnsi="仿宋" w:eastAsia="仿宋" w:cs="仿宋"/>
          <w:sz w:val="24"/>
          <w:szCs w:val="24"/>
          <w:lang w:eastAsia="zh-CN"/>
        </w:rPr>
        <w:t>的，同意贵司延期或不予支付相应的进度款。合同履行过程中，如贵司接到我司拖欠民</w:t>
      </w:r>
      <w:bookmarkEnd w:id="1152"/>
      <w:bookmarkEnd w:id="1153"/>
      <w:bookmarkStart w:id="1154" w:name="_Toc17426"/>
      <w:bookmarkStart w:id="1155" w:name="_Toc825"/>
      <w:r>
        <w:rPr>
          <w:rFonts w:hint="eastAsia" w:ascii="仿宋" w:hAnsi="仿宋" w:eastAsia="仿宋" w:cs="仿宋"/>
          <w:sz w:val="24"/>
          <w:szCs w:val="24"/>
          <w:lang w:eastAsia="zh-CN"/>
        </w:rPr>
        <w:t>工工资的投诉，且经核实为事实的，则贵司有权按照《</w:t>
      </w:r>
      <w:r>
        <w:rPr>
          <w:rFonts w:hint="eastAsia" w:ascii="仿宋" w:hAnsi="仿宋" w:eastAsia="仿宋" w:cs="仿宋"/>
          <w:sz w:val="24"/>
          <w:szCs w:val="24"/>
          <w:u w:val="single"/>
          <w:lang w:eastAsia="zh-CN"/>
        </w:rPr>
        <w:t xml:space="preserve">                      </w:t>
      </w:r>
      <w:r>
        <w:rPr>
          <w:rFonts w:hint="eastAsia" w:ascii="仿宋" w:hAnsi="仿宋" w:eastAsia="仿宋" w:cs="仿宋"/>
          <w:sz w:val="24"/>
          <w:szCs w:val="24"/>
          <w:lang w:eastAsia="zh-CN"/>
        </w:rPr>
        <w:t>合同》</w:t>
      </w:r>
      <w:bookmarkEnd w:id="1154"/>
      <w:bookmarkEnd w:id="1155"/>
      <w:bookmarkStart w:id="1156" w:name="_Toc19277"/>
      <w:bookmarkStart w:id="1157" w:name="_Toc24129"/>
      <w:r>
        <w:rPr>
          <w:rFonts w:hint="eastAsia" w:ascii="仿宋" w:hAnsi="仿宋" w:eastAsia="仿宋" w:cs="仿宋"/>
          <w:sz w:val="24"/>
          <w:szCs w:val="24"/>
          <w:lang w:eastAsia="zh-CN"/>
        </w:rPr>
        <w:t>中的相关条款进行处理，并有权将我司拖欠的金额从应付工程款中直接支付给被拖欠方。</w:t>
      </w:r>
      <w:bookmarkEnd w:id="1156"/>
      <w:bookmarkEnd w:id="1157"/>
      <w:r>
        <w:rPr>
          <w:rFonts w:hint="eastAsia" w:ascii="仿宋" w:hAnsi="仿宋" w:eastAsia="仿宋" w:cs="仿宋"/>
          <w:sz w:val="24"/>
          <w:szCs w:val="24"/>
          <w:lang w:eastAsia="zh-CN"/>
        </w:rPr>
        <w:t xml:space="preserve"> </w:t>
      </w:r>
    </w:p>
    <w:p w14:paraId="663AA4A3">
      <w:pPr>
        <w:pStyle w:val="18"/>
        <w:spacing w:line="360" w:lineRule="auto"/>
        <w:ind w:firstLine="480" w:firstLineChars="200"/>
        <w:rPr>
          <w:rFonts w:ascii="仿宋" w:hAnsi="仿宋" w:eastAsia="仿宋" w:cs="仿宋"/>
          <w:sz w:val="24"/>
          <w:szCs w:val="24"/>
          <w:lang w:eastAsia="zh-CN"/>
        </w:rPr>
      </w:pPr>
      <w:bookmarkStart w:id="1158" w:name="_Toc3589"/>
      <w:bookmarkStart w:id="1159" w:name="_Toc366"/>
      <w:r>
        <w:rPr>
          <w:rFonts w:hint="eastAsia" w:ascii="仿宋" w:hAnsi="仿宋" w:eastAsia="仿宋" w:cs="仿宋"/>
          <w:sz w:val="24"/>
          <w:szCs w:val="24"/>
          <w:lang w:eastAsia="zh-CN"/>
        </w:rPr>
        <w:t>特此承诺！</w:t>
      </w:r>
      <w:bookmarkEnd w:id="1158"/>
      <w:bookmarkEnd w:id="1159"/>
      <w:r>
        <w:rPr>
          <w:rFonts w:hint="eastAsia" w:ascii="仿宋" w:hAnsi="仿宋" w:eastAsia="仿宋" w:cs="仿宋"/>
          <w:sz w:val="24"/>
          <w:szCs w:val="24"/>
          <w:lang w:eastAsia="zh-CN"/>
        </w:rPr>
        <w:t xml:space="preserve"> </w:t>
      </w:r>
    </w:p>
    <w:p w14:paraId="67DA6809">
      <w:pPr>
        <w:wordWrap w:val="0"/>
        <w:adjustRightInd w:val="0"/>
        <w:snapToGrid w:val="0"/>
        <w:spacing w:line="360" w:lineRule="auto"/>
        <w:jc w:val="right"/>
        <w:rPr>
          <w:rFonts w:ascii="仿宋" w:hAnsi="仿宋" w:eastAsia="仿宋" w:cs="仿宋"/>
          <w:b/>
          <w:lang w:eastAsia="zh-CN"/>
        </w:rPr>
      </w:pPr>
      <w:bookmarkStart w:id="1160" w:name="_Toc20877"/>
      <w:bookmarkStart w:id="1161" w:name="_Toc2325"/>
      <w:r>
        <w:rPr>
          <w:rFonts w:hint="eastAsia" w:ascii="仿宋" w:hAnsi="仿宋" w:eastAsia="仿宋" w:cs="仿宋"/>
          <w:b/>
          <w:lang w:eastAsia="zh-CN"/>
        </w:rPr>
        <w:t>承诺人：</w:t>
      </w:r>
      <w:bookmarkEnd w:id="1160"/>
      <w:bookmarkEnd w:id="1161"/>
      <w:r>
        <w:rPr>
          <w:rFonts w:hint="eastAsia" w:ascii="仿宋" w:hAnsi="仿宋" w:eastAsia="仿宋" w:cs="仿宋"/>
          <w:b/>
          <w:lang w:eastAsia="zh-CN"/>
        </w:rPr>
        <w:t xml:space="preserve"> </w:t>
      </w:r>
      <w:r>
        <w:rPr>
          <w:rFonts w:ascii="仿宋" w:hAnsi="仿宋" w:eastAsia="仿宋" w:cs="仿宋"/>
          <w:b/>
          <w:lang w:eastAsia="zh-CN"/>
        </w:rPr>
        <w:t xml:space="preserve">                </w:t>
      </w:r>
    </w:p>
    <w:p w14:paraId="671F29C1">
      <w:pPr>
        <w:wordWrap w:val="0"/>
        <w:adjustRightInd w:val="0"/>
        <w:snapToGrid w:val="0"/>
        <w:spacing w:line="360" w:lineRule="auto"/>
        <w:jc w:val="right"/>
        <w:rPr>
          <w:rFonts w:ascii="仿宋" w:hAnsi="仿宋" w:eastAsia="仿宋" w:cs="仿宋"/>
          <w:b/>
          <w:lang w:eastAsia="zh-CN"/>
        </w:rPr>
      </w:pPr>
      <w:bookmarkStart w:id="1162" w:name="_Toc10480"/>
      <w:bookmarkStart w:id="1163" w:name="_Toc28906"/>
      <w:r>
        <w:rPr>
          <w:rFonts w:hint="eastAsia" w:ascii="仿宋" w:hAnsi="仿宋" w:eastAsia="仿宋" w:cs="仿宋"/>
          <w:b/>
          <w:lang w:eastAsia="zh-CN"/>
        </w:rPr>
        <w:t>法定代表人：</w:t>
      </w:r>
      <w:bookmarkEnd w:id="1162"/>
      <w:bookmarkEnd w:id="1163"/>
      <w:r>
        <w:rPr>
          <w:rFonts w:hint="eastAsia" w:ascii="仿宋" w:hAnsi="仿宋" w:eastAsia="仿宋" w:cs="仿宋"/>
          <w:b/>
          <w:lang w:eastAsia="zh-CN"/>
        </w:rPr>
        <w:t xml:space="preserve"> </w:t>
      </w:r>
      <w:r>
        <w:rPr>
          <w:rFonts w:ascii="仿宋" w:hAnsi="仿宋" w:eastAsia="仿宋" w:cs="仿宋"/>
          <w:b/>
          <w:lang w:eastAsia="zh-CN"/>
        </w:rPr>
        <w:t xml:space="preserve">            </w:t>
      </w:r>
    </w:p>
    <w:p w14:paraId="6E4BA231">
      <w:pPr>
        <w:adjustRightInd w:val="0"/>
        <w:snapToGrid w:val="0"/>
        <w:spacing w:line="360" w:lineRule="auto"/>
        <w:jc w:val="right"/>
        <w:rPr>
          <w:rFonts w:ascii="仿宋" w:hAnsi="仿宋" w:eastAsia="仿宋" w:cs="仿宋"/>
          <w:b/>
          <w:lang w:eastAsia="zh-CN"/>
        </w:rPr>
      </w:pPr>
      <w:bookmarkStart w:id="1164" w:name="_Toc17964"/>
      <w:bookmarkStart w:id="1165" w:name="_Toc28053"/>
      <w:r>
        <w:rPr>
          <w:rFonts w:hint="eastAsia" w:ascii="仿宋" w:hAnsi="仿宋" w:eastAsia="仿宋" w:cs="仿宋"/>
          <w:b/>
          <w:lang w:eastAsia="zh-CN"/>
        </w:rPr>
        <w:t>承诺日期： 2025年 月  日</w:t>
      </w:r>
      <w:bookmarkEnd w:id="1164"/>
      <w:bookmarkEnd w:id="1165"/>
    </w:p>
    <w:p w14:paraId="5C94E4B6">
      <w:pPr>
        <w:adjustRightInd w:val="0"/>
        <w:snapToGrid w:val="0"/>
        <w:spacing w:line="360" w:lineRule="auto"/>
        <w:jc w:val="right"/>
        <w:rPr>
          <w:rFonts w:ascii="仿宋" w:hAnsi="仿宋" w:eastAsia="仿宋" w:cs="仿宋"/>
          <w:b/>
          <w:lang w:eastAsia="zh-CN"/>
        </w:rPr>
      </w:pPr>
    </w:p>
    <w:p w14:paraId="32C491DB">
      <w:pPr>
        <w:spacing w:line="360" w:lineRule="auto"/>
        <w:outlineLvl w:val="1"/>
        <w:rPr>
          <w:rFonts w:ascii="仿宋" w:hAnsi="仿宋" w:eastAsia="仿宋" w:cs="仿宋"/>
          <w:b/>
          <w:bCs/>
          <w:lang w:eastAsia="zh-CN"/>
        </w:rPr>
      </w:pPr>
      <w:bookmarkStart w:id="1166" w:name="_Toc22687"/>
      <w:bookmarkStart w:id="1167" w:name="_Toc31897"/>
      <w:r>
        <w:rPr>
          <w:rFonts w:hint="eastAsia" w:ascii="仿宋" w:hAnsi="仿宋" w:eastAsia="仿宋" w:cs="仿宋"/>
          <w:b/>
          <w:bCs/>
          <w:lang w:eastAsia="zh-CN"/>
        </w:rPr>
        <w:br w:type="page"/>
      </w:r>
      <w:bookmarkEnd w:id="1166"/>
      <w:bookmarkEnd w:id="1167"/>
      <w:bookmarkStart w:id="1168" w:name="_Toc194073291"/>
      <w:bookmarkStart w:id="1169" w:name="_Toc12253"/>
      <w:bookmarkStart w:id="1170" w:name="_Toc2203"/>
      <w:bookmarkStart w:id="1171" w:name="_Toc3629"/>
      <w:r>
        <w:rPr>
          <w:rFonts w:hint="eastAsia" w:ascii="仿宋" w:hAnsi="仿宋" w:eastAsia="仿宋" w:cs="仿宋"/>
          <w:b/>
          <w:bCs/>
          <w:lang w:eastAsia="zh-CN"/>
        </w:rPr>
        <w:t>附件六：材料设备供应管理办法</w:t>
      </w:r>
      <w:bookmarkEnd w:id="1168"/>
      <w:bookmarkEnd w:id="1169"/>
      <w:bookmarkEnd w:id="1170"/>
      <w:bookmarkEnd w:id="1171"/>
    </w:p>
    <w:p w14:paraId="6793754B">
      <w:pPr>
        <w:spacing w:line="360" w:lineRule="auto"/>
        <w:ind w:firstLine="720" w:firstLineChars="200"/>
        <w:jc w:val="center"/>
        <w:rPr>
          <w:rFonts w:ascii="仿宋" w:hAnsi="仿宋" w:eastAsia="仿宋"/>
          <w:sz w:val="36"/>
          <w:szCs w:val="36"/>
          <w:lang w:eastAsia="zh-CN"/>
        </w:rPr>
      </w:pPr>
      <w:r>
        <w:rPr>
          <w:rFonts w:hint="eastAsia" w:ascii="仿宋" w:hAnsi="仿宋" w:eastAsia="仿宋"/>
          <w:sz w:val="36"/>
          <w:szCs w:val="36"/>
          <w:lang w:eastAsia="zh-CN"/>
        </w:rPr>
        <w:t>材料设备供应管理办法</w:t>
      </w:r>
    </w:p>
    <w:p w14:paraId="36D7E119">
      <w:pPr>
        <w:spacing w:line="360" w:lineRule="auto"/>
        <w:ind w:firstLine="480" w:firstLineChars="200"/>
        <w:rPr>
          <w:rFonts w:ascii="仿宋" w:hAnsi="仿宋" w:eastAsia="仿宋"/>
          <w:lang w:eastAsia="zh-CN"/>
        </w:rPr>
      </w:pPr>
      <w:r>
        <w:rPr>
          <w:rFonts w:hint="eastAsia" w:ascii="仿宋" w:hAnsi="仿宋" w:eastAsia="仿宋"/>
          <w:lang w:eastAsia="zh-CN"/>
        </w:rPr>
        <w:t>为保证本项目工程建设质量、进度和投资控制目标的实现，根据设计和招标的实际情况及国家有关技术标准和规范，特制定本项目工程材料、设备供应管理办法。</w:t>
      </w:r>
    </w:p>
    <w:p w14:paraId="508DD81F">
      <w:pPr>
        <w:spacing w:line="360" w:lineRule="auto"/>
        <w:ind w:firstLine="482" w:firstLineChars="200"/>
        <w:jc w:val="center"/>
        <w:rPr>
          <w:rFonts w:ascii="仿宋" w:hAnsi="仿宋" w:eastAsia="仿宋"/>
          <w:b/>
          <w:bCs/>
          <w:lang w:eastAsia="zh-CN"/>
        </w:rPr>
      </w:pPr>
      <w:r>
        <w:rPr>
          <w:rFonts w:hint="eastAsia" w:ascii="仿宋" w:hAnsi="仿宋" w:eastAsia="仿宋"/>
          <w:b/>
          <w:bCs/>
          <w:lang w:eastAsia="zh-CN"/>
        </w:rPr>
        <w:t>第一节工作职责</w:t>
      </w:r>
    </w:p>
    <w:p w14:paraId="6E3012D1">
      <w:pPr>
        <w:spacing w:line="360" w:lineRule="auto"/>
        <w:ind w:firstLine="480" w:firstLineChars="200"/>
        <w:rPr>
          <w:rFonts w:ascii="仿宋" w:hAnsi="仿宋" w:eastAsia="仿宋"/>
          <w:lang w:eastAsia="zh-CN"/>
        </w:rPr>
      </w:pPr>
      <w:r>
        <w:rPr>
          <w:rFonts w:hint="eastAsia" w:ascii="仿宋" w:hAnsi="仿宋" w:eastAsia="仿宋"/>
          <w:lang w:eastAsia="zh-CN"/>
        </w:rPr>
        <w:t>1.1</w:t>
      </w:r>
      <w:r>
        <w:rPr>
          <w:rFonts w:hint="eastAsia" w:ascii="仿宋" w:hAnsi="仿宋" w:eastAsia="仿宋"/>
          <w:b/>
          <w:bCs/>
          <w:lang w:eastAsia="zh-CN"/>
        </w:rPr>
        <w:t>发包人</w:t>
      </w:r>
      <w:r>
        <w:rPr>
          <w:rFonts w:hint="eastAsia" w:ascii="仿宋" w:hAnsi="仿宋" w:eastAsia="仿宋"/>
          <w:lang w:eastAsia="zh-CN"/>
        </w:rPr>
        <w:t>：确定本项目主要材料（设备）推荐品牌，对监理单位、承包人、供应厂商进行指导、管理。</w:t>
      </w:r>
    </w:p>
    <w:p w14:paraId="5132BA05">
      <w:pPr>
        <w:spacing w:line="360" w:lineRule="auto"/>
        <w:ind w:firstLine="480" w:firstLineChars="200"/>
        <w:rPr>
          <w:rFonts w:ascii="仿宋" w:hAnsi="仿宋" w:eastAsia="仿宋"/>
          <w:lang w:eastAsia="zh-CN"/>
        </w:rPr>
      </w:pPr>
      <w:r>
        <w:rPr>
          <w:rFonts w:hint="eastAsia" w:ascii="仿宋" w:hAnsi="仿宋" w:eastAsia="仿宋"/>
          <w:lang w:eastAsia="zh-CN"/>
        </w:rPr>
        <w:t>1.2</w:t>
      </w:r>
      <w:r>
        <w:rPr>
          <w:rFonts w:hint="eastAsia" w:ascii="仿宋" w:hAnsi="仿宋" w:eastAsia="仿宋"/>
          <w:b/>
          <w:bCs/>
          <w:lang w:eastAsia="zh-CN"/>
        </w:rPr>
        <w:t>监理单位</w:t>
      </w:r>
      <w:r>
        <w:rPr>
          <w:rFonts w:hint="eastAsia" w:ascii="仿宋" w:hAnsi="仿宋" w:eastAsia="仿宋"/>
          <w:lang w:eastAsia="zh-CN"/>
        </w:rPr>
        <w:t>：依照监理合同对项目建设过程（包括材料和设备质量）进行监理，接受发包人的管理，严格执行本办法。</w:t>
      </w:r>
    </w:p>
    <w:p w14:paraId="6894AE35">
      <w:pPr>
        <w:spacing w:line="360" w:lineRule="auto"/>
        <w:ind w:firstLine="480" w:firstLineChars="200"/>
        <w:rPr>
          <w:rFonts w:ascii="仿宋" w:hAnsi="仿宋" w:eastAsia="仿宋"/>
          <w:lang w:eastAsia="zh-CN"/>
        </w:rPr>
      </w:pPr>
      <w:r>
        <w:rPr>
          <w:rFonts w:hint="eastAsia" w:ascii="仿宋" w:hAnsi="仿宋" w:eastAsia="仿宋"/>
          <w:lang w:eastAsia="zh-CN"/>
        </w:rPr>
        <w:t>1.3</w:t>
      </w:r>
      <w:r>
        <w:rPr>
          <w:rFonts w:hint="eastAsia" w:ascii="仿宋" w:hAnsi="仿宋" w:eastAsia="仿宋"/>
          <w:b/>
          <w:bCs/>
          <w:lang w:eastAsia="zh-CN"/>
        </w:rPr>
        <w:t>承包人</w:t>
      </w:r>
      <w:r>
        <w:rPr>
          <w:rFonts w:hint="eastAsia" w:ascii="仿宋" w:hAnsi="仿宋" w:eastAsia="仿宋"/>
          <w:lang w:eastAsia="zh-CN"/>
        </w:rPr>
        <w:t>：在材料、设备供应工作中接受发包人、监理单位的指导和管理，同时严格执行本办法。</w:t>
      </w:r>
    </w:p>
    <w:p w14:paraId="761C1843">
      <w:pPr>
        <w:spacing w:line="360" w:lineRule="auto"/>
        <w:ind w:firstLine="480" w:firstLineChars="200"/>
        <w:rPr>
          <w:rFonts w:ascii="仿宋" w:hAnsi="仿宋" w:eastAsia="仿宋"/>
          <w:lang w:eastAsia="zh-CN"/>
        </w:rPr>
      </w:pPr>
      <w:r>
        <w:rPr>
          <w:rFonts w:hint="eastAsia" w:ascii="仿宋" w:hAnsi="仿宋" w:eastAsia="仿宋"/>
          <w:lang w:eastAsia="zh-CN"/>
        </w:rPr>
        <w:t>1.4</w:t>
      </w:r>
      <w:r>
        <w:rPr>
          <w:rFonts w:hint="eastAsia" w:ascii="仿宋" w:hAnsi="仿宋" w:eastAsia="仿宋"/>
          <w:b/>
          <w:bCs/>
          <w:lang w:eastAsia="zh-CN"/>
        </w:rPr>
        <w:t>合格供应厂商</w:t>
      </w:r>
      <w:r>
        <w:rPr>
          <w:rFonts w:hint="eastAsia" w:ascii="仿宋" w:hAnsi="仿宋" w:eastAsia="仿宋"/>
          <w:lang w:eastAsia="zh-CN"/>
        </w:rPr>
        <w:t>：与发包人或承包人签订材料和设备供应合同的供货方。在材料、设备供应过程中，接受发包人、监理单位的指导和管理，同时严格执行本办法。</w:t>
      </w:r>
    </w:p>
    <w:p w14:paraId="1277FBB5">
      <w:pPr>
        <w:spacing w:line="360" w:lineRule="auto"/>
        <w:ind w:firstLine="480" w:firstLineChars="200"/>
        <w:rPr>
          <w:rFonts w:ascii="仿宋" w:hAnsi="仿宋" w:eastAsia="仿宋"/>
          <w:lang w:eastAsia="zh-CN"/>
        </w:rPr>
      </w:pPr>
      <w:r>
        <w:rPr>
          <w:rFonts w:hint="eastAsia" w:ascii="仿宋" w:hAnsi="仿宋" w:eastAsia="仿宋"/>
          <w:lang w:eastAsia="zh-CN"/>
        </w:rPr>
        <w:t>1.5</w:t>
      </w:r>
      <w:r>
        <w:rPr>
          <w:rFonts w:hint="eastAsia" w:ascii="仿宋" w:hAnsi="仿宋" w:eastAsia="仿宋"/>
          <w:b/>
          <w:bCs/>
          <w:lang w:eastAsia="zh-CN"/>
        </w:rPr>
        <w:t>推荐品牌</w:t>
      </w:r>
      <w:r>
        <w:rPr>
          <w:rFonts w:hint="eastAsia" w:ascii="仿宋" w:hAnsi="仿宋" w:eastAsia="仿宋"/>
          <w:lang w:eastAsia="zh-CN"/>
        </w:rPr>
        <w:t>：</w:t>
      </w:r>
      <w:r>
        <w:rPr>
          <w:rFonts w:hint="eastAsia" w:ascii="仿宋" w:hAnsi="仿宋" w:eastAsia="仿宋"/>
          <w:lang w:val="en-US" w:eastAsia="zh-CN"/>
        </w:rPr>
        <w:t>本合同</w:t>
      </w:r>
      <w:r>
        <w:rPr>
          <w:rFonts w:hint="eastAsia" w:ascii="仿宋" w:hAnsi="仿宋" w:eastAsia="仿宋"/>
          <w:lang w:eastAsia="zh-CN"/>
        </w:rPr>
        <w:t>列明的主要材料（设备）推荐品牌（</w:t>
      </w:r>
      <w:r>
        <w:rPr>
          <w:rFonts w:hint="eastAsia" w:ascii="仿宋" w:hAnsi="仿宋" w:eastAsia="仿宋"/>
          <w:lang w:val="en-US" w:eastAsia="zh-CN"/>
        </w:rPr>
        <w:t>详见合同附件七</w:t>
      </w:r>
      <w:r>
        <w:rPr>
          <w:rFonts w:hint="eastAsia" w:ascii="仿宋" w:hAnsi="仿宋" w:eastAsia="仿宋"/>
          <w:lang w:eastAsia="zh-CN"/>
        </w:rPr>
        <w:t>），合同实施期间应对表中有的品牌进行报审并使用，对新增材料需经参建各方考察报审。</w:t>
      </w:r>
    </w:p>
    <w:p w14:paraId="7D12DE31">
      <w:pPr>
        <w:spacing w:line="360" w:lineRule="auto"/>
        <w:ind w:firstLine="482" w:firstLineChars="200"/>
        <w:jc w:val="center"/>
        <w:rPr>
          <w:rFonts w:ascii="仿宋" w:hAnsi="仿宋" w:eastAsia="仿宋"/>
          <w:b/>
          <w:bCs/>
          <w:lang w:eastAsia="zh-CN"/>
        </w:rPr>
      </w:pPr>
      <w:r>
        <w:rPr>
          <w:rFonts w:hint="eastAsia" w:ascii="仿宋" w:hAnsi="仿宋" w:eastAsia="仿宋"/>
          <w:b/>
          <w:bCs/>
          <w:lang w:eastAsia="zh-CN"/>
        </w:rPr>
        <w:t>第二节材料、设备种类</w:t>
      </w:r>
    </w:p>
    <w:p w14:paraId="0600E1DC">
      <w:pPr>
        <w:spacing w:line="360" w:lineRule="auto"/>
        <w:ind w:firstLine="482" w:firstLineChars="200"/>
        <w:rPr>
          <w:rFonts w:ascii="仿宋" w:hAnsi="仿宋" w:eastAsia="仿宋"/>
          <w:lang w:eastAsia="zh-CN"/>
        </w:rPr>
      </w:pPr>
      <w:r>
        <w:rPr>
          <w:rFonts w:hint="eastAsia" w:ascii="仿宋" w:hAnsi="仿宋" w:eastAsia="仿宋"/>
          <w:b/>
          <w:bCs/>
          <w:lang w:eastAsia="zh-CN"/>
        </w:rPr>
        <w:t>2.1</w:t>
      </w:r>
      <w:r>
        <w:rPr>
          <w:rFonts w:hint="eastAsia" w:ascii="仿宋" w:hAnsi="仿宋" w:eastAsia="仿宋"/>
          <w:lang w:eastAsia="zh-CN"/>
        </w:rPr>
        <w:t>详见招标文件和设计图纸要求使用的材料、设备说明。</w:t>
      </w:r>
    </w:p>
    <w:p w14:paraId="5AA60956">
      <w:pPr>
        <w:spacing w:line="360" w:lineRule="auto"/>
        <w:ind w:firstLine="482" w:firstLineChars="200"/>
        <w:jc w:val="center"/>
        <w:rPr>
          <w:rFonts w:ascii="仿宋" w:hAnsi="仿宋" w:eastAsia="仿宋"/>
          <w:b/>
          <w:bCs/>
          <w:lang w:eastAsia="zh-CN"/>
        </w:rPr>
      </w:pPr>
      <w:r>
        <w:rPr>
          <w:rFonts w:hint="eastAsia" w:ascii="仿宋" w:hAnsi="仿宋" w:eastAsia="仿宋"/>
          <w:b/>
          <w:bCs/>
          <w:lang w:eastAsia="zh-CN"/>
        </w:rPr>
        <w:t>第三节材料、设备供应方式</w:t>
      </w:r>
    </w:p>
    <w:p w14:paraId="751387D0">
      <w:pPr>
        <w:spacing w:line="360" w:lineRule="auto"/>
        <w:ind w:firstLine="480" w:firstLineChars="200"/>
        <w:rPr>
          <w:rFonts w:ascii="仿宋" w:hAnsi="仿宋" w:eastAsia="仿宋"/>
          <w:lang w:eastAsia="zh-CN"/>
        </w:rPr>
      </w:pPr>
      <w:r>
        <w:rPr>
          <w:rFonts w:hint="eastAsia" w:ascii="仿宋" w:hAnsi="仿宋" w:eastAsia="仿宋"/>
          <w:lang w:eastAsia="zh-CN"/>
        </w:rPr>
        <w:t>本工程材料、设备供应方式分为三种：承包人采购；发包人与承包人联合确定供应厂商，承包人采购；发包人招标，承包人采购。</w:t>
      </w:r>
    </w:p>
    <w:p w14:paraId="201B3A74">
      <w:pPr>
        <w:spacing w:line="360" w:lineRule="auto"/>
        <w:ind w:firstLine="482" w:firstLineChars="200"/>
        <w:rPr>
          <w:rFonts w:ascii="仿宋" w:hAnsi="仿宋" w:eastAsia="仿宋"/>
          <w:b/>
          <w:bCs/>
          <w:lang w:eastAsia="zh-CN"/>
        </w:rPr>
      </w:pPr>
      <w:r>
        <w:rPr>
          <w:rFonts w:hint="eastAsia" w:ascii="仿宋" w:hAnsi="仿宋" w:eastAsia="仿宋"/>
          <w:b/>
          <w:bCs/>
          <w:lang w:eastAsia="zh-CN"/>
        </w:rPr>
        <w:t>3.1承包人采购</w:t>
      </w:r>
    </w:p>
    <w:p w14:paraId="794D745E">
      <w:pPr>
        <w:spacing w:line="360" w:lineRule="auto"/>
        <w:ind w:firstLine="480" w:firstLineChars="200"/>
        <w:rPr>
          <w:rFonts w:ascii="仿宋" w:hAnsi="仿宋" w:eastAsia="仿宋"/>
          <w:lang w:eastAsia="zh-CN"/>
        </w:rPr>
      </w:pPr>
      <w:r>
        <w:rPr>
          <w:rFonts w:hint="eastAsia" w:ascii="仿宋" w:hAnsi="仿宋" w:eastAsia="仿宋"/>
          <w:lang w:eastAsia="zh-CN"/>
        </w:rPr>
        <w:t>对施工图纸有明确设计、国家有统一技术规格标准和规范的建筑材料和设备，由承包人根据设计要求、有关标准和规范、招标文件要求等，按规定标准、规格、质量要求采购。</w:t>
      </w:r>
    </w:p>
    <w:p w14:paraId="6EB8A3B0">
      <w:pPr>
        <w:spacing w:line="360" w:lineRule="auto"/>
        <w:ind w:firstLine="480" w:firstLineChars="200"/>
        <w:rPr>
          <w:rFonts w:ascii="仿宋" w:hAnsi="仿宋" w:eastAsia="仿宋"/>
          <w:lang w:eastAsia="zh-CN"/>
        </w:rPr>
      </w:pPr>
      <w:r>
        <w:rPr>
          <w:rFonts w:hint="eastAsia" w:ascii="仿宋" w:hAnsi="仿宋" w:eastAsia="仿宋"/>
          <w:lang w:eastAsia="zh-CN"/>
        </w:rPr>
        <w:t>在推荐品牌范围内的按本办法第五节规定程序报送样板经监理单位和发包人确认后采购；不在推荐品牌范围内的，需推荐同档次且不低于三家品牌报监理单位和发包人审批确定才可采购；</w:t>
      </w:r>
    </w:p>
    <w:p w14:paraId="2FFC6727">
      <w:pPr>
        <w:spacing w:line="360" w:lineRule="auto"/>
        <w:ind w:firstLine="480" w:firstLineChars="200"/>
        <w:rPr>
          <w:rFonts w:ascii="仿宋" w:hAnsi="仿宋" w:eastAsia="仿宋"/>
          <w:lang w:eastAsia="zh-CN"/>
        </w:rPr>
      </w:pPr>
      <w:r>
        <w:rPr>
          <w:rFonts w:hint="eastAsia" w:ascii="仿宋" w:hAnsi="仿宋" w:eastAsia="仿宋"/>
          <w:lang w:eastAsia="zh-CN"/>
        </w:rPr>
        <w:t>没有推荐品牌的材料设备种类，则经发包人和监理单位批准后采购。</w:t>
      </w:r>
    </w:p>
    <w:p w14:paraId="59406AAD">
      <w:pPr>
        <w:spacing w:line="360" w:lineRule="auto"/>
        <w:ind w:firstLine="482" w:firstLineChars="200"/>
        <w:rPr>
          <w:rFonts w:ascii="仿宋" w:hAnsi="仿宋" w:eastAsia="仿宋"/>
          <w:b/>
          <w:bCs/>
          <w:lang w:eastAsia="zh-CN"/>
        </w:rPr>
      </w:pPr>
      <w:r>
        <w:rPr>
          <w:rFonts w:hint="eastAsia" w:ascii="仿宋" w:hAnsi="仿宋" w:eastAsia="仿宋"/>
          <w:b/>
          <w:bCs/>
          <w:lang w:eastAsia="zh-CN"/>
        </w:rPr>
        <w:t>3.2发包人与承包人联合确定供应厂商后承包人采购</w:t>
      </w:r>
    </w:p>
    <w:p w14:paraId="1908D814">
      <w:pPr>
        <w:spacing w:line="360" w:lineRule="auto"/>
        <w:ind w:firstLine="480" w:firstLineChars="200"/>
        <w:rPr>
          <w:rFonts w:ascii="仿宋" w:hAnsi="仿宋" w:eastAsia="仿宋"/>
          <w:lang w:eastAsia="zh-CN"/>
        </w:rPr>
      </w:pPr>
      <w:r>
        <w:rPr>
          <w:rFonts w:hint="eastAsia" w:ascii="仿宋" w:hAnsi="仿宋" w:eastAsia="仿宋"/>
          <w:lang w:eastAsia="zh-CN"/>
        </w:rPr>
        <w:t>根据工程建设的要求，如项目分标段招标，为保持各标段的建筑外观一致，或便于使用期间的运行和维护保养，对部分材料、设备的品牌、规格、型号、颜色等进行统一规定，发包人有权要求各标段承包人按发包人和监理单位在承包人报送样板中选取确认的统一品牌采购。</w:t>
      </w:r>
    </w:p>
    <w:p w14:paraId="60C644FB">
      <w:pPr>
        <w:spacing w:line="360" w:lineRule="auto"/>
        <w:ind w:firstLine="482" w:firstLineChars="200"/>
        <w:rPr>
          <w:rFonts w:ascii="仿宋" w:hAnsi="仿宋" w:eastAsia="仿宋"/>
          <w:b/>
          <w:bCs/>
          <w:lang w:eastAsia="zh-CN"/>
        </w:rPr>
      </w:pPr>
      <w:r>
        <w:rPr>
          <w:rFonts w:hint="eastAsia" w:ascii="仿宋" w:hAnsi="仿宋" w:eastAsia="仿宋"/>
          <w:b/>
          <w:bCs/>
          <w:lang w:eastAsia="zh-CN"/>
        </w:rPr>
        <w:t>3.3发包人招标、承包人采购</w:t>
      </w:r>
    </w:p>
    <w:p w14:paraId="6242F4F2">
      <w:pPr>
        <w:spacing w:line="360" w:lineRule="auto"/>
        <w:ind w:firstLine="480" w:firstLineChars="200"/>
        <w:rPr>
          <w:rFonts w:ascii="仿宋" w:hAnsi="仿宋" w:eastAsia="仿宋"/>
          <w:lang w:eastAsia="zh-CN"/>
        </w:rPr>
      </w:pPr>
      <w:r>
        <w:rPr>
          <w:rFonts w:hint="eastAsia" w:ascii="仿宋" w:hAnsi="仿宋" w:eastAsia="仿宋"/>
          <w:lang w:eastAsia="zh-CN"/>
        </w:rPr>
        <w:t>需要由发包人供应的材料、设备，由发包人依法招标确定供应厂商及采购价格，由承包人采购。（暂无）</w:t>
      </w:r>
    </w:p>
    <w:p w14:paraId="64156EEA">
      <w:pPr>
        <w:spacing w:line="360" w:lineRule="auto"/>
        <w:ind w:firstLine="482" w:firstLineChars="200"/>
        <w:jc w:val="center"/>
        <w:rPr>
          <w:rFonts w:ascii="仿宋" w:hAnsi="仿宋" w:eastAsia="仿宋"/>
          <w:b/>
          <w:bCs/>
          <w:lang w:eastAsia="zh-CN"/>
        </w:rPr>
      </w:pPr>
      <w:r>
        <w:rPr>
          <w:rFonts w:hint="eastAsia" w:ascii="仿宋" w:hAnsi="仿宋" w:eastAsia="仿宋"/>
          <w:b/>
          <w:bCs/>
          <w:lang w:eastAsia="zh-CN"/>
        </w:rPr>
        <w:t>第四节组织架构及职责分工</w:t>
      </w:r>
    </w:p>
    <w:p w14:paraId="08102040">
      <w:pPr>
        <w:spacing w:line="360" w:lineRule="auto"/>
        <w:ind w:firstLine="482" w:firstLineChars="200"/>
        <w:rPr>
          <w:rFonts w:ascii="仿宋" w:hAnsi="仿宋" w:eastAsia="仿宋"/>
          <w:b/>
          <w:bCs/>
          <w:lang w:eastAsia="zh-CN"/>
        </w:rPr>
      </w:pPr>
      <w:r>
        <w:rPr>
          <w:rFonts w:hint="eastAsia" w:ascii="仿宋" w:hAnsi="仿宋" w:eastAsia="仿宋"/>
          <w:b/>
          <w:bCs/>
          <w:lang w:eastAsia="zh-CN"/>
        </w:rPr>
        <w:t>4.1材料、设备品牌评审工作组</w:t>
      </w:r>
    </w:p>
    <w:p w14:paraId="35CC33E9">
      <w:pPr>
        <w:spacing w:line="360" w:lineRule="auto"/>
        <w:ind w:firstLine="480" w:firstLineChars="200"/>
        <w:rPr>
          <w:rFonts w:ascii="仿宋" w:hAnsi="仿宋" w:eastAsia="仿宋"/>
          <w:lang w:eastAsia="zh-CN"/>
        </w:rPr>
      </w:pPr>
      <w:r>
        <w:rPr>
          <w:rFonts w:hint="eastAsia" w:ascii="仿宋" w:hAnsi="仿宋" w:eastAsia="仿宋"/>
          <w:lang w:eastAsia="zh-CN"/>
        </w:rPr>
        <w:t>材料、设备品牌评审工作组于招标阶段组建，由发包人、设计单位等相关人员组成。</w:t>
      </w:r>
    </w:p>
    <w:p w14:paraId="35C39DFA">
      <w:pPr>
        <w:spacing w:line="360" w:lineRule="auto"/>
        <w:ind w:firstLine="480" w:firstLineChars="200"/>
        <w:rPr>
          <w:rFonts w:ascii="仿宋" w:hAnsi="仿宋" w:eastAsia="仿宋"/>
          <w:lang w:eastAsia="zh-CN"/>
        </w:rPr>
      </w:pPr>
      <w:r>
        <w:rPr>
          <w:rFonts w:hint="eastAsia" w:ascii="仿宋" w:hAnsi="仿宋" w:eastAsia="仿宋"/>
          <w:lang w:eastAsia="zh-CN"/>
        </w:rPr>
        <w:t>工作组职责：根据本工程的定位，对外观需要统一、造价影响较大、关系工程质量安全的材料、设备，按照选用知名中上档品牌产品的原则，参考同类工程，拟定推荐品牌表。</w:t>
      </w:r>
    </w:p>
    <w:p w14:paraId="5FE08E32">
      <w:pPr>
        <w:spacing w:line="360" w:lineRule="auto"/>
        <w:ind w:firstLine="482" w:firstLineChars="200"/>
        <w:rPr>
          <w:rFonts w:ascii="仿宋" w:hAnsi="仿宋" w:eastAsia="仿宋"/>
          <w:b/>
          <w:bCs/>
          <w:lang w:eastAsia="zh-CN"/>
        </w:rPr>
      </w:pPr>
      <w:r>
        <w:rPr>
          <w:rFonts w:hint="eastAsia" w:ascii="仿宋" w:hAnsi="仿宋" w:eastAsia="仿宋"/>
          <w:b/>
          <w:bCs/>
          <w:lang w:eastAsia="zh-CN"/>
        </w:rPr>
        <w:t>4.2看样定板工作组</w:t>
      </w:r>
    </w:p>
    <w:p w14:paraId="2C338583">
      <w:pPr>
        <w:spacing w:line="360" w:lineRule="auto"/>
        <w:ind w:firstLine="480" w:firstLineChars="200"/>
        <w:rPr>
          <w:rFonts w:ascii="仿宋" w:hAnsi="仿宋" w:eastAsia="仿宋"/>
          <w:lang w:eastAsia="zh-CN"/>
        </w:rPr>
      </w:pPr>
      <w:r>
        <w:rPr>
          <w:rFonts w:hint="eastAsia" w:ascii="仿宋" w:hAnsi="仿宋" w:eastAsia="仿宋"/>
          <w:lang w:eastAsia="zh-CN"/>
        </w:rPr>
        <w:t>看样定板工作组于工程施工阶段组建，由发包人、设计单位、监理单位、施工单位等相关人员组成。</w:t>
      </w:r>
    </w:p>
    <w:p w14:paraId="2222B314">
      <w:pPr>
        <w:spacing w:line="360" w:lineRule="auto"/>
        <w:ind w:firstLine="480" w:firstLineChars="200"/>
        <w:rPr>
          <w:rFonts w:ascii="仿宋" w:hAnsi="仿宋" w:eastAsia="仿宋"/>
          <w:lang w:eastAsia="zh-CN"/>
        </w:rPr>
      </w:pPr>
      <w:r>
        <w:rPr>
          <w:rFonts w:hint="eastAsia" w:ascii="仿宋" w:hAnsi="仿宋" w:eastAsia="仿宋"/>
          <w:lang w:eastAsia="zh-CN"/>
        </w:rPr>
        <w:t>对需要统一品牌的材料和设备，由发包人组织合格供应厂商、看样定板工作组依据价格、外观、质量等级等因素进行评审，选择确定各标段统一的产品。</w:t>
      </w:r>
    </w:p>
    <w:p w14:paraId="6E14A261">
      <w:pPr>
        <w:spacing w:line="360" w:lineRule="auto"/>
        <w:ind w:firstLine="480" w:firstLineChars="200"/>
        <w:rPr>
          <w:rFonts w:ascii="仿宋" w:hAnsi="仿宋" w:eastAsia="仿宋"/>
          <w:lang w:eastAsia="zh-CN"/>
        </w:rPr>
      </w:pPr>
      <w:r>
        <w:rPr>
          <w:rFonts w:hint="eastAsia" w:ascii="仿宋" w:hAnsi="仿宋" w:eastAsia="仿宋"/>
          <w:lang w:eastAsia="zh-CN"/>
        </w:rPr>
        <w:t>对不需要统一品牌的材料和设备按相关的看样定板程序进行。</w:t>
      </w:r>
    </w:p>
    <w:p w14:paraId="7F0F8C87">
      <w:pPr>
        <w:spacing w:line="360" w:lineRule="auto"/>
        <w:ind w:firstLine="482" w:firstLineChars="200"/>
        <w:jc w:val="center"/>
        <w:rPr>
          <w:rFonts w:ascii="仿宋" w:hAnsi="仿宋" w:eastAsia="仿宋"/>
          <w:b/>
          <w:bCs/>
          <w:lang w:eastAsia="zh-CN"/>
        </w:rPr>
      </w:pPr>
      <w:r>
        <w:rPr>
          <w:rFonts w:hint="eastAsia" w:ascii="仿宋" w:hAnsi="仿宋" w:eastAsia="仿宋"/>
          <w:b/>
          <w:bCs/>
          <w:lang w:eastAsia="zh-CN"/>
        </w:rPr>
        <w:t>第五节材料、设备管理程序</w:t>
      </w:r>
    </w:p>
    <w:p w14:paraId="7C935098">
      <w:pPr>
        <w:spacing w:line="360" w:lineRule="auto"/>
        <w:ind w:firstLine="482" w:firstLineChars="200"/>
        <w:rPr>
          <w:rFonts w:ascii="仿宋" w:hAnsi="仿宋" w:eastAsia="仿宋"/>
          <w:b/>
          <w:bCs/>
          <w:lang w:eastAsia="zh-CN"/>
        </w:rPr>
      </w:pPr>
      <w:r>
        <w:rPr>
          <w:rFonts w:hint="eastAsia" w:ascii="仿宋" w:hAnsi="仿宋" w:eastAsia="仿宋"/>
          <w:b/>
          <w:bCs/>
          <w:lang w:eastAsia="zh-CN"/>
        </w:rPr>
        <w:t>5.1 合格供应厂商的选择</w:t>
      </w:r>
    </w:p>
    <w:p w14:paraId="5B768AF6">
      <w:pPr>
        <w:spacing w:line="360" w:lineRule="auto"/>
        <w:ind w:firstLine="480" w:firstLineChars="200"/>
        <w:rPr>
          <w:rFonts w:ascii="仿宋" w:hAnsi="仿宋" w:eastAsia="仿宋"/>
          <w:lang w:eastAsia="zh-CN"/>
        </w:rPr>
      </w:pPr>
      <w:r>
        <w:rPr>
          <w:rFonts w:hint="eastAsia" w:ascii="仿宋" w:hAnsi="仿宋" w:eastAsia="仿宋"/>
          <w:lang w:eastAsia="zh-CN"/>
        </w:rPr>
        <w:t>5.1.1材料和设备品牌推选工作组通过征集、市场调查、厂商考察等方式，收集材料和设备的价格、厂商的生产供应能力、质量性能等相关信息资料，拟定推荐品牌的材料、设备表。</w:t>
      </w:r>
    </w:p>
    <w:p w14:paraId="31F728E2">
      <w:pPr>
        <w:spacing w:line="360" w:lineRule="auto"/>
        <w:ind w:firstLine="480" w:firstLineChars="200"/>
        <w:rPr>
          <w:rFonts w:ascii="仿宋" w:hAnsi="仿宋" w:eastAsia="仿宋"/>
          <w:lang w:eastAsia="zh-CN"/>
        </w:rPr>
      </w:pPr>
      <w:r>
        <w:rPr>
          <w:rFonts w:hint="eastAsia" w:ascii="仿宋" w:hAnsi="仿宋" w:eastAsia="仿宋"/>
          <w:lang w:eastAsia="zh-CN"/>
        </w:rPr>
        <w:t>供应厂商需提供下列材料：</w:t>
      </w:r>
    </w:p>
    <w:p w14:paraId="3AC5530D">
      <w:pPr>
        <w:spacing w:line="360" w:lineRule="auto"/>
        <w:ind w:firstLine="480" w:firstLineChars="200"/>
        <w:rPr>
          <w:rFonts w:ascii="仿宋" w:hAnsi="仿宋" w:eastAsia="仿宋"/>
          <w:lang w:eastAsia="zh-CN"/>
        </w:rPr>
      </w:pPr>
      <w:r>
        <w:rPr>
          <w:rFonts w:hint="eastAsia" w:ascii="仿宋" w:hAnsi="仿宋" w:eastAsia="仿宋"/>
          <w:lang w:eastAsia="zh-CN"/>
        </w:rPr>
        <w:t>（1）营业执照（复印件）；</w:t>
      </w:r>
    </w:p>
    <w:p w14:paraId="7EBBFC60">
      <w:pPr>
        <w:spacing w:line="360" w:lineRule="auto"/>
        <w:ind w:firstLine="480" w:firstLineChars="200"/>
        <w:rPr>
          <w:rFonts w:ascii="仿宋" w:hAnsi="仿宋" w:eastAsia="仿宋"/>
          <w:lang w:eastAsia="zh-CN"/>
        </w:rPr>
      </w:pPr>
      <w:r>
        <w:rPr>
          <w:rFonts w:hint="eastAsia" w:ascii="仿宋" w:hAnsi="仿宋" w:eastAsia="仿宋"/>
          <w:lang w:eastAsia="zh-CN"/>
        </w:rPr>
        <w:t>（2）质量管理体系认证证书ISO9001－2000（复印件）；</w:t>
      </w:r>
    </w:p>
    <w:p w14:paraId="3F368A3E">
      <w:pPr>
        <w:spacing w:line="360" w:lineRule="auto"/>
        <w:ind w:firstLine="480" w:firstLineChars="200"/>
        <w:rPr>
          <w:rFonts w:ascii="仿宋" w:hAnsi="仿宋" w:eastAsia="仿宋"/>
          <w:lang w:eastAsia="zh-CN"/>
        </w:rPr>
      </w:pPr>
      <w:r>
        <w:rPr>
          <w:rFonts w:hint="eastAsia" w:ascii="仿宋" w:hAnsi="仿宋" w:eastAsia="仿宋"/>
          <w:lang w:eastAsia="zh-CN"/>
        </w:rPr>
        <w:t>（3）产品名目、技术、质量标准（含规格、型号、参数、颜色、功能等），需看样定板的根据要求提供样品或图片；</w:t>
      </w:r>
    </w:p>
    <w:p w14:paraId="64FF11CA">
      <w:pPr>
        <w:spacing w:line="360" w:lineRule="auto"/>
        <w:ind w:firstLine="480" w:firstLineChars="200"/>
        <w:rPr>
          <w:rFonts w:ascii="仿宋" w:hAnsi="仿宋" w:eastAsia="仿宋"/>
          <w:lang w:eastAsia="zh-CN"/>
        </w:rPr>
      </w:pPr>
      <w:r>
        <w:rPr>
          <w:rFonts w:hint="eastAsia" w:ascii="仿宋" w:hAnsi="仿宋" w:eastAsia="仿宋"/>
          <w:lang w:eastAsia="zh-CN"/>
        </w:rPr>
        <w:t>（4）产品质量检测报告（CMA认证机构报告）及出厂合格证（复印件）；</w:t>
      </w:r>
    </w:p>
    <w:p w14:paraId="690B881F">
      <w:pPr>
        <w:spacing w:line="360" w:lineRule="auto"/>
        <w:ind w:firstLine="480" w:firstLineChars="200"/>
        <w:rPr>
          <w:rFonts w:ascii="仿宋" w:hAnsi="仿宋" w:eastAsia="仿宋"/>
          <w:lang w:eastAsia="zh-CN"/>
        </w:rPr>
      </w:pPr>
      <w:r>
        <w:rPr>
          <w:rFonts w:hint="eastAsia" w:ascii="仿宋" w:hAnsi="仿宋" w:eastAsia="仿宋"/>
          <w:lang w:eastAsia="zh-CN"/>
        </w:rPr>
        <w:t>（5）国家环保、消防产品认证证书及相关检测报告（复印件）；</w:t>
      </w:r>
    </w:p>
    <w:p w14:paraId="7E05B7C2">
      <w:pPr>
        <w:spacing w:line="360" w:lineRule="auto"/>
        <w:ind w:firstLine="480" w:firstLineChars="200"/>
        <w:rPr>
          <w:rFonts w:ascii="仿宋" w:hAnsi="仿宋" w:eastAsia="仿宋"/>
          <w:lang w:eastAsia="zh-CN"/>
        </w:rPr>
      </w:pPr>
      <w:r>
        <w:rPr>
          <w:rFonts w:hint="eastAsia" w:ascii="仿宋" w:hAnsi="仿宋" w:eastAsia="仿宋"/>
          <w:lang w:eastAsia="zh-CN"/>
        </w:rPr>
        <w:t>（6）要求许可生产的产品需提供生产许可证；</w:t>
      </w:r>
    </w:p>
    <w:p w14:paraId="3FF8DB11">
      <w:pPr>
        <w:spacing w:line="360" w:lineRule="auto"/>
        <w:ind w:firstLine="480" w:firstLineChars="200"/>
        <w:rPr>
          <w:rFonts w:ascii="仿宋" w:hAnsi="仿宋" w:eastAsia="仿宋"/>
          <w:lang w:eastAsia="zh-CN"/>
        </w:rPr>
      </w:pPr>
      <w:r>
        <w:rPr>
          <w:rFonts w:hint="eastAsia" w:ascii="仿宋" w:hAnsi="仿宋" w:eastAsia="仿宋"/>
          <w:lang w:eastAsia="zh-CN"/>
        </w:rPr>
        <w:t>（7）如为代理商需提供生产厂家授权委托书；</w:t>
      </w:r>
    </w:p>
    <w:p w14:paraId="7C6359AE">
      <w:pPr>
        <w:spacing w:line="360" w:lineRule="auto"/>
        <w:ind w:firstLine="480" w:firstLineChars="200"/>
        <w:rPr>
          <w:rFonts w:ascii="仿宋" w:hAnsi="仿宋" w:eastAsia="仿宋"/>
          <w:lang w:eastAsia="zh-CN"/>
        </w:rPr>
      </w:pPr>
      <w:r>
        <w:rPr>
          <w:rFonts w:hint="eastAsia" w:ascii="仿宋" w:hAnsi="仿宋" w:eastAsia="仿宋"/>
          <w:lang w:eastAsia="zh-CN"/>
        </w:rPr>
        <w:t>（8）产品报价单；</w:t>
      </w:r>
    </w:p>
    <w:p w14:paraId="2581F42C">
      <w:pPr>
        <w:spacing w:line="360" w:lineRule="auto"/>
        <w:ind w:firstLine="480" w:firstLineChars="200"/>
        <w:rPr>
          <w:rFonts w:ascii="仿宋" w:hAnsi="仿宋" w:eastAsia="仿宋"/>
          <w:lang w:eastAsia="zh-CN"/>
        </w:rPr>
      </w:pPr>
      <w:r>
        <w:rPr>
          <w:rFonts w:hint="eastAsia" w:ascii="仿宋" w:hAnsi="仿宋" w:eastAsia="仿宋"/>
          <w:lang w:eastAsia="zh-CN"/>
        </w:rPr>
        <w:t>（9）生产及供货能力的说明。</w:t>
      </w:r>
    </w:p>
    <w:p w14:paraId="390F0015">
      <w:pPr>
        <w:spacing w:line="360" w:lineRule="auto"/>
        <w:ind w:firstLine="480" w:firstLineChars="200"/>
        <w:rPr>
          <w:rFonts w:ascii="仿宋" w:hAnsi="仿宋" w:eastAsia="仿宋"/>
          <w:lang w:eastAsia="zh-CN"/>
        </w:rPr>
      </w:pPr>
      <w:r>
        <w:rPr>
          <w:rFonts w:hint="eastAsia" w:ascii="仿宋" w:hAnsi="仿宋" w:eastAsia="仿宋"/>
          <w:lang w:eastAsia="zh-CN"/>
        </w:rPr>
        <w:t>注：其中预拌混凝土和预拌砂浆生产单位除提供上述资料外，还需提供两年内没有发生二级及以上质量事故且未受行政主管部门通报批评的证明，要求生产地点距离各项目现场15公里以内，途中运输时间正常情况下不超过1小时。</w:t>
      </w:r>
    </w:p>
    <w:p w14:paraId="2AC56CB7">
      <w:pPr>
        <w:spacing w:line="360" w:lineRule="auto"/>
        <w:ind w:firstLine="480" w:firstLineChars="200"/>
        <w:rPr>
          <w:rFonts w:ascii="仿宋" w:hAnsi="仿宋" w:eastAsia="仿宋"/>
          <w:lang w:eastAsia="zh-CN"/>
        </w:rPr>
      </w:pPr>
      <w:r>
        <w:rPr>
          <w:rFonts w:hint="eastAsia" w:ascii="仿宋" w:hAnsi="仿宋" w:eastAsia="仿宋"/>
          <w:lang w:eastAsia="zh-CN"/>
        </w:rPr>
        <w:t>5.1.2 在材料和设备品牌推选工作组完成资料收集后，召开材料和设备推荐品牌专题评审会议，审查拟推荐品牌供应厂商相关产品资料，对相关产品的技术指标等是否满足设计、使用要求进行评审；推荐符合条件的材料和设备合格供应厂商（3家或以上），确定材料和设备推荐品牌的清单，供投标单位选择。</w:t>
      </w:r>
    </w:p>
    <w:p w14:paraId="63E8825F">
      <w:pPr>
        <w:spacing w:line="360" w:lineRule="auto"/>
        <w:ind w:firstLine="482" w:firstLineChars="200"/>
        <w:rPr>
          <w:rFonts w:ascii="仿宋" w:hAnsi="仿宋" w:eastAsia="仿宋"/>
          <w:b/>
          <w:bCs/>
          <w:lang w:eastAsia="zh-CN"/>
        </w:rPr>
      </w:pPr>
      <w:r>
        <w:rPr>
          <w:rFonts w:hint="eastAsia" w:ascii="仿宋" w:hAnsi="仿宋" w:eastAsia="仿宋"/>
          <w:b/>
          <w:bCs/>
          <w:lang w:eastAsia="zh-CN"/>
        </w:rPr>
        <w:t>5.2材料、设备的采用</w:t>
      </w:r>
    </w:p>
    <w:p w14:paraId="0EF7C734">
      <w:pPr>
        <w:spacing w:line="360" w:lineRule="auto"/>
        <w:ind w:firstLine="480" w:firstLineChars="200"/>
        <w:rPr>
          <w:rFonts w:ascii="仿宋" w:hAnsi="仿宋" w:eastAsia="仿宋"/>
          <w:lang w:eastAsia="zh-CN"/>
        </w:rPr>
      </w:pPr>
      <w:r>
        <w:rPr>
          <w:rFonts w:hint="eastAsia" w:ascii="仿宋" w:hAnsi="仿宋" w:eastAsia="仿宋"/>
          <w:lang w:eastAsia="zh-CN"/>
        </w:rPr>
        <w:t>5.2.1中标单位应使用投标书中选定的材料、设备品牌，若需变更，如是推荐品牌中的产品，应报监理审核、发包人审批，并在推荐品牌中选择；如不是，则按合同规定办理相关手续。</w:t>
      </w:r>
    </w:p>
    <w:p w14:paraId="250425C2">
      <w:pPr>
        <w:spacing w:line="360" w:lineRule="auto"/>
        <w:ind w:firstLine="480" w:firstLineChars="200"/>
        <w:rPr>
          <w:rFonts w:ascii="仿宋" w:hAnsi="仿宋" w:eastAsia="仿宋"/>
          <w:lang w:eastAsia="zh-CN"/>
        </w:rPr>
      </w:pPr>
      <w:r>
        <w:rPr>
          <w:rFonts w:hint="eastAsia" w:ascii="仿宋" w:hAnsi="仿宋" w:eastAsia="仿宋"/>
          <w:lang w:eastAsia="zh-CN"/>
        </w:rPr>
        <w:t>如承包人对选定的材料、设备，采购价不符合市场原则（如低于投标品牌厂家成本价）或不按合同规定支付材料、设备款，造成投标书选定品牌厂家无法正常生产和供货，经发包人和监理单位核查属实，则不同意更换品牌，由此造成的工期延误由承包人承担合同违约责任。</w:t>
      </w:r>
    </w:p>
    <w:p w14:paraId="01F40063">
      <w:pPr>
        <w:spacing w:line="360" w:lineRule="auto"/>
        <w:ind w:firstLine="480" w:firstLineChars="200"/>
        <w:rPr>
          <w:rFonts w:ascii="仿宋" w:hAnsi="仿宋" w:eastAsia="仿宋"/>
          <w:lang w:eastAsia="zh-CN"/>
        </w:rPr>
      </w:pPr>
      <w:r>
        <w:rPr>
          <w:rFonts w:hint="eastAsia" w:ascii="仿宋" w:hAnsi="仿宋" w:eastAsia="仿宋"/>
          <w:lang w:eastAsia="zh-CN"/>
        </w:rPr>
        <w:t>5.2.2因工程变更新增加的材料、设备或招标时未确定推荐品牌的材料、设备，当工程建设需要时，发包人和监理单位有权确定推荐品牌和合格供应厂商。</w:t>
      </w:r>
    </w:p>
    <w:p w14:paraId="2310D01D">
      <w:pPr>
        <w:spacing w:line="360" w:lineRule="auto"/>
        <w:ind w:firstLine="480" w:firstLineChars="200"/>
        <w:rPr>
          <w:rFonts w:ascii="仿宋" w:hAnsi="仿宋" w:eastAsia="仿宋"/>
          <w:lang w:eastAsia="zh-CN"/>
        </w:rPr>
      </w:pPr>
      <w:r>
        <w:rPr>
          <w:rFonts w:hint="eastAsia" w:ascii="仿宋" w:hAnsi="仿宋" w:eastAsia="仿宋"/>
          <w:lang w:eastAsia="zh-CN"/>
        </w:rPr>
        <w:t>5.2.3若发现承包人在本工程自行使用未经发包人和监理单位批准的材料、设备，或所用材料、设备以次充好，发包人和监理单位将依据合同规定对承包人进行处理。</w:t>
      </w:r>
    </w:p>
    <w:p w14:paraId="09C7F48D">
      <w:pPr>
        <w:spacing w:line="360" w:lineRule="auto"/>
        <w:ind w:firstLine="482" w:firstLineChars="200"/>
        <w:rPr>
          <w:rFonts w:ascii="仿宋" w:hAnsi="仿宋" w:eastAsia="仿宋"/>
          <w:b/>
          <w:bCs/>
          <w:lang w:eastAsia="zh-CN"/>
        </w:rPr>
      </w:pPr>
      <w:r>
        <w:rPr>
          <w:rFonts w:hint="eastAsia" w:ascii="仿宋" w:hAnsi="仿宋" w:eastAsia="仿宋"/>
          <w:b/>
          <w:bCs/>
          <w:lang w:eastAsia="zh-CN"/>
        </w:rPr>
        <w:t>5.3看样定板</w:t>
      </w:r>
    </w:p>
    <w:p w14:paraId="6269CD65">
      <w:pPr>
        <w:spacing w:line="360" w:lineRule="auto"/>
        <w:ind w:firstLine="480" w:firstLineChars="200"/>
        <w:rPr>
          <w:rFonts w:ascii="仿宋" w:hAnsi="仿宋" w:eastAsia="仿宋"/>
          <w:lang w:eastAsia="zh-CN"/>
        </w:rPr>
      </w:pPr>
      <w:r>
        <w:rPr>
          <w:rFonts w:hint="eastAsia" w:ascii="仿宋" w:hAnsi="仿宋" w:eastAsia="仿宋"/>
          <w:lang w:eastAsia="zh-CN"/>
        </w:rPr>
        <w:t>5.3.1需要看样定板的材料、设备</w:t>
      </w:r>
    </w:p>
    <w:p w14:paraId="749E39EA">
      <w:pPr>
        <w:spacing w:line="360" w:lineRule="auto"/>
        <w:ind w:firstLine="480" w:firstLineChars="200"/>
        <w:rPr>
          <w:rFonts w:ascii="仿宋" w:hAnsi="仿宋" w:eastAsia="仿宋"/>
          <w:lang w:eastAsia="zh-CN"/>
        </w:rPr>
      </w:pPr>
      <w:r>
        <w:rPr>
          <w:rFonts w:hint="eastAsia" w:ascii="仿宋" w:hAnsi="仿宋" w:eastAsia="仿宋"/>
          <w:lang w:eastAsia="zh-CN"/>
        </w:rPr>
        <w:t>承包人开列《看样定板材料和设备一览表》报监理单位，同时送施工图纸中注明的，且符合技术、参数要求的材料、设备样板或图片。</w:t>
      </w:r>
    </w:p>
    <w:p w14:paraId="11212E4D">
      <w:pPr>
        <w:spacing w:line="360" w:lineRule="auto"/>
        <w:ind w:firstLine="480" w:firstLineChars="200"/>
        <w:rPr>
          <w:rFonts w:ascii="仿宋" w:hAnsi="仿宋" w:eastAsia="仿宋"/>
          <w:lang w:eastAsia="zh-CN"/>
        </w:rPr>
      </w:pPr>
      <w:r>
        <w:rPr>
          <w:rFonts w:hint="eastAsia" w:ascii="仿宋" w:hAnsi="仿宋" w:eastAsia="仿宋"/>
          <w:lang w:eastAsia="zh-CN"/>
        </w:rPr>
        <w:t>5.3.2确定样板</w:t>
      </w:r>
    </w:p>
    <w:p w14:paraId="444DAF25">
      <w:pPr>
        <w:spacing w:line="360" w:lineRule="auto"/>
        <w:ind w:firstLine="480" w:firstLineChars="200"/>
        <w:rPr>
          <w:rFonts w:ascii="仿宋" w:hAnsi="仿宋" w:eastAsia="仿宋"/>
          <w:lang w:eastAsia="zh-CN"/>
        </w:rPr>
      </w:pPr>
      <w:r>
        <w:rPr>
          <w:rFonts w:hint="eastAsia" w:ascii="仿宋" w:hAnsi="仿宋" w:eastAsia="仿宋"/>
          <w:lang w:eastAsia="zh-CN"/>
        </w:rPr>
        <w:t>看样定板工作组依据产品的技术、参数要求及样板观感、尺寸等，结合市场调查情况，确定样板；并将合格的材料和设备样品进行封板，保存原始资料，作为承包人采购进货及验收的依据。所有用于本工程的材料、设备的质量和标准不得低于样品。</w:t>
      </w:r>
    </w:p>
    <w:p w14:paraId="1955EC9F">
      <w:pPr>
        <w:spacing w:line="360" w:lineRule="auto"/>
        <w:ind w:firstLine="480" w:firstLineChars="200"/>
        <w:rPr>
          <w:rFonts w:ascii="仿宋" w:hAnsi="仿宋" w:eastAsia="仿宋"/>
          <w:lang w:eastAsia="zh-CN"/>
        </w:rPr>
      </w:pPr>
      <w:r>
        <w:rPr>
          <w:rFonts w:hint="eastAsia" w:ascii="仿宋" w:hAnsi="仿宋" w:eastAsia="仿宋"/>
          <w:lang w:eastAsia="zh-CN"/>
        </w:rPr>
        <w:t>（1）订货前，承包人应提供与合同约定的品牌、品质一致的材料、设备的合格证书及试验报告及材料样板经发包人及工程监理单位确认后使用。</w:t>
      </w:r>
    </w:p>
    <w:p w14:paraId="3EDEE00F">
      <w:pPr>
        <w:spacing w:line="360" w:lineRule="auto"/>
        <w:ind w:firstLine="480" w:firstLineChars="200"/>
        <w:rPr>
          <w:rFonts w:ascii="仿宋" w:hAnsi="仿宋" w:eastAsia="仿宋"/>
          <w:lang w:eastAsia="zh-CN"/>
        </w:rPr>
      </w:pPr>
      <w:r>
        <w:rPr>
          <w:rFonts w:hint="eastAsia" w:ascii="仿宋" w:hAnsi="仿宋" w:eastAsia="仿宋"/>
          <w:lang w:eastAsia="zh-CN"/>
        </w:rPr>
        <w:t>（2）如合同约定中未注明品牌的或承包人应提供的与合同约定的品牌一致的样板不能通过发包人及工程监理单位确认，承包人应提供三家以上与合同约定同档次以上生产厂家的合格证书及试验报告及材料样板，经工程监理单位及发包人确认后使用，且结算材料单价不作调整。</w:t>
      </w:r>
    </w:p>
    <w:p w14:paraId="3779F98E">
      <w:pPr>
        <w:spacing w:line="360" w:lineRule="auto"/>
        <w:ind w:firstLine="480" w:firstLineChars="200"/>
        <w:rPr>
          <w:rFonts w:ascii="仿宋" w:hAnsi="仿宋" w:eastAsia="仿宋"/>
          <w:lang w:eastAsia="zh-CN"/>
        </w:rPr>
      </w:pPr>
      <w:r>
        <w:rPr>
          <w:rFonts w:hint="eastAsia" w:ascii="仿宋" w:hAnsi="仿宋" w:eastAsia="仿宋"/>
          <w:lang w:eastAsia="zh-CN"/>
        </w:rPr>
        <w:t>（3）如承包人拒不提交上述材料、设备的合格证书及试验报告及材料样板，或提交的样板仍不能通过工程监理单位及发包人确认，发包人有权自行采购相关材料设备，所需款项在工程款中扣除，承包人不得要求任何费用调整。且由此造成的工期延误、费用增加等一切损失均由承包人承担。</w:t>
      </w:r>
    </w:p>
    <w:p w14:paraId="43716370">
      <w:pPr>
        <w:spacing w:line="360" w:lineRule="auto"/>
        <w:ind w:firstLine="480" w:firstLineChars="200"/>
        <w:rPr>
          <w:rFonts w:ascii="仿宋" w:hAnsi="仿宋" w:eastAsia="仿宋"/>
          <w:lang w:eastAsia="zh-CN"/>
        </w:rPr>
      </w:pPr>
      <w:r>
        <w:rPr>
          <w:rFonts w:hint="eastAsia" w:ascii="仿宋" w:hAnsi="仿宋" w:eastAsia="仿宋"/>
          <w:lang w:eastAsia="zh-CN"/>
        </w:rPr>
        <w:t>（4）发包人对经确认的材料样板进行封板，如发生货不对板，发包人有权拒用，并由承包人承担损失。</w:t>
      </w:r>
    </w:p>
    <w:p w14:paraId="6B5D0E7F">
      <w:pPr>
        <w:spacing w:line="360" w:lineRule="auto"/>
        <w:ind w:firstLine="480" w:firstLineChars="200"/>
        <w:rPr>
          <w:rFonts w:ascii="仿宋" w:hAnsi="仿宋" w:eastAsia="仿宋"/>
          <w:lang w:eastAsia="zh-CN"/>
        </w:rPr>
      </w:pPr>
      <w:r>
        <w:rPr>
          <w:rFonts w:hint="eastAsia" w:ascii="仿宋" w:hAnsi="仿宋" w:eastAsia="仿宋"/>
          <w:lang w:eastAsia="zh-CN"/>
        </w:rPr>
        <w:t>5.3.3进场前检验</w:t>
      </w:r>
    </w:p>
    <w:p w14:paraId="629016CC">
      <w:pPr>
        <w:spacing w:line="360" w:lineRule="auto"/>
        <w:ind w:firstLine="480" w:firstLineChars="200"/>
        <w:rPr>
          <w:rFonts w:ascii="仿宋" w:hAnsi="仿宋" w:eastAsia="仿宋"/>
          <w:lang w:eastAsia="zh-CN"/>
        </w:rPr>
      </w:pPr>
      <w:r>
        <w:rPr>
          <w:rFonts w:hint="eastAsia" w:ascii="仿宋" w:hAnsi="仿宋" w:eastAsia="仿宋"/>
          <w:lang w:eastAsia="zh-CN"/>
        </w:rPr>
        <w:t>对即将进场的材料、设备，使用前需提交相关资料，监理</w:t>
      </w:r>
      <w:r>
        <w:rPr>
          <w:rFonts w:hint="eastAsia" w:ascii="仿宋" w:hAnsi="仿宋" w:eastAsia="仿宋" w:cs="仿宋"/>
          <w:lang w:eastAsia="zh-CN"/>
        </w:rPr>
        <w:t>人代表</w:t>
      </w:r>
      <w:r>
        <w:rPr>
          <w:rFonts w:hint="eastAsia" w:ascii="仿宋" w:hAnsi="仿宋" w:eastAsia="仿宋"/>
          <w:lang w:eastAsia="zh-CN"/>
        </w:rPr>
        <w:t>核对与供应厂商提供的资料是否一致，并进行对板，若发现资料不齐全或货不对板，有权要求退货、换货。</w:t>
      </w:r>
    </w:p>
    <w:p w14:paraId="3BBD8D1B">
      <w:pPr>
        <w:spacing w:line="360" w:lineRule="auto"/>
        <w:ind w:firstLine="482" w:firstLineChars="200"/>
        <w:rPr>
          <w:rFonts w:ascii="仿宋" w:hAnsi="仿宋" w:eastAsia="仿宋"/>
          <w:b/>
          <w:bCs/>
          <w:lang w:eastAsia="zh-CN"/>
        </w:rPr>
      </w:pPr>
      <w:r>
        <w:rPr>
          <w:rFonts w:hint="eastAsia" w:ascii="仿宋" w:hAnsi="仿宋" w:eastAsia="仿宋"/>
          <w:b/>
          <w:bCs/>
          <w:lang w:eastAsia="zh-CN"/>
        </w:rPr>
        <w:t>5.4材料、设备质量要求</w:t>
      </w:r>
    </w:p>
    <w:p w14:paraId="31D2CFA5">
      <w:pPr>
        <w:spacing w:line="360" w:lineRule="auto"/>
        <w:ind w:firstLine="480" w:firstLineChars="200"/>
        <w:rPr>
          <w:rFonts w:ascii="仿宋" w:hAnsi="仿宋" w:eastAsia="仿宋"/>
          <w:lang w:eastAsia="zh-CN"/>
        </w:rPr>
      </w:pPr>
      <w:r>
        <w:rPr>
          <w:rFonts w:hint="eastAsia" w:ascii="仿宋" w:hAnsi="仿宋" w:eastAsia="仿宋"/>
          <w:lang w:eastAsia="zh-CN"/>
        </w:rPr>
        <w:t>所有用于本工程的材料、设备，其质量必须符合设计文件的技术要求，必须按相应的国家材料、设备标准和试验规程进行材料、设备检验，并按质量管理体系标准要求进行标识。不合格的材料、设备不得用于本工程。</w:t>
      </w:r>
    </w:p>
    <w:p w14:paraId="0A2C759A">
      <w:pPr>
        <w:spacing w:line="360" w:lineRule="auto"/>
        <w:ind w:firstLine="482" w:firstLineChars="200"/>
        <w:rPr>
          <w:rFonts w:ascii="仿宋" w:hAnsi="仿宋" w:eastAsia="仿宋"/>
          <w:b/>
          <w:bCs/>
          <w:lang w:eastAsia="zh-CN"/>
        </w:rPr>
      </w:pPr>
      <w:r>
        <w:rPr>
          <w:rFonts w:hint="eastAsia" w:ascii="仿宋" w:hAnsi="仿宋" w:eastAsia="仿宋"/>
          <w:b/>
          <w:bCs/>
          <w:lang w:eastAsia="zh-CN"/>
        </w:rPr>
        <w:t>5.5承包人采购材料、设备管理程序</w:t>
      </w:r>
    </w:p>
    <w:p w14:paraId="6F4F2D0A">
      <w:pPr>
        <w:spacing w:line="360" w:lineRule="auto"/>
        <w:ind w:firstLine="480" w:firstLineChars="200"/>
        <w:rPr>
          <w:rFonts w:ascii="仿宋" w:hAnsi="仿宋" w:eastAsia="仿宋"/>
          <w:lang w:eastAsia="zh-CN"/>
        </w:rPr>
      </w:pPr>
      <w:r>
        <w:rPr>
          <w:rFonts w:hint="eastAsia" w:ascii="仿宋" w:hAnsi="仿宋" w:eastAsia="仿宋"/>
          <w:lang w:eastAsia="zh-CN"/>
        </w:rPr>
        <w:t>5.5.1承包人负责采购的材料、设备，应按照招标文件及合同条款约定、依照设计和有关标准要求及投标文件进行采购，提供出厂合格证明、有效的检验报告和生产许可证。任何情况下，承包人应在材料、设备到货前24小时通知工程监理单位。</w:t>
      </w:r>
    </w:p>
    <w:p w14:paraId="073F4EFA">
      <w:pPr>
        <w:spacing w:line="360" w:lineRule="auto"/>
        <w:ind w:firstLine="480" w:firstLineChars="200"/>
        <w:rPr>
          <w:rFonts w:ascii="仿宋" w:hAnsi="仿宋" w:eastAsia="仿宋"/>
          <w:lang w:eastAsia="zh-CN"/>
        </w:rPr>
      </w:pPr>
      <w:r>
        <w:rPr>
          <w:rFonts w:hint="eastAsia" w:ascii="仿宋" w:hAnsi="仿宋" w:eastAsia="仿宋"/>
          <w:lang w:eastAsia="zh-CN"/>
        </w:rPr>
        <w:t>5.5.2承包人要求更换材料、设备时，按以下程序操作：</w:t>
      </w:r>
    </w:p>
    <w:p w14:paraId="4F494292">
      <w:pPr>
        <w:spacing w:line="360" w:lineRule="auto"/>
        <w:ind w:firstLine="480" w:firstLineChars="200"/>
        <w:rPr>
          <w:rFonts w:ascii="仿宋" w:hAnsi="仿宋" w:eastAsia="仿宋"/>
          <w:lang w:eastAsia="zh-CN"/>
        </w:rPr>
      </w:pPr>
      <w:r>
        <w:rPr>
          <w:rFonts w:hint="eastAsia" w:ascii="仿宋" w:hAnsi="仿宋" w:eastAsia="仿宋"/>
          <w:lang w:eastAsia="zh-CN"/>
        </w:rPr>
        <w:t>（1）书面报告监理单位和发包人。</w:t>
      </w:r>
    </w:p>
    <w:p w14:paraId="43DF602E">
      <w:pPr>
        <w:spacing w:line="360" w:lineRule="auto"/>
        <w:ind w:firstLine="480" w:firstLineChars="200"/>
        <w:rPr>
          <w:rFonts w:ascii="仿宋" w:hAnsi="仿宋" w:eastAsia="仿宋"/>
          <w:lang w:eastAsia="zh-CN"/>
        </w:rPr>
      </w:pPr>
      <w:r>
        <w:rPr>
          <w:rFonts w:hint="eastAsia" w:ascii="仿宋" w:hAnsi="仿宋" w:eastAsia="仿宋"/>
          <w:lang w:eastAsia="zh-CN"/>
        </w:rPr>
        <w:t>（2）发包人按5.2条规定选定供应厂商。</w:t>
      </w:r>
    </w:p>
    <w:p w14:paraId="715BB6E4">
      <w:pPr>
        <w:spacing w:line="360" w:lineRule="auto"/>
        <w:ind w:firstLine="480" w:firstLineChars="200"/>
        <w:rPr>
          <w:rFonts w:ascii="仿宋" w:hAnsi="仿宋" w:eastAsia="仿宋"/>
          <w:lang w:eastAsia="zh-CN"/>
        </w:rPr>
      </w:pPr>
      <w:r>
        <w:rPr>
          <w:rFonts w:hint="eastAsia" w:ascii="仿宋" w:hAnsi="仿宋" w:eastAsia="仿宋"/>
          <w:lang w:eastAsia="zh-CN"/>
        </w:rPr>
        <w:t>5.5.3其他按5.1～5.4条规定。</w:t>
      </w:r>
    </w:p>
    <w:p w14:paraId="0704C2D1">
      <w:pPr>
        <w:spacing w:line="360" w:lineRule="auto"/>
        <w:ind w:firstLine="482" w:firstLineChars="200"/>
        <w:rPr>
          <w:rFonts w:ascii="仿宋" w:hAnsi="仿宋" w:eastAsia="仿宋"/>
          <w:b/>
          <w:bCs/>
          <w:lang w:eastAsia="zh-CN"/>
        </w:rPr>
      </w:pPr>
      <w:r>
        <w:rPr>
          <w:rFonts w:hint="eastAsia" w:ascii="仿宋" w:hAnsi="仿宋" w:eastAsia="仿宋"/>
          <w:b/>
          <w:bCs/>
          <w:lang w:eastAsia="zh-CN"/>
        </w:rPr>
        <w:t>5.6发包人与承包人联合确定供应厂商、承包人采购管理程序</w:t>
      </w:r>
    </w:p>
    <w:p w14:paraId="20C017CC">
      <w:pPr>
        <w:spacing w:line="360" w:lineRule="auto"/>
        <w:ind w:firstLine="480" w:firstLineChars="200"/>
        <w:rPr>
          <w:rFonts w:ascii="仿宋" w:hAnsi="仿宋" w:eastAsia="仿宋"/>
          <w:lang w:eastAsia="zh-CN"/>
        </w:rPr>
      </w:pPr>
      <w:r>
        <w:rPr>
          <w:rFonts w:hint="eastAsia" w:ascii="仿宋" w:hAnsi="仿宋" w:eastAsia="仿宋"/>
          <w:lang w:eastAsia="zh-CN"/>
        </w:rPr>
        <w:t>5.6.1发包人与承包人联合确定供应厂商：按照招标文件、合同和本办法约定，由发包人、承包人依法依规选定材料、设备供应厂商及采购价格，由承包人直接采购。</w:t>
      </w:r>
    </w:p>
    <w:p w14:paraId="0BFE6D52">
      <w:pPr>
        <w:spacing w:line="360" w:lineRule="auto"/>
        <w:ind w:firstLine="480" w:firstLineChars="200"/>
        <w:rPr>
          <w:rFonts w:ascii="仿宋" w:hAnsi="仿宋" w:eastAsia="仿宋"/>
          <w:lang w:eastAsia="zh-CN"/>
        </w:rPr>
      </w:pPr>
      <w:r>
        <w:rPr>
          <w:rFonts w:hint="eastAsia" w:ascii="仿宋" w:hAnsi="仿宋" w:eastAsia="仿宋"/>
          <w:lang w:eastAsia="zh-CN"/>
        </w:rPr>
        <w:t>5.6.2材料、设备结算价格：按合同相关规定执行；其材料、设备二次装卸、保管及转运费用己含在合同价款中，不得另行计列。</w:t>
      </w:r>
    </w:p>
    <w:p w14:paraId="64E8EFC5">
      <w:pPr>
        <w:spacing w:line="360" w:lineRule="auto"/>
        <w:ind w:firstLine="480" w:firstLineChars="200"/>
        <w:rPr>
          <w:rFonts w:ascii="仿宋" w:hAnsi="仿宋" w:eastAsia="仿宋"/>
          <w:lang w:eastAsia="zh-CN"/>
        </w:rPr>
      </w:pPr>
      <w:r>
        <w:rPr>
          <w:rFonts w:hint="eastAsia" w:ascii="仿宋" w:hAnsi="仿宋" w:eastAsia="仿宋"/>
          <w:lang w:eastAsia="zh-CN"/>
        </w:rPr>
        <w:t>5.6.3承包人与供应厂商在买卖交往中，因货款不清等问题导致供货不及时而拖延工期，所有责任由承包人承担。</w:t>
      </w:r>
    </w:p>
    <w:p w14:paraId="4D232F78">
      <w:pPr>
        <w:spacing w:line="360" w:lineRule="auto"/>
        <w:ind w:firstLine="480" w:firstLineChars="200"/>
        <w:rPr>
          <w:rFonts w:ascii="仿宋" w:hAnsi="仿宋" w:eastAsia="仿宋"/>
          <w:lang w:eastAsia="zh-CN"/>
        </w:rPr>
      </w:pPr>
      <w:r>
        <w:rPr>
          <w:rFonts w:hint="eastAsia" w:ascii="仿宋" w:hAnsi="仿宋" w:eastAsia="仿宋"/>
          <w:lang w:eastAsia="zh-CN"/>
        </w:rPr>
        <w:t>5.6.4凡发生材料、设备供应厂商与发包人选定单位不符，或材料、设备发票、质保书、批号与到场材料、设备不符，发包人、监理有权通知承包人立即停止使用并及时更换符合要求的材料、设备，同时发包人将按合同有关条款要求承包人承担违约责任。所影响的工程进度由承包人负责，由此给发包人造成的损失由承包人承担。</w:t>
      </w:r>
    </w:p>
    <w:p w14:paraId="1F2B5A16">
      <w:pPr>
        <w:spacing w:line="360" w:lineRule="auto"/>
        <w:ind w:firstLine="480" w:firstLineChars="200"/>
        <w:rPr>
          <w:rFonts w:ascii="仿宋" w:hAnsi="仿宋" w:eastAsia="仿宋"/>
          <w:lang w:eastAsia="zh-CN"/>
        </w:rPr>
      </w:pPr>
      <w:r>
        <w:rPr>
          <w:rFonts w:hint="eastAsia" w:ascii="仿宋" w:hAnsi="仿宋" w:eastAsia="仿宋"/>
          <w:lang w:eastAsia="zh-CN"/>
        </w:rPr>
        <w:t>5.6.5采购程序和要求及其它条款同5.5。</w:t>
      </w:r>
    </w:p>
    <w:p w14:paraId="28161C2A">
      <w:pPr>
        <w:spacing w:line="360" w:lineRule="auto"/>
        <w:ind w:firstLine="482" w:firstLineChars="200"/>
        <w:rPr>
          <w:rFonts w:ascii="仿宋" w:hAnsi="仿宋" w:eastAsia="仿宋"/>
          <w:b/>
          <w:bCs/>
          <w:lang w:eastAsia="zh-CN"/>
        </w:rPr>
      </w:pPr>
      <w:r>
        <w:rPr>
          <w:rFonts w:hint="eastAsia" w:ascii="仿宋" w:hAnsi="仿宋" w:eastAsia="仿宋"/>
          <w:b/>
          <w:bCs/>
          <w:lang w:eastAsia="zh-CN"/>
        </w:rPr>
        <w:t>5.7发包人供应材料、设备管理程序（如有）</w:t>
      </w:r>
    </w:p>
    <w:p w14:paraId="3C7E2A5D">
      <w:pPr>
        <w:spacing w:line="360" w:lineRule="auto"/>
        <w:ind w:firstLine="480" w:firstLineChars="200"/>
        <w:rPr>
          <w:rFonts w:ascii="仿宋" w:hAnsi="仿宋" w:eastAsia="仿宋"/>
          <w:lang w:eastAsia="zh-CN"/>
        </w:rPr>
      </w:pPr>
      <w:r>
        <w:rPr>
          <w:rFonts w:hint="eastAsia" w:ascii="仿宋" w:hAnsi="仿宋" w:eastAsia="仿宋"/>
          <w:lang w:eastAsia="zh-CN"/>
        </w:rPr>
        <w:t>5.7.1发包人供应材料、设备的，承发包双方应在到货前对发包人供应材料、设备进行约定，内容包括发包人供应材料、设备的品种、规格、型号、数量、质量等级、提供时间和地点。发包人按约定的内容供应材料、设备，对其质量负责。</w:t>
      </w:r>
    </w:p>
    <w:p w14:paraId="15AF5C6E">
      <w:pPr>
        <w:spacing w:line="360" w:lineRule="auto"/>
        <w:ind w:firstLine="480" w:firstLineChars="200"/>
        <w:rPr>
          <w:rFonts w:ascii="仿宋" w:hAnsi="仿宋" w:eastAsia="仿宋"/>
          <w:lang w:eastAsia="zh-CN"/>
        </w:rPr>
      </w:pPr>
      <w:r>
        <w:rPr>
          <w:rFonts w:hint="eastAsia" w:ascii="仿宋" w:hAnsi="仿宋" w:eastAsia="仿宋"/>
          <w:lang w:eastAsia="zh-CN"/>
        </w:rPr>
        <w:t>5.7.2发包人在所供材料、设备到货前24小时，以书面形式通知承包人，由承包人派人与发包人、监理单位共同清点。清点后，承包人在发包人供货单上签认，材料和设备转由承包人妥善保管。因承包人原因发生丢失损坏，由承包人负责赔偿。发包人未通知承包人清点，承包人不负责材料、设备的保管，丢失损坏责任由发包人承担。</w:t>
      </w:r>
    </w:p>
    <w:p w14:paraId="00F58893">
      <w:pPr>
        <w:spacing w:line="360" w:lineRule="auto"/>
        <w:ind w:firstLine="480" w:firstLineChars="200"/>
        <w:rPr>
          <w:rFonts w:ascii="仿宋" w:hAnsi="仿宋" w:eastAsia="仿宋"/>
          <w:lang w:eastAsia="zh-CN"/>
        </w:rPr>
      </w:pPr>
      <w:r>
        <w:rPr>
          <w:rFonts w:hint="eastAsia" w:ascii="仿宋" w:hAnsi="仿宋" w:eastAsia="仿宋"/>
          <w:lang w:eastAsia="zh-CN"/>
        </w:rPr>
        <w:t>5.7.3无论现场交货还是仓库交货，承包人必须按实际供货量在供货单签认，否则发包人拒绝供应。所产生后果由承包人负责。</w:t>
      </w:r>
    </w:p>
    <w:p w14:paraId="62C32D93">
      <w:pPr>
        <w:spacing w:line="360" w:lineRule="auto"/>
        <w:ind w:firstLine="480" w:firstLineChars="200"/>
        <w:rPr>
          <w:rFonts w:ascii="仿宋" w:hAnsi="仿宋" w:eastAsia="仿宋"/>
          <w:lang w:eastAsia="zh-CN"/>
        </w:rPr>
      </w:pPr>
      <w:r>
        <w:rPr>
          <w:rFonts w:hint="eastAsia" w:ascii="仿宋" w:hAnsi="仿宋" w:eastAsia="仿宋"/>
          <w:lang w:eastAsia="zh-CN"/>
        </w:rPr>
        <w:t>5.7.4发包人供应的材料、设备与约定不符时，双方约定如下：</w:t>
      </w:r>
    </w:p>
    <w:p w14:paraId="3FCD0BC1">
      <w:pPr>
        <w:spacing w:line="360" w:lineRule="auto"/>
        <w:ind w:firstLine="480" w:firstLineChars="200"/>
        <w:rPr>
          <w:rFonts w:ascii="仿宋" w:hAnsi="仿宋" w:eastAsia="仿宋"/>
          <w:lang w:eastAsia="zh-CN"/>
        </w:rPr>
      </w:pPr>
      <w:r>
        <w:rPr>
          <w:rFonts w:hint="eastAsia" w:ascii="仿宋" w:hAnsi="仿宋" w:eastAsia="仿宋"/>
          <w:lang w:eastAsia="zh-CN"/>
        </w:rPr>
        <w:t>5.7.4.1材料、设备的品种、规格、型号、质量等级与约定不符，在发包人替换前，承包人可拒绝接收保管，发包人要求承包人先行接收的，保管费用由发包人支付；</w:t>
      </w:r>
    </w:p>
    <w:p w14:paraId="6FD1B2E9">
      <w:pPr>
        <w:spacing w:line="360" w:lineRule="auto"/>
        <w:ind w:firstLine="480" w:firstLineChars="200"/>
        <w:rPr>
          <w:rFonts w:ascii="仿宋" w:hAnsi="仿宋" w:eastAsia="仿宋"/>
          <w:lang w:eastAsia="zh-CN"/>
        </w:rPr>
      </w:pPr>
      <w:r>
        <w:rPr>
          <w:rFonts w:hint="eastAsia" w:ascii="仿宋" w:hAnsi="仿宋" w:eastAsia="仿宋"/>
          <w:lang w:eastAsia="zh-CN"/>
        </w:rPr>
        <w:t>5.7.4.2发包人供应的材料、设备规格、型号与约定不符，经发包人同意，承包人可代为调换，由发包人承担相应费用；</w:t>
      </w:r>
    </w:p>
    <w:p w14:paraId="3A02EF82">
      <w:pPr>
        <w:spacing w:line="360" w:lineRule="auto"/>
        <w:ind w:firstLine="480" w:firstLineChars="200"/>
        <w:rPr>
          <w:rFonts w:ascii="仿宋" w:hAnsi="仿宋" w:eastAsia="仿宋"/>
          <w:lang w:eastAsia="zh-CN"/>
        </w:rPr>
      </w:pPr>
      <w:r>
        <w:rPr>
          <w:rFonts w:hint="eastAsia" w:ascii="仿宋" w:hAnsi="仿宋" w:eastAsia="仿宋"/>
          <w:lang w:eastAsia="zh-CN"/>
        </w:rPr>
        <w:t>5.7.4.3到货地点与约定不符，由发包人负责运至约定指定地点；</w:t>
      </w:r>
    </w:p>
    <w:p w14:paraId="34BF11B4">
      <w:pPr>
        <w:spacing w:line="360" w:lineRule="auto"/>
        <w:ind w:firstLine="480" w:firstLineChars="200"/>
        <w:rPr>
          <w:rFonts w:ascii="仿宋" w:hAnsi="仿宋" w:eastAsia="仿宋"/>
          <w:lang w:eastAsia="zh-CN"/>
        </w:rPr>
      </w:pPr>
      <w:r>
        <w:rPr>
          <w:rFonts w:hint="eastAsia" w:ascii="仿宋" w:hAnsi="仿宋" w:eastAsia="仿宋"/>
          <w:lang w:eastAsia="zh-CN"/>
        </w:rPr>
        <w:t>5.7.4.4供应数量少于约定的数量时，由发包人补齐。</w:t>
      </w:r>
    </w:p>
    <w:p w14:paraId="122BA662">
      <w:pPr>
        <w:spacing w:line="400" w:lineRule="exact"/>
        <w:ind w:firstLine="480" w:firstLineChars="200"/>
        <w:rPr>
          <w:rFonts w:ascii="仿宋" w:hAnsi="仿宋" w:eastAsia="仿宋"/>
          <w:lang w:eastAsia="zh-CN"/>
        </w:rPr>
      </w:pPr>
      <w:r>
        <w:rPr>
          <w:rFonts w:hint="eastAsia" w:ascii="仿宋" w:hAnsi="仿宋" w:eastAsia="仿宋"/>
          <w:lang w:eastAsia="zh-CN"/>
        </w:rPr>
        <w:t>5.7.5材料、设备价格：按发包人通过合法程序确定的材料、设备价格结算。</w:t>
      </w:r>
    </w:p>
    <w:p w14:paraId="6F68B685">
      <w:pPr>
        <w:spacing w:line="400" w:lineRule="exact"/>
        <w:ind w:firstLine="480" w:firstLineChars="200"/>
        <w:rPr>
          <w:rFonts w:ascii="仿宋" w:hAnsi="仿宋" w:eastAsia="仿宋"/>
          <w:lang w:eastAsia="zh-CN"/>
        </w:rPr>
      </w:pPr>
    </w:p>
    <w:p w14:paraId="27F0FF92">
      <w:pPr>
        <w:spacing w:line="400" w:lineRule="exact"/>
        <w:ind w:firstLine="480" w:firstLineChars="200"/>
        <w:rPr>
          <w:rFonts w:ascii="仿宋" w:hAnsi="仿宋" w:eastAsia="仿宋"/>
          <w:lang w:eastAsia="zh-CN"/>
        </w:rPr>
      </w:pPr>
    </w:p>
    <w:p w14:paraId="39C1F315">
      <w:pPr>
        <w:spacing w:line="360" w:lineRule="auto"/>
        <w:outlineLvl w:val="1"/>
        <w:rPr>
          <w:rFonts w:ascii="仿宋" w:hAnsi="仿宋" w:eastAsia="仿宋" w:cs="仿宋"/>
          <w:b/>
          <w:bCs/>
          <w:lang w:eastAsia="zh-CN"/>
        </w:rPr>
      </w:pPr>
      <w:r>
        <w:rPr>
          <w:rFonts w:ascii="仿宋" w:hAnsi="仿宋" w:eastAsia="仿宋" w:cs="仿宋"/>
          <w:b/>
          <w:bCs/>
          <w:spacing w:val="-11"/>
          <w:lang w:eastAsia="zh-CN"/>
        </w:rPr>
        <w:br w:type="page"/>
      </w:r>
      <w:bookmarkStart w:id="1172" w:name="_Toc194073292"/>
      <w:bookmarkStart w:id="1173" w:name="_Toc20288"/>
      <w:bookmarkStart w:id="1174" w:name="_Toc5158"/>
      <w:r>
        <w:rPr>
          <w:rFonts w:ascii="仿宋" w:hAnsi="仿宋" w:eastAsia="仿宋" w:cs="仿宋"/>
          <w:b/>
          <w:bCs/>
          <w:lang w:eastAsia="zh-CN"/>
        </w:rPr>
        <w:t>附件七</w:t>
      </w:r>
      <w:r>
        <w:rPr>
          <w:rFonts w:hint="eastAsia" w:ascii="仿宋" w:hAnsi="仿宋" w:eastAsia="仿宋" w:cs="仿宋"/>
          <w:b/>
          <w:bCs/>
          <w:lang w:eastAsia="zh-CN"/>
        </w:rPr>
        <w:t>：主要材料（设备）品牌推荐表</w:t>
      </w:r>
      <w:bookmarkEnd w:id="1172"/>
      <w:bookmarkEnd w:id="1173"/>
      <w:bookmarkEnd w:id="1174"/>
    </w:p>
    <w:p w14:paraId="1300D968">
      <w:pPr>
        <w:spacing w:line="440" w:lineRule="auto"/>
        <w:rPr>
          <w:rFonts w:ascii="Arial"/>
          <w:sz w:val="21"/>
          <w:lang w:eastAsia="zh-CN"/>
        </w:rPr>
      </w:pPr>
    </w:p>
    <w:p w14:paraId="7EF0675A">
      <w:pPr>
        <w:spacing w:line="360" w:lineRule="auto"/>
        <w:jc w:val="center"/>
        <w:rPr>
          <w:rFonts w:ascii="仿宋" w:hAnsi="仿宋" w:eastAsia="仿宋" w:cs="仿宋"/>
          <w:b/>
          <w:bCs/>
          <w:sz w:val="28"/>
          <w:szCs w:val="28"/>
          <w:lang w:eastAsia="zh-CN"/>
        </w:rPr>
      </w:pPr>
      <w:bookmarkStart w:id="1175" w:name="bookmark1"/>
      <w:bookmarkEnd w:id="1175"/>
      <w:bookmarkStart w:id="1176" w:name="_Toc7087"/>
      <w:r>
        <w:rPr>
          <w:rFonts w:hint="eastAsia" w:ascii="仿宋" w:hAnsi="仿宋" w:eastAsia="仿宋" w:cs="仿宋"/>
          <w:b/>
          <w:bCs/>
          <w:sz w:val="28"/>
          <w:szCs w:val="28"/>
          <w:lang w:eastAsia="zh-CN"/>
        </w:rPr>
        <w:t>主要材料（设备）品牌推荐表</w:t>
      </w:r>
      <w:bookmarkEnd w:id="1176"/>
    </w:p>
    <w:p w14:paraId="0373F12B">
      <w:pPr>
        <w:spacing w:line="102" w:lineRule="exact"/>
        <w:rPr>
          <w:lang w:eastAsia="zh-CN"/>
        </w:rPr>
      </w:pPr>
    </w:p>
    <w:tbl>
      <w:tblPr>
        <w:tblStyle w:val="43"/>
        <w:tblpPr w:leftFromText="180" w:rightFromText="180" w:vertAnchor="text" w:horzAnchor="page" w:tblpX="751" w:tblpY="95"/>
        <w:tblOverlap w:val="never"/>
        <w:tblW w:w="10025" w:type="dxa"/>
        <w:tblInd w:w="0" w:type="dxa"/>
        <w:tblLayout w:type="autofit"/>
        <w:tblCellMar>
          <w:top w:w="0" w:type="dxa"/>
          <w:left w:w="108" w:type="dxa"/>
          <w:bottom w:w="0" w:type="dxa"/>
          <w:right w:w="108" w:type="dxa"/>
        </w:tblCellMar>
      </w:tblPr>
      <w:tblGrid>
        <w:gridCol w:w="828"/>
        <w:gridCol w:w="4632"/>
        <w:gridCol w:w="2448"/>
        <w:gridCol w:w="2117"/>
      </w:tblGrid>
      <w:tr w14:paraId="37C8D627">
        <w:tblPrEx>
          <w:tblCellMar>
            <w:top w:w="0" w:type="dxa"/>
            <w:left w:w="108" w:type="dxa"/>
            <w:bottom w:w="0" w:type="dxa"/>
            <w:right w:w="108" w:type="dxa"/>
          </w:tblCellMar>
        </w:tblPrEx>
        <w:trPr>
          <w:trHeight w:val="624"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8956E">
            <w:pPr>
              <w:jc w:val="center"/>
              <w:textAlignment w:val="center"/>
              <w:rPr>
                <w:rFonts w:ascii="宋体" w:hAnsi="宋体" w:cs="宋体"/>
                <w:color w:val="000000"/>
              </w:rPr>
            </w:pPr>
            <w:r>
              <w:rPr>
                <w:rFonts w:hint="eastAsia" w:ascii="宋体" w:hAnsi="宋体" w:cs="宋体"/>
                <w:color w:val="000000"/>
                <w:lang w:eastAsia="zh-CN" w:bidi="ar"/>
              </w:rPr>
              <w:t>序号</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80BE6">
            <w:pPr>
              <w:textAlignment w:val="center"/>
              <w:rPr>
                <w:rFonts w:ascii="宋体" w:hAnsi="宋体" w:cs="宋体"/>
                <w:color w:val="000000"/>
              </w:rPr>
            </w:pPr>
            <w:r>
              <w:rPr>
                <w:rFonts w:hint="eastAsia" w:ascii="宋体" w:hAnsi="宋体" w:cs="宋体"/>
                <w:color w:val="000000"/>
                <w:lang w:eastAsia="zh-CN" w:bidi="ar"/>
              </w:rPr>
              <w:t>生产商/供应商</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1994CE">
            <w:pPr>
              <w:jc w:val="center"/>
              <w:textAlignment w:val="center"/>
              <w:rPr>
                <w:rFonts w:ascii="宋体" w:hAnsi="宋体" w:cs="宋体"/>
                <w:color w:val="000000"/>
                <w:lang w:eastAsia="zh-CN"/>
              </w:rPr>
            </w:pPr>
            <w:r>
              <w:rPr>
                <w:rFonts w:hint="eastAsia" w:ascii="宋体" w:hAnsi="宋体" w:cs="宋体"/>
                <w:color w:val="000000"/>
                <w:lang w:eastAsia="zh-CN" w:bidi="ar"/>
              </w:rPr>
              <w:t>推荐品牌（参照或相当于）</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F61CD">
            <w:pPr>
              <w:jc w:val="center"/>
              <w:textAlignment w:val="center"/>
              <w:rPr>
                <w:rFonts w:ascii="宋体" w:hAnsi="宋体" w:cs="宋体"/>
                <w:color w:val="000000"/>
              </w:rPr>
            </w:pPr>
            <w:r>
              <w:rPr>
                <w:rFonts w:hint="eastAsia" w:ascii="宋体" w:hAnsi="宋体" w:cs="宋体"/>
                <w:color w:val="000000"/>
                <w:lang w:eastAsia="zh-CN" w:bidi="ar"/>
              </w:rPr>
              <w:t>备注</w:t>
            </w:r>
          </w:p>
        </w:tc>
      </w:tr>
      <w:tr w14:paraId="6D1F4630">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D6FDC80">
            <w:pPr>
              <w:textAlignment w:val="center"/>
              <w:rPr>
                <w:rFonts w:ascii="宋体" w:hAnsi="宋体" w:cs="宋体"/>
                <w:b/>
                <w:bCs/>
                <w:color w:val="000000"/>
              </w:rPr>
            </w:pPr>
            <w:r>
              <w:rPr>
                <w:rFonts w:hint="eastAsia" w:ascii="宋体" w:hAnsi="宋体" w:cs="宋体"/>
                <w:b/>
                <w:bCs/>
                <w:color w:val="000000"/>
                <w:lang w:eastAsia="zh-CN" w:bidi="ar"/>
              </w:rPr>
              <w:t>一、结构材料</w:t>
            </w:r>
          </w:p>
        </w:tc>
      </w:tr>
      <w:tr w14:paraId="2683E5C0">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204CB74">
            <w:pPr>
              <w:textAlignment w:val="center"/>
              <w:rPr>
                <w:rFonts w:ascii="宋体" w:hAnsi="宋体" w:cs="宋体"/>
                <w:b/>
                <w:bCs/>
                <w:color w:val="000000"/>
                <w:lang w:eastAsia="zh-CN"/>
              </w:rPr>
            </w:pPr>
            <w:r>
              <w:rPr>
                <w:rFonts w:hint="eastAsia" w:ascii="宋体" w:hAnsi="宋体" w:cs="宋体"/>
                <w:b/>
                <w:bCs/>
                <w:color w:val="000000"/>
                <w:lang w:eastAsia="zh-CN" w:bidi="ar"/>
              </w:rPr>
              <w:t>（一）钢筋、钢板、钢型材</w:t>
            </w:r>
          </w:p>
        </w:tc>
      </w:tr>
      <w:tr w14:paraId="44791C1A">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36F20">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36DF0">
            <w:pPr>
              <w:textAlignment w:val="center"/>
              <w:rPr>
                <w:rFonts w:ascii="宋体" w:hAnsi="宋体" w:cs="宋体"/>
                <w:color w:val="000000"/>
                <w:lang w:eastAsia="zh-CN"/>
              </w:rPr>
            </w:pPr>
            <w:r>
              <w:rPr>
                <w:rFonts w:hint="eastAsia" w:ascii="宋体" w:hAnsi="宋体" w:cs="宋体"/>
                <w:color w:val="000000"/>
                <w:lang w:eastAsia="zh-CN" w:bidi="ar"/>
              </w:rPr>
              <w:t>广州工业投资控股集团有限公司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1D0DE">
            <w:pPr>
              <w:jc w:val="center"/>
              <w:textAlignment w:val="center"/>
              <w:rPr>
                <w:rFonts w:ascii="宋体" w:hAnsi="宋体" w:cs="宋体"/>
                <w:color w:val="000000"/>
              </w:rPr>
            </w:pPr>
            <w:r>
              <w:rPr>
                <w:rFonts w:hint="eastAsia" w:ascii="宋体" w:hAnsi="宋体" w:cs="宋体"/>
                <w:color w:val="000000"/>
                <w:lang w:eastAsia="zh-CN" w:bidi="ar"/>
              </w:rPr>
              <w:t>广钢</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8A0CF">
            <w:pPr>
              <w:jc w:val="center"/>
              <w:rPr>
                <w:rFonts w:ascii="宋体" w:hAnsi="宋体" w:cs="宋体"/>
                <w:color w:val="FF0000"/>
              </w:rPr>
            </w:pPr>
          </w:p>
        </w:tc>
      </w:tr>
      <w:tr w14:paraId="553635E2">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5E79E">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C8B7F">
            <w:pPr>
              <w:textAlignment w:val="center"/>
              <w:rPr>
                <w:rFonts w:ascii="宋体" w:hAnsi="宋体" w:cs="宋体"/>
                <w:color w:val="000000"/>
              </w:rPr>
            </w:pPr>
            <w:r>
              <w:rPr>
                <w:rFonts w:hint="eastAsia" w:ascii="宋体" w:hAnsi="宋体" w:cs="宋体"/>
                <w:color w:val="000000"/>
                <w:lang w:eastAsia="zh-CN" w:bidi="ar"/>
              </w:rPr>
              <w:t>武汉钢铁有限公司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1CAF2">
            <w:pPr>
              <w:jc w:val="center"/>
              <w:textAlignment w:val="center"/>
              <w:rPr>
                <w:rFonts w:ascii="宋体" w:hAnsi="宋体" w:cs="宋体"/>
                <w:color w:val="000000"/>
              </w:rPr>
            </w:pPr>
            <w:r>
              <w:rPr>
                <w:rFonts w:hint="eastAsia" w:ascii="宋体" w:hAnsi="宋体" w:cs="宋体"/>
                <w:color w:val="000000"/>
                <w:lang w:eastAsia="zh-CN" w:bidi="ar"/>
              </w:rPr>
              <w:t>武钢</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CECA5">
            <w:pPr>
              <w:jc w:val="center"/>
              <w:rPr>
                <w:rFonts w:ascii="宋体" w:hAnsi="宋体" w:cs="宋体"/>
                <w:color w:val="FF0000"/>
              </w:rPr>
            </w:pPr>
          </w:p>
        </w:tc>
      </w:tr>
      <w:tr w14:paraId="6A7BB910">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E22E9">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A4E27">
            <w:pPr>
              <w:textAlignment w:val="center"/>
              <w:rPr>
                <w:rFonts w:ascii="宋体" w:hAnsi="宋体" w:cs="宋体"/>
                <w:color w:val="000000"/>
                <w:lang w:eastAsia="zh-CN"/>
              </w:rPr>
            </w:pPr>
            <w:r>
              <w:rPr>
                <w:rFonts w:hint="eastAsia" w:ascii="宋体" w:hAnsi="宋体" w:cs="宋体"/>
                <w:color w:val="000000"/>
                <w:lang w:eastAsia="zh-CN" w:bidi="ar"/>
              </w:rPr>
              <w:t>湖南华菱钢铁股份有限公司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738B0">
            <w:pPr>
              <w:jc w:val="center"/>
              <w:textAlignment w:val="center"/>
              <w:rPr>
                <w:rFonts w:ascii="宋体" w:hAnsi="宋体" w:cs="宋体"/>
                <w:color w:val="000000"/>
              </w:rPr>
            </w:pPr>
            <w:r>
              <w:rPr>
                <w:rFonts w:hint="eastAsia" w:ascii="宋体" w:hAnsi="宋体" w:cs="宋体"/>
                <w:color w:val="000000"/>
                <w:lang w:eastAsia="zh-CN" w:bidi="ar"/>
              </w:rPr>
              <w:t>华菱</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1F202">
            <w:pPr>
              <w:jc w:val="center"/>
              <w:rPr>
                <w:rFonts w:ascii="宋体" w:hAnsi="宋体" w:cs="宋体"/>
                <w:color w:val="FF0000"/>
              </w:rPr>
            </w:pPr>
          </w:p>
        </w:tc>
      </w:tr>
      <w:tr w14:paraId="33E91DEF">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BEA0F">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25933">
            <w:pPr>
              <w:textAlignment w:val="center"/>
              <w:rPr>
                <w:rFonts w:ascii="宋体" w:hAnsi="宋体" w:cs="宋体"/>
                <w:color w:val="000000"/>
                <w:lang w:eastAsia="zh-CN"/>
              </w:rPr>
            </w:pPr>
            <w:r>
              <w:rPr>
                <w:rFonts w:hint="eastAsia" w:ascii="宋体" w:hAnsi="宋体" w:cs="宋体"/>
                <w:color w:val="000000"/>
                <w:lang w:eastAsia="zh-CN" w:bidi="ar"/>
              </w:rPr>
              <w:t>柳州钢铁股份有限公司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2EC49">
            <w:pPr>
              <w:jc w:val="center"/>
              <w:textAlignment w:val="center"/>
              <w:rPr>
                <w:rFonts w:ascii="宋体" w:hAnsi="宋体" w:cs="宋体"/>
                <w:color w:val="000000"/>
              </w:rPr>
            </w:pPr>
            <w:r>
              <w:rPr>
                <w:rFonts w:hint="eastAsia" w:ascii="宋体" w:hAnsi="宋体" w:cs="宋体"/>
                <w:color w:val="000000"/>
                <w:lang w:eastAsia="zh-CN" w:bidi="ar"/>
              </w:rPr>
              <w:t>柳钢</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35D6E">
            <w:pPr>
              <w:jc w:val="center"/>
              <w:rPr>
                <w:rFonts w:ascii="宋体" w:hAnsi="宋体" w:cs="宋体"/>
                <w:color w:val="FF0000"/>
              </w:rPr>
            </w:pPr>
          </w:p>
        </w:tc>
      </w:tr>
      <w:tr w14:paraId="4B24047D">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8F73B">
            <w:pPr>
              <w:jc w:val="center"/>
              <w:textAlignment w:val="center"/>
              <w:rPr>
                <w:rFonts w:ascii="宋体" w:hAnsi="宋体" w:cs="宋体"/>
                <w:color w:val="000000"/>
              </w:rPr>
            </w:pPr>
            <w:r>
              <w:rPr>
                <w:rFonts w:hint="eastAsia" w:ascii="宋体" w:hAnsi="宋体" w:cs="宋体"/>
                <w:color w:val="000000"/>
                <w:lang w:eastAsia="zh-CN" w:bidi="ar"/>
              </w:rPr>
              <w:t>5</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75C61">
            <w:pPr>
              <w:textAlignment w:val="center"/>
              <w:rPr>
                <w:rFonts w:ascii="宋体" w:hAnsi="宋体" w:cs="宋体"/>
                <w:color w:val="000000"/>
                <w:lang w:eastAsia="zh-CN"/>
              </w:rPr>
            </w:pPr>
            <w:r>
              <w:rPr>
                <w:rFonts w:hint="eastAsia" w:ascii="宋体" w:hAnsi="宋体" w:cs="宋体"/>
                <w:color w:val="000000"/>
                <w:lang w:eastAsia="zh-CN" w:bidi="ar"/>
              </w:rPr>
              <w:t>马鞍山钢铁股份有限公司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07720">
            <w:pPr>
              <w:jc w:val="center"/>
              <w:textAlignment w:val="center"/>
              <w:rPr>
                <w:rFonts w:ascii="宋体" w:hAnsi="宋体" w:cs="宋体"/>
                <w:color w:val="000000"/>
              </w:rPr>
            </w:pPr>
            <w:r>
              <w:rPr>
                <w:rFonts w:hint="eastAsia" w:ascii="宋体" w:hAnsi="宋体" w:cs="宋体"/>
                <w:color w:val="000000"/>
                <w:lang w:eastAsia="zh-CN" w:bidi="ar"/>
              </w:rPr>
              <w:t>马钢</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DD528">
            <w:pPr>
              <w:jc w:val="center"/>
              <w:rPr>
                <w:rFonts w:ascii="宋体" w:hAnsi="宋体" w:cs="宋体"/>
                <w:color w:val="FF0000"/>
              </w:rPr>
            </w:pPr>
          </w:p>
        </w:tc>
      </w:tr>
      <w:tr w14:paraId="3F3947B0">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6F5E5">
            <w:pPr>
              <w:jc w:val="center"/>
              <w:textAlignment w:val="center"/>
              <w:rPr>
                <w:rFonts w:ascii="宋体" w:hAnsi="宋体" w:cs="宋体"/>
                <w:color w:val="000000"/>
              </w:rPr>
            </w:pPr>
            <w:r>
              <w:rPr>
                <w:rFonts w:hint="eastAsia" w:ascii="宋体" w:hAnsi="宋体" w:cs="宋体"/>
                <w:color w:val="000000"/>
                <w:lang w:eastAsia="zh-CN" w:bidi="ar"/>
              </w:rPr>
              <w:t>6</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F1C90">
            <w:pPr>
              <w:textAlignment w:val="center"/>
              <w:rPr>
                <w:rFonts w:ascii="宋体" w:hAnsi="宋体" w:cs="宋体"/>
                <w:color w:val="000000"/>
                <w:lang w:eastAsia="zh-CN"/>
              </w:rPr>
            </w:pPr>
            <w:r>
              <w:rPr>
                <w:rFonts w:hint="eastAsia" w:ascii="宋体" w:hAnsi="宋体" w:cs="宋体"/>
                <w:color w:val="000000"/>
                <w:lang w:eastAsia="zh-CN" w:bidi="ar"/>
              </w:rPr>
              <w:t>宝山钢铁股份有限公司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1FB8C">
            <w:pPr>
              <w:jc w:val="center"/>
              <w:textAlignment w:val="center"/>
              <w:rPr>
                <w:rFonts w:ascii="宋体" w:hAnsi="宋体" w:cs="宋体"/>
                <w:color w:val="000000"/>
              </w:rPr>
            </w:pPr>
            <w:r>
              <w:rPr>
                <w:rFonts w:hint="eastAsia" w:ascii="宋体" w:hAnsi="宋体" w:cs="宋体"/>
                <w:color w:val="000000"/>
                <w:lang w:eastAsia="zh-CN" w:bidi="ar"/>
              </w:rPr>
              <w:t>宝钢</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7F8F2">
            <w:pPr>
              <w:jc w:val="center"/>
              <w:rPr>
                <w:rFonts w:ascii="宋体" w:hAnsi="宋体" w:cs="宋体"/>
                <w:color w:val="FF0000"/>
              </w:rPr>
            </w:pPr>
          </w:p>
        </w:tc>
      </w:tr>
      <w:tr w14:paraId="16A75347">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E1821">
            <w:pPr>
              <w:jc w:val="center"/>
              <w:textAlignment w:val="center"/>
              <w:rPr>
                <w:rFonts w:ascii="宋体" w:hAnsi="宋体" w:cs="宋体"/>
                <w:color w:val="000000"/>
              </w:rPr>
            </w:pPr>
            <w:r>
              <w:rPr>
                <w:rFonts w:hint="eastAsia" w:ascii="宋体" w:hAnsi="宋体" w:cs="宋体"/>
                <w:color w:val="000000"/>
                <w:lang w:eastAsia="zh-CN" w:bidi="ar"/>
              </w:rPr>
              <w:t>7</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B4292">
            <w:pPr>
              <w:textAlignment w:val="center"/>
              <w:rPr>
                <w:rFonts w:ascii="宋体" w:hAnsi="宋体" w:cs="宋体"/>
                <w:color w:val="000000"/>
                <w:lang w:eastAsia="zh-CN"/>
              </w:rPr>
            </w:pPr>
            <w:r>
              <w:rPr>
                <w:rFonts w:hint="eastAsia" w:ascii="宋体" w:hAnsi="宋体" w:cs="宋体"/>
                <w:color w:val="000000"/>
                <w:lang w:eastAsia="zh-CN" w:bidi="ar"/>
              </w:rPr>
              <w:t>湘潭钢铁集团有限公司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04434">
            <w:pPr>
              <w:jc w:val="center"/>
              <w:textAlignment w:val="center"/>
              <w:rPr>
                <w:rFonts w:ascii="宋体" w:hAnsi="宋体" w:cs="宋体"/>
                <w:color w:val="000000"/>
              </w:rPr>
            </w:pPr>
            <w:r>
              <w:rPr>
                <w:rFonts w:hint="eastAsia" w:ascii="宋体" w:hAnsi="宋体" w:cs="宋体"/>
                <w:color w:val="000000"/>
                <w:lang w:eastAsia="zh-CN" w:bidi="ar"/>
              </w:rPr>
              <w:t>湘钢</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46A31">
            <w:pPr>
              <w:jc w:val="center"/>
              <w:rPr>
                <w:rFonts w:ascii="宋体" w:hAnsi="宋体" w:cs="宋体"/>
                <w:color w:val="FF0000"/>
              </w:rPr>
            </w:pPr>
          </w:p>
        </w:tc>
      </w:tr>
      <w:tr w14:paraId="7176BC8C">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CB255">
            <w:pPr>
              <w:jc w:val="center"/>
              <w:textAlignment w:val="center"/>
              <w:rPr>
                <w:rFonts w:ascii="宋体" w:hAnsi="宋体" w:cs="宋体"/>
                <w:color w:val="000000"/>
              </w:rPr>
            </w:pPr>
            <w:r>
              <w:rPr>
                <w:rFonts w:hint="eastAsia" w:ascii="宋体" w:hAnsi="宋体" w:cs="宋体"/>
                <w:color w:val="000000"/>
                <w:lang w:eastAsia="zh-CN" w:bidi="ar"/>
              </w:rPr>
              <w:t>8</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3583C">
            <w:pPr>
              <w:textAlignment w:val="center"/>
              <w:rPr>
                <w:rFonts w:ascii="宋体" w:hAnsi="宋体" w:cs="宋体"/>
                <w:color w:val="000000"/>
                <w:lang w:eastAsia="zh-CN"/>
              </w:rPr>
            </w:pPr>
            <w:r>
              <w:rPr>
                <w:rFonts w:hint="eastAsia" w:ascii="宋体" w:hAnsi="宋体" w:cs="宋体"/>
                <w:color w:val="000000"/>
                <w:lang w:eastAsia="zh-CN" w:bidi="ar"/>
              </w:rPr>
              <w:t>韶关钢铁集团有限公司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7F72D">
            <w:pPr>
              <w:jc w:val="center"/>
              <w:textAlignment w:val="center"/>
              <w:rPr>
                <w:rFonts w:ascii="宋体" w:hAnsi="宋体" w:cs="宋体"/>
                <w:color w:val="000000"/>
              </w:rPr>
            </w:pPr>
            <w:r>
              <w:rPr>
                <w:rFonts w:hint="eastAsia" w:ascii="宋体" w:hAnsi="宋体" w:cs="宋体"/>
                <w:color w:val="000000"/>
                <w:lang w:eastAsia="zh-CN" w:bidi="ar"/>
              </w:rPr>
              <w:t>韶钢</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28A9E">
            <w:pPr>
              <w:jc w:val="center"/>
              <w:rPr>
                <w:rFonts w:ascii="宋体" w:hAnsi="宋体" w:cs="宋体"/>
                <w:color w:val="FF0000"/>
              </w:rPr>
            </w:pPr>
          </w:p>
        </w:tc>
      </w:tr>
      <w:tr w14:paraId="26DB1D4E">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5A6CA">
            <w:pPr>
              <w:jc w:val="center"/>
              <w:textAlignment w:val="center"/>
              <w:rPr>
                <w:rFonts w:ascii="宋体" w:hAnsi="宋体" w:cs="宋体"/>
                <w:color w:val="000000"/>
              </w:rPr>
            </w:pPr>
            <w:r>
              <w:rPr>
                <w:rFonts w:hint="eastAsia" w:ascii="宋体" w:hAnsi="宋体" w:cs="宋体"/>
                <w:color w:val="000000"/>
                <w:lang w:eastAsia="zh-CN" w:bidi="ar"/>
              </w:rPr>
              <w:t>9</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CBB31">
            <w:pPr>
              <w:textAlignment w:val="center"/>
              <w:rPr>
                <w:rFonts w:ascii="宋体" w:hAnsi="宋体" w:cs="宋体"/>
                <w:color w:val="000000"/>
                <w:lang w:eastAsia="zh-CN"/>
              </w:rPr>
            </w:pPr>
            <w:r>
              <w:rPr>
                <w:rFonts w:hint="eastAsia" w:ascii="宋体" w:hAnsi="宋体" w:cs="宋体"/>
                <w:color w:val="000000"/>
                <w:lang w:eastAsia="zh-CN" w:bidi="ar"/>
              </w:rPr>
              <w:t>江西萍钢实业股份有限公司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EDEE9">
            <w:pPr>
              <w:jc w:val="center"/>
              <w:textAlignment w:val="center"/>
              <w:rPr>
                <w:rFonts w:ascii="宋体" w:hAnsi="宋体" w:cs="宋体"/>
                <w:color w:val="000000"/>
              </w:rPr>
            </w:pPr>
            <w:r>
              <w:rPr>
                <w:rFonts w:hint="eastAsia" w:ascii="宋体" w:hAnsi="宋体" w:cs="宋体"/>
                <w:color w:val="000000"/>
                <w:lang w:eastAsia="zh-CN" w:bidi="ar"/>
              </w:rPr>
              <w:t>萍钢</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97215">
            <w:pPr>
              <w:jc w:val="center"/>
              <w:rPr>
                <w:rFonts w:ascii="宋体" w:hAnsi="宋体" w:cs="宋体"/>
                <w:color w:val="FF0000"/>
              </w:rPr>
            </w:pPr>
          </w:p>
        </w:tc>
      </w:tr>
      <w:tr w14:paraId="5AE02507">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9ED77B1">
            <w:pPr>
              <w:textAlignment w:val="center"/>
              <w:rPr>
                <w:rFonts w:ascii="宋体" w:hAnsi="宋体" w:cs="宋体"/>
                <w:b/>
                <w:bCs/>
                <w:color w:val="000000"/>
              </w:rPr>
            </w:pPr>
            <w:r>
              <w:rPr>
                <w:rFonts w:hint="eastAsia" w:ascii="宋体" w:hAnsi="宋体" w:cs="宋体"/>
                <w:b/>
                <w:bCs/>
                <w:color w:val="000000"/>
                <w:lang w:eastAsia="zh-CN" w:bidi="ar"/>
              </w:rPr>
              <w:t>（二）水泥</w:t>
            </w:r>
          </w:p>
        </w:tc>
      </w:tr>
      <w:tr w14:paraId="241D6C98">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96EC9">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FBD9E">
            <w:pPr>
              <w:textAlignment w:val="center"/>
              <w:rPr>
                <w:rFonts w:ascii="宋体" w:hAnsi="宋体" w:cs="宋体"/>
                <w:color w:val="000000"/>
                <w:lang w:eastAsia="zh-CN"/>
              </w:rPr>
            </w:pPr>
            <w:r>
              <w:rPr>
                <w:rFonts w:hint="eastAsia" w:ascii="宋体" w:hAnsi="宋体" w:cs="宋体"/>
                <w:color w:val="000000"/>
                <w:lang w:eastAsia="zh-CN" w:bidi="ar"/>
              </w:rPr>
              <w:t>广州市越堡水泥有限公司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03EF0">
            <w:pPr>
              <w:jc w:val="center"/>
              <w:textAlignment w:val="center"/>
              <w:rPr>
                <w:rFonts w:ascii="宋体" w:hAnsi="宋体" w:cs="宋体"/>
                <w:color w:val="000000"/>
              </w:rPr>
            </w:pPr>
            <w:r>
              <w:rPr>
                <w:rFonts w:hint="eastAsia" w:ascii="宋体" w:hAnsi="宋体" w:cs="宋体"/>
                <w:color w:val="000000"/>
                <w:lang w:eastAsia="zh-CN" w:bidi="ar"/>
              </w:rPr>
              <w:t>金羊</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B7795">
            <w:pPr>
              <w:jc w:val="center"/>
              <w:rPr>
                <w:rFonts w:ascii="宋体" w:hAnsi="宋体" w:cs="宋体"/>
                <w:color w:val="FF0000"/>
              </w:rPr>
            </w:pPr>
          </w:p>
        </w:tc>
      </w:tr>
      <w:tr w14:paraId="4AD7AB58">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029EC">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1B5B6">
            <w:pPr>
              <w:textAlignment w:val="center"/>
              <w:rPr>
                <w:rFonts w:ascii="宋体" w:hAnsi="宋体" w:cs="宋体"/>
                <w:color w:val="000000"/>
                <w:lang w:eastAsia="zh-CN"/>
              </w:rPr>
            </w:pPr>
            <w:r>
              <w:rPr>
                <w:rFonts w:hint="eastAsia" w:ascii="宋体" w:hAnsi="宋体" w:cs="宋体"/>
                <w:color w:val="000000"/>
                <w:lang w:eastAsia="zh-CN" w:bidi="ar"/>
              </w:rPr>
              <w:t>广州石井水泥有限公司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63DA4">
            <w:pPr>
              <w:jc w:val="center"/>
              <w:textAlignment w:val="center"/>
              <w:rPr>
                <w:rFonts w:ascii="宋体" w:hAnsi="宋体" w:cs="宋体"/>
                <w:color w:val="000000"/>
              </w:rPr>
            </w:pPr>
            <w:r>
              <w:rPr>
                <w:rFonts w:hint="eastAsia" w:ascii="宋体" w:hAnsi="宋体" w:cs="宋体"/>
                <w:color w:val="000000"/>
                <w:lang w:eastAsia="zh-CN" w:bidi="ar"/>
              </w:rPr>
              <w:t>石井</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C6BF8">
            <w:pPr>
              <w:jc w:val="center"/>
              <w:rPr>
                <w:rFonts w:ascii="宋体" w:hAnsi="宋体" w:cs="宋体"/>
                <w:color w:val="FF0000"/>
              </w:rPr>
            </w:pPr>
          </w:p>
        </w:tc>
      </w:tr>
      <w:tr w14:paraId="7FFC2513">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08DE8">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B082F">
            <w:pPr>
              <w:textAlignment w:val="center"/>
              <w:rPr>
                <w:rFonts w:ascii="宋体" w:hAnsi="宋体" w:cs="宋体"/>
                <w:color w:val="000000"/>
                <w:lang w:eastAsia="zh-CN"/>
              </w:rPr>
            </w:pPr>
            <w:r>
              <w:rPr>
                <w:rFonts w:hint="eastAsia" w:ascii="宋体" w:hAnsi="宋体" w:cs="宋体"/>
                <w:color w:val="000000"/>
                <w:lang w:eastAsia="zh-CN" w:bidi="ar"/>
              </w:rPr>
              <w:t>英德海螺水泥有限责任公司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54DC0">
            <w:pPr>
              <w:jc w:val="center"/>
              <w:textAlignment w:val="center"/>
              <w:rPr>
                <w:rFonts w:ascii="宋体" w:hAnsi="宋体" w:cs="宋体"/>
                <w:color w:val="000000"/>
              </w:rPr>
            </w:pPr>
            <w:r>
              <w:rPr>
                <w:rFonts w:hint="eastAsia" w:ascii="宋体" w:hAnsi="宋体" w:cs="宋体"/>
                <w:color w:val="000000"/>
                <w:lang w:eastAsia="zh-CN" w:bidi="ar"/>
              </w:rPr>
              <w:t>海螺</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9823B">
            <w:pPr>
              <w:jc w:val="center"/>
              <w:rPr>
                <w:rFonts w:ascii="宋体" w:hAnsi="宋体" w:cs="宋体"/>
                <w:color w:val="FF0000"/>
              </w:rPr>
            </w:pPr>
          </w:p>
        </w:tc>
      </w:tr>
      <w:tr w14:paraId="3C348DEA">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C96CA">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ABCAE">
            <w:pPr>
              <w:textAlignment w:val="center"/>
              <w:rPr>
                <w:rFonts w:ascii="宋体" w:hAnsi="宋体" w:cs="宋体"/>
                <w:color w:val="000000"/>
                <w:lang w:eastAsia="zh-CN"/>
              </w:rPr>
            </w:pPr>
            <w:r>
              <w:rPr>
                <w:rFonts w:hint="eastAsia" w:ascii="宋体" w:hAnsi="宋体" w:cs="宋体"/>
                <w:color w:val="000000"/>
                <w:lang w:eastAsia="zh-CN" w:bidi="ar"/>
              </w:rPr>
              <w:t>华润建材科技控股有限公司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86BE0">
            <w:pPr>
              <w:jc w:val="center"/>
              <w:textAlignment w:val="center"/>
              <w:rPr>
                <w:rFonts w:ascii="宋体" w:hAnsi="宋体" w:cs="宋体"/>
                <w:color w:val="000000"/>
              </w:rPr>
            </w:pPr>
            <w:r>
              <w:rPr>
                <w:rFonts w:hint="eastAsia" w:ascii="宋体" w:hAnsi="宋体" w:cs="宋体"/>
                <w:color w:val="000000"/>
                <w:lang w:eastAsia="zh-CN" w:bidi="ar"/>
              </w:rPr>
              <w:t>润丰水泥</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7AF50">
            <w:pPr>
              <w:jc w:val="center"/>
              <w:rPr>
                <w:rFonts w:ascii="宋体" w:hAnsi="宋体" w:cs="宋体"/>
                <w:color w:val="FF0000"/>
              </w:rPr>
            </w:pPr>
          </w:p>
        </w:tc>
      </w:tr>
      <w:tr w14:paraId="5953B5E8">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E6B98">
            <w:pPr>
              <w:jc w:val="center"/>
              <w:textAlignment w:val="center"/>
              <w:rPr>
                <w:rFonts w:ascii="宋体" w:hAnsi="宋体" w:cs="宋体"/>
                <w:color w:val="000000"/>
              </w:rPr>
            </w:pPr>
            <w:r>
              <w:rPr>
                <w:rFonts w:hint="eastAsia" w:ascii="宋体" w:hAnsi="宋体" w:cs="宋体"/>
                <w:color w:val="000000"/>
                <w:lang w:eastAsia="zh-CN" w:bidi="ar"/>
              </w:rPr>
              <w:t>5</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1C0C3">
            <w:pPr>
              <w:textAlignment w:val="center"/>
              <w:rPr>
                <w:rFonts w:ascii="宋体" w:hAnsi="宋体" w:cs="宋体"/>
                <w:color w:val="000000"/>
              </w:rPr>
            </w:pPr>
            <w:r>
              <w:rPr>
                <w:rFonts w:hint="eastAsia" w:ascii="宋体" w:hAnsi="宋体" w:cs="宋体"/>
                <w:color w:val="000000"/>
                <w:lang w:eastAsia="zh-CN" w:bidi="ar"/>
              </w:rPr>
              <w:t>台泥（英德）水泥有限公司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80F24">
            <w:pPr>
              <w:jc w:val="center"/>
              <w:textAlignment w:val="center"/>
              <w:rPr>
                <w:rFonts w:ascii="宋体" w:hAnsi="宋体" w:cs="宋体"/>
                <w:color w:val="000000"/>
              </w:rPr>
            </w:pPr>
            <w:r>
              <w:rPr>
                <w:rFonts w:hint="eastAsia" w:ascii="宋体" w:hAnsi="宋体" w:cs="宋体"/>
                <w:color w:val="000000"/>
                <w:lang w:eastAsia="zh-CN" w:bidi="ar"/>
              </w:rPr>
              <w:t>台泥水泥</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A7D43">
            <w:pPr>
              <w:jc w:val="center"/>
              <w:rPr>
                <w:rFonts w:ascii="宋体" w:hAnsi="宋体" w:cs="宋体"/>
                <w:color w:val="FF0000"/>
              </w:rPr>
            </w:pPr>
          </w:p>
        </w:tc>
      </w:tr>
      <w:tr w14:paraId="7107BC6C">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D2CF848">
            <w:pPr>
              <w:textAlignment w:val="center"/>
              <w:rPr>
                <w:rFonts w:ascii="宋体" w:hAnsi="宋体" w:cs="宋体"/>
                <w:b/>
                <w:bCs/>
                <w:color w:val="000000"/>
              </w:rPr>
            </w:pPr>
            <w:r>
              <w:rPr>
                <w:rFonts w:hint="eastAsia" w:ascii="宋体" w:hAnsi="宋体" w:cs="宋体"/>
                <w:b/>
                <w:bCs/>
                <w:color w:val="000000"/>
                <w:lang w:eastAsia="zh-CN" w:bidi="ar"/>
              </w:rPr>
              <w:t>（三）预应力管桩</w:t>
            </w:r>
          </w:p>
        </w:tc>
      </w:tr>
      <w:tr w14:paraId="72FF6075">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82651">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250C4">
            <w:pPr>
              <w:textAlignment w:val="center"/>
              <w:rPr>
                <w:rFonts w:ascii="宋体" w:hAnsi="宋体" w:cs="宋体"/>
                <w:color w:val="000000"/>
                <w:lang w:eastAsia="zh-CN"/>
              </w:rPr>
            </w:pPr>
            <w:r>
              <w:rPr>
                <w:rFonts w:hint="eastAsia" w:ascii="宋体" w:hAnsi="宋体" w:cs="宋体"/>
                <w:color w:val="000000"/>
                <w:lang w:eastAsia="zh-CN" w:bidi="ar"/>
              </w:rPr>
              <w:t>广东三和管桩股份有限公司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08E57">
            <w:pPr>
              <w:jc w:val="center"/>
              <w:textAlignment w:val="center"/>
              <w:rPr>
                <w:rFonts w:ascii="宋体" w:hAnsi="宋体" w:cs="宋体"/>
                <w:color w:val="000000"/>
              </w:rPr>
            </w:pPr>
            <w:r>
              <w:rPr>
                <w:rFonts w:hint="eastAsia" w:ascii="宋体" w:hAnsi="宋体" w:cs="宋体"/>
                <w:color w:val="000000"/>
                <w:lang w:eastAsia="zh-CN" w:bidi="ar"/>
              </w:rPr>
              <w:t>三和</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615A8">
            <w:pPr>
              <w:jc w:val="center"/>
              <w:rPr>
                <w:rFonts w:ascii="宋体" w:hAnsi="宋体" w:cs="宋体"/>
                <w:color w:val="FF0000"/>
              </w:rPr>
            </w:pPr>
          </w:p>
        </w:tc>
      </w:tr>
      <w:tr w14:paraId="0B17203B">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F705A">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F2887">
            <w:pPr>
              <w:textAlignment w:val="center"/>
              <w:rPr>
                <w:rFonts w:ascii="宋体" w:hAnsi="宋体" w:cs="宋体"/>
                <w:color w:val="000000"/>
                <w:lang w:eastAsia="zh-CN"/>
              </w:rPr>
            </w:pPr>
            <w:r>
              <w:rPr>
                <w:rFonts w:hint="eastAsia" w:ascii="宋体" w:hAnsi="宋体" w:cs="宋体"/>
                <w:color w:val="000000"/>
                <w:lang w:eastAsia="zh-CN" w:bidi="ar"/>
              </w:rPr>
              <w:t>广东建华管桩有限公司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5DABC">
            <w:pPr>
              <w:jc w:val="center"/>
              <w:textAlignment w:val="center"/>
              <w:rPr>
                <w:rFonts w:ascii="宋体" w:hAnsi="宋体" w:cs="宋体"/>
                <w:color w:val="000000"/>
              </w:rPr>
            </w:pPr>
            <w:r>
              <w:rPr>
                <w:rFonts w:hint="eastAsia" w:ascii="宋体" w:hAnsi="宋体" w:cs="宋体"/>
                <w:color w:val="000000"/>
                <w:lang w:eastAsia="zh-CN" w:bidi="ar"/>
              </w:rPr>
              <w:t>建华</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75EFA">
            <w:pPr>
              <w:jc w:val="center"/>
              <w:rPr>
                <w:rFonts w:ascii="宋体" w:hAnsi="宋体" w:cs="宋体"/>
                <w:color w:val="FF0000"/>
              </w:rPr>
            </w:pPr>
          </w:p>
        </w:tc>
      </w:tr>
      <w:tr w14:paraId="2595A79A">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1A576">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7F6F2">
            <w:pPr>
              <w:textAlignment w:val="center"/>
              <w:rPr>
                <w:rFonts w:ascii="宋体" w:hAnsi="宋体" w:cs="宋体"/>
                <w:color w:val="000000"/>
                <w:lang w:eastAsia="zh-CN"/>
              </w:rPr>
            </w:pPr>
            <w:r>
              <w:rPr>
                <w:rFonts w:hint="eastAsia" w:ascii="宋体" w:hAnsi="宋体" w:cs="宋体"/>
                <w:color w:val="000000"/>
                <w:lang w:eastAsia="zh-CN" w:bidi="ar"/>
              </w:rPr>
              <w:t>广东宏基管桩有限公司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F6F33">
            <w:pPr>
              <w:jc w:val="center"/>
              <w:textAlignment w:val="center"/>
              <w:rPr>
                <w:rFonts w:ascii="宋体" w:hAnsi="宋体" w:cs="宋体"/>
                <w:color w:val="000000"/>
              </w:rPr>
            </w:pPr>
            <w:r>
              <w:rPr>
                <w:rFonts w:hint="eastAsia" w:ascii="宋体" w:hAnsi="宋体" w:cs="宋体"/>
                <w:color w:val="000000"/>
                <w:lang w:eastAsia="zh-CN" w:bidi="ar"/>
              </w:rPr>
              <w:t>宏基</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CC8D8">
            <w:pPr>
              <w:jc w:val="center"/>
              <w:rPr>
                <w:rFonts w:ascii="宋体" w:hAnsi="宋体" w:cs="宋体"/>
                <w:color w:val="FF0000"/>
              </w:rPr>
            </w:pPr>
          </w:p>
        </w:tc>
      </w:tr>
      <w:tr w14:paraId="20CA9A99">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3BB56">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1344E">
            <w:pPr>
              <w:textAlignment w:val="center"/>
              <w:rPr>
                <w:rFonts w:ascii="宋体" w:hAnsi="宋体" w:cs="宋体"/>
                <w:color w:val="000000"/>
                <w:lang w:eastAsia="zh-CN"/>
              </w:rPr>
            </w:pPr>
            <w:r>
              <w:rPr>
                <w:rFonts w:hint="eastAsia" w:ascii="宋体" w:hAnsi="宋体" w:cs="宋体"/>
                <w:color w:val="000000"/>
                <w:lang w:eastAsia="zh-CN" w:bidi="ar"/>
              </w:rPr>
              <w:t>中山市富华管桩有限公司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C76D5">
            <w:pPr>
              <w:jc w:val="center"/>
              <w:textAlignment w:val="center"/>
              <w:rPr>
                <w:rFonts w:ascii="宋体" w:hAnsi="宋体" w:cs="宋体"/>
                <w:color w:val="000000"/>
              </w:rPr>
            </w:pPr>
            <w:r>
              <w:rPr>
                <w:rFonts w:hint="eastAsia" w:ascii="宋体" w:hAnsi="宋体" w:cs="宋体"/>
                <w:color w:val="000000"/>
                <w:lang w:eastAsia="zh-CN" w:bidi="ar"/>
              </w:rPr>
              <w:t>富业</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B30AC">
            <w:pPr>
              <w:jc w:val="center"/>
              <w:rPr>
                <w:rFonts w:ascii="宋体" w:hAnsi="宋体" w:cs="宋体"/>
                <w:color w:val="FF0000"/>
              </w:rPr>
            </w:pPr>
          </w:p>
        </w:tc>
      </w:tr>
      <w:tr w14:paraId="1CD3182B">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368C9">
            <w:pPr>
              <w:jc w:val="center"/>
              <w:textAlignment w:val="center"/>
              <w:rPr>
                <w:rFonts w:ascii="宋体" w:hAnsi="宋体" w:cs="宋体"/>
                <w:color w:val="000000"/>
              </w:rPr>
            </w:pPr>
            <w:r>
              <w:rPr>
                <w:rFonts w:hint="eastAsia" w:ascii="宋体" w:hAnsi="宋体" w:cs="宋体"/>
                <w:color w:val="000000"/>
                <w:lang w:eastAsia="zh-CN" w:bidi="ar"/>
              </w:rPr>
              <w:t>5</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3BA67">
            <w:pPr>
              <w:textAlignment w:val="center"/>
              <w:rPr>
                <w:rFonts w:ascii="宋体" w:hAnsi="宋体" w:cs="宋体"/>
                <w:color w:val="000000"/>
                <w:lang w:eastAsia="zh-CN"/>
              </w:rPr>
            </w:pPr>
            <w:r>
              <w:rPr>
                <w:rFonts w:hint="eastAsia" w:ascii="宋体" w:hAnsi="宋体" w:cs="宋体"/>
                <w:color w:val="000000"/>
                <w:lang w:eastAsia="zh-CN" w:bidi="ar"/>
              </w:rPr>
              <w:t>广州羊城管桩有限公司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2C6A6">
            <w:pPr>
              <w:jc w:val="center"/>
              <w:textAlignment w:val="center"/>
              <w:rPr>
                <w:rFonts w:ascii="宋体" w:hAnsi="宋体" w:cs="宋体"/>
                <w:color w:val="000000"/>
              </w:rPr>
            </w:pPr>
            <w:r>
              <w:rPr>
                <w:rFonts w:hint="eastAsia" w:ascii="宋体" w:hAnsi="宋体" w:cs="宋体"/>
                <w:color w:val="000000"/>
                <w:lang w:eastAsia="zh-CN" w:bidi="ar"/>
              </w:rPr>
              <w:t>羊城</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A25F1">
            <w:pPr>
              <w:jc w:val="center"/>
              <w:rPr>
                <w:rFonts w:ascii="宋体" w:hAnsi="宋体" w:cs="宋体"/>
                <w:color w:val="FF0000"/>
              </w:rPr>
            </w:pPr>
          </w:p>
        </w:tc>
      </w:tr>
      <w:tr w14:paraId="61996F36">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5810B6D">
            <w:pPr>
              <w:textAlignment w:val="center"/>
              <w:rPr>
                <w:rFonts w:ascii="宋体" w:hAnsi="宋体" w:cs="宋体"/>
                <w:b/>
                <w:bCs/>
                <w:color w:val="000000"/>
                <w:lang w:eastAsia="zh-CN"/>
              </w:rPr>
            </w:pPr>
            <w:r>
              <w:rPr>
                <w:rFonts w:hint="eastAsia" w:ascii="宋体" w:hAnsi="宋体" w:cs="宋体"/>
                <w:b/>
                <w:bCs/>
                <w:color w:val="000000"/>
                <w:lang w:eastAsia="zh-CN" w:bidi="ar"/>
              </w:rPr>
              <w:t>（四）装配式预制构件</w:t>
            </w:r>
          </w:p>
        </w:tc>
      </w:tr>
      <w:tr w14:paraId="06BFAAF6">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B850A">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C4BC4">
            <w:pPr>
              <w:textAlignment w:val="center"/>
              <w:rPr>
                <w:rFonts w:ascii="宋体" w:hAnsi="宋体" w:cs="宋体"/>
                <w:color w:val="000000"/>
                <w:lang w:eastAsia="zh-CN"/>
              </w:rPr>
            </w:pPr>
            <w:r>
              <w:rPr>
                <w:rFonts w:hint="eastAsia" w:ascii="宋体" w:hAnsi="宋体" w:cs="宋体"/>
                <w:color w:val="000000"/>
                <w:lang w:eastAsia="zh-CN" w:bidi="ar"/>
              </w:rPr>
              <w:t>广东建远建筑装配工业有限公司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D2E44">
            <w:pPr>
              <w:jc w:val="center"/>
              <w:textAlignment w:val="center"/>
              <w:rPr>
                <w:rFonts w:ascii="宋体" w:hAnsi="宋体" w:cs="宋体"/>
                <w:b/>
                <w:bCs/>
                <w:color w:val="000000"/>
              </w:rPr>
            </w:pPr>
            <w:r>
              <w:rPr>
                <w:rFonts w:hint="eastAsia" w:ascii="宋体" w:hAnsi="宋体" w:cs="宋体"/>
                <w:b/>
                <w:bCs/>
                <w:color w:val="000000"/>
                <w:lang w:eastAsia="zh-CN" w:bidi="ar"/>
              </w:rPr>
              <w:t>/</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26E7C">
            <w:pPr>
              <w:jc w:val="center"/>
              <w:rPr>
                <w:rFonts w:ascii="宋体" w:hAnsi="宋体" w:cs="宋体"/>
                <w:color w:val="FF0000"/>
              </w:rPr>
            </w:pPr>
          </w:p>
        </w:tc>
      </w:tr>
      <w:tr w14:paraId="41E2B448">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E96F5">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DFB7A">
            <w:pPr>
              <w:textAlignment w:val="center"/>
              <w:rPr>
                <w:rFonts w:ascii="宋体" w:hAnsi="宋体" w:cs="宋体"/>
                <w:color w:val="000000"/>
                <w:lang w:eastAsia="zh-CN"/>
              </w:rPr>
            </w:pPr>
            <w:r>
              <w:rPr>
                <w:rFonts w:hint="eastAsia" w:ascii="宋体" w:hAnsi="宋体" w:cs="宋体"/>
                <w:color w:val="000000"/>
                <w:lang w:eastAsia="zh-CN" w:bidi="ar"/>
              </w:rPr>
              <w:t>广州建筑湾区智造科技有限公司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EE54E">
            <w:pPr>
              <w:jc w:val="center"/>
              <w:textAlignment w:val="center"/>
              <w:rPr>
                <w:rFonts w:ascii="宋体" w:hAnsi="宋体" w:cs="宋体"/>
                <w:b/>
                <w:bCs/>
                <w:color w:val="000000"/>
              </w:rPr>
            </w:pPr>
            <w:r>
              <w:rPr>
                <w:rFonts w:hint="eastAsia" w:ascii="宋体" w:hAnsi="宋体" w:cs="宋体"/>
                <w:b/>
                <w:bCs/>
                <w:color w:val="000000"/>
                <w:lang w:eastAsia="zh-CN" w:bidi="ar"/>
              </w:rPr>
              <w:t>/</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7E099">
            <w:pPr>
              <w:jc w:val="center"/>
              <w:rPr>
                <w:rFonts w:ascii="宋体" w:hAnsi="宋体" w:cs="宋体"/>
                <w:color w:val="FF0000"/>
              </w:rPr>
            </w:pPr>
          </w:p>
        </w:tc>
      </w:tr>
      <w:tr w14:paraId="2045B7E7">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F7AC3">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27AEE">
            <w:pPr>
              <w:textAlignment w:val="center"/>
              <w:rPr>
                <w:rFonts w:ascii="宋体" w:hAnsi="宋体" w:cs="宋体"/>
                <w:color w:val="000000"/>
                <w:lang w:eastAsia="zh-CN"/>
              </w:rPr>
            </w:pPr>
            <w:r>
              <w:rPr>
                <w:rFonts w:hint="eastAsia" w:ascii="宋体" w:hAnsi="宋体" w:cs="宋体"/>
                <w:color w:val="000000"/>
                <w:lang w:eastAsia="zh-CN" w:bidi="ar"/>
              </w:rPr>
              <w:t>中建科技集团有限公司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9DA33">
            <w:pPr>
              <w:jc w:val="center"/>
              <w:textAlignment w:val="center"/>
              <w:rPr>
                <w:rFonts w:ascii="宋体" w:hAnsi="宋体" w:cs="宋体"/>
                <w:b/>
                <w:bCs/>
                <w:color w:val="000000"/>
              </w:rPr>
            </w:pPr>
            <w:r>
              <w:rPr>
                <w:rFonts w:hint="eastAsia" w:ascii="宋体" w:hAnsi="宋体" w:cs="宋体"/>
                <w:b/>
                <w:bCs/>
                <w:color w:val="000000"/>
                <w:lang w:eastAsia="zh-CN" w:bidi="ar"/>
              </w:rPr>
              <w:t>/</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101B0">
            <w:pPr>
              <w:jc w:val="center"/>
              <w:rPr>
                <w:rFonts w:ascii="宋体" w:hAnsi="宋体" w:cs="宋体"/>
                <w:color w:val="FF0000"/>
              </w:rPr>
            </w:pPr>
          </w:p>
        </w:tc>
      </w:tr>
      <w:tr w14:paraId="488B08D2">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D756E">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98F0D">
            <w:pPr>
              <w:textAlignment w:val="center"/>
              <w:rPr>
                <w:rFonts w:ascii="宋体" w:hAnsi="宋体" w:cs="宋体"/>
                <w:color w:val="000000"/>
                <w:lang w:eastAsia="zh-CN"/>
              </w:rPr>
            </w:pPr>
            <w:r>
              <w:rPr>
                <w:rFonts w:hint="eastAsia" w:ascii="宋体" w:hAnsi="宋体" w:cs="宋体"/>
                <w:color w:val="000000"/>
                <w:lang w:eastAsia="zh-CN" w:bidi="ar"/>
              </w:rPr>
              <w:t>广东中建新型建筑构件有限公司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43B1C">
            <w:pPr>
              <w:jc w:val="center"/>
              <w:textAlignment w:val="center"/>
              <w:rPr>
                <w:rFonts w:ascii="宋体" w:hAnsi="宋体" w:cs="宋体"/>
                <w:b/>
                <w:bCs/>
                <w:color w:val="000000"/>
              </w:rPr>
            </w:pPr>
            <w:r>
              <w:rPr>
                <w:rFonts w:hint="eastAsia" w:ascii="宋体" w:hAnsi="宋体" w:cs="宋体"/>
                <w:b/>
                <w:bCs/>
                <w:color w:val="000000"/>
                <w:lang w:eastAsia="zh-CN" w:bidi="ar"/>
              </w:rPr>
              <w:t>/</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7AA2D">
            <w:pPr>
              <w:jc w:val="center"/>
              <w:rPr>
                <w:rFonts w:ascii="宋体" w:hAnsi="宋体" w:cs="宋体"/>
                <w:color w:val="FF0000"/>
              </w:rPr>
            </w:pPr>
          </w:p>
        </w:tc>
      </w:tr>
      <w:tr w14:paraId="162B8194">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0A389">
            <w:pPr>
              <w:jc w:val="center"/>
              <w:textAlignment w:val="center"/>
              <w:rPr>
                <w:rFonts w:ascii="宋体" w:hAnsi="宋体" w:cs="宋体"/>
                <w:color w:val="000000"/>
              </w:rPr>
            </w:pPr>
            <w:r>
              <w:rPr>
                <w:rFonts w:hint="eastAsia" w:ascii="宋体" w:hAnsi="宋体" w:cs="宋体"/>
                <w:color w:val="000000"/>
                <w:lang w:eastAsia="zh-CN" w:bidi="ar"/>
              </w:rPr>
              <w:t>5</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D3F83">
            <w:pPr>
              <w:textAlignment w:val="center"/>
              <w:rPr>
                <w:rFonts w:ascii="宋体" w:hAnsi="宋体" w:cs="宋体"/>
                <w:color w:val="000000"/>
                <w:lang w:eastAsia="zh-CN"/>
              </w:rPr>
            </w:pPr>
            <w:r>
              <w:rPr>
                <w:rFonts w:hint="eastAsia" w:ascii="宋体" w:hAnsi="宋体" w:cs="宋体"/>
                <w:color w:val="000000"/>
                <w:lang w:eastAsia="zh-CN" w:bidi="ar"/>
              </w:rPr>
              <w:t>华润智筑科技(江门)有限公司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6D1CA">
            <w:pPr>
              <w:jc w:val="center"/>
              <w:textAlignment w:val="center"/>
              <w:rPr>
                <w:rFonts w:ascii="宋体" w:hAnsi="宋体" w:cs="宋体"/>
                <w:b/>
                <w:bCs/>
                <w:color w:val="000000"/>
              </w:rPr>
            </w:pPr>
            <w:r>
              <w:rPr>
                <w:rFonts w:hint="eastAsia" w:ascii="宋体" w:hAnsi="宋体" w:cs="宋体"/>
                <w:b/>
                <w:bCs/>
                <w:color w:val="000000"/>
                <w:lang w:eastAsia="zh-CN" w:bidi="ar"/>
              </w:rPr>
              <w:t>/</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84377">
            <w:pPr>
              <w:jc w:val="center"/>
              <w:rPr>
                <w:rFonts w:ascii="宋体" w:hAnsi="宋体" w:cs="宋体"/>
                <w:color w:val="FF0000"/>
              </w:rPr>
            </w:pPr>
          </w:p>
        </w:tc>
      </w:tr>
      <w:tr w14:paraId="153923BF">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C476F">
            <w:pPr>
              <w:jc w:val="center"/>
              <w:textAlignment w:val="center"/>
              <w:rPr>
                <w:rFonts w:ascii="宋体" w:hAnsi="宋体" w:cs="宋体"/>
                <w:color w:val="000000"/>
              </w:rPr>
            </w:pPr>
            <w:r>
              <w:rPr>
                <w:rFonts w:hint="eastAsia" w:ascii="宋体" w:hAnsi="宋体" w:cs="宋体"/>
                <w:color w:val="000000"/>
                <w:lang w:eastAsia="zh-CN" w:bidi="ar"/>
              </w:rPr>
              <w:t>6</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7C0DA">
            <w:pPr>
              <w:textAlignment w:val="center"/>
              <w:rPr>
                <w:rFonts w:ascii="宋体" w:hAnsi="宋体" w:cs="宋体"/>
                <w:color w:val="000000"/>
                <w:lang w:eastAsia="zh-CN"/>
              </w:rPr>
            </w:pPr>
            <w:r>
              <w:rPr>
                <w:rFonts w:hint="eastAsia" w:ascii="宋体" w:hAnsi="宋体" w:cs="宋体"/>
                <w:color w:val="000000"/>
                <w:lang w:eastAsia="zh-CN" w:bidi="ar"/>
              </w:rPr>
              <w:t>中建四局绿色建筑科技（广东）有限公司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5848F">
            <w:pPr>
              <w:jc w:val="center"/>
              <w:textAlignment w:val="center"/>
              <w:rPr>
                <w:rFonts w:ascii="宋体" w:hAnsi="宋体" w:cs="宋体"/>
                <w:b/>
                <w:bCs/>
                <w:color w:val="000000"/>
              </w:rPr>
            </w:pPr>
            <w:r>
              <w:rPr>
                <w:rFonts w:hint="eastAsia" w:ascii="宋体" w:hAnsi="宋体" w:cs="宋体"/>
                <w:b/>
                <w:bCs/>
                <w:color w:val="000000"/>
                <w:lang w:eastAsia="zh-CN" w:bidi="ar"/>
              </w:rPr>
              <w:t>/</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289E7">
            <w:pPr>
              <w:jc w:val="center"/>
              <w:rPr>
                <w:rFonts w:ascii="宋体" w:hAnsi="宋体" w:cs="宋体"/>
                <w:color w:val="FF0000"/>
              </w:rPr>
            </w:pPr>
          </w:p>
        </w:tc>
      </w:tr>
      <w:tr w14:paraId="786A1C8C">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28D1B8A9">
            <w:pPr>
              <w:textAlignment w:val="center"/>
              <w:rPr>
                <w:rFonts w:ascii="宋体" w:hAnsi="宋体" w:cs="宋体"/>
                <w:b/>
                <w:bCs/>
                <w:color w:val="000000"/>
                <w:lang w:eastAsia="zh-CN"/>
              </w:rPr>
            </w:pPr>
            <w:r>
              <w:rPr>
                <w:rFonts w:hint="eastAsia" w:ascii="宋体" w:hAnsi="宋体" w:cs="宋体"/>
                <w:b/>
                <w:bCs/>
                <w:color w:val="000000"/>
                <w:lang w:eastAsia="zh-CN" w:bidi="ar"/>
              </w:rPr>
              <w:t>（五）蒸压加气混凝土砌块</w:t>
            </w:r>
          </w:p>
        </w:tc>
      </w:tr>
      <w:tr w14:paraId="6C71ED93">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5616E5">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B581EE">
            <w:pPr>
              <w:textAlignment w:val="center"/>
              <w:rPr>
                <w:rFonts w:ascii="宋体" w:hAnsi="宋体" w:cs="宋体"/>
                <w:color w:val="000000"/>
                <w:lang w:eastAsia="zh-CN"/>
              </w:rPr>
            </w:pPr>
            <w:r>
              <w:rPr>
                <w:rFonts w:hint="eastAsia" w:ascii="宋体" w:hAnsi="宋体" w:cs="宋体"/>
                <w:color w:val="000000"/>
                <w:lang w:eastAsia="zh-CN" w:bidi="ar"/>
              </w:rPr>
              <w:t>广州发展环保建材有限公司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32687A">
            <w:pPr>
              <w:jc w:val="center"/>
              <w:textAlignment w:val="center"/>
              <w:rPr>
                <w:rFonts w:ascii="宋体" w:hAnsi="宋体" w:cs="宋体"/>
                <w:color w:val="000000"/>
              </w:rPr>
            </w:pPr>
            <w:r>
              <w:rPr>
                <w:rFonts w:hint="eastAsia" w:ascii="宋体" w:hAnsi="宋体" w:cs="宋体"/>
                <w:color w:val="000000"/>
                <w:lang w:eastAsia="zh-CN" w:bidi="ar"/>
              </w:rPr>
              <w:t>发展建材</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AE1D5">
            <w:pPr>
              <w:jc w:val="center"/>
              <w:rPr>
                <w:rFonts w:ascii="宋体" w:hAnsi="宋体" w:cs="宋体"/>
                <w:color w:val="FF0000"/>
              </w:rPr>
            </w:pPr>
          </w:p>
        </w:tc>
      </w:tr>
      <w:tr w14:paraId="5783E331">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68EADE">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B5C27D">
            <w:pPr>
              <w:textAlignment w:val="center"/>
              <w:rPr>
                <w:rFonts w:ascii="宋体" w:hAnsi="宋体" w:cs="宋体"/>
                <w:color w:val="000000"/>
                <w:lang w:eastAsia="zh-CN"/>
              </w:rPr>
            </w:pPr>
            <w:r>
              <w:rPr>
                <w:rFonts w:hint="eastAsia" w:ascii="宋体" w:hAnsi="宋体" w:cs="宋体"/>
                <w:color w:val="000000"/>
                <w:lang w:eastAsia="zh-CN" w:bidi="ar"/>
              </w:rPr>
              <w:t>广东朗道建材科技有限公司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BD9108">
            <w:pPr>
              <w:jc w:val="center"/>
              <w:textAlignment w:val="center"/>
              <w:rPr>
                <w:rFonts w:ascii="宋体" w:hAnsi="宋体" w:cs="宋体"/>
                <w:color w:val="000000"/>
              </w:rPr>
            </w:pPr>
            <w:r>
              <w:rPr>
                <w:rFonts w:hint="eastAsia" w:ascii="宋体" w:hAnsi="宋体" w:cs="宋体"/>
                <w:color w:val="000000"/>
                <w:lang w:eastAsia="zh-CN" w:bidi="ar"/>
              </w:rPr>
              <w:t>朗道建材</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EDAD5">
            <w:pPr>
              <w:jc w:val="center"/>
              <w:rPr>
                <w:rFonts w:ascii="宋体" w:hAnsi="宋体" w:cs="宋体"/>
                <w:color w:val="FF0000"/>
              </w:rPr>
            </w:pPr>
          </w:p>
        </w:tc>
      </w:tr>
      <w:tr w14:paraId="55E494BC">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36DBCD">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5E399B">
            <w:pPr>
              <w:textAlignment w:val="center"/>
              <w:rPr>
                <w:rFonts w:ascii="宋体" w:hAnsi="宋体" w:cs="宋体"/>
                <w:color w:val="000000"/>
                <w:lang w:eastAsia="zh-CN"/>
              </w:rPr>
            </w:pPr>
            <w:r>
              <w:rPr>
                <w:rFonts w:hint="eastAsia" w:ascii="宋体" w:hAnsi="宋体" w:cs="宋体"/>
                <w:color w:val="000000"/>
                <w:lang w:eastAsia="zh-CN" w:bidi="ar"/>
              </w:rPr>
              <w:t>广州市佑佳加气混凝土制品有限公司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AB2248">
            <w:pPr>
              <w:jc w:val="center"/>
              <w:textAlignment w:val="center"/>
              <w:rPr>
                <w:rFonts w:ascii="宋体" w:hAnsi="宋体" w:cs="宋体"/>
                <w:color w:val="000000"/>
              </w:rPr>
            </w:pPr>
            <w:r>
              <w:rPr>
                <w:rFonts w:hint="eastAsia" w:ascii="宋体" w:hAnsi="宋体" w:cs="宋体"/>
                <w:color w:val="000000"/>
                <w:lang w:eastAsia="zh-CN" w:bidi="ar"/>
              </w:rPr>
              <w:t>佑佳</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3B138">
            <w:pPr>
              <w:jc w:val="center"/>
              <w:rPr>
                <w:rFonts w:ascii="宋体" w:hAnsi="宋体" w:cs="宋体"/>
                <w:color w:val="FF0000"/>
              </w:rPr>
            </w:pPr>
          </w:p>
        </w:tc>
      </w:tr>
      <w:tr w14:paraId="49002E45">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657247">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6DDEDB">
            <w:pPr>
              <w:textAlignment w:val="center"/>
              <w:rPr>
                <w:rFonts w:ascii="宋体" w:hAnsi="宋体" w:cs="宋体"/>
                <w:color w:val="000000"/>
                <w:lang w:eastAsia="zh-CN"/>
              </w:rPr>
            </w:pPr>
            <w:r>
              <w:rPr>
                <w:rFonts w:hint="eastAsia" w:ascii="宋体" w:hAnsi="宋体" w:cs="宋体"/>
                <w:color w:val="000000"/>
                <w:lang w:eastAsia="zh-CN" w:bidi="ar"/>
              </w:rPr>
              <w:t>华润水泥（封开）有限公司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30AA93">
            <w:pPr>
              <w:jc w:val="center"/>
              <w:textAlignment w:val="center"/>
              <w:rPr>
                <w:rFonts w:ascii="宋体" w:hAnsi="宋体" w:cs="宋体"/>
                <w:color w:val="000000"/>
              </w:rPr>
            </w:pPr>
            <w:r>
              <w:rPr>
                <w:rFonts w:hint="eastAsia" w:ascii="宋体" w:hAnsi="宋体" w:cs="宋体"/>
                <w:color w:val="000000"/>
                <w:lang w:eastAsia="zh-CN" w:bidi="ar"/>
              </w:rPr>
              <w:t>润丰</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B0A5D">
            <w:pPr>
              <w:jc w:val="center"/>
              <w:rPr>
                <w:rFonts w:ascii="宋体" w:hAnsi="宋体" w:cs="宋体"/>
                <w:color w:val="FF0000"/>
              </w:rPr>
            </w:pPr>
          </w:p>
        </w:tc>
      </w:tr>
      <w:tr w14:paraId="64AD9F97">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408A2F">
            <w:pPr>
              <w:jc w:val="center"/>
              <w:textAlignment w:val="center"/>
              <w:rPr>
                <w:rFonts w:ascii="宋体" w:hAnsi="宋体" w:cs="宋体"/>
                <w:color w:val="000000"/>
              </w:rPr>
            </w:pPr>
            <w:r>
              <w:rPr>
                <w:rFonts w:hint="eastAsia" w:ascii="宋体" w:hAnsi="宋体" w:cs="宋体"/>
                <w:color w:val="000000"/>
                <w:lang w:eastAsia="zh-CN" w:bidi="ar"/>
              </w:rPr>
              <w:t>5</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08EAF4">
            <w:pPr>
              <w:textAlignment w:val="center"/>
              <w:rPr>
                <w:rFonts w:ascii="宋体" w:hAnsi="宋体" w:cs="宋体"/>
                <w:color w:val="000000"/>
                <w:lang w:eastAsia="zh-CN"/>
              </w:rPr>
            </w:pPr>
            <w:r>
              <w:rPr>
                <w:rFonts w:hint="eastAsia" w:ascii="宋体" w:hAnsi="宋体" w:cs="宋体"/>
                <w:color w:val="000000"/>
                <w:lang w:eastAsia="zh-CN" w:bidi="ar"/>
              </w:rPr>
              <w:t>广州市建邦建材有限公司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F91C12">
            <w:pPr>
              <w:jc w:val="center"/>
              <w:textAlignment w:val="center"/>
              <w:rPr>
                <w:rFonts w:ascii="宋体" w:hAnsi="宋体" w:cs="宋体"/>
                <w:color w:val="000000"/>
              </w:rPr>
            </w:pPr>
            <w:r>
              <w:rPr>
                <w:rFonts w:hint="eastAsia" w:ascii="宋体" w:hAnsi="宋体" w:cs="宋体"/>
                <w:color w:val="000000"/>
                <w:lang w:eastAsia="zh-CN" w:bidi="ar"/>
              </w:rPr>
              <w:t>建邦建材</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DCA1B">
            <w:pPr>
              <w:jc w:val="center"/>
              <w:rPr>
                <w:rFonts w:ascii="宋体" w:hAnsi="宋体" w:cs="宋体"/>
                <w:color w:val="FF0000"/>
              </w:rPr>
            </w:pPr>
          </w:p>
        </w:tc>
      </w:tr>
      <w:tr w14:paraId="77575CC5">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1CC84142">
            <w:pPr>
              <w:textAlignment w:val="center"/>
              <w:rPr>
                <w:rFonts w:ascii="宋体" w:hAnsi="宋体" w:cs="宋体"/>
                <w:b/>
                <w:bCs/>
                <w:color w:val="000000"/>
              </w:rPr>
            </w:pPr>
            <w:r>
              <w:rPr>
                <w:rFonts w:hint="eastAsia" w:ascii="宋体" w:hAnsi="宋体" w:cs="宋体"/>
                <w:b/>
                <w:bCs/>
                <w:color w:val="000000"/>
                <w:lang w:eastAsia="zh-CN" w:bidi="ar"/>
              </w:rPr>
              <w:t>（六）ALC墙板</w:t>
            </w:r>
          </w:p>
        </w:tc>
      </w:tr>
      <w:tr w14:paraId="33AF0E1B">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019596">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254AA8">
            <w:pPr>
              <w:textAlignment w:val="center"/>
              <w:rPr>
                <w:rFonts w:ascii="宋体" w:hAnsi="宋体" w:cs="宋体"/>
                <w:color w:val="000000"/>
                <w:lang w:eastAsia="zh-CN"/>
              </w:rPr>
            </w:pPr>
            <w:r>
              <w:rPr>
                <w:rFonts w:hint="eastAsia" w:ascii="宋体" w:hAnsi="宋体" w:cs="宋体"/>
                <w:color w:val="000000"/>
                <w:lang w:eastAsia="zh-CN" w:bidi="ar"/>
              </w:rPr>
              <w:t>广东朗道建材科技有限公司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171A78">
            <w:pPr>
              <w:jc w:val="center"/>
              <w:textAlignment w:val="center"/>
              <w:rPr>
                <w:rFonts w:ascii="宋体" w:hAnsi="宋体" w:cs="宋体"/>
                <w:color w:val="000000"/>
              </w:rPr>
            </w:pPr>
            <w:r>
              <w:rPr>
                <w:rFonts w:hint="eastAsia" w:ascii="宋体" w:hAnsi="宋体" w:cs="宋体"/>
                <w:color w:val="000000"/>
                <w:lang w:eastAsia="zh-CN" w:bidi="ar"/>
              </w:rPr>
              <w:t>朗道建材</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9D0A6">
            <w:pPr>
              <w:jc w:val="center"/>
              <w:rPr>
                <w:rFonts w:ascii="宋体" w:hAnsi="宋体" w:cs="宋体"/>
                <w:color w:val="FF0000"/>
              </w:rPr>
            </w:pPr>
          </w:p>
        </w:tc>
      </w:tr>
      <w:tr w14:paraId="3622816C">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A482AD">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A5A1AC">
            <w:pPr>
              <w:textAlignment w:val="center"/>
              <w:rPr>
                <w:rFonts w:ascii="宋体" w:hAnsi="宋体" w:cs="宋体"/>
                <w:color w:val="000000"/>
                <w:lang w:eastAsia="zh-CN"/>
              </w:rPr>
            </w:pPr>
            <w:r>
              <w:rPr>
                <w:rFonts w:hint="eastAsia" w:ascii="宋体" w:hAnsi="宋体" w:cs="宋体"/>
                <w:color w:val="000000"/>
                <w:lang w:eastAsia="zh-CN" w:bidi="ar"/>
              </w:rPr>
              <w:t>华润水泥（封开）有限公司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222D8B">
            <w:pPr>
              <w:jc w:val="center"/>
              <w:textAlignment w:val="center"/>
              <w:rPr>
                <w:rFonts w:ascii="宋体" w:hAnsi="宋体" w:cs="宋体"/>
                <w:color w:val="000000"/>
              </w:rPr>
            </w:pPr>
            <w:r>
              <w:rPr>
                <w:rFonts w:hint="eastAsia" w:ascii="宋体" w:hAnsi="宋体" w:cs="宋体"/>
                <w:color w:val="000000"/>
                <w:lang w:eastAsia="zh-CN" w:bidi="ar"/>
              </w:rPr>
              <w:t>润丰</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0829E">
            <w:pPr>
              <w:jc w:val="center"/>
              <w:rPr>
                <w:rFonts w:ascii="宋体" w:hAnsi="宋体" w:cs="宋体"/>
                <w:color w:val="FF0000"/>
              </w:rPr>
            </w:pPr>
          </w:p>
        </w:tc>
      </w:tr>
      <w:tr w14:paraId="00D249F9">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8C36C6">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7BAC90">
            <w:pPr>
              <w:textAlignment w:val="center"/>
              <w:rPr>
                <w:rFonts w:ascii="宋体" w:hAnsi="宋体" w:cs="宋体"/>
                <w:color w:val="000000"/>
                <w:lang w:eastAsia="zh-CN"/>
              </w:rPr>
            </w:pPr>
            <w:r>
              <w:rPr>
                <w:rFonts w:hint="eastAsia" w:ascii="宋体" w:hAnsi="宋体" w:cs="宋体"/>
                <w:color w:val="000000"/>
                <w:lang w:eastAsia="zh-CN" w:bidi="ar"/>
              </w:rPr>
              <w:t>杭加（广东）建筑节能新材料有限公司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66C117">
            <w:pPr>
              <w:jc w:val="center"/>
              <w:textAlignment w:val="center"/>
              <w:rPr>
                <w:rFonts w:ascii="宋体" w:hAnsi="宋体" w:cs="宋体"/>
                <w:color w:val="000000"/>
              </w:rPr>
            </w:pPr>
            <w:r>
              <w:rPr>
                <w:rFonts w:hint="eastAsia" w:ascii="宋体" w:hAnsi="宋体" w:cs="宋体"/>
                <w:color w:val="000000"/>
                <w:lang w:eastAsia="zh-CN" w:bidi="ar"/>
              </w:rPr>
              <w:t>杭加</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271BA">
            <w:pPr>
              <w:jc w:val="center"/>
              <w:rPr>
                <w:rFonts w:ascii="宋体" w:hAnsi="宋体" w:cs="宋体"/>
                <w:color w:val="FF0000"/>
              </w:rPr>
            </w:pPr>
          </w:p>
        </w:tc>
      </w:tr>
      <w:tr w14:paraId="38219CF6">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3FE997">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9B5E0F">
            <w:pPr>
              <w:textAlignment w:val="center"/>
              <w:rPr>
                <w:rFonts w:ascii="宋体" w:hAnsi="宋体" w:cs="宋体"/>
                <w:color w:val="000000"/>
                <w:lang w:eastAsia="zh-CN"/>
              </w:rPr>
            </w:pPr>
            <w:r>
              <w:rPr>
                <w:rFonts w:hint="eastAsia" w:ascii="宋体" w:hAnsi="宋体" w:cs="宋体"/>
                <w:color w:val="000000"/>
                <w:lang w:eastAsia="zh-CN" w:bidi="ar"/>
              </w:rPr>
              <w:t>江门市擎宏科技实业有限公司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70C4CB">
            <w:pPr>
              <w:jc w:val="center"/>
              <w:textAlignment w:val="center"/>
              <w:rPr>
                <w:rFonts w:ascii="宋体" w:hAnsi="宋体" w:cs="宋体"/>
                <w:color w:val="000000"/>
              </w:rPr>
            </w:pPr>
            <w:r>
              <w:rPr>
                <w:rFonts w:hint="eastAsia" w:ascii="宋体" w:hAnsi="宋体" w:cs="宋体"/>
                <w:color w:val="000000"/>
                <w:lang w:eastAsia="zh-CN" w:bidi="ar"/>
              </w:rPr>
              <w:t>擎宏</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6AF8E">
            <w:pPr>
              <w:jc w:val="center"/>
              <w:rPr>
                <w:rFonts w:ascii="宋体" w:hAnsi="宋体" w:cs="宋体"/>
                <w:color w:val="FF0000"/>
              </w:rPr>
            </w:pPr>
          </w:p>
        </w:tc>
      </w:tr>
      <w:tr w14:paraId="03DD7699">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85EF44">
            <w:pPr>
              <w:jc w:val="center"/>
              <w:textAlignment w:val="center"/>
              <w:rPr>
                <w:rFonts w:ascii="宋体" w:hAnsi="宋体" w:cs="宋体"/>
                <w:color w:val="000000"/>
              </w:rPr>
            </w:pPr>
            <w:r>
              <w:rPr>
                <w:rFonts w:hint="eastAsia" w:ascii="宋体" w:hAnsi="宋体" w:cs="宋体"/>
                <w:color w:val="000000"/>
                <w:lang w:eastAsia="zh-CN" w:bidi="ar"/>
              </w:rPr>
              <w:t>5</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C2EACD">
            <w:pPr>
              <w:textAlignment w:val="center"/>
              <w:rPr>
                <w:rFonts w:ascii="宋体" w:hAnsi="宋体" w:cs="宋体"/>
                <w:color w:val="000000"/>
                <w:lang w:eastAsia="zh-CN"/>
              </w:rPr>
            </w:pPr>
            <w:r>
              <w:rPr>
                <w:rFonts w:hint="eastAsia" w:ascii="宋体" w:hAnsi="宋体" w:cs="宋体"/>
                <w:color w:val="000000"/>
                <w:lang w:eastAsia="zh-CN" w:bidi="ar"/>
              </w:rPr>
              <w:t>惠州市鼎立轻质砖有限公司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4D68BA">
            <w:pPr>
              <w:jc w:val="center"/>
              <w:textAlignment w:val="center"/>
              <w:rPr>
                <w:rFonts w:ascii="宋体" w:hAnsi="宋体" w:cs="宋体"/>
                <w:color w:val="000000"/>
              </w:rPr>
            </w:pPr>
            <w:r>
              <w:rPr>
                <w:rFonts w:hint="eastAsia" w:ascii="宋体" w:hAnsi="宋体" w:cs="宋体"/>
                <w:color w:val="000000"/>
                <w:lang w:eastAsia="zh-CN" w:bidi="ar"/>
              </w:rPr>
              <w:t>鼎立</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59C10">
            <w:pPr>
              <w:jc w:val="center"/>
              <w:rPr>
                <w:rFonts w:ascii="宋体" w:hAnsi="宋体" w:cs="宋体"/>
                <w:color w:val="FF0000"/>
              </w:rPr>
            </w:pPr>
          </w:p>
        </w:tc>
      </w:tr>
      <w:tr w14:paraId="71DB8017">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614D0E">
            <w:pPr>
              <w:jc w:val="center"/>
              <w:textAlignment w:val="center"/>
              <w:rPr>
                <w:rFonts w:ascii="宋体" w:hAnsi="宋体" w:cs="宋体"/>
                <w:color w:val="000000"/>
              </w:rPr>
            </w:pPr>
            <w:r>
              <w:rPr>
                <w:rFonts w:hint="eastAsia" w:ascii="宋体" w:hAnsi="宋体" w:cs="宋体"/>
                <w:color w:val="000000"/>
                <w:lang w:eastAsia="zh-CN" w:bidi="ar"/>
              </w:rPr>
              <w:t>6</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84DA13">
            <w:pPr>
              <w:textAlignment w:val="center"/>
              <w:rPr>
                <w:rFonts w:ascii="宋体" w:hAnsi="宋体" w:cs="宋体"/>
                <w:color w:val="000000"/>
                <w:lang w:eastAsia="zh-CN"/>
              </w:rPr>
            </w:pPr>
            <w:r>
              <w:rPr>
                <w:rFonts w:hint="eastAsia" w:ascii="宋体" w:hAnsi="宋体" w:cs="宋体"/>
                <w:color w:val="000000"/>
                <w:lang w:eastAsia="zh-CN" w:bidi="ar"/>
              </w:rPr>
              <w:t>龙门县华富强实业有限公司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E4D74B">
            <w:pPr>
              <w:jc w:val="center"/>
              <w:textAlignment w:val="center"/>
              <w:rPr>
                <w:rFonts w:ascii="宋体" w:hAnsi="宋体" w:cs="宋体"/>
                <w:color w:val="000000"/>
              </w:rPr>
            </w:pPr>
            <w:r>
              <w:rPr>
                <w:rFonts w:hint="eastAsia" w:ascii="宋体" w:hAnsi="宋体" w:cs="宋体"/>
                <w:color w:val="000000"/>
                <w:lang w:eastAsia="zh-CN" w:bidi="ar"/>
              </w:rPr>
              <w:t>华富强</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8AC86">
            <w:pPr>
              <w:jc w:val="center"/>
              <w:rPr>
                <w:rFonts w:ascii="宋体" w:hAnsi="宋体" w:cs="宋体"/>
                <w:color w:val="FF0000"/>
              </w:rPr>
            </w:pPr>
          </w:p>
        </w:tc>
      </w:tr>
      <w:tr w14:paraId="1CE207C9">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908E6ED">
            <w:pPr>
              <w:textAlignment w:val="center"/>
              <w:rPr>
                <w:rFonts w:ascii="宋体" w:hAnsi="宋体" w:cs="宋体"/>
                <w:b/>
                <w:bCs/>
                <w:color w:val="000000"/>
              </w:rPr>
            </w:pPr>
            <w:r>
              <w:rPr>
                <w:rFonts w:hint="eastAsia" w:ascii="宋体" w:hAnsi="宋体" w:cs="宋体"/>
                <w:b/>
                <w:bCs/>
                <w:color w:val="000000"/>
                <w:lang w:eastAsia="zh-CN" w:bidi="ar"/>
              </w:rPr>
              <w:t>二、装饰装修材料</w:t>
            </w:r>
          </w:p>
        </w:tc>
      </w:tr>
      <w:tr w14:paraId="27D91599">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76C39F5">
            <w:pPr>
              <w:textAlignment w:val="center"/>
              <w:rPr>
                <w:rFonts w:ascii="宋体" w:hAnsi="宋体" w:cs="宋体"/>
                <w:b/>
                <w:bCs/>
                <w:color w:val="000000"/>
              </w:rPr>
            </w:pPr>
            <w:r>
              <w:rPr>
                <w:rFonts w:hint="eastAsia" w:ascii="宋体" w:hAnsi="宋体" w:cs="宋体"/>
                <w:b/>
                <w:bCs/>
                <w:color w:val="000000"/>
                <w:lang w:eastAsia="zh-CN" w:bidi="ar"/>
              </w:rPr>
              <w:t>（一）陶瓷材料、地面材料</w:t>
            </w:r>
          </w:p>
        </w:tc>
      </w:tr>
      <w:tr w14:paraId="5AE83471">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8F72058">
            <w:pPr>
              <w:textAlignment w:val="center"/>
              <w:rPr>
                <w:rFonts w:ascii="宋体" w:hAnsi="宋体" w:cs="宋体"/>
                <w:b/>
                <w:bCs/>
                <w:color w:val="000000"/>
              </w:rPr>
            </w:pPr>
            <w:r>
              <w:rPr>
                <w:rFonts w:hint="eastAsia" w:ascii="宋体" w:hAnsi="宋体" w:cs="宋体"/>
                <w:b/>
                <w:bCs/>
                <w:color w:val="000000"/>
                <w:lang w:eastAsia="zh-CN" w:bidi="ar"/>
              </w:rPr>
              <w:t>1.陶瓷地砖</w:t>
            </w:r>
          </w:p>
        </w:tc>
      </w:tr>
      <w:tr w14:paraId="5973B9C1">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D39BB">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76E22">
            <w:pPr>
              <w:textAlignment w:val="center"/>
              <w:rPr>
                <w:rFonts w:ascii="宋体" w:hAnsi="宋体" w:cs="宋体"/>
                <w:color w:val="000000"/>
                <w:lang w:eastAsia="zh-CN"/>
              </w:rPr>
            </w:pPr>
            <w:r>
              <w:rPr>
                <w:rFonts w:hint="eastAsia" w:ascii="宋体" w:hAnsi="宋体" w:cs="宋体"/>
                <w:color w:val="000000"/>
                <w:lang w:eastAsia="zh-CN" w:bidi="ar"/>
              </w:rPr>
              <w:t>广东东鹏控股股份有限公司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374E4">
            <w:pPr>
              <w:jc w:val="center"/>
              <w:textAlignment w:val="center"/>
              <w:rPr>
                <w:rFonts w:ascii="宋体" w:hAnsi="宋体" w:cs="宋体"/>
                <w:color w:val="000000"/>
              </w:rPr>
            </w:pPr>
            <w:r>
              <w:rPr>
                <w:rFonts w:hint="eastAsia" w:ascii="宋体" w:hAnsi="宋体" w:cs="宋体"/>
                <w:color w:val="000000"/>
                <w:lang w:eastAsia="zh-CN" w:bidi="ar"/>
              </w:rPr>
              <w:t>东鹏</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CB3F5">
            <w:pPr>
              <w:jc w:val="center"/>
              <w:rPr>
                <w:rFonts w:ascii="宋体" w:hAnsi="宋体" w:cs="宋体"/>
                <w:color w:val="FF0000"/>
              </w:rPr>
            </w:pPr>
          </w:p>
        </w:tc>
      </w:tr>
      <w:tr w14:paraId="305A45DF">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46C45">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626FB">
            <w:pPr>
              <w:textAlignment w:val="center"/>
              <w:rPr>
                <w:rFonts w:ascii="宋体" w:hAnsi="宋体" w:cs="宋体"/>
                <w:color w:val="000000"/>
                <w:lang w:eastAsia="zh-CN"/>
              </w:rPr>
            </w:pPr>
            <w:r>
              <w:rPr>
                <w:rFonts w:hint="eastAsia" w:ascii="宋体" w:hAnsi="宋体" w:cs="宋体"/>
                <w:color w:val="000000"/>
                <w:lang w:eastAsia="zh-CN" w:bidi="ar"/>
              </w:rPr>
              <w:t>蒙娜丽莎集团股份有限公司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6D949">
            <w:pPr>
              <w:jc w:val="center"/>
              <w:textAlignment w:val="center"/>
              <w:rPr>
                <w:rFonts w:ascii="宋体" w:hAnsi="宋体" w:cs="宋体"/>
                <w:color w:val="000000"/>
              </w:rPr>
            </w:pPr>
            <w:r>
              <w:rPr>
                <w:rFonts w:hint="eastAsia" w:ascii="宋体" w:hAnsi="宋体" w:cs="宋体"/>
                <w:color w:val="000000"/>
                <w:lang w:eastAsia="zh-CN" w:bidi="ar"/>
              </w:rPr>
              <w:t>蒙娜丽莎</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D5B6F">
            <w:pPr>
              <w:jc w:val="center"/>
              <w:rPr>
                <w:rFonts w:ascii="宋体" w:hAnsi="宋体" w:cs="宋体"/>
                <w:color w:val="FF0000"/>
              </w:rPr>
            </w:pPr>
          </w:p>
        </w:tc>
      </w:tr>
      <w:tr w14:paraId="34DB0359">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F123B">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DDE16">
            <w:pPr>
              <w:textAlignment w:val="center"/>
              <w:rPr>
                <w:rFonts w:ascii="宋体" w:hAnsi="宋体" w:cs="宋体"/>
                <w:color w:val="000000"/>
                <w:lang w:eastAsia="zh-CN"/>
              </w:rPr>
            </w:pPr>
            <w:r>
              <w:rPr>
                <w:rFonts w:hint="eastAsia" w:ascii="宋体" w:hAnsi="宋体" w:cs="宋体"/>
                <w:color w:val="000000"/>
                <w:lang w:eastAsia="zh-CN" w:bidi="ar"/>
              </w:rPr>
              <w:t>马可波罗控股股份有限公司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2B2CD">
            <w:pPr>
              <w:jc w:val="center"/>
              <w:textAlignment w:val="center"/>
              <w:rPr>
                <w:rFonts w:ascii="宋体" w:hAnsi="宋体" w:cs="宋体"/>
                <w:color w:val="000000"/>
              </w:rPr>
            </w:pPr>
            <w:r>
              <w:rPr>
                <w:rFonts w:hint="eastAsia" w:ascii="宋体" w:hAnsi="宋体" w:cs="宋体"/>
                <w:color w:val="000000"/>
                <w:lang w:eastAsia="zh-CN" w:bidi="ar"/>
              </w:rPr>
              <w:t>马可波罗</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AF3E0">
            <w:pPr>
              <w:jc w:val="center"/>
              <w:rPr>
                <w:rFonts w:ascii="宋体" w:hAnsi="宋体" w:cs="宋体"/>
                <w:color w:val="FF0000"/>
              </w:rPr>
            </w:pPr>
          </w:p>
        </w:tc>
      </w:tr>
      <w:tr w14:paraId="11819350">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8FD30">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D191E">
            <w:pPr>
              <w:textAlignment w:val="center"/>
              <w:rPr>
                <w:rFonts w:ascii="宋体" w:hAnsi="宋体" w:cs="宋体"/>
                <w:color w:val="000000"/>
                <w:lang w:eastAsia="zh-CN"/>
              </w:rPr>
            </w:pPr>
            <w:r>
              <w:rPr>
                <w:rFonts w:hint="eastAsia" w:ascii="宋体" w:hAnsi="宋体" w:cs="宋体"/>
                <w:color w:val="000000"/>
                <w:lang w:eastAsia="zh-CN" w:bidi="ar"/>
              </w:rPr>
              <w:t>新明珠集团股份有限公司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C4DC7">
            <w:pPr>
              <w:jc w:val="center"/>
              <w:textAlignment w:val="center"/>
              <w:rPr>
                <w:rFonts w:ascii="宋体" w:hAnsi="宋体" w:cs="宋体"/>
                <w:color w:val="000000"/>
              </w:rPr>
            </w:pPr>
            <w:r>
              <w:rPr>
                <w:rFonts w:hint="eastAsia" w:ascii="宋体" w:hAnsi="宋体" w:cs="宋体"/>
                <w:color w:val="000000"/>
                <w:lang w:eastAsia="zh-CN" w:bidi="ar"/>
              </w:rPr>
              <w:t>冠珠</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FCD76">
            <w:pPr>
              <w:jc w:val="center"/>
              <w:rPr>
                <w:rFonts w:ascii="宋体" w:hAnsi="宋体" w:cs="宋体"/>
                <w:color w:val="FF0000"/>
              </w:rPr>
            </w:pPr>
          </w:p>
        </w:tc>
      </w:tr>
      <w:tr w14:paraId="540292F6">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B013777">
            <w:pPr>
              <w:textAlignment w:val="center"/>
              <w:rPr>
                <w:rFonts w:ascii="宋体" w:hAnsi="宋体" w:cs="宋体"/>
                <w:b/>
                <w:bCs/>
                <w:color w:val="000000"/>
              </w:rPr>
            </w:pPr>
            <w:r>
              <w:rPr>
                <w:rFonts w:hint="eastAsia" w:ascii="宋体" w:hAnsi="宋体" w:cs="宋体"/>
                <w:b/>
                <w:bCs/>
                <w:color w:val="000000"/>
                <w:lang w:eastAsia="zh-CN" w:bidi="ar"/>
              </w:rPr>
              <w:t>2.陶瓷内墙砖</w:t>
            </w:r>
          </w:p>
        </w:tc>
      </w:tr>
      <w:tr w14:paraId="5F050BE6">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B40D0">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DAE18">
            <w:pPr>
              <w:textAlignment w:val="center"/>
              <w:rPr>
                <w:rFonts w:ascii="宋体" w:hAnsi="宋体" w:cs="宋体"/>
                <w:color w:val="000000"/>
                <w:lang w:eastAsia="zh-CN"/>
              </w:rPr>
            </w:pPr>
            <w:r>
              <w:rPr>
                <w:rFonts w:hint="eastAsia" w:ascii="宋体" w:hAnsi="宋体" w:cs="宋体"/>
                <w:color w:val="000000"/>
                <w:lang w:eastAsia="zh-CN" w:bidi="ar"/>
              </w:rPr>
              <w:t>广东东鹏控股股份有限公司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E2035">
            <w:pPr>
              <w:jc w:val="center"/>
              <w:textAlignment w:val="center"/>
              <w:rPr>
                <w:rFonts w:ascii="宋体" w:hAnsi="宋体" w:cs="宋体"/>
                <w:color w:val="000000"/>
              </w:rPr>
            </w:pPr>
            <w:r>
              <w:rPr>
                <w:rFonts w:hint="eastAsia" w:ascii="宋体" w:hAnsi="宋体" w:cs="宋体"/>
                <w:color w:val="000000"/>
                <w:lang w:eastAsia="zh-CN" w:bidi="ar"/>
              </w:rPr>
              <w:t>东鹏</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AA6DE">
            <w:pPr>
              <w:jc w:val="center"/>
              <w:rPr>
                <w:rFonts w:ascii="宋体" w:hAnsi="宋体" w:cs="宋体"/>
                <w:color w:val="FF0000"/>
              </w:rPr>
            </w:pPr>
          </w:p>
        </w:tc>
      </w:tr>
      <w:tr w14:paraId="5B6F8F9C">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897E1">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D848C">
            <w:pPr>
              <w:textAlignment w:val="center"/>
              <w:rPr>
                <w:rFonts w:ascii="宋体" w:hAnsi="宋体" w:cs="宋体"/>
                <w:color w:val="000000"/>
                <w:lang w:eastAsia="zh-CN"/>
              </w:rPr>
            </w:pPr>
            <w:r>
              <w:rPr>
                <w:rFonts w:hint="eastAsia" w:ascii="宋体" w:hAnsi="宋体" w:cs="宋体"/>
                <w:color w:val="000000"/>
                <w:lang w:eastAsia="zh-CN" w:bidi="ar"/>
              </w:rPr>
              <w:t>蒙娜丽莎集团股份有限公司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D1718">
            <w:pPr>
              <w:jc w:val="center"/>
              <w:textAlignment w:val="center"/>
              <w:rPr>
                <w:rFonts w:ascii="宋体" w:hAnsi="宋体" w:cs="宋体"/>
                <w:color w:val="000000"/>
              </w:rPr>
            </w:pPr>
            <w:r>
              <w:rPr>
                <w:rFonts w:hint="eastAsia" w:ascii="宋体" w:hAnsi="宋体" w:cs="宋体"/>
                <w:color w:val="000000"/>
                <w:lang w:eastAsia="zh-CN" w:bidi="ar"/>
              </w:rPr>
              <w:t>蒙娜丽莎</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FCF5F">
            <w:pPr>
              <w:jc w:val="center"/>
              <w:rPr>
                <w:rFonts w:ascii="宋体" w:hAnsi="宋体" w:cs="宋体"/>
                <w:color w:val="FF0000"/>
              </w:rPr>
            </w:pPr>
          </w:p>
        </w:tc>
      </w:tr>
      <w:tr w14:paraId="4D2E2688">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D86C8">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FF802">
            <w:pPr>
              <w:textAlignment w:val="center"/>
              <w:rPr>
                <w:rFonts w:ascii="宋体" w:hAnsi="宋体" w:cs="宋体"/>
                <w:color w:val="000000"/>
                <w:lang w:eastAsia="zh-CN"/>
              </w:rPr>
            </w:pPr>
            <w:r>
              <w:rPr>
                <w:rFonts w:hint="eastAsia" w:ascii="宋体" w:hAnsi="宋体" w:cs="宋体"/>
                <w:color w:val="000000"/>
                <w:lang w:eastAsia="zh-CN" w:bidi="ar"/>
              </w:rPr>
              <w:t>马可波罗控股股份有限公司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9C596">
            <w:pPr>
              <w:jc w:val="center"/>
              <w:textAlignment w:val="center"/>
              <w:rPr>
                <w:rFonts w:ascii="宋体" w:hAnsi="宋体" w:cs="宋体"/>
                <w:color w:val="000000"/>
              </w:rPr>
            </w:pPr>
            <w:r>
              <w:rPr>
                <w:rFonts w:hint="eastAsia" w:ascii="宋体" w:hAnsi="宋体" w:cs="宋体"/>
                <w:color w:val="000000"/>
                <w:lang w:eastAsia="zh-CN" w:bidi="ar"/>
              </w:rPr>
              <w:t>马可波罗</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9C3A8">
            <w:pPr>
              <w:jc w:val="center"/>
              <w:rPr>
                <w:rFonts w:ascii="宋体" w:hAnsi="宋体" w:cs="宋体"/>
                <w:color w:val="FF0000"/>
              </w:rPr>
            </w:pPr>
          </w:p>
        </w:tc>
      </w:tr>
      <w:tr w14:paraId="03AC764E">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1D5F9">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56BF6">
            <w:pPr>
              <w:textAlignment w:val="center"/>
              <w:rPr>
                <w:rFonts w:ascii="宋体" w:hAnsi="宋体" w:cs="宋体"/>
                <w:color w:val="000000"/>
                <w:lang w:eastAsia="zh-CN"/>
              </w:rPr>
            </w:pPr>
            <w:r>
              <w:rPr>
                <w:rFonts w:hint="eastAsia" w:ascii="宋体" w:hAnsi="宋体" w:cs="宋体"/>
                <w:color w:val="000000"/>
                <w:lang w:eastAsia="zh-CN" w:bidi="ar"/>
              </w:rPr>
              <w:t>新明珠集团股份有限公司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950CC">
            <w:pPr>
              <w:jc w:val="center"/>
              <w:textAlignment w:val="center"/>
              <w:rPr>
                <w:rFonts w:ascii="宋体" w:hAnsi="宋体" w:cs="宋体"/>
                <w:color w:val="000000"/>
              </w:rPr>
            </w:pPr>
            <w:r>
              <w:rPr>
                <w:rFonts w:hint="eastAsia" w:ascii="宋体" w:hAnsi="宋体" w:cs="宋体"/>
                <w:color w:val="000000"/>
                <w:lang w:eastAsia="zh-CN" w:bidi="ar"/>
              </w:rPr>
              <w:t>冠珠</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9AB86">
            <w:pPr>
              <w:jc w:val="center"/>
              <w:rPr>
                <w:rFonts w:ascii="宋体" w:hAnsi="宋体" w:cs="宋体"/>
                <w:color w:val="FF0000"/>
              </w:rPr>
            </w:pPr>
          </w:p>
        </w:tc>
      </w:tr>
      <w:tr w14:paraId="380E2C31">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B79257E">
            <w:pPr>
              <w:textAlignment w:val="center"/>
              <w:rPr>
                <w:rFonts w:ascii="宋体" w:hAnsi="宋体" w:cs="宋体"/>
                <w:b/>
                <w:bCs/>
                <w:color w:val="000000"/>
              </w:rPr>
            </w:pPr>
            <w:r>
              <w:rPr>
                <w:rFonts w:hint="eastAsia" w:ascii="宋体" w:hAnsi="宋体" w:cs="宋体"/>
                <w:b/>
                <w:bCs/>
                <w:color w:val="000000"/>
                <w:lang w:eastAsia="zh-CN" w:bidi="ar"/>
              </w:rPr>
              <w:t>3.陶瓷外墙砖</w:t>
            </w:r>
          </w:p>
        </w:tc>
      </w:tr>
      <w:tr w14:paraId="0A63B23E">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A106E">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AC793">
            <w:pPr>
              <w:textAlignment w:val="center"/>
              <w:rPr>
                <w:rFonts w:ascii="宋体" w:hAnsi="宋体" w:cs="宋体"/>
                <w:color w:val="000000"/>
                <w:lang w:eastAsia="zh-CN"/>
              </w:rPr>
            </w:pPr>
            <w:r>
              <w:rPr>
                <w:rFonts w:hint="eastAsia" w:ascii="宋体" w:hAnsi="宋体" w:cs="宋体"/>
                <w:color w:val="000000"/>
                <w:lang w:eastAsia="zh-CN" w:bidi="ar"/>
              </w:rPr>
              <w:t>广东东鹏控股股份有限公司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42168">
            <w:pPr>
              <w:jc w:val="center"/>
              <w:textAlignment w:val="center"/>
              <w:rPr>
                <w:rFonts w:ascii="宋体" w:hAnsi="宋体" w:cs="宋体"/>
                <w:color w:val="000000"/>
              </w:rPr>
            </w:pPr>
            <w:r>
              <w:rPr>
                <w:rFonts w:hint="eastAsia" w:ascii="宋体" w:hAnsi="宋体" w:cs="宋体"/>
                <w:color w:val="000000"/>
                <w:lang w:eastAsia="zh-CN" w:bidi="ar"/>
              </w:rPr>
              <w:t>东鹏</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9DB31">
            <w:pPr>
              <w:jc w:val="center"/>
              <w:rPr>
                <w:rFonts w:ascii="宋体" w:hAnsi="宋体" w:cs="宋体"/>
                <w:color w:val="FF0000"/>
              </w:rPr>
            </w:pPr>
          </w:p>
        </w:tc>
      </w:tr>
      <w:tr w14:paraId="0500A371">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4DFBC">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9E2D4">
            <w:pPr>
              <w:textAlignment w:val="center"/>
              <w:rPr>
                <w:rFonts w:ascii="宋体" w:hAnsi="宋体" w:cs="宋体"/>
                <w:color w:val="000000"/>
                <w:lang w:eastAsia="zh-CN"/>
              </w:rPr>
            </w:pPr>
            <w:r>
              <w:rPr>
                <w:rFonts w:hint="eastAsia" w:ascii="宋体" w:hAnsi="宋体" w:cs="宋体"/>
                <w:color w:val="000000"/>
                <w:lang w:eastAsia="zh-CN" w:bidi="ar"/>
              </w:rPr>
              <w:t>蒙娜丽莎集团股份有限公司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9023A">
            <w:pPr>
              <w:jc w:val="center"/>
              <w:textAlignment w:val="center"/>
              <w:rPr>
                <w:rFonts w:ascii="宋体" w:hAnsi="宋体" w:cs="宋体"/>
                <w:color w:val="000000"/>
              </w:rPr>
            </w:pPr>
            <w:r>
              <w:rPr>
                <w:rFonts w:hint="eastAsia" w:ascii="宋体" w:hAnsi="宋体" w:cs="宋体"/>
                <w:color w:val="000000"/>
                <w:lang w:eastAsia="zh-CN" w:bidi="ar"/>
              </w:rPr>
              <w:t>蒙娜丽莎</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377F8">
            <w:pPr>
              <w:jc w:val="center"/>
              <w:rPr>
                <w:rFonts w:ascii="宋体" w:hAnsi="宋体" w:cs="宋体"/>
                <w:color w:val="FF0000"/>
              </w:rPr>
            </w:pPr>
          </w:p>
        </w:tc>
      </w:tr>
      <w:tr w14:paraId="2A26F2BF">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80319">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D40E1">
            <w:pPr>
              <w:textAlignment w:val="center"/>
              <w:rPr>
                <w:rFonts w:ascii="宋体" w:hAnsi="宋体" w:cs="宋体"/>
                <w:color w:val="000000"/>
                <w:lang w:eastAsia="zh-CN"/>
              </w:rPr>
            </w:pPr>
            <w:r>
              <w:rPr>
                <w:rFonts w:hint="eastAsia" w:ascii="宋体" w:hAnsi="宋体" w:cs="宋体"/>
                <w:color w:val="000000"/>
                <w:lang w:eastAsia="zh-CN" w:bidi="ar"/>
              </w:rPr>
              <w:t>新明珠集团股份有限公司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E0FC4">
            <w:pPr>
              <w:jc w:val="center"/>
              <w:textAlignment w:val="center"/>
              <w:rPr>
                <w:rFonts w:ascii="宋体" w:hAnsi="宋体" w:cs="宋体"/>
                <w:color w:val="000000"/>
              </w:rPr>
            </w:pPr>
            <w:r>
              <w:rPr>
                <w:rFonts w:hint="eastAsia" w:ascii="宋体" w:hAnsi="宋体" w:cs="宋体"/>
                <w:color w:val="000000"/>
                <w:lang w:eastAsia="zh-CN" w:bidi="ar"/>
              </w:rPr>
              <w:t>冠珠</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B4E15">
            <w:pPr>
              <w:jc w:val="center"/>
              <w:rPr>
                <w:rFonts w:ascii="宋体" w:hAnsi="宋体" w:cs="宋体"/>
                <w:color w:val="FF0000"/>
              </w:rPr>
            </w:pPr>
          </w:p>
        </w:tc>
      </w:tr>
      <w:tr w14:paraId="2899D687">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CA844">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1E05D">
            <w:pPr>
              <w:textAlignment w:val="center"/>
              <w:rPr>
                <w:rFonts w:ascii="宋体" w:hAnsi="宋体" w:cs="宋体"/>
                <w:color w:val="000000"/>
                <w:lang w:eastAsia="zh-CN"/>
              </w:rPr>
            </w:pPr>
            <w:r>
              <w:rPr>
                <w:rFonts w:hint="eastAsia" w:ascii="宋体" w:hAnsi="宋体" w:cs="宋体"/>
                <w:color w:val="000000"/>
                <w:lang w:eastAsia="zh-CN" w:bidi="ar"/>
              </w:rPr>
              <w:t>珠海市斗门区旭日陶瓷有限公司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8636F">
            <w:pPr>
              <w:jc w:val="center"/>
              <w:textAlignment w:val="center"/>
              <w:rPr>
                <w:rFonts w:ascii="宋体" w:hAnsi="宋体" w:cs="宋体"/>
                <w:color w:val="000000"/>
              </w:rPr>
            </w:pPr>
            <w:r>
              <w:rPr>
                <w:rFonts w:hint="eastAsia" w:ascii="宋体" w:hAnsi="宋体" w:cs="宋体"/>
                <w:color w:val="000000"/>
                <w:lang w:eastAsia="zh-CN" w:bidi="ar"/>
              </w:rPr>
              <w:t>白兔</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136C5">
            <w:pPr>
              <w:jc w:val="center"/>
              <w:rPr>
                <w:rFonts w:ascii="宋体" w:hAnsi="宋体" w:cs="宋体"/>
                <w:color w:val="FF0000"/>
              </w:rPr>
            </w:pPr>
          </w:p>
        </w:tc>
      </w:tr>
      <w:tr w14:paraId="73E9CD7E">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EA0F524">
            <w:pPr>
              <w:textAlignment w:val="center"/>
              <w:rPr>
                <w:rFonts w:ascii="宋体" w:hAnsi="宋体" w:cs="宋体"/>
                <w:b/>
                <w:bCs/>
                <w:color w:val="000000"/>
              </w:rPr>
            </w:pPr>
            <w:r>
              <w:rPr>
                <w:rFonts w:hint="eastAsia" w:ascii="宋体" w:hAnsi="宋体" w:cs="宋体"/>
                <w:b/>
                <w:bCs/>
                <w:color w:val="000000"/>
                <w:lang w:eastAsia="zh-CN" w:bidi="ar"/>
              </w:rPr>
              <w:t>4.实木复合地板</w:t>
            </w:r>
          </w:p>
        </w:tc>
      </w:tr>
      <w:tr w14:paraId="28BBC411">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645A3">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380EC">
            <w:pPr>
              <w:textAlignment w:val="center"/>
              <w:rPr>
                <w:rFonts w:ascii="宋体" w:hAnsi="宋体" w:cs="宋体"/>
                <w:color w:val="000000"/>
                <w:lang w:eastAsia="zh-CN"/>
              </w:rPr>
            </w:pPr>
            <w:r>
              <w:rPr>
                <w:rFonts w:hint="eastAsia" w:ascii="宋体" w:hAnsi="宋体" w:cs="宋体"/>
                <w:color w:val="000000"/>
                <w:lang w:eastAsia="zh-CN" w:bidi="ar"/>
              </w:rPr>
              <w:t>广州圣象木业有限公司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2D29B">
            <w:pPr>
              <w:jc w:val="center"/>
              <w:textAlignment w:val="center"/>
              <w:rPr>
                <w:rFonts w:ascii="宋体" w:hAnsi="宋体" w:cs="宋体"/>
                <w:color w:val="000000"/>
              </w:rPr>
            </w:pPr>
            <w:r>
              <w:rPr>
                <w:rFonts w:hint="eastAsia" w:ascii="宋体" w:hAnsi="宋体" w:cs="宋体"/>
                <w:color w:val="000000"/>
                <w:lang w:eastAsia="zh-CN" w:bidi="ar"/>
              </w:rPr>
              <w:t>圣象</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3ACE2">
            <w:pPr>
              <w:jc w:val="center"/>
              <w:rPr>
                <w:rFonts w:ascii="宋体" w:hAnsi="宋体" w:cs="宋体"/>
                <w:color w:val="FF0000"/>
              </w:rPr>
            </w:pPr>
          </w:p>
        </w:tc>
      </w:tr>
      <w:tr w14:paraId="4C588C39">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6B52E">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BAD59">
            <w:pPr>
              <w:textAlignment w:val="center"/>
              <w:rPr>
                <w:rFonts w:ascii="宋体" w:hAnsi="宋体" w:cs="宋体"/>
                <w:color w:val="000000"/>
              </w:rPr>
            </w:pPr>
            <w:r>
              <w:rPr>
                <w:rFonts w:hint="eastAsia" w:ascii="宋体" w:hAnsi="宋体" w:cs="宋体"/>
                <w:color w:val="000000"/>
                <w:lang w:eastAsia="zh-CN" w:bidi="ar"/>
              </w:rPr>
              <w:t>生活家地板工程（中山）有限公司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5A212">
            <w:pPr>
              <w:jc w:val="center"/>
              <w:textAlignment w:val="center"/>
              <w:rPr>
                <w:rFonts w:ascii="宋体" w:hAnsi="宋体" w:cs="宋体"/>
                <w:color w:val="000000"/>
              </w:rPr>
            </w:pPr>
            <w:r>
              <w:rPr>
                <w:rFonts w:hint="eastAsia" w:ascii="宋体" w:hAnsi="宋体" w:cs="宋体"/>
                <w:color w:val="000000"/>
                <w:lang w:eastAsia="zh-CN" w:bidi="ar"/>
              </w:rPr>
              <w:t>生活家</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9666D">
            <w:pPr>
              <w:jc w:val="center"/>
              <w:rPr>
                <w:rFonts w:ascii="宋体" w:hAnsi="宋体" w:cs="宋体"/>
                <w:color w:val="FF0000"/>
              </w:rPr>
            </w:pPr>
          </w:p>
        </w:tc>
      </w:tr>
      <w:tr w14:paraId="0303BCEC">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5F2B4">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A46EB">
            <w:pPr>
              <w:textAlignment w:val="center"/>
              <w:rPr>
                <w:rFonts w:ascii="宋体" w:hAnsi="宋体" w:cs="宋体"/>
                <w:color w:val="000000"/>
                <w:lang w:eastAsia="zh-CN"/>
              </w:rPr>
            </w:pPr>
            <w:r>
              <w:rPr>
                <w:rFonts w:hint="eastAsia" w:ascii="宋体" w:hAnsi="宋体" w:cs="宋体"/>
                <w:color w:val="000000"/>
                <w:lang w:eastAsia="zh-CN" w:bidi="ar"/>
              </w:rPr>
              <w:t>德尔未来科技控股集团股份有限公司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6C2CA">
            <w:pPr>
              <w:jc w:val="center"/>
              <w:textAlignment w:val="center"/>
              <w:rPr>
                <w:rFonts w:ascii="宋体" w:hAnsi="宋体" w:cs="宋体"/>
                <w:color w:val="000000"/>
              </w:rPr>
            </w:pPr>
            <w:r>
              <w:rPr>
                <w:rFonts w:hint="eastAsia" w:ascii="宋体" w:hAnsi="宋体" w:cs="宋体"/>
                <w:color w:val="000000"/>
                <w:lang w:eastAsia="zh-CN" w:bidi="ar"/>
              </w:rPr>
              <w:t>德尔</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B4E94">
            <w:pPr>
              <w:jc w:val="center"/>
              <w:rPr>
                <w:rFonts w:ascii="宋体" w:hAnsi="宋体" w:cs="宋体"/>
                <w:color w:val="FF0000"/>
              </w:rPr>
            </w:pPr>
          </w:p>
        </w:tc>
      </w:tr>
      <w:tr w14:paraId="1AF84F42">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547B8">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DEDD9">
            <w:pPr>
              <w:textAlignment w:val="center"/>
              <w:rPr>
                <w:rFonts w:ascii="宋体" w:hAnsi="宋体" w:cs="宋体"/>
                <w:color w:val="000000"/>
                <w:lang w:eastAsia="zh-CN"/>
              </w:rPr>
            </w:pPr>
            <w:r>
              <w:rPr>
                <w:rFonts w:hint="eastAsia" w:ascii="宋体" w:hAnsi="宋体" w:cs="宋体"/>
                <w:color w:val="000000"/>
                <w:lang w:eastAsia="zh-CN" w:bidi="ar"/>
              </w:rPr>
              <w:t>大自然家居（中国）有限公司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40BEC">
            <w:pPr>
              <w:jc w:val="center"/>
              <w:textAlignment w:val="center"/>
              <w:rPr>
                <w:rFonts w:ascii="宋体" w:hAnsi="宋体" w:cs="宋体"/>
                <w:color w:val="000000"/>
              </w:rPr>
            </w:pPr>
            <w:r>
              <w:rPr>
                <w:rFonts w:hint="eastAsia" w:ascii="宋体" w:hAnsi="宋体" w:cs="宋体"/>
                <w:color w:val="000000"/>
                <w:lang w:eastAsia="zh-CN" w:bidi="ar"/>
              </w:rPr>
              <w:t>大自然</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6B15A">
            <w:pPr>
              <w:jc w:val="center"/>
              <w:rPr>
                <w:rFonts w:ascii="宋体" w:hAnsi="宋体" w:cs="宋体"/>
                <w:color w:val="FF0000"/>
              </w:rPr>
            </w:pPr>
          </w:p>
        </w:tc>
      </w:tr>
      <w:tr w14:paraId="2D0FF2E6">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F4550">
            <w:pPr>
              <w:jc w:val="center"/>
              <w:textAlignment w:val="center"/>
              <w:rPr>
                <w:rFonts w:ascii="宋体" w:hAnsi="宋体" w:cs="宋体"/>
                <w:color w:val="000000"/>
              </w:rPr>
            </w:pPr>
            <w:r>
              <w:rPr>
                <w:rFonts w:hint="eastAsia" w:ascii="宋体" w:hAnsi="宋体" w:cs="宋体"/>
                <w:color w:val="000000"/>
                <w:lang w:eastAsia="zh-CN" w:bidi="ar"/>
              </w:rPr>
              <w:t>5</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4166D">
            <w:pPr>
              <w:textAlignment w:val="center"/>
              <w:rPr>
                <w:rFonts w:ascii="宋体" w:hAnsi="宋体" w:cs="宋体"/>
                <w:color w:val="000000"/>
                <w:lang w:eastAsia="zh-CN"/>
              </w:rPr>
            </w:pPr>
            <w:r>
              <w:rPr>
                <w:rFonts w:hint="eastAsia" w:ascii="宋体" w:hAnsi="宋体" w:cs="宋体"/>
                <w:color w:val="000000"/>
                <w:lang w:eastAsia="zh-CN" w:bidi="ar"/>
              </w:rPr>
              <w:t>浙江世友木业有限公司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13612">
            <w:pPr>
              <w:jc w:val="center"/>
              <w:textAlignment w:val="center"/>
              <w:rPr>
                <w:rFonts w:ascii="宋体" w:hAnsi="宋体" w:cs="宋体"/>
                <w:color w:val="000000"/>
              </w:rPr>
            </w:pPr>
            <w:r>
              <w:rPr>
                <w:rFonts w:hint="eastAsia" w:ascii="宋体" w:hAnsi="宋体" w:cs="宋体"/>
                <w:color w:val="000000"/>
                <w:lang w:eastAsia="zh-CN" w:bidi="ar"/>
              </w:rPr>
              <w:t>世友</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CC28F">
            <w:pPr>
              <w:jc w:val="center"/>
              <w:rPr>
                <w:rFonts w:ascii="宋体" w:hAnsi="宋体" w:cs="宋体"/>
                <w:color w:val="FF0000"/>
              </w:rPr>
            </w:pPr>
          </w:p>
        </w:tc>
      </w:tr>
      <w:tr w14:paraId="75FD7276">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D5C1AB1">
            <w:pPr>
              <w:textAlignment w:val="center"/>
              <w:rPr>
                <w:rFonts w:ascii="宋体" w:hAnsi="宋体" w:cs="宋体"/>
                <w:b/>
                <w:bCs/>
                <w:color w:val="000000"/>
              </w:rPr>
            </w:pPr>
            <w:r>
              <w:rPr>
                <w:rFonts w:hint="eastAsia" w:ascii="宋体" w:hAnsi="宋体" w:cs="宋体"/>
                <w:b/>
                <w:bCs/>
                <w:color w:val="000000"/>
                <w:lang w:eastAsia="zh-CN" w:bidi="ar"/>
              </w:rPr>
              <w:t>5.强化复合地板</w:t>
            </w:r>
          </w:p>
        </w:tc>
      </w:tr>
      <w:tr w14:paraId="0D4EA0C5">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48576">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3AD44">
            <w:pPr>
              <w:textAlignment w:val="center"/>
              <w:rPr>
                <w:rFonts w:ascii="宋体" w:hAnsi="宋体" w:cs="宋体"/>
                <w:color w:val="000000"/>
                <w:lang w:eastAsia="zh-CN"/>
              </w:rPr>
            </w:pPr>
            <w:r>
              <w:rPr>
                <w:rFonts w:hint="eastAsia" w:ascii="宋体" w:hAnsi="宋体" w:cs="宋体"/>
                <w:color w:val="000000"/>
                <w:lang w:eastAsia="zh-CN" w:bidi="ar"/>
              </w:rPr>
              <w:t>广州圣象木业有限公司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66D17">
            <w:pPr>
              <w:jc w:val="center"/>
              <w:textAlignment w:val="center"/>
              <w:rPr>
                <w:rFonts w:ascii="宋体" w:hAnsi="宋体" w:cs="宋体"/>
                <w:color w:val="000000"/>
              </w:rPr>
            </w:pPr>
            <w:r>
              <w:rPr>
                <w:rFonts w:hint="eastAsia" w:ascii="宋体" w:hAnsi="宋体" w:cs="宋体"/>
                <w:color w:val="000000"/>
                <w:lang w:eastAsia="zh-CN" w:bidi="ar"/>
              </w:rPr>
              <w:t>圣象</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75E44">
            <w:pPr>
              <w:jc w:val="center"/>
              <w:rPr>
                <w:rFonts w:ascii="宋体" w:hAnsi="宋体" w:cs="宋体"/>
                <w:color w:val="FF0000"/>
              </w:rPr>
            </w:pPr>
          </w:p>
        </w:tc>
      </w:tr>
      <w:tr w14:paraId="5D1E5608">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03882">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49DAD">
            <w:pPr>
              <w:textAlignment w:val="center"/>
              <w:rPr>
                <w:rFonts w:ascii="宋体" w:hAnsi="宋体" w:cs="宋体"/>
                <w:color w:val="000000"/>
              </w:rPr>
            </w:pPr>
            <w:r>
              <w:rPr>
                <w:rFonts w:hint="eastAsia" w:ascii="宋体" w:hAnsi="宋体" w:cs="宋体"/>
                <w:color w:val="000000"/>
                <w:lang w:eastAsia="zh-CN" w:bidi="ar"/>
              </w:rPr>
              <w:t>生活家地板工程（中山）有限公司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3152D">
            <w:pPr>
              <w:jc w:val="center"/>
              <w:textAlignment w:val="center"/>
              <w:rPr>
                <w:rFonts w:ascii="宋体" w:hAnsi="宋体" w:cs="宋体"/>
                <w:color w:val="000000"/>
              </w:rPr>
            </w:pPr>
            <w:r>
              <w:rPr>
                <w:rFonts w:hint="eastAsia" w:ascii="宋体" w:hAnsi="宋体" w:cs="宋体"/>
                <w:color w:val="000000"/>
                <w:lang w:eastAsia="zh-CN" w:bidi="ar"/>
              </w:rPr>
              <w:t>生活家</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6076E">
            <w:pPr>
              <w:jc w:val="center"/>
              <w:rPr>
                <w:rFonts w:ascii="宋体" w:hAnsi="宋体" w:cs="宋体"/>
                <w:color w:val="FF0000"/>
              </w:rPr>
            </w:pPr>
          </w:p>
        </w:tc>
      </w:tr>
      <w:tr w14:paraId="21080453">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24C2F">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B9A1D">
            <w:pPr>
              <w:textAlignment w:val="center"/>
              <w:rPr>
                <w:rFonts w:ascii="宋体" w:hAnsi="宋体" w:cs="宋体"/>
                <w:color w:val="000000"/>
                <w:lang w:eastAsia="zh-CN"/>
              </w:rPr>
            </w:pPr>
            <w:r>
              <w:rPr>
                <w:rFonts w:hint="eastAsia" w:ascii="宋体" w:hAnsi="宋体" w:cs="宋体"/>
                <w:color w:val="000000"/>
                <w:lang w:eastAsia="zh-CN" w:bidi="ar"/>
              </w:rPr>
              <w:t>德尔未来科技控股集团股份有限公司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E5AA2">
            <w:pPr>
              <w:jc w:val="center"/>
              <w:textAlignment w:val="center"/>
              <w:rPr>
                <w:rFonts w:ascii="宋体" w:hAnsi="宋体" w:cs="宋体"/>
                <w:color w:val="000000"/>
              </w:rPr>
            </w:pPr>
            <w:r>
              <w:rPr>
                <w:rFonts w:hint="eastAsia" w:ascii="宋体" w:hAnsi="宋体" w:cs="宋体"/>
                <w:color w:val="000000"/>
                <w:lang w:eastAsia="zh-CN" w:bidi="ar"/>
              </w:rPr>
              <w:t>德尔</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298BE">
            <w:pPr>
              <w:jc w:val="center"/>
              <w:rPr>
                <w:rFonts w:ascii="宋体" w:hAnsi="宋体" w:cs="宋体"/>
                <w:color w:val="FF0000"/>
              </w:rPr>
            </w:pPr>
          </w:p>
        </w:tc>
      </w:tr>
      <w:tr w14:paraId="3A951182">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2B03B">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272E6">
            <w:pPr>
              <w:textAlignment w:val="center"/>
              <w:rPr>
                <w:rFonts w:ascii="宋体" w:hAnsi="宋体" w:cs="宋体"/>
                <w:color w:val="000000"/>
                <w:lang w:eastAsia="zh-CN"/>
              </w:rPr>
            </w:pPr>
            <w:r>
              <w:rPr>
                <w:rFonts w:hint="eastAsia" w:ascii="宋体" w:hAnsi="宋体" w:cs="宋体"/>
                <w:color w:val="000000"/>
                <w:lang w:eastAsia="zh-CN" w:bidi="ar"/>
              </w:rPr>
              <w:t>大自然家居（中国）有限公司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2925F">
            <w:pPr>
              <w:jc w:val="center"/>
              <w:textAlignment w:val="center"/>
              <w:rPr>
                <w:rFonts w:ascii="宋体" w:hAnsi="宋体" w:cs="宋体"/>
                <w:color w:val="000000"/>
              </w:rPr>
            </w:pPr>
            <w:r>
              <w:rPr>
                <w:rFonts w:hint="eastAsia" w:ascii="宋体" w:hAnsi="宋体" w:cs="宋体"/>
                <w:color w:val="000000"/>
                <w:lang w:eastAsia="zh-CN" w:bidi="ar"/>
              </w:rPr>
              <w:t>大自然</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0BBF1">
            <w:pPr>
              <w:jc w:val="center"/>
              <w:rPr>
                <w:rFonts w:ascii="宋体" w:hAnsi="宋体" w:cs="宋体"/>
                <w:color w:val="FF0000"/>
              </w:rPr>
            </w:pPr>
          </w:p>
        </w:tc>
      </w:tr>
      <w:tr w14:paraId="404C4F5A">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8054F">
            <w:pPr>
              <w:jc w:val="center"/>
              <w:textAlignment w:val="center"/>
              <w:rPr>
                <w:rFonts w:ascii="宋体" w:hAnsi="宋体" w:cs="宋体"/>
                <w:color w:val="000000"/>
              </w:rPr>
            </w:pPr>
            <w:r>
              <w:rPr>
                <w:rFonts w:hint="eastAsia" w:ascii="宋体" w:hAnsi="宋体" w:cs="宋体"/>
                <w:color w:val="000000"/>
                <w:lang w:eastAsia="zh-CN" w:bidi="ar"/>
              </w:rPr>
              <w:t>5</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A96BA">
            <w:pPr>
              <w:textAlignment w:val="center"/>
              <w:rPr>
                <w:rFonts w:ascii="宋体" w:hAnsi="宋体" w:cs="宋体"/>
                <w:color w:val="000000"/>
                <w:lang w:eastAsia="zh-CN"/>
              </w:rPr>
            </w:pPr>
            <w:r>
              <w:rPr>
                <w:rFonts w:hint="eastAsia" w:ascii="宋体" w:hAnsi="宋体" w:cs="宋体"/>
                <w:color w:val="000000"/>
                <w:lang w:eastAsia="zh-CN" w:bidi="ar"/>
              </w:rPr>
              <w:t>浙江世友木业有限公司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FD519">
            <w:pPr>
              <w:jc w:val="center"/>
              <w:textAlignment w:val="center"/>
              <w:rPr>
                <w:rFonts w:ascii="宋体" w:hAnsi="宋体" w:cs="宋体"/>
                <w:color w:val="000000"/>
              </w:rPr>
            </w:pPr>
            <w:r>
              <w:rPr>
                <w:rFonts w:hint="eastAsia" w:ascii="宋体" w:hAnsi="宋体" w:cs="宋体"/>
                <w:color w:val="000000"/>
                <w:lang w:eastAsia="zh-CN" w:bidi="ar"/>
              </w:rPr>
              <w:t>世友</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88634">
            <w:pPr>
              <w:jc w:val="center"/>
              <w:rPr>
                <w:rFonts w:ascii="宋体" w:hAnsi="宋体" w:cs="宋体"/>
                <w:color w:val="FF0000"/>
              </w:rPr>
            </w:pPr>
          </w:p>
        </w:tc>
      </w:tr>
      <w:tr w14:paraId="589C1813">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6872970">
            <w:pPr>
              <w:textAlignment w:val="center"/>
              <w:rPr>
                <w:rFonts w:ascii="宋体" w:hAnsi="宋体" w:cs="宋体"/>
                <w:b/>
                <w:bCs/>
                <w:color w:val="000000"/>
              </w:rPr>
            </w:pPr>
            <w:r>
              <w:rPr>
                <w:rFonts w:hint="eastAsia" w:ascii="宋体" w:hAnsi="宋体" w:cs="宋体"/>
                <w:b/>
                <w:bCs/>
                <w:color w:val="000000"/>
                <w:lang w:eastAsia="zh-CN" w:bidi="ar"/>
              </w:rPr>
              <w:t>（二）墙板、天花板</w:t>
            </w:r>
          </w:p>
        </w:tc>
      </w:tr>
      <w:tr w14:paraId="2293AEC3">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3EBD16C">
            <w:pPr>
              <w:textAlignment w:val="center"/>
              <w:rPr>
                <w:rFonts w:ascii="宋体" w:hAnsi="宋体" w:cs="宋体"/>
                <w:b/>
                <w:bCs/>
                <w:color w:val="000000"/>
              </w:rPr>
            </w:pPr>
            <w:r>
              <w:rPr>
                <w:rFonts w:hint="eastAsia" w:ascii="宋体" w:hAnsi="宋体" w:cs="宋体"/>
                <w:b/>
                <w:bCs/>
                <w:color w:val="000000"/>
                <w:lang w:eastAsia="zh-CN" w:bidi="ar"/>
              </w:rPr>
              <w:t>1.铝扣板天花</w:t>
            </w:r>
          </w:p>
        </w:tc>
      </w:tr>
      <w:tr w14:paraId="1BF5CA93">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B5C54">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D28A9">
            <w:pPr>
              <w:textAlignment w:val="center"/>
              <w:rPr>
                <w:rFonts w:ascii="宋体" w:hAnsi="宋体" w:cs="宋体"/>
                <w:color w:val="000000"/>
                <w:lang w:eastAsia="zh-CN"/>
              </w:rPr>
            </w:pPr>
            <w:r>
              <w:rPr>
                <w:rFonts w:hint="eastAsia" w:ascii="宋体" w:hAnsi="宋体" w:cs="宋体"/>
                <w:color w:val="000000"/>
                <w:lang w:eastAsia="zh-CN" w:bidi="ar"/>
              </w:rPr>
              <w:t>广州金霸建材股份有限公司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DE3C6">
            <w:pPr>
              <w:jc w:val="center"/>
              <w:textAlignment w:val="center"/>
              <w:rPr>
                <w:rFonts w:ascii="宋体" w:hAnsi="宋体" w:cs="宋体"/>
                <w:color w:val="000000"/>
              </w:rPr>
            </w:pPr>
            <w:r>
              <w:rPr>
                <w:rFonts w:hint="eastAsia" w:ascii="宋体" w:hAnsi="宋体" w:cs="宋体"/>
                <w:color w:val="000000"/>
                <w:lang w:eastAsia="zh-CN" w:bidi="ar"/>
              </w:rPr>
              <w:t>金霸</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D3DAC3">
            <w:pPr>
              <w:jc w:val="center"/>
              <w:rPr>
                <w:rFonts w:ascii="宋体" w:hAnsi="宋体" w:cs="宋体"/>
                <w:color w:val="FF0000"/>
              </w:rPr>
            </w:pPr>
          </w:p>
        </w:tc>
      </w:tr>
      <w:tr w14:paraId="1A4A817D">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11985">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5B849">
            <w:pPr>
              <w:textAlignment w:val="center"/>
              <w:rPr>
                <w:rFonts w:ascii="宋体" w:hAnsi="宋体" w:cs="宋体"/>
                <w:color w:val="000000"/>
                <w:lang w:eastAsia="zh-CN"/>
              </w:rPr>
            </w:pPr>
            <w:r>
              <w:rPr>
                <w:rFonts w:hint="eastAsia" w:ascii="宋体" w:hAnsi="宋体" w:cs="宋体"/>
                <w:color w:val="000000"/>
                <w:lang w:eastAsia="zh-CN" w:bidi="ar"/>
              </w:rPr>
              <w:t>浙江友邦集成吊顶股份有限公司</w:t>
            </w:r>
          </w:p>
        </w:tc>
        <w:tc>
          <w:tcPr>
            <w:tcW w:w="2448" w:type="dxa"/>
            <w:tcBorders>
              <w:top w:val="single" w:color="000000" w:sz="4" w:space="0"/>
              <w:left w:val="nil"/>
              <w:bottom w:val="single" w:color="000000" w:sz="4" w:space="0"/>
              <w:right w:val="single" w:color="000000" w:sz="4" w:space="0"/>
            </w:tcBorders>
            <w:shd w:val="clear" w:color="auto" w:fill="auto"/>
            <w:vAlign w:val="center"/>
          </w:tcPr>
          <w:p w14:paraId="19649A7F">
            <w:pPr>
              <w:jc w:val="center"/>
              <w:textAlignment w:val="center"/>
              <w:rPr>
                <w:rFonts w:ascii="宋体" w:hAnsi="宋体" w:cs="宋体"/>
                <w:color w:val="000000"/>
              </w:rPr>
            </w:pPr>
            <w:r>
              <w:rPr>
                <w:rFonts w:hint="eastAsia" w:ascii="宋体" w:hAnsi="宋体" w:cs="宋体"/>
                <w:color w:val="000000"/>
                <w:lang w:eastAsia="zh-CN" w:bidi="ar"/>
              </w:rPr>
              <w:t>友邦</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8FC564">
            <w:pPr>
              <w:jc w:val="center"/>
              <w:rPr>
                <w:rFonts w:ascii="宋体" w:hAnsi="宋体" w:cs="宋体"/>
                <w:color w:val="FF0000"/>
              </w:rPr>
            </w:pPr>
          </w:p>
        </w:tc>
      </w:tr>
      <w:tr w14:paraId="3AEE8F3A">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A7F45">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3C563">
            <w:pPr>
              <w:textAlignment w:val="center"/>
              <w:rPr>
                <w:rFonts w:ascii="宋体" w:hAnsi="宋体" w:cs="宋体"/>
                <w:color w:val="000000"/>
                <w:lang w:eastAsia="zh-CN"/>
              </w:rPr>
            </w:pPr>
            <w:r>
              <w:rPr>
                <w:rFonts w:hint="eastAsia" w:ascii="宋体" w:hAnsi="宋体" w:cs="宋体"/>
                <w:color w:val="000000"/>
                <w:lang w:eastAsia="zh-CN" w:bidi="ar"/>
              </w:rPr>
              <w:t>广州市欧斯龙建材科技有限公司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AF6BC">
            <w:pPr>
              <w:jc w:val="center"/>
              <w:textAlignment w:val="center"/>
              <w:rPr>
                <w:rFonts w:ascii="宋体" w:hAnsi="宋体" w:cs="宋体"/>
                <w:color w:val="000000"/>
              </w:rPr>
            </w:pPr>
            <w:r>
              <w:rPr>
                <w:rFonts w:hint="eastAsia" w:ascii="宋体" w:hAnsi="宋体" w:cs="宋体"/>
                <w:color w:val="000000"/>
                <w:lang w:eastAsia="zh-CN" w:bidi="ar"/>
              </w:rPr>
              <w:t>欧斯龙</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03D4E2">
            <w:pPr>
              <w:jc w:val="center"/>
              <w:rPr>
                <w:rFonts w:ascii="宋体" w:hAnsi="宋体" w:cs="宋体"/>
                <w:color w:val="FF0000"/>
              </w:rPr>
            </w:pPr>
          </w:p>
        </w:tc>
      </w:tr>
      <w:tr w14:paraId="6E2DC68C">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2CE95">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0313A">
            <w:pPr>
              <w:textAlignment w:val="center"/>
              <w:rPr>
                <w:rFonts w:ascii="宋体" w:hAnsi="宋体" w:cs="宋体"/>
                <w:color w:val="000000"/>
                <w:lang w:eastAsia="zh-CN"/>
              </w:rPr>
            </w:pPr>
            <w:r>
              <w:rPr>
                <w:rFonts w:hint="eastAsia" w:ascii="宋体" w:hAnsi="宋体" w:cs="宋体"/>
                <w:color w:val="000000"/>
                <w:lang w:eastAsia="zh-CN" w:bidi="ar"/>
              </w:rPr>
              <w:t>佛山市南海雷诺尔装饰材料有限公司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8CAD6">
            <w:pPr>
              <w:jc w:val="center"/>
              <w:textAlignment w:val="center"/>
              <w:rPr>
                <w:rFonts w:ascii="宋体" w:hAnsi="宋体" w:cs="宋体"/>
                <w:color w:val="000000"/>
              </w:rPr>
            </w:pPr>
            <w:r>
              <w:rPr>
                <w:rFonts w:hint="eastAsia" w:ascii="宋体" w:hAnsi="宋体" w:cs="宋体"/>
                <w:color w:val="000000"/>
                <w:lang w:eastAsia="zh-CN" w:bidi="ar"/>
              </w:rPr>
              <w:t>雷诺尔</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97C3B0">
            <w:pPr>
              <w:jc w:val="center"/>
              <w:rPr>
                <w:rFonts w:ascii="宋体" w:hAnsi="宋体" w:cs="宋体"/>
                <w:color w:val="FF0000"/>
              </w:rPr>
            </w:pPr>
          </w:p>
        </w:tc>
      </w:tr>
      <w:tr w14:paraId="627C8B8E">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880C8">
            <w:pPr>
              <w:jc w:val="center"/>
              <w:textAlignment w:val="center"/>
              <w:rPr>
                <w:rFonts w:ascii="宋体" w:hAnsi="宋体" w:cs="宋体"/>
                <w:color w:val="000000"/>
              </w:rPr>
            </w:pPr>
            <w:r>
              <w:rPr>
                <w:rFonts w:hint="eastAsia" w:ascii="宋体" w:hAnsi="宋体" w:cs="宋体"/>
                <w:color w:val="000000"/>
                <w:lang w:eastAsia="zh-CN" w:bidi="ar"/>
              </w:rPr>
              <w:t>5</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E18CA">
            <w:pPr>
              <w:textAlignment w:val="center"/>
              <w:rPr>
                <w:rFonts w:ascii="宋体" w:hAnsi="宋体" w:cs="宋体"/>
                <w:color w:val="000000"/>
                <w:lang w:eastAsia="zh-CN"/>
              </w:rPr>
            </w:pPr>
            <w:r>
              <w:rPr>
                <w:rFonts w:hint="eastAsia" w:ascii="宋体" w:hAnsi="宋体" w:cs="宋体"/>
                <w:color w:val="000000"/>
                <w:lang w:eastAsia="zh-CN" w:bidi="ar"/>
              </w:rPr>
              <w:t>法狮龙家居建材股份有限公司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EA795">
            <w:pPr>
              <w:jc w:val="center"/>
              <w:textAlignment w:val="center"/>
              <w:rPr>
                <w:rFonts w:ascii="宋体" w:hAnsi="宋体" w:cs="宋体"/>
                <w:color w:val="000000"/>
              </w:rPr>
            </w:pPr>
            <w:r>
              <w:rPr>
                <w:rFonts w:hint="eastAsia" w:ascii="宋体" w:hAnsi="宋体" w:cs="宋体"/>
                <w:color w:val="000000"/>
                <w:lang w:eastAsia="zh-CN" w:bidi="ar"/>
              </w:rPr>
              <w:t>法狮龙</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B29E8B">
            <w:pPr>
              <w:jc w:val="center"/>
              <w:rPr>
                <w:rFonts w:ascii="宋体" w:hAnsi="宋体" w:cs="宋体"/>
                <w:color w:val="FF0000"/>
              </w:rPr>
            </w:pPr>
          </w:p>
        </w:tc>
      </w:tr>
      <w:tr w14:paraId="6A47E6F2">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6729D1B4">
            <w:pPr>
              <w:textAlignment w:val="center"/>
              <w:rPr>
                <w:rFonts w:ascii="宋体" w:hAnsi="宋体" w:cs="宋体"/>
                <w:b/>
                <w:bCs/>
                <w:color w:val="000000"/>
              </w:rPr>
            </w:pPr>
            <w:r>
              <w:rPr>
                <w:rFonts w:hint="eastAsia" w:ascii="宋体" w:hAnsi="宋体" w:cs="宋体"/>
                <w:b/>
                <w:bCs/>
                <w:color w:val="000000"/>
                <w:lang w:eastAsia="zh-CN" w:bidi="ar"/>
              </w:rPr>
              <w:t>2.硅酸钙板</w:t>
            </w:r>
          </w:p>
        </w:tc>
      </w:tr>
      <w:tr w14:paraId="559CF151">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CA42F0">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E4656C">
            <w:pPr>
              <w:textAlignment w:val="center"/>
              <w:rPr>
                <w:rFonts w:ascii="宋体" w:hAnsi="宋体" w:cs="宋体"/>
                <w:color w:val="000000"/>
                <w:lang w:eastAsia="zh-CN"/>
              </w:rPr>
            </w:pPr>
            <w:r>
              <w:rPr>
                <w:rFonts w:hint="eastAsia" w:ascii="宋体" w:hAnsi="宋体" w:cs="宋体"/>
                <w:color w:val="000000"/>
                <w:lang w:eastAsia="zh-CN" w:bidi="ar"/>
              </w:rPr>
              <w:t>法狮龙家居建材股份有限公司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290908">
            <w:pPr>
              <w:jc w:val="center"/>
              <w:textAlignment w:val="center"/>
              <w:rPr>
                <w:rFonts w:ascii="宋体" w:hAnsi="宋体" w:cs="宋体"/>
                <w:color w:val="000000"/>
              </w:rPr>
            </w:pPr>
            <w:r>
              <w:rPr>
                <w:rFonts w:hint="eastAsia" w:ascii="宋体" w:hAnsi="宋体" w:cs="宋体"/>
                <w:color w:val="000000"/>
                <w:lang w:eastAsia="zh-CN" w:bidi="ar"/>
              </w:rPr>
              <w:t>法狮龙</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0D865B">
            <w:pPr>
              <w:jc w:val="center"/>
              <w:rPr>
                <w:rFonts w:ascii="宋体" w:hAnsi="宋体" w:cs="宋体"/>
                <w:color w:val="FF0000"/>
              </w:rPr>
            </w:pPr>
          </w:p>
        </w:tc>
      </w:tr>
      <w:tr w14:paraId="5B94D86A">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CAF4FD">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E14087">
            <w:pPr>
              <w:textAlignment w:val="center"/>
              <w:rPr>
                <w:rFonts w:ascii="宋体" w:hAnsi="宋体" w:cs="宋体"/>
                <w:color w:val="000000"/>
                <w:lang w:eastAsia="zh-CN"/>
              </w:rPr>
            </w:pPr>
            <w:r>
              <w:rPr>
                <w:rFonts w:hint="eastAsia" w:ascii="宋体" w:hAnsi="宋体" w:cs="宋体"/>
                <w:color w:val="000000"/>
                <w:lang w:eastAsia="zh-CN" w:bidi="ar"/>
              </w:rPr>
              <w:t>广东海加绿色建筑集成有限公司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855602">
            <w:pPr>
              <w:jc w:val="center"/>
              <w:textAlignment w:val="center"/>
              <w:rPr>
                <w:rFonts w:ascii="宋体" w:hAnsi="宋体" w:cs="宋体"/>
                <w:color w:val="000000"/>
              </w:rPr>
            </w:pPr>
            <w:r>
              <w:rPr>
                <w:rFonts w:hint="eastAsia" w:ascii="宋体" w:hAnsi="宋体" w:cs="宋体"/>
                <w:color w:val="000000"/>
                <w:lang w:eastAsia="zh-CN" w:bidi="ar"/>
              </w:rPr>
              <w:t>海加</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74FD61">
            <w:pPr>
              <w:jc w:val="center"/>
              <w:rPr>
                <w:rFonts w:ascii="宋体" w:hAnsi="宋体" w:cs="宋体"/>
                <w:color w:val="FF0000"/>
              </w:rPr>
            </w:pPr>
          </w:p>
        </w:tc>
      </w:tr>
      <w:tr w14:paraId="1D0DF1F1">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6DA7B1">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867997">
            <w:pPr>
              <w:textAlignment w:val="center"/>
              <w:rPr>
                <w:rFonts w:ascii="宋体" w:hAnsi="宋体" w:cs="宋体"/>
                <w:color w:val="000000"/>
                <w:lang w:eastAsia="zh-CN"/>
              </w:rPr>
            </w:pPr>
            <w:r>
              <w:rPr>
                <w:rFonts w:hint="eastAsia" w:ascii="宋体" w:hAnsi="宋体" w:cs="宋体"/>
                <w:color w:val="000000"/>
                <w:lang w:eastAsia="zh-CN" w:bidi="ar"/>
              </w:rPr>
              <w:t>广东松本绿色新材股份有限公司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5449B7">
            <w:pPr>
              <w:jc w:val="center"/>
              <w:textAlignment w:val="center"/>
              <w:rPr>
                <w:rFonts w:ascii="宋体" w:hAnsi="宋体" w:cs="宋体"/>
                <w:color w:val="000000"/>
              </w:rPr>
            </w:pPr>
            <w:r>
              <w:rPr>
                <w:rFonts w:hint="eastAsia" w:ascii="宋体" w:hAnsi="宋体" w:cs="宋体"/>
                <w:color w:val="000000"/>
                <w:lang w:eastAsia="zh-CN" w:bidi="ar"/>
              </w:rPr>
              <w:t>松本</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55DCEB">
            <w:pPr>
              <w:jc w:val="center"/>
              <w:rPr>
                <w:rFonts w:ascii="宋体" w:hAnsi="宋体" w:cs="宋体"/>
                <w:color w:val="FF0000"/>
              </w:rPr>
            </w:pPr>
          </w:p>
        </w:tc>
      </w:tr>
      <w:tr w14:paraId="32728D85">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E750F9">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E38B3B">
            <w:pPr>
              <w:textAlignment w:val="center"/>
              <w:rPr>
                <w:rFonts w:ascii="宋体" w:hAnsi="宋体" w:cs="宋体"/>
                <w:color w:val="000000"/>
                <w:lang w:eastAsia="zh-CN"/>
              </w:rPr>
            </w:pPr>
            <w:r>
              <w:rPr>
                <w:rFonts w:hint="eastAsia" w:ascii="宋体" w:hAnsi="宋体" w:cs="宋体"/>
                <w:color w:val="000000"/>
                <w:lang w:eastAsia="zh-CN" w:bidi="ar"/>
              </w:rPr>
              <w:t>广东雄塑环保板业有限公司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6D2C2C">
            <w:pPr>
              <w:jc w:val="center"/>
              <w:textAlignment w:val="center"/>
              <w:rPr>
                <w:rFonts w:ascii="宋体" w:hAnsi="宋体" w:cs="宋体"/>
                <w:color w:val="000000"/>
              </w:rPr>
            </w:pPr>
            <w:r>
              <w:rPr>
                <w:rFonts w:hint="eastAsia" w:ascii="宋体" w:hAnsi="宋体" w:cs="宋体"/>
                <w:color w:val="000000"/>
                <w:lang w:eastAsia="zh-CN" w:bidi="ar"/>
              </w:rPr>
              <w:t>雄塑板业</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E3037D">
            <w:pPr>
              <w:jc w:val="center"/>
              <w:rPr>
                <w:rFonts w:ascii="宋体" w:hAnsi="宋体" w:cs="宋体"/>
                <w:color w:val="FF0000"/>
              </w:rPr>
            </w:pPr>
          </w:p>
        </w:tc>
      </w:tr>
      <w:tr w14:paraId="7F6D0548">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D7D050">
            <w:pPr>
              <w:jc w:val="center"/>
              <w:textAlignment w:val="center"/>
              <w:rPr>
                <w:rFonts w:ascii="宋体" w:hAnsi="宋体" w:cs="宋体"/>
                <w:color w:val="000000"/>
              </w:rPr>
            </w:pPr>
            <w:r>
              <w:rPr>
                <w:rFonts w:hint="eastAsia" w:ascii="宋体" w:hAnsi="宋体" w:cs="宋体"/>
                <w:color w:val="000000"/>
                <w:lang w:eastAsia="zh-CN" w:bidi="ar"/>
              </w:rPr>
              <w:t>5</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A8C5AD">
            <w:pPr>
              <w:textAlignment w:val="center"/>
              <w:rPr>
                <w:rFonts w:ascii="宋体" w:hAnsi="宋体" w:cs="宋体"/>
                <w:color w:val="000000"/>
                <w:lang w:eastAsia="zh-CN"/>
              </w:rPr>
            </w:pPr>
            <w:r>
              <w:rPr>
                <w:rFonts w:hint="eastAsia" w:ascii="宋体" w:hAnsi="宋体" w:cs="宋体"/>
                <w:color w:val="000000"/>
                <w:lang w:eastAsia="zh-CN" w:bidi="ar"/>
              </w:rPr>
              <w:t>广东金贝麟新型建材有限公司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C4B487">
            <w:pPr>
              <w:jc w:val="center"/>
              <w:textAlignment w:val="center"/>
              <w:rPr>
                <w:rFonts w:ascii="宋体" w:hAnsi="宋体" w:cs="宋体"/>
                <w:color w:val="000000"/>
              </w:rPr>
            </w:pPr>
            <w:r>
              <w:rPr>
                <w:rFonts w:hint="eastAsia" w:ascii="宋体" w:hAnsi="宋体" w:cs="宋体"/>
                <w:color w:val="000000"/>
                <w:lang w:eastAsia="zh-CN" w:bidi="ar"/>
              </w:rPr>
              <w:t>金贝麟</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1941A5">
            <w:pPr>
              <w:jc w:val="center"/>
              <w:rPr>
                <w:rFonts w:ascii="宋体" w:hAnsi="宋体" w:cs="宋体"/>
                <w:color w:val="FF0000"/>
              </w:rPr>
            </w:pPr>
          </w:p>
        </w:tc>
      </w:tr>
      <w:tr w14:paraId="25A91FC9">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43CEA817">
            <w:pPr>
              <w:textAlignment w:val="center"/>
              <w:rPr>
                <w:rFonts w:ascii="宋体" w:hAnsi="宋体" w:cs="宋体"/>
                <w:b/>
                <w:bCs/>
                <w:color w:val="000000"/>
              </w:rPr>
            </w:pPr>
            <w:r>
              <w:rPr>
                <w:rFonts w:hint="eastAsia" w:ascii="宋体" w:hAnsi="宋体" w:cs="宋体"/>
                <w:b/>
                <w:bCs/>
                <w:color w:val="000000"/>
                <w:lang w:eastAsia="zh-CN" w:bidi="ar"/>
              </w:rPr>
              <w:t>3.石膏板</w:t>
            </w:r>
          </w:p>
        </w:tc>
      </w:tr>
      <w:tr w14:paraId="272A692B">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DE141E">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4C0754">
            <w:pPr>
              <w:textAlignment w:val="center"/>
              <w:rPr>
                <w:rFonts w:ascii="宋体" w:hAnsi="宋体" w:cs="宋体"/>
                <w:color w:val="000000"/>
              </w:rPr>
            </w:pPr>
            <w:r>
              <w:rPr>
                <w:rFonts w:hint="eastAsia" w:ascii="宋体" w:hAnsi="宋体" w:cs="宋体"/>
                <w:color w:val="000000"/>
                <w:lang w:eastAsia="zh-CN" w:bidi="ar"/>
              </w:rPr>
              <w:t>泰山石膏有限公司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7EC714">
            <w:pPr>
              <w:jc w:val="center"/>
              <w:textAlignment w:val="center"/>
              <w:rPr>
                <w:rFonts w:ascii="宋体" w:hAnsi="宋体" w:cs="宋体"/>
                <w:color w:val="000000"/>
              </w:rPr>
            </w:pPr>
            <w:r>
              <w:rPr>
                <w:rFonts w:hint="eastAsia" w:ascii="宋体" w:hAnsi="宋体" w:cs="宋体"/>
                <w:color w:val="000000"/>
                <w:lang w:eastAsia="zh-CN" w:bidi="ar"/>
              </w:rPr>
              <w:t>泰山</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D31843">
            <w:pPr>
              <w:jc w:val="center"/>
              <w:rPr>
                <w:rFonts w:ascii="宋体" w:hAnsi="宋体" w:cs="宋体"/>
                <w:color w:val="FF0000"/>
              </w:rPr>
            </w:pPr>
          </w:p>
        </w:tc>
      </w:tr>
      <w:tr w14:paraId="3E5A04BA">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63263C">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72B693">
            <w:pPr>
              <w:textAlignment w:val="center"/>
              <w:rPr>
                <w:rFonts w:ascii="宋体" w:hAnsi="宋体" w:cs="宋体"/>
                <w:color w:val="000000"/>
                <w:lang w:eastAsia="zh-CN"/>
              </w:rPr>
            </w:pPr>
            <w:r>
              <w:rPr>
                <w:rFonts w:hint="eastAsia" w:ascii="宋体" w:hAnsi="宋体" w:cs="宋体"/>
                <w:color w:val="000000"/>
                <w:lang w:eastAsia="zh-CN" w:bidi="ar"/>
              </w:rPr>
              <w:t>上海拉法基杰戈实业有限公司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57B730">
            <w:pPr>
              <w:jc w:val="center"/>
              <w:textAlignment w:val="center"/>
              <w:rPr>
                <w:rFonts w:ascii="宋体" w:hAnsi="宋体" w:cs="宋体"/>
                <w:color w:val="000000"/>
              </w:rPr>
            </w:pPr>
            <w:r>
              <w:rPr>
                <w:rFonts w:hint="eastAsia" w:ascii="宋体" w:hAnsi="宋体" w:cs="宋体"/>
                <w:color w:val="000000"/>
                <w:lang w:eastAsia="zh-CN" w:bidi="ar"/>
              </w:rPr>
              <w:t>拉法基</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41890A">
            <w:pPr>
              <w:jc w:val="center"/>
              <w:rPr>
                <w:rFonts w:ascii="宋体" w:hAnsi="宋体" w:cs="宋体"/>
                <w:color w:val="FF0000"/>
              </w:rPr>
            </w:pPr>
          </w:p>
        </w:tc>
      </w:tr>
      <w:tr w14:paraId="0B90ED85">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00F331">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95A743">
            <w:pPr>
              <w:textAlignment w:val="center"/>
              <w:rPr>
                <w:rFonts w:ascii="宋体" w:hAnsi="宋体" w:cs="宋体"/>
                <w:color w:val="000000"/>
                <w:lang w:eastAsia="zh-CN"/>
              </w:rPr>
            </w:pPr>
            <w:r>
              <w:rPr>
                <w:rFonts w:hint="eastAsia" w:ascii="宋体" w:hAnsi="宋体" w:cs="宋体"/>
                <w:color w:val="000000"/>
                <w:lang w:eastAsia="zh-CN" w:bidi="ar"/>
              </w:rPr>
              <w:t>广东五羊美特新型建材有限公司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15B61A">
            <w:pPr>
              <w:jc w:val="center"/>
              <w:textAlignment w:val="center"/>
              <w:rPr>
                <w:rFonts w:ascii="宋体" w:hAnsi="宋体" w:cs="宋体"/>
                <w:color w:val="000000"/>
              </w:rPr>
            </w:pPr>
            <w:r>
              <w:rPr>
                <w:rFonts w:hint="eastAsia" w:ascii="宋体" w:hAnsi="宋体" w:cs="宋体"/>
                <w:color w:val="000000"/>
                <w:lang w:eastAsia="zh-CN" w:bidi="ar"/>
              </w:rPr>
              <w:t>五羊美特</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88E885">
            <w:pPr>
              <w:jc w:val="center"/>
              <w:rPr>
                <w:rFonts w:ascii="宋体" w:hAnsi="宋体" w:cs="宋体"/>
                <w:color w:val="FF0000"/>
              </w:rPr>
            </w:pPr>
          </w:p>
        </w:tc>
      </w:tr>
      <w:tr w14:paraId="3936289E">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2F6394">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EB7747">
            <w:pPr>
              <w:textAlignment w:val="center"/>
              <w:rPr>
                <w:rFonts w:ascii="宋体" w:hAnsi="宋体" w:cs="宋体"/>
                <w:color w:val="000000"/>
              </w:rPr>
            </w:pPr>
            <w:r>
              <w:rPr>
                <w:rFonts w:hint="eastAsia" w:ascii="宋体" w:hAnsi="宋体" w:cs="宋体"/>
                <w:color w:val="000000"/>
                <w:lang w:eastAsia="zh-CN" w:bidi="ar"/>
              </w:rPr>
              <w:t>湖北星立方科技有限公司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F3338A">
            <w:pPr>
              <w:jc w:val="center"/>
              <w:textAlignment w:val="center"/>
              <w:rPr>
                <w:rFonts w:ascii="宋体" w:hAnsi="宋体" w:cs="宋体"/>
                <w:color w:val="000000"/>
              </w:rPr>
            </w:pPr>
            <w:r>
              <w:rPr>
                <w:rFonts w:hint="eastAsia" w:ascii="宋体" w:hAnsi="宋体" w:cs="宋体"/>
                <w:color w:val="000000"/>
                <w:lang w:eastAsia="zh-CN" w:bidi="ar"/>
              </w:rPr>
              <w:t>星立方</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AC416A">
            <w:pPr>
              <w:jc w:val="center"/>
              <w:rPr>
                <w:rFonts w:ascii="宋体" w:hAnsi="宋体" w:cs="宋体"/>
                <w:color w:val="FF0000"/>
              </w:rPr>
            </w:pPr>
          </w:p>
        </w:tc>
      </w:tr>
      <w:tr w14:paraId="76937CDC">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7999D8">
            <w:pPr>
              <w:jc w:val="center"/>
              <w:textAlignment w:val="center"/>
              <w:rPr>
                <w:rFonts w:ascii="宋体" w:hAnsi="宋体" w:cs="宋体"/>
                <w:color w:val="000000"/>
              </w:rPr>
            </w:pPr>
            <w:r>
              <w:rPr>
                <w:rFonts w:hint="eastAsia" w:ascii="宋体" w:hAnsi="宋体" w:cs="宋体"/>
                <w:color w:val="000000"/>
                <w:lang w:eastAsia="zh-CN" w:bidi="ar"/>
              </w:rPr>
              <w:t>5</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80EBC7">
            <w:pPr>
              <w:textAlignment w:val="center"/>
              <w:rPr>
                <w:rFonts w:ascii="宋体" w:hAnsi="宋体" w:cs="宋体"/>
                <w:color w:val="000000"/>
                <w:lang w:eastAsia="zh-CN"/>
              </w:rPr>
            </w:pPr>
            <w:r>
              <w:rPr>
                <w:rFonts w:hint="eastAsia" w:ascii="宋体" w:hAnsi="宋体" w:cs="宋体"/>
                <w:color w:val="000000"/>
                <w:lang w:eastAsia="zh-CN" w:bidi="ar"/>
              </w:rPr>
              <w:t>广东海加绿色建筑集成有限公司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9C7E33">
            <w:pPr>
              <w:jc w:val="center"/>
              <w:textAlignment w:val="center"/>
              <w:rPr>
                <w:rFonts w:ascii="宋体" w:hAnsi="宋体" w:cs="宋体"/>
                <w:color w:val="000000"/>
              </w:rPr>
            </w:pPr>
            <w:r>
              <w:rPr>
                <w:rFonts w:hint="eastAsia" w:ascii="宋体" w:hAnsi="宋体" w:cs="宋体"/>
                <w:color w:val="000000"/>
                <w:lang w:eastAsia="zh-CN" w:bidi="ar"/>
              </w:rPr>
              <w:t>梦海</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DA9216">
            <w:pPr>
              <w:jc w:val="center"/>
              <w:rPr>
                <w:rFonts w:ascii="宋体" w:hAnsi="宋体" w:cs="宋体"/>
                <w:color w:val="FF0000"/>
              </w:rPr>
            </w:pPr>
          </w:p>
        </w:tc>
      </w:tr>
      <w:tr w14:paraId="18E85516">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955415">
            <w:pPr>
              <w:jc w:val="center"/>
              <w:textAlignment w:val="center"/>
              <w:rPr>
                <w:rFonts w:ascii="宋体" w:hAnsi="宋体" w:cs="宋体"/>
                <w:color w:val="000000"/>
              </w:rPr>
            </w:pPr>
            <w:r>
              <w:rPr>
                <w:rFonts w:hint="eastAsia" w:ascii="宋体" w:hAnsi="宋体" w:cs="宋体"/>
                <w:color w:val="000000"/>
                <w:lang w:eastAsia="zh-CN" w:bidi="ar"/>
              </w:rPr>
              <w:t>6</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4B294E">
            <w:pPr>
              <w:textAlignment w:val="center"/>
              <w:rPr>
                <w:rFonts w:ascii="宋体" w:hAnsi="宋体" w:cs="宋体"/>
                <w:color w:val="000000"/>
              </w:rPr>
            </w:pPr>
            <w:r>
              <w:rPr>
                <w:rFonts w:hint="eastAsia" w:ascii="宋体" w:hAnsi="宋体" w:cs="宋体"/>
                <w:color w:val="000000"/>
                <w:lang w:eastAsia="zh-CN" w:bidi="ar"/>
              </w:rPr>
              <w:t>杰森新材料（惠州）有限公司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E5EBB8">
            <w:pPr>
              <w:jc w:val="center"/>
              <w:textAlignment w:val="center"/>
              <w:rPr>
                <w:rFonts w:ascii="宋体" w:hAnsi="宋体" w:cs="宋体"/>
                <w:color w:val="000000"/>
              </w:rPr>
            </w:pPr>
            <w:r>
              <w:rPr>
                <w:rFonts w:hint="eastAsia" w:ascii="宋体" w:hAnsi="宋体" w:cs="宋体"/>
                <w:color w:val="000000"/>
                <w:lang w:eastAsia="zh-CN" w:bidi="ar"/>
              </w:rPr>
              <w:t>杰森</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3DEAAA">
            <w:pPr>
              <w:jc w:val="center"/>
              <w:rPr>
                <w:rFonts w:ascii="宋体" w:hAnsi="宋体" w:cs="宋体"/>
                <w:color w:val="FF0000"/>
              </w:rPr>
            </w:pPr>
          </w:p>
        </w:tc>
      </w:tr>
      <w:tr w14:paraId="241E31CD">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3819BF">
            <w:pPr>
              <w:jc w:val="center"/>
              <w:textAlignment w:val="center"/>
              <w:rPr>
                <w:rFonts w:ascii="宋体" w:hAnsi="宋体" w:cs="宋体"/>
                <w:color w:val="000000"/>
              </w:rPr>
            </w:pPr>
            <w:r>
              <w:rPr>
                <w:rFonts w:hint="eastAsia" w:ascii="宋体" w:hAnsi="宋体" w:cs="宋体"/>
                <w:color w:val="000000"/>
                <w:lang w:eastAsia="zh-CN" w:bidi="ar"/>
              </w:rPr>
              <w:t>7</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AF94AB">
            <w:pPr>
              <w:textAlignment w:val="center"/>
              <w:rPr>
                <w:rFonts w:ascii="宋体" w:hAnsi="宋体" w:cs="宋体"/>
                <w:color w:val="000000"/>
                <w:lang w:eastAsia="zh-CN"/>
              </w:rPr>
            </w:pPr>
            <w:r>
              <w:rPr>
                <w:rFonts w:hint="eastAsia" w:ascii="宋体" w:hAnsi="宋体" w:cs="宋体"/>
                <w:color w:val="000000"/>
                <w:lang w:eastAsia="zh-CN" w:bidi="ar"/>
              </w:rPr>
              <w:t>天津德福科技发展有限公司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37826B">
            <w:pPr>
              <w:jc w:val="center"/>
              <w:textAlignment w:val="center"/>
              <w:rPr>
                <w:rFonts w:ascii="宋体" w:hAnsi="宋体" w:cs="宋体"/>
                <w:color w:val="000000"/>
              </w:rPr>
            </w:pPr>
            <w:r>
              <w:rPr>
                <w:rFonts w:hint="eastAsia" w:ascii="宋体" w:hAnsi="宋体" w:cs="宋体"/>
                <w:color w:val="000000"/>
                <w:lang w:eastAsia="zh-CN" w:bidi="ar"/>
              </w:rPr>
              <w:t>可耐福</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49662E">
            <w:pPr>
              <w:jc w:val="center"/>
              <w:rPr>
                <w:rFonts w:ascii="宋体" w:hAnsi="宋体" w:cs="宋体"/>
                <w:color w:val="FF0000"/>
              </w:rPr>
            </w:pPr>
          </w:p>
        </w:tc>
      </w:tr>
      <w:tr w14:paraId="0EB88A34">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249AA00B">
            <w:pPr>
              <w:textAlignment w:val="center"/>
              <w:rPr>
                <w:rFonts w:ascii="宋体" w:hAnsi="宋体" w:cs="宋体"/>
                <w:b/>
                <w:bCs/>
                <w:color w:val="000000"/>
              </w:rPr>
            </w:pPr>
            <w:r>
              <w:rPr>
                <w:rFonts w:hint="eastAsia" w:ascii="宋体" w:hAnsi="宋体" w:cs="宋体"/>
                <w:b/>
                <w:bCs/>
                <w:color w:val="000000"/>
                <w:lang w:eastAsia="zh-CN" w:bidi="ar"/>
              </w:rPr>
              <w:t>4.保温凝胶</w:t>
            </w:r>
          </w:p>
        </w:tc>
      </w:tr>
      <w:tr w14:paraId="534303CE">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28789F">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FA290F">
            <w:pPr>
              <w:textAlignment w:val="center"/>
              <w:rPr>
                <w:rFonts w:ascii="宋体" w:hAnsi="宋体" w:cs="宋体"/>
                <w:color w:val="000000"/>
                <w:lang w:eastAsia="zh-CN"/>
              </w:rPr>
            </w:pPr>
            <w:r>
              <w:rPr>
                <w:rFonts w:hint="eastAsia" w:ascii="宋体" w:hAnsi="宋体" w:cs="宋体"/>
                <w:color w:val="000000"/>
                <w:lang w:eastAsia="zh-CN" w:bidi="ar"/>
              </w:rPr>
              <w:t>广东沐峰节能创新科技有限公司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B049F6">
            <w:pPr>
              <w:jc w:val="center"/>
              <w:textAlignment w:val="center"/>
              <w:rPr>
                <w:rFonts w:ascii="宋体" w:hAnsi="宋体" w:cs="宋体"/>
                <w:color w:val="000000"/>
              </w:rPr>
            </w:pPr>
            <w:r>
              <w:rPr>
                <w:rFonts w:hint="eastAsia" w:ascii="宋体" w:hAnsi="宋体" w:cs="宋体"/>
                <w:color w:val="000000"/>
                <w:lang w:eastAsia="zh-CN" w:bidi="ar"/>
              </w:rPr>
              <w:t>沐峰</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80B5D9">
            <w:pPr>
              <w:jc w:val="center"/>
              <w:rPr>
                <w:rFonts w:ascii="宋体" w:hAnsi="宋体" w:cs="宋体"/>
                <w:color w:val="FF0000"/>
              </w:rPr>
            </w:pPr>
          </w:p>
        </w:tc>
      </w:tr>
      <w:tr w14:paraId="1C5F60B4">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2F3AA9">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5159DD">
            <w:pPr>
              <w:textAlignment w:val="center"/>
              <w:rPr>
                <w:rFonts w:ascii="宋体" w:hAnsi="宋体" w:cs="宋体"/>
                <w:color w:val="000000"/>
                <w:lang w:eastAsia="zh-CN"/>
              </w:rPr>
            </w:pPr>
            <w:r>
              <w:rPr>
                <w:rFonts w:hint="eastAsia" w:ascii="宋体" w:hAnsi="宋体" w:cs="宋体"/>
                <w:color w:val="000000"/>
                <w:lang w:eastAsia="zh-CN" w:bidi="ar"/>
              </w:rPr>
              <w:t>广东筑龙涂料有限公司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33B3F9">
            <w:pPr>
              <w:jc w:val="center"/>
              <w:textAlignment w:val="center"/>
              <w:rPr>
                <w:rFonts w:ascii="宋体" w:hAnsi="宋体" w:cs="宋体"/>
                <w:color w:val="000000"/>
              </w:rPr>
            </w:pPr>
            <w:r>
              <w:rPr>
                <w:rFonts w:hint="eastAsia" w:ascii="宋体" w:hAnsi="宋体" w:cs="宋体"/>
                <w:color w:val="000000"/>
                <w:lang w:eastAsia="zh-CN" w:bidi="ar"/>
              </w:rPr>
              <w:t>华普利</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71705E">
            <w:pPr>
              <w:jc w:val="center"/>
              <w:rPr>
                <w:rFonts w:ascii="宋体" w:hAnsi="宋体" w:cs="宋体"/>
                <w:color w:val="FF0000"/>
              </w:rPr>
            </w:pPr>
          </w:p>
        </w:tc>
      </w:tr>
      <w:tr w14:paraId="4976E51C">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460BD8">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D4AB7A">
            <w:pPr>
              <w:textAlignment w:val="center"/>
              <w:rPr>
                <w:rFonts w:ascii="宋体" w:hAnsi="宋体" w:cs="宋体"/>
                <w:color w:val="000000"/>
                <w:lang w:eastAsia="zh-CN"/>
              </w:rPr>
            </w:pPr>
            <w:r>
              <w:rPr>
                <w:rFonts w:hint="eastAsia" w:ascii="宋体" w:hAnsi="宋体" w:cs="宋体"/>
                <w:color w:val="000000"/>
                <w:lang w:eastAsia="zh-CN" w:bidi="ar"/>
              </w:rPr>
              <w:t>广东奈士德环境科技有限公司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B18925">
            <w:pPr>
              <w:jc w:val="center"/>
              <w:textAlignment w:val="center"/>
              <w:rPr>
                <w:rFonts w:ascii="宋体" w:hAnsi="宋体" w:cs="宋体"/>
                <w:color w:val="000000"/>
              </w:rPr>
            </w:pPr>
            <w:r>
              <w:rPr>
                <w:rFonts w:hint="eastAsia" w:ascii="宋体" w:hAnsi="宋体" w:cs="宋体"/>
                <w:color w:val="000000"/>
                <w:lang w:eastAsia="zh-CN" w:bidi="ar"/>
              </w:rPr>
              <w:t>奈士德</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C450F6">
            <w:pPr>
              <w:jc w:val="center"/>
              <w:rPr>
                <w:rFonts w:ascii="宋体" w:hAnsi="宋体" w:cs="宋体"/>
                <w:color w:val="FF0000"/>
              </w:rPr>
            </w:pPr>
          </w:p>
        </w:tc>
      </w:tr>
      <w:tr w14:paraId="116FE058">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4346E1">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9D3778">
            <w:pPr>
              <w:textAlignment w:val="center"/>
              <w:rPr>
                <w:rFonts w:ascii="宋体" w:hAnsi="宋体" w:cs="宋体"/>
                <w:color w:val="000000"/>
                <w:lang w:eastAsia="zh-CN"/>
              </w:rPr>
            </w:pPr>
            <w:r>
              <w:rPr>
                <w:rFonts w:hint="eastAsia" w:ascii="宋体" w:hAnsi="宋体" w:cs="宋体"/>
                <w:color w:val="000000"/>
                <w:lang w:eastAsia="zh-CN" w:bidi="ar"/>
              </w:rPr>
              <w:t>佛山涂吉致环保新材料有限公司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8C745B">
            <w:pPr>
              <w:jc w:val="center"/>
              <w:textAlignment w:val="center"/>
              <w:rPr>
                <w:rFonts w:ascii="宋体" w:hAnsi="宋体" w:cs="宋体"/>
                <w:color w:val="000000"/>
              </w:rPr>
            </w:pPr>
            <w:r>
              <w:rPr>
                <w:rFonts w:hint="eastAsia" w:ascii="宋体" w:hAnsi="宋体" w:cs="宋体"/>
                <w:color w:val="000000"/>
                <w:lang w:eastAsia="zh-CN" w:bidi="ar"/>
              </w:rPr>
              <w:t>涂吉致</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DA7F06">
            <w:pPr>
              <w:jc w:val="center"/>
              <w:rPr>
                <w:rFonts w:ascii="宋体" w:hAnsi="宋体" w:cs="宋体"/>
                <w:color w:val="FF0000"/>
              </w:rPr>
            </w:pPr>
          </w:p>
        </w:tc>
      </w:tr>
      <w:tr w14:paraId="1ABE091C">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975A75">
            <w:pPr>
              <w:jc w:val="center"/>
              <w:textAlignment w:val="center"/>
              <w:rPr>
                <w:rFonts w:ascii="宋体" w:hAnsi="宋体" w:cs="宋体"/>
                <w:color w:val="000000"/>
              </w:rPr>
            </w:pPr>
            <w:r>
              <w:rPr>
                <w:rFonts w:hint="eastAsia" w:ascii="宋体" w:hAnsi="宋体" w:cs="宋体"/>
                <w:color w:val="000000"/>
                <w:lang w:eastAsia="zh-CN" w:bidi="ar"/>
              </w:rPr>
              <w:t>5</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ED944A">
            <w:pPr>
              <w:textAlignment w:val="center"/>
              <w:rPr>
                <w:rFonts w:ascii="宋体" w:hAnsi="宋体" w:cs="宋体"/>
                <w:color w:val="000000"/>
                <w:lang w:eastAsia="zh-CN"/>
              </w:rPr>
            </w:pPr>
            <w:r>
              <w:rPr>
                <w:rFonts w:hint="eastAsia" w:ascii="宋体" w:hAnsi="宋体" w:cs="宋体"/>
                <w:color w:val="000000"/>
                <w:lang w:eastAsia="zh-CN" w:bidi="ar"/>
              </w:rPr>
              <w:t>深圳市嘉达新材料科技有限公司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C50131">
            <w:pPr>
              <w:jc w:val="center"/>
              <w:textAlignment w:val="center"/>
              <w:rPr>
                <w:rFonts w:ascii="宋体" w:hAnsi="宋体" w:cs="宋体"/>
                <w:color w:val="000000"/>
              </w:rPr>
            </w:pPr>
            <w:r>
              <w:rPr>
                <w:rFonts w:hint="eastAsia" w:ascii="宋体" w:hAnsi="宋体" w:cs="宋体"/>
                <w:color w:val="000000"/>
                <w:lang w:eastAsia="zh-CN" w:bidi="ar"/>
              </w:rPr>
              <w:t>嘉达</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A77A84">
            <w:pPr>
              <w:jc w:val="center"/>
              <w:rPr>
                <w:rFonts w:ascii="宋体" w:hAnsi="宋体" w:cs="宋体"/>
                <w:color w:val="FF0000"/>
              </w:rPr>
            </w:pPr>
          </w:p>
        </w:tc>
      </w:tr>
      <w:tr w14:paraId="1334ABE3">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A9C324F">
            <w:pPr>
              <w:textAlignment w:val="center"/>
              <w:rPr>
                <w:rFonts w:ascii="宋体" w:hAnsi="宋体" w:cs="宋体"/>
                <w:b/>
                <w:bCs/>
                <w:color w:val="000000"/>
                <w:lang w:eastAsia="zh-CN"/>
              </w:rPr>
            </w:pPr>
            <w:r>
              <w:rPr>
                <w:rFonts w:hint="eastAsia" w:ascii="宋体" w:hAnsi="宋体" w:cs="宋体"/>
                <w:b/>
                <w:bCs/>
                <w:color w:val="000000"/>
                <w:lang w:eastAsia="zh-CN" w:bidi="ar"/>
              </w:rPr>
              <w:t>（三）防水、油漆、涂料、密封胶、瓷砖胶</w:t>
            </w:r>
          </w:p>
        </w:tc>
      </w:tr>
      <w:tr w14:paraId="462E2F1B">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9DA81F2">
            <w:pPr>
              <w:textAlignment w:val="center"/>
              <w:rPr>
                <w:rFonts w:ascii="宋体" w:hAnsi="宋体" w:cs="宋体"/>
                <w:b/>
                <w:bCs/>
                <w:color w:val="000000"/>
              </w:rPr>
            </w:pPr>
            <w:r>
              <w:rPr>
                <w:rFonts w:hint="eastAsia" w:ascii="宋体" w:hAnsi="宋体" w:cs="宋体"/>
                <w:b/>
                <w:bCs/>
                <w:color w:val="000000"/>
                <w:lang w:eastAsia="zh-CN" w:bidi="ar"/>
              </w:rPr>
              <w:t>1.内墙涂料</w:t>
            </w:r>
          </w:p>
        </w:tc>
      </w:tr>
      <w:tr w14:paraId="6C3B5248">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89493">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68E2D">
            <w:pPr>
              <w:textAlignment w:val="center"/>
              <w:rPr>
                <w:rFonts w:ascii="宋体" w:hAnsi="宋体" w:cs="宋体"/>
                <w:color w:val="000000"/>
                <w:lang w:eastAsia="zh-CN"/>
              </w:rPr>
            </w:pPr>
            <w:r>
              <w:rPr>
                <w:rFonts w:hint="eastAsia" w:ascii="宋体" w:hAnsi="宋体" w:cs="宋体"/>
                <w:color w:val="000000"/>
                <w:lang w:eastAsia="zh-CN" w:bidi="ar"/>
              </w:rPr>
              <w:t>广州立邦涂料有限公司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7B86D">
            <w:pPr>
              <w:jc w:val="center"/>
              <w:textAlignment w:val="center"/>
              <w:rPr>
                <w:rFonts w:ascii="宋体" w:hAnsi="宋体" w:cs="宋体"/>
                <w:color w:val="000000"/>
              </w:rPr>
            </w:pPr>
            <w:r>
              <w:rPr>
                <w:rFonts w:hint="eastAsia" w:ascii="宋体" w:hAnsi="宋体" w:cs="宋体"/>
                <w:color w:val="000000"/>
                <w:lang w:eastAsia="zh-CN" w:bidi="ar"/>
              </w:rPr>
              <w:t>广州立邦</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486C33">
            <w:pPr>
              <w:jc w:val="center"/>
              <w:rPr>
                <w:rFonts w:ascii="宋体" w:hAnsi="宋体" w:cs="宋体"/>
                <w:color w:val="FF0000"/>
              </w:rPr>
            </w:pPr>
          </w:p>
        </w:tc>
      </w:tr>
      <w:tr w14:paraId="7F6B087B">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1E56D">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965D5">
            <w:pPr>
              <w:textAlignment w:val="center"/>
              <w:rPr>
                <w:rFonts w:ascii="宋体" w:hAnsi="宋体" w:cs="宋体"/>
                <w:color w:val="000000"/>
                <w:lang w:eastAsia="zh-CN"/>
              </w:rPr>
            </w:pPr>
            <w:r>
              <w:rPr>
                <w:rFonts w:hint="eastAsia" w:ascii="宋体" w:hAnsi="宋体" w:cs="宋体"/>
                <w:color w:val="000000"/>
                <w:lang w:eastAsia="zh-CN" w:bidi="ar"/>
              </w:rPr>
              <w:t>三棵树涂料股份有限公司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043C6">
            <w:pPr>
              <w:jc w:val="center"/>
              <w:textAlignment w:val="center"/>
              <w:rPr>
                <w:rFonts w:ascii="宋体" w:hAnsi="宋体" w:cs="宋体"/>
                <w:color w:val="000000"/>
              </w:rPr>
            </w:pPr>
            <w:r>
              <w:rPr>
                <w:rFonts w:hint="eastAsia" w:ascii="宋体" w:hAnsi="宋体" w:cs="宋体"/>
                <w:color w:val="000000"/>
                <w:lang w:eastAsia="zh-CN" w:bidi="ar"/>
              </w:rPr>
              <w:t>三棵树</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8EC286">
            <w:pPr>
              <w:jc w:val="center"/>
              <w:rPr>
                <w:rFonts w:ascii="宋体" w:hAnsi="宋体" w:cs="宋体"/>
                <w:color w:val="FF0000"/>
              </w:rPr>
            </w:pPr>
          </w:p>
        </w:tc>
      </w:tr>
      <w:tr w14:paraId="3E0D8560">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2F8E4">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6FDDB">
            <w:pPr>
              <w:textAlignment w:val="center"/>
              <w:rPr>
                <w:rFonts w:ascii="宋体" w:hAnsi="宋体" w:cs="宋体"/>
                <w:color w:val="000000"/>
                <w:lang w:eastAsia="zh-CN"/>
              </w:rPr>
            </w:pPr>
            <w:r>
              <w:rPr>
                <w:rFonts w:hint="eastAsia" w:ascii="宋体" w:hAnsi="宋体" w:cs="宋体"/>
                <w:color w:val="000000"/>
                <w:lang w:eastAsia="zh-CN" w:bidi="ar"/>
              </w:rPr>
              <w:t>广东华润涂料有限公司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AD053">
            <w:pPr>
              <w:jc w:val="center"/>
              <w:textAlignment w:val="center"/>
              <w:rPr>
                <w:rFonts w:ascii="宋体" w:hAnsi="宋体" w:cs="宋体"/>
                <w:color w:val="000000"/>
              </w:rPr>
            </w:pPr>
            <w:r>
              <w:rPr>
                <w:rFonts w:hint="eastAsia" w:ascii="宋体" w:hAnsi="宋体" w:cs="宋体"/>
                <w:color w:val="000000"/>
                <w:lang w:eastAsia="zh-CN" w:bidi="ar"/>
              </w:rPr>
              <w:t>华润漆</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A28715">
            <w:pPr>
              <w:jc w:val="center"/>
              <w:rPr>
                <w:rFonts w:ascii="宋体" w:hAnsi="宋体" w:cs="宋体"/>
                <w:color w:val="FF0000"/>
              </w:rPr>
            </w:pPr>
          </w:p>
        </w:tc>
      </w:tr>
      <w:tr w14:paraId="3F3E68E9">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BEE43">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C0AA2">
            <w:pPr>
              <w:textAlignment w:val="center"/>
              <w:rPr>
                <w:rFonts w:ascii="宋体" w:hAnsi="宋体" w:cs="宋体"/>
                <w:color w:val="000000"/>
                <w:lang w:eastAsia="zh-CN"/>
              </w:rPr>
            </w:pPr>
            <w:r>
              <w:rPr>
                <w:rFonts w:hint="eastAsia" w:ascii="宋体" w:hAnsi="宋体" w:cs="宋体"/>
                <w:color w:val="000000"/>
                <w:lang w:eastAsia="zh-CN" w:bidi="ar"/>
              </w:rPr>
              <w:t>阿克苏诺贝尔漆油（上海）有限公司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5E5A9">
            <w:pPr>
              <w:jc w:val="center"/>
              <w:textAlignment w:val="center"/>
              <w:rPr>
                <w:rFonts w:ascii="宋体" w:hAnsi="宋体" w:cs="宋体"/>
                <w:color w:val="000000"/>
              </w:rPr>
            </w:pPr>
            <w:r>
              <w:rPr>
                <w:rFonts w:hint="eastAsia" w:ascii="宋体" w:hAnsi="宋体" w:cs="宋体"/>
                <w:color w:val="000000"/>
                <w:lang w:eastAsia="zh-CN" w:bidi="ar"/>
              </w:rPr>
              <w:t>多乐士</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A119E3">
            <w:pPr>
              <w:jc w:val="center"/>
              <w:rPr>
                <w:rFonts w:ascii="宋体" w:hAnsi="宋体" w:cs="宋体"/>
                <w:color w:val="FF0000"/>
              </w:rPr>
            </w:pPr>
          </w:p>
        </w:tc>
      </w:tr>
      <w:tr w14:paraId="4F7A6D76">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714D1">
            <w:pPr>
              <w:jc w:val="center"/>
              <w:textAlignment w:val="center"/>
              <w:rPr>
                <w:rFonts w:ascii="宋体" w:hAnsi="宋体" w:cs="宋体"/>
                <w:color w:val="000000"/>
              </w:rPr>
            </w:pPr>
            <w:r>
              <w:rPr>
                <w:rFonts w:hint="eastAsia" w:ascii="宋体" w:hAnsi="宋体" w:cs="宋体"/>
                <w:color w:val="000000"/>
                <w:lang w:eastAsia="zh-CN" w:bidi="ar"/>
              </w:rPr>
              <w:t>5</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5EF20">
            <w:pPr>
              <w:textAlignment w:val="center"/>
              <w:rPr>
                <w:rFonts w:ascii="宋体" w:hAnsi="宋体" w:cs="宋体"/>
                <w:color w:val="000000"/>
                <w:lang w:eastAsia="zh-CN"/>
              </w:rPr>
            </w:pPr>
            <w:r>
              <w:rPr>
                <w:rFonts w:hint="eastAsia" w:ascii="宋体" w:hAnsi="宋体" w:cs="宋体"/>
                <w:color w:val="000000"/>
                <w:lang w:eastAsia="zh-CN" w:bidi="ar"/>
              </w:rPr>
              <w:t>北新嘉宝莉涂料集团股份有限公司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A5E55">
            <w:pPr>
              <w:jc w:val="center"/>
              <w:textAlignment w:val="center"/>
              <w:rPr>
                <w:rFonts w:ascii="宋体" w:hAnsi="宋体" w:cs="宋体"/>
                <w:color w:val="000000"/>
              </w:rPr>
            </w:pPr>
            <w:r>
              <w:rPr>
                <w:rFonts w:hint="eastAsia" w:ascii="宋体" w:hAnsi="宋体" w:cs="宋体"/>
                <w:color w:val="000000"/>
                <w:lang w:eastAsia="zh-CN" w:bidi="ar"/>
              </w:rPr>
              <w:t>嘉宝莉</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B9B5D0">
            <w:pPr>
              <w:jc w:val="center"/>
              <w:rPr>
                <w:rFonts w:ascii="宋体" w:hAnsi="宋体" w:cs="宋体"/>
                <w:color w:val="FF0000"/>
              </w:rPr>
            </w:pPr>
          </w:p>
        </w:tc>
      </w:tr>
      <w:tr w14:paraId="091EF01D">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3F6BA92">
            <w:pPr>
              <w:textAlignment w:val="center"/>
              <w:rPr>
                <w:rFonts w:ascii="宋体" w:hAnsi="宋体" w:cs="宋体"/>
                <w:b/>
                <w:bCs/>
                <w:color w:val="000000"/>
              </w:rPr>
            </w:pPr>
            <w:r>
              <w:rPr>
                <w:rFonts w:hint="eastAsia" w:ascii="宋体" w:hAnsi="宋体" w:cs="宋体"/>
                <w:b/>
                <w:bCs/>
                <w:color w:val="000000"/>
                <w:lang w:eastAsia="zh-CN" w:bidi="ar"/>
              </w:rPr>
              <w:t>2.外墙涂料</w:t>
            </w:r>
          </w:p>
        </w:tc>
      </w:tr>
      <w:tr w14:paraId="1C462092">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0C415">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06366">
            <w:pPr>
              <w:textAlignment w:val="center"/>
              <w:rPr>
                <w:rFonts w:ascii="宋体" w:hAnsi="宋体" w:cs="宋体"/>
                <w:color w:val="000000"/>
                <w:lang w:eastAsia="zh-CN"/>
              </w:rPr>
            </w:pPr>
            <w:r>
              <w:rPr>
                <w:rFonts w:hint="eastAsia" w:ascii="宋体" w:hAnsi="宋体" w:cs="宋体"/>
                <w:color w:val="000000"/>
                <w:lang w:eastAsia="zh-CN" w:bidi="ar"/>
              </w:rPr>
              <w:t>广州立邦涂料有限公司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4BFE3">
            <w:pPr>
              <w:jc w:val="center"/>
              <w:textAlignment w:val="center"/>
              <w:rPr>
                <w:rFonts w:ascii="宋体" w:hAnsi="宋体" w:cs="宋体"/>
                <w:color w:val="000000"/>
              </w:rPr>
            </w:pPr>
            <w:r>
              <w:rPr>
                <w:rFonts w:hint="eastAsia" w:ascii="宋体" w:hAnsi="宋体" w:cs="宋体"/>
                <w:color w:val="000000"/>
                <w:lang w:eastAsia="zh-CN" w:bidi="ar"/>
              </w:rPr>
              <w:t>广州立邦</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7AC114">
            <w:pPr>
              <w:jc w:val="center"/>
              <w:rPr>
                <w:rFonts w:ascii="宋体" w:hAnsi="宋体" w:cs="宋体"/>
                <w:color w:val="FF0000"/>
              </w:rPr>
            </w:pPr>
          </w:p>
        </w:tc>
      </w:tr>
      <w:tr w14:paraId="0F3B22EF">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31DC6">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ABFE5">
            <w:pPr>
              <w:textAlignment w:val="center"/>
              <w:rPr>
                <w:rFonts w:ascii="宋体" w:hAnsi="宋体" w:cs="宋体"/>
                <w:color w:val="000000"/>
                <w:lang w:eastAsia="zh-CN"/>
              </w:rPr>
            </w:pPr>
            <w:r>
              <w:rPr>
                <w:rFonts w:hint="eastAsia" w:ascii="宋体" w:hAnsi="宋体" w:cs="宋体"/>
                <w:color w:val="000000"/>
                <w:lang w:eastAsia="zh-CN" w:bidi="ar"/>
              </w:rPr>
              <w:t>三棵树涂料股份有限公司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6E4FD">
            <w:pPr>
              <w:jc w:val="center"/>
              <w:textAlignment w:val="center"/>
              <w:rPr>
                <w:rFonts w:ascii="宋体" w:hAnsi="宋体" w:cs="宋体"/>
                <w:color w:val="000000"/>
              </w:rPr>
            </w:pPr>
            <w:r>
              <w:rPr>
                <w:rFonts w:hint="eastAsia" w:ascii="宋体" w:hAnsi="宋体" w:cs="宋体"/>
                <w:color w:val="000000"/>
                <w:lang w:eastAsia="zh-CN" w:bidi="ar"/>
              </w:rPr>
              <w:t>三棵树</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95A828">
            <w:pPr>
              <w:jc w:val="center"/>
              <w:rPr>
                <w:rFonts w:ascii="宋体" w:hAnsi="宋体" w:cs="宋体"/>
                <w:color w:val="FF0000"/>
              </w:rPr>
            </w:pPr>
          </w:p>
        </w:tc>
      </w:tr>
      <w:tr w14:paraId="55FD7C8F">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ED260">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2975A">
            <w:pPr>
              <w:textAlignment w:val="center"/>
              <w:rPr>
                <w:rFonts w:ascii="宋体" w:hAnsi="宋体" w:cs="宋体"/>
                <w:color w:val="000000"/>
                <w:lang w:eastAsia="zh-CN"/>
              </w:rPr>
            </w:pPr>
            <w:r>
              <w:rPr>
                <w:rFonts w:hint="eastAsia" w:ascii="宋体" w:hAnsi="宋体" w:cs="宋体"/>
                <w:color w:val="000000"/>
                <w:lang w:eastAsia="zh-CN" w:bidi="ar"/>
              </w:rPr>
              <w:t>广东华润涂料有限公司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ACD62">
            <w:pPr>
              <w:jc w:val="center"/>
              <w:textAlignment w:val="center"/>
              <w:rPr>
                <w:rFonts w:ascii="宋体" w:hAnsi="宋体" w:cs="宋体"/>
                <w:color w:val="000000"/>
              </w:rPr>
            </w:pPr>
            <w:r>
              <w:rPr>
                <w:rFonts w:hint="eastAsia" w:ascii="宋体" w:hAnsi="宋体" w:cs="宋体"/>
                <w:color w:val="000000"/>
                <w:lang w:eastAsia="zh-CN" w:bidi="ar"/>
              </w:rPr>
              <w:t>华润漆</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F3F8EF">
            <w:pPr>
              <w:jc w:val="center"/>
              <w:rPr>
                <w:rFonts w:ascii="宋体" w:hAnsi="宋体" w:cs="宋体"/>
                <w:color w:val="FF0000"/>
              </w:rPr>
            </w:pPr>
          </w:p>
        </w:tc>
      </w:tr>
      <w:tr w14:paraId="4FCE98ED">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29702">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C4B78">
            <w:pPr>
              <w:textAlignment w:val="center"/>
              <w:rPr>
                <w:rFonts w:ascii="宋体" w:hAnsi="宋体" w:cs="宋体"/>
                <w:color w:val="000000"/>
                <w:lang w:eastAsia="zh-CN"/>
              </w:rPr>
            </w:pPr>
            <w:r>
              <w:rPr>
                <w:rFonts w:hint="eastAsia" w:ascii="宋体" w:hAnsi="宋体" w:cs="宋体"/>
                <w:color w:val="000000"/>
                <w:lang w:eastAsia="zh-CN" w:bidi="ar"/>
              </w:rPr>
              <w:t>阿克苏诺贝尔漆油（上海）有限公司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FD7FB">
            <w:pPr>
              <w:jc w:val="center"/>
              <w:textAlignment w:val="center"/>
              <w:rPr>
                <w:rFonts w:ascii="宋体" w:hAnsi="宋体" w:cs="宋体"/>
                <w:color w:val="000000"/>
              </w:rPr>
            </w:pPr>
            <w:r>
              <w:rPr>
                <w:rFonts w:hint="eastAsia" w:ascii="宋体" w:hAnsi="宋体" w:cs="宋体"/>
                <w:color w:val="000000"/>
                <w:lang w:eastAsia="zh-CN" w:bidi="ar"/>
              </w:rPr>
              <w:t>多乐士</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555E07">
            <w:pPr>
              <w:jc w:val="center"/>
              <w:rPr>
                <w:rFonts w:ascii="宋体" w:hAnsi="宋体" w:cs="宋体"/>
                <w:color w:val="FF0000"/>
              </w:rPr>
            </w:pPr>
          </w:p>
        </w:tc>
      </w:tr>
      <w:tr w14:paraId="33EC4C88">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9DE76">
            <w:pPr>
              <w:jc w:val="center"/>
              <w:textAlignment w:val="center"/>
              <w:rPr>
                <w:rFonts w:ascii="宋体" w:hAnsi="宋体" w:cs="宋体"/>
                <w:color w:val="000000"/>
              </w:rPr>
            </w:pPr>
            <w:r>
              <w:rPr>
                <w:rFonts w:hint="eastAsia" w:ascii="宋体" w:hAnsi="宋体" w:cs="宋体"/>
                <w:color w:val="000000"/>
                <w:lang w:eastAsia="zh-CN" w:bidi="ar"/>
              </w:rPr>
              <w:t>5</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10791">
            <w:pPr>
              <w:textAlignment w:val="center"/>
              <w:rPr>
                <w:rFonts w:ascii="宋体" w:hAnsi="宋体" w:cs="宋体"/>
                <w:color w:val="000000"/>
                <w:lang w:eastAsia="zh-CN"/>
              </w:rPr>
            </w:pPr>
            <w:r>
              <w:rPr>
                <w:rFonts w:hint="eastAsia" w:ascii="宋体" w:hAnsi="宋体" w:cs="宋体"/>
                <w:color w:val="000000"/>
                <w:lang w:eastAsia="zh-CN" w:bidi="ar"/>
              </w:rPr>
              <w:t>北新嘉宝莉涂料集团股份有限公司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EEC5C">
            <w:pPr>
              <w:jc w:val="center"/>
              <w:textAlignment w:val="center"/>
              <w:rPr>
                <w:rFonts w:ascii="宋体" w:hAnsi="宋体" w:cs="宋体"/>
                <w:color w:val="000000"/>
              </w:rPr>
            </w:pPr>
            <w:r>
              <w:rPr>
                <w:rFonts w:hint="eastAsia" w:ascii="宋体" w:hAnsi="宋体" w:cs="宋体"/>
                <w:color w:val="000000"/>
                <w:lang w:eastAsia="zh-CN" w:bidi="ar"/>
              </w:rPr>
              <w:t>嘉宝莉</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ADC4BF">
            <w:pPr>
              <w:jc w:val="center"/>
              <w:rPr>
                <w:rFonts w:ascii="宋体" w:hAnsi="宋体" w:cs="宋体"/>
                <w:color w:val="FF0000"/>
              </w:rPr>
            </w:pPr>
          </w:p>
        </w:tc>
      </w:tr>
      <w:tr w14:paraId="3D68F169">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C3D75">
            <w:pPr>
              <w:jc w:val="center"/>
              <w:textAlignment w:val="center"/>
              <w:rPr>
                <w:rFonts w:ascii="宋体" w:hAnsi="宋体" w:cs="宋体"/>
                <w:color w:val="000000"/>
              </w:rPr>
            </w:pPr>
            <w:r>
              <w:rPr>
                <w:rFonts w:hint="eastAsia" w:ascii="宋体" w:hAnsi="宋体" w:cs="宋体"/>
                <w:color w:val="000000"/>
                <w:lang w:eastAsia="zh-CN" w:bidi="ar"/>
              </w:rPr>
              <w:t>6</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B1BAB">
            <w:pPr>
              <w:textAlignment w:val="center"/>
              <w:rPr>
                <w:rFonts w:ascii="宋体" w:hAnsi="宋体" w:cs="宋体"/>
                <w:color w:val="000000"/>
                <w:lang w:eastAsia="zh-CN"/>
              </w:rPr>
            </w:pPr>
            <w:r>
              <w:rPr>
                <w:rFonts w:hint="eastAsia" w:ascii="宋体" w:hAnsi="宋体" w:cs="宋体"/>
                <w:color w:val="000000"/>
                <w:lang w:eastAsia="zh-CN" w:bidi="ar"/>
              </w:rPr>
              <w:t>广东美涂士建材股份有限公司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B36B1">
            <w:pPr>
              <w:jc w:val="center"/>
              <w:textAlignment w:val="center"/>
              <w:rPr>
                <w:rFonts w:ascii="宋体" w:hAnsi="宋体" w:cs="宋体"/>
                <w:color w:val="000000"/>
              </w:rPr>
            </w:pPr>
            <w:r>
              <w:rPr>
                <w:rFonts w:hint="eastAsia" w:ascii="宋体" w:hAnsi="宋体" w:cs="宋体"/>
                <w:color w:val="000000"/>
                <w:lang w:eastAsia="zh-CN" w:bidi="ar"/>
              </w:rPr>
              <w:t>美涂士</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0438ED">
            <w:pPr>
              <w:jc w:val="center"/>
              <w:rPr>
                <w:rFonts w:ascii="宋体" w:hAnsi="宋体" w:cs="宋体"/>
                <w:color w:val="FF0000"/>
              </w:rPr>
            </w:pPr>
          </w:p>
        </w:tc>
      </w:tr>
      <w:tr w14:paraId="629E4ED0">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79650FB8">
            <w:pPr>
              <w:textAlignment w:val="center"/>
              <w:rPr>
                <w:rFonts w:ascii="宋体" w:hAnsi="宋体" w:cs="宋体"/>
                <w:b/>
                <w:bCs/>
                <w:color w:val="000000"/>
              </w:rPr>
            </w:pPr>
            <w:r>
              <w:rPr>
                <w:rFonts w:hint="eastAsia" w:ascii="宋体" w:hAnsi="宋体" w:cs="宋体"/>
                <w:b/>
                <w:bCs/>
                <w:color w:val="000000"/>
                <w:lang w:eastAsia="zh-CN" w:bidi="ar"/>
              </w:rPr>
              <w:t>3.地面涂料（地坪漆）</w:t>
            </w:r>
          </w:p>
        </w:tc>
      </w:tr>
      <w:tr w14:paraId="145BB88E">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0E0B27">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DCA2E1">
            <w:pPr>
              <w:textAlignment w:val="center"/>
              <w:rPr>
                <w:rFonts w:ascii="宋体" w:hAnsi="宋体" w:cs="宋体"/>
                <w:color w:val="000000"/>
                <w:lang w:eastAsia="zh-CN"/>
              </w:rPr>
            </w:pPr>
            <w:r>
              <w:rPr>
                <w:rFonts w:hint="eastAsia" w:ascii="宋体" w:hAnsi="宋体" w:cs="宋体"/>
                <w:color w:val="000000"/>
                <w:lang w:eastAsia="zh-CN" w:bidi="ar"/>
              </w:rPr>
              <w:t>北新嘉宝莉涂料集团股份有限公司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943E16">
            <w:pPr>
              <w:jc w:val="center"/>
              <w:textAlignment w:val="center"/>
              <w:rPr>
                <w:rFonts w:ascii="宋体" w:hAnsi="宋体" w:cs="宋体"/>
                <w:color w:val="000000"/>
              </w:rPr>
            </w:pPr>
            <w:r>
              <w:rPr>
                <w:rFonts w:hint="eastAsia" w:ascii="宋体" w:hAnsi="宋体" w:cs="宋体"/>
                <w:color w:val="000000"/>
                <w:lang w:eastAsia="zh-CN" w:bidi="ar"/>
              </w:rPr>
              <w:t>嘉宝莉</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F849E6">
            <w:pPr>
              <w:jc w:val="center"/>
              <w:rPr>
                <w:rFonts w:ascii="宋体" w:hAnsi="宋体" w:cs="宋体"/>
                <w:color w:val="FF0000"/>
              </w:rPr>
            </w:pPr>
          </w:p>
        </w:tc>
      </w:tr>
      <w:tr w14:paraId="6CAF8FCA">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8C75B7">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E0A41D">
            <w:pPr>
              <w:textAlignment w:val="center"/>
              <w:rPr>
                <w:rFonts w:ascii="宋体" w:hAnsi="宋体" w:cs="宋体"/>
                <w:color w:val="000000"/>
                <w:lang w:eastAsia="zh-CN"/>
              </w:rPr>
            </w:pPr>
            <w:r>
              <w:rPr>
                <w:rFonts w:hint="eastAsia" w:ascii="宋体" w:hAnsi="宋体" w:cs="宋体"/>
                <w:color w:val="000000"/>
                <w:lang w:eastAsia="zh-CN" w:bidi="ar"/>
              </w:rPr>
              <w:t>三棵树涂料股份有限公司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CE048D">
            <w:pPr>
              <w:jc w:val="center"/>
              <w:textAlignment w:val="center"/>
              <w:rPr>
                <w:rFonts w:ascii="宋体" w:hAnsi="宋体" w:cs="宋体"/>
                <w:color w:val="000000"/>
              </w:rPr>
            </w:pPr>
            <w:r>
              <w:rPr>
                <w:rFonts w:hint="eastAsia" w:ascii="宋体" w:hAnsi="宋体" w:cs="宋体"/>
                <w:color w:val="000000"/>
                <w:lang w:eastAsia="zh-CN" w:bidi="ar"/>
              </w:rPr>
              <w:t>三棵树</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E40829">
            <w:pPr>
              <w:jc w:val="center"/>
              <w:rPr>
                <w:rFonts w:ascii="宋体" w:hAnsi="宋体" w:cs="宋体"/>
                <w:color w:val="FF0000"/>
              </w:rPr>
            </w:pPr>
          </w:p>
        </w:tc>
      </w:tr>
      <w:tr w14:paraId="17A98BC5">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EFC410">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81A715">
            <w:pPr>
              <w:textAlignment w:val="center"/>
              <w:rPr>
                <w:rFonts w:ascii="宋体" w:hAnsi="宋体" w:cs="宋体"/>
                <w:color w:val="000000"/>
                <w:lang w:eastAsia="zh-CN"/>
              </w:rPr>
            </w:pPr>
            <w:r>
              <w:rPr>
                <w:rFonts w:hint="eastAsia" w:ascii="宋体" w:hAnsi="宋体" w:cs="宋体"/>
                <w:color w:val="000000"/>
                <w:lang w:eastAsia="zh-CN" w:bidi="ar"/>
              </w:rPr>
              <w:t>广东美涂士建材股份有限公司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273F6A">
            <w:pPr>
              <w:jc w:val="center"/>
              <w:textAlignment w:val="center"/>
              <w:rPr>
                <w:rFonts w:ascii="宋体" w:hAnsi="宋体" w:cs="宋体"/>
                <w:color w:val="000000"/>
              </w:rPr>
            </w:pPr>
            <w:r>
              <w:rPr>
                <w:rFonts w:hint="eastAsia" w:ascii="宋体" w:hAnsi="宋体" w:cs="宋体"/>
                <w:color w:val="000000"/>
                <w:lang w:eastAsia="zh-CN" w:bidi="ar"/>
              </w:rPr>
              <w:t>美涂士</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4A1BA5">
            <w:pPr>
              <w:jc w:val="center"/>
              <w:rPr>
                <w:rFonts w:ascii="宋体" w:hAnsi="宋体" w:cs="宋体"/>
                <w:color w:val="FF0000"/>
              </w:rPr>
            </w:pPr>
          </w:p>
        </w:tc>
      </w:tr>
      <w:tr w14:paraId="019740D6">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9B3CA2">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1FA73E">
            <w:pPr>
              <w:textAlignment w:val="center"/>
              <w:rPr>
                <w:rFonts w:ascii="宋体" w:hAnsi="宋体" w:cs="宋体"/>
                <w:color w:val="000000"/>
                <w:lang w:eastAsia="zh-CN"/>
              </w:rPr>
            </w:pPr>
            <w:r>
              <w:rPr>
                <w:rFonts w:hint="eastAsia" w:ascii="宋体" w:hAnsi="宋体" w:cs="宋体"/>
                <w:color w:val="000000"/>
                <w:lang w:eastAsia="zh-CN" w:bidi="ar"/>
              </w:rPr>
              <w:t>广州立邦涂料有限公司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E83A6E">
            <w:pPr>
              <w:jc w:val="center"/>
              <w:textAlignment w:val="center"/>
              <w:rPr>
                <w:rFonts w:ascii="宋体" w:hAnsi="宋体" w:cs="宋体"/>
                <w:color w:val="000000"/>
              </w:rPr>
            </w:pPr>
            <w:r>
              <w:rPr>
                <w:rFonts w:hint="eastAsia" w:ascii="宋体" w:hAnsi="宋体" w:cs="宋体"/>
                <w:color w:val="000000"/>
                <w:lang w:eastAsia="zh-CN" w:bidi="ar"/>
              </w:rPr>
              <w:t>立邦</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92697B">
            <w:pPr>
              <w:jc w:val="center"/>
              <w:rPr>
                <w:rFonts w:ascii="宋体" w:hAnsi="宋体" w:cs="宋体"/>
                <w:color w:val="FF0000"/>
              </w:rPr>
            </w:pPr>
          </w:p>
        </w:tc>
      </w:tr>
      <w:tr w14:paraId="602858F5">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79FF25">
            <w:pPr>
              <w:jc w:val="center"/>
              <w:textAlignment w:val="center"/>
              <w:rPr>
                <w:rFonts w:ascii="宋体" w:hAnsi="宋体" w:cs="宋体"/>
                <w:color w:val="000000"/>
              </w:rPr>
            </w:pPr>
            <w:r>
              <w:rPr>
                <w:rFonts w:hint="eastAsia" w:ascii="宋体" w:hAnsi="宋体" w:cs="宋体"/>
                <w:color w:val="000000"/>
                <w:lang w:eastAsia="zh-CN" w:bidi="ar"/>
              </w:rPr>
              <w:t>5</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4C25F7">
            <w:pPr>
              <w:textAlignment w:val="center"/>
              <w:rPr>
                <w:rFonts w:ascii="宋体" w:hAnsi="宋体" w:cs="宋体"/>
                <w:color w:val="000000"/>
                <w:lang w:eastAsia="zh-CN"/>
              </w:rPr>
            </w:pPr>
            <w:r>
              <w:rPr>
                <w:rFonts w:hint="eastAsia" w:ascii="宋体" w:hAnsi="宋体" w:cs="宋体"/>
                <w:color w:val="000000"/>
                <w:lang w:eastAsia="zh-CN" w:bidi="ar"/>
              </w:rPr>
              <w:t>阿克苏诺贝尔漆油（上海）有限公司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41A49A">
            <w:pPr>
              <w:jc w:val="center"/>
              <w:textAlignment w:val="center"/>
              <w:rPr>
                <w:rFonts w:ascii="宋体" w:hAnsi="宋体" w:cs="宋体"/>
                <w:color w:val="000000"/>
              </w:rPr>
            </w:pPr>
            <w:r>
              <w:rPr>
                <w:rFonts w:hint="eastAsia" w:ascii="宋体" w:hAnsi="宋体" w:cs="宋体"/>
                <w:color w:val="000000"/>
                <w:lang w:eastAsia="zh-CN" w:bidi="ar"/>
              </w:rPr>
              <w:t>多乐士</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F539DD">
            <w:pPr>
              <w:jc w:val="center"/>
              <w:rPr>
                <w:rFonts w:ascii="宋体" w:hAnsi="宋体" w:cs="宋体"/>
                <w:color w:val="FF0000"/>
              </w:rPr>
            </w:pPr>
          </w:p>
        </w:tc>
      </w:tr>
      <w:tr w14:paraId="1A727A0E">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053798">
            <w:pPr>
              <w:jc w:val="center"/>
              <w:textAlignment w:val="center"/>
              <w:rPr>
                <w:rFonts w:ascii="宋体" w:hAnsi="宋体" w:cs="宋体"/>
                <w:color w:val="000000"/>
              </w:rPr>
            </w:pPr>
            <w:r>
              <w:rPr>
                <w:rFonts w:hint="eastAsia" w:ascii="宋体" w:hAnsi="宋体" w:cs="宋体"/>
                <w:color w:val="000000"/>
                <w:lang w:eastAsia="zh-CN" w:bidi="ar"/>
              </w:rPr>
              <w:t>6</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C9B2A5">
            <w:pPr>
              <w:textAlignment w:val="center"/>
              <w:rPr>
                <w:rFonts w:ascii="宋体" w:hAnsi="宋体" w:cs="宋体"/>
                <w:color w:val="000000"/>
                <w:lang w:eastAsia="zh-CN"/>
              </w:rPr>
            </w:pPr>
            <w:r>
              <w:rPr>
                <w:rFonts w:hint="eastAsia" w:ascii="宋体" w:hAnsi="宋体" w:cs="宋体"/>
                <w:color w:val="000000"/>
                <w:lang w:eastAsia="zh-CN" w:bidi="ar"/>
              </w:rPr>
              <w:t>广东华润涂料有限公司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B16456">
            <w:pPr>
              <w:jc w:val="center"/>
              <w:textAlignment w:val="center"/>
              <w:rPr>
                <w:rFonts w:ascii="宋体" w:hAnsi="宋体" w:cs="宋体"/>
                <w:color w:val="000000"/>
              </w:rPr>
            </w:pPr>
            <w:r>
              <w:rPr>
                <w:rFonts w:hint="eastAsia" w:ascii="宋体" w:hAnsi="宋体" w:cs="宋体"/>
                <w:color w:val="000000"/>
                <w:lang w:eastAsia="zh-CN" w:bidi="ar"/>
              </w:rPr>
              <w:t>华润漆</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2DC5C2">
            <w:pPr>
              <w:jc w:val="center"/>
              <w:rPr>
                <w:rFonts w:ascii="宋体" w:hAnsi="宋体" w:cs="宋体"/>
                <w:color w:val="FF0000"/>
              </w:rPr>
            </w:pPr>
          </w:p>
        </w:tc>
      </w:tr>
      <w:tr w14:paraId="57D02B2E">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A918835">
            <w:pPr>
              <w:textAlignment w:val="center"/>
              <w:rPr>
                <w:rFonts w:ascii="宋体" w:hAnsi="宋体" w:cs="宋体"/>
                <w:b/>
                <w:bCs/>
                <w:color w:val="000000"/>
              </w:rPr>
            </w:pPr>
            <w:r>
              <w:rPr>
                <w:rFonts w:hint="eastAsia" w:ascii="宋体" w:hAnsi="宋体" w:cs="宋体"/>
                <w:b/>
                <w:bCs/>
                <w:color w:val="000000"/>
                <w:lang w:eastAsia="zh-CN" w:bidi="ar"/>
              </w:rPr>
              <w:t>4.防水材料（防水卷材、防水涂料）</w:t>
            </w:r>
          </w:p>
        </w:tc>
      </w:tr>
      <w:tr w14:paraId="317D1419">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27684">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6952D">
            <w:pPr>
              <w:textAlignment w:val="center"/>
              <w:rPr>
                <w:rFonts w:ascii="宋体" w:hAnsi="宋体" w:cs="宋体"/>
                <w:color w:val="000000"/>
                <w:lang w:eastAsia="zh-CN"/>
              </w:rPr>
            </w:pPr>
            <w:r>
              <w:rPr>
                <w:rFonts w:hint="eastAsia" w:ascii="宋体" w:hAnsi="宋体" w:cs="宋体"/>
                <w:color w:val="000000"/>
                <w:lang w:eastAsia="zh-CN" w:bidi="ar"/>
              </w:rPr>
              <w:t>广东东方雨虹防水工程有限公司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18E1C">
            <w:pPr>
              <w:jc w:val="center"/>
              <w:textAlignment w:val="center"/>
              <w:rPr>
                <w:rFonts w:ascii="宋体" w:hAnsi="宋体" w:cs="宋体"/>
                <w:color w:val="000000"/>
              </w:rPr>
            </w:pPr>
            <w:r>
              <w:rPr>
                <w:rFonts w:hint="eastAsia" w:ascii="宋体" w:hAnsi="宋体" w:cs="宋体"/>
                <w:color w:val="000000"/>
                <w:lang w:eastAsia="zh-CN" w:bidi="ar"/>
              </w:rPr>
              <w:t>东方雨虹</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95B53">
            <w:pPr>
              <w:jc w:val="center"/>
              <w:rPr>
                <w:rFonts w:ascii="宋体" w:hAnsi="宋体" w:cs="宋体"/>
                <w:color w:val="FF0000"/>
              </w:rPr>
            </w:pPr>
          </w:p>
        </w:tc>
      </w:tr>
      <w:tr w14:paraId="2CDCE4F5">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9C147">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5157A">
            <w:pPr>
              <w:textAlignment w:val="center"/>
              <w:rPr>
                <w:rFonts w:ascii="宋体" w:hAnsi="宋体" w:cs="宋体"/>
                <w:color w:val="000000"/>
                <w:lang w:eastAsia="zh-CN"/>
              </w:rPr>
            </w:pPr>
            <w:r>
              <w:rPr>
                <w:rFonts w:hint="eastAsia" w:ascii="宋体" w:hAnsi="宋体" w:cs="宋体"/>
                <w:color w:val="000000"/>
                <w:lang w:eastAsia="zh-CN" w:bidi="ar"/>
              </w:rPr>
              <w:t>科顺防水科技股份有限</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DF2E1">
            <w:pPr>
              <w:jc w:val="center"/>
              <w:textAlignment w:val="center"/>
              <w:rPr>
                <w:rFonts w:ascii="宋体" w:hAnsi="宋体" w:cs="宋体"/>
                <w:color w:val="000000"/>
              </w:rPr>
            </w:pPr>
            <w:r>
              <w:rPr>
                <w:rFonts w:hint="eastAsia" w:ascii="宋体" w:hAnsi="宋体" w:cs="宋体"/>
                <w:color w:val="000000"/>
                <w:lang w:eastAsia="zh-CN" w:bidi="ar"/>
              </w:rPr>
              <w:t>科顺</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85EF8">
            <w:pPr>
              <w:jc w:val="center"/>
              <w:rPr>
                <w:rFonts w:ascii="宋体" w:hAnsi="宋体" w:cs="宋体"/>
                <w:color w:val="FF0000"/>
              </w:rPr>
            </w:pPr>
          </w:p>
        </w:tc>
      </w:tr>
      <w:tr w14:paraId="2485654B">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D23B6">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43F4E">
            <w:pPr>
              <w:textAlignment w:val="center"/>
              <w:rPr>
                <w:rFonts w:ascii="宋体" w:hAnsi="宋体" w:cs="宋体"/>
                <w:color w:val="000000"/>
                <w:lang w:eastAsia="zh-CN"/>
              </w:rPr>
            </w:pPr>
            <w:r>
              <w:rPr>
                <w:rFonts w:hint="eastAsia" w:ascii="宋体" w:hAnsi="宋体" w:cs="宋体"/>
                <w:color w:val="000000"/>
                <w:lang w:eastAsia="zh-CN" w:bidi="ar"/>
              </w:rPr>
              <w:t>深圳市卓宝科技股份有限公司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A4F6A">
            <w:pPr>
              <w:jc w:val="center"/>
              <w:textAlignment w:val="center"/>
              <w:rPr>
                <w:rFonts w:ascii="宋体" w:hAnsi="宋体" w:cs="宋体"/>
                <w:color w:val="000000"/>
              </w:rPr>
            </w:pPr>
            <w:r>
              <w:rPr>
                <w:rFonts w:hint="eastAsia" w:ascii="宋体" w:hAnsi="宋体" w:cs="宋体"/>
                <w:color w:val="000000"/>
                <w:lang w:eastAsia="zh-CN" w:bidi="ar"/>
              </w:rPr>
              <w:t>卓宝</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51F89">
            <w:pPr>
              <w:jc w:val="center"/>
              <w:rPr>
                <w:rFonts w:ascii="宋体" w:hAnsi="宋体" w:cs="宋体"/>
                <w:color w:val="FF0000"/>
              </w:rPr>
            </w:pPr>
          </w:p>
        </w:tc>
      </w:tr>
      <w:tr w14:paraId="4863BFE9">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887B9">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C04E0">
            <w:pPr>
              <w:textAlignment w:val="center"/>
              <w:rPr>
                <w:rFonts w:ascii="宋体" w:hAnsi="宋体" w:cs="宋体"/>
                <w:color w:val="000000"/>
              </w:rPr>
            </w:pPr>
            <w:r>
              <w:rPr>
                <w:rFonts w:hint="eastAsia" w:ascii="宋体" w:hAnsi="宋体" w:cs="宋体"/>
                <w:color w:val="000000"/>
                <w:lang w:eastAsia="zh-CN" w:bidi="ar"/>
              </w:rPr>
              <w:t>大禹九鼎新材料科技有限公司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02A58">
            <w:pPr>
              <w:jc w:val="center"/>
              <w:textAlignment w:val="center"/>
              <w:rPr>
                <w:rFonts w:ascii="宋体" w:hAnsi="宋体" w:cs="宋体"/>
                <w:color w:val="000000"/>
              </w:rPr>
            </w:pPr>
            <w:r>
              <w:rPr>
                <w:rFonts w:hint="eastAsia" w:ascii="宋体" w:hAnsi="宋体" w:cs="宋体"/>
                <w:color w:val="000000"/>
                <w:lang w:eastAsia="zh-CN" w:bidi="ar"/>
              </w:rPr>
              <w:t>大禹九鼎</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EA337">
            <w:pPr>
              <w:jc w:val="center"/>
              <w:rPr>
                <w:rFonts w:ascii="宋体" w:hAnsi="宋体" w:cs="宋体"/>
                <w:color w:val="FF0000"/>
              </w:rPr>
            </w:pPr>
          </w:p>
        </w:tc>
      </w:tr>
      <w:tr w14:paraId="54BE1CB5">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7FA88">
            <w:pPr>
              <w:jc w:val="center"/>
              <w:textAlignment w:val="center"/>
              <w:rPr>
                <w:rFonts w:ascii="宋体" w:hAnsi="宋体" w:cs="宋体"/>
                <w:color w:val="000000"/>
              </w:rPr>
            </w:pPr>
            <w:r>
              <w:rPr>
                <w:rFonts w:hint="eastAsia" w:ascii="宋体" w:hAnsi="宋体" w:cs="宋体"/>
                <w:color w:val="000000"/>
                <w:lang w:eastAsia="zh-CN" w:bidi="ar"/>
              </w:rPr>
              <w:t>5</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E4130">
            <w:pPr>
              <w:textAlignment w:val="center"/>
              <w:rPr>
                <w:rFonts w:ascii="宋体" w:hAnsi="宋体" w:cs="宋体"/>
                <w:color w:val="000000"/>
                <w:lang w:eastAsia="zh-CN"/>
              </w:rPr>
            </w:pPr>
            <w:r>
              <w:rPr>
                <w:rFonts w:hint="eastAsia" w:ascii="宋体" w:hAnsi="宋体" w:cs="宋体"/>
                <w:color w:val="000000"/>
                <w:lang w:eastAsia="zh-CN" w:bidi="ar"/>
              </w:rPr>
              <w:t>广东禹能建材科技股份有限公司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BDE7A">
            <w:pPr>
              <w:jc w:val="center"/>
              <w:textAlignment w:val="center"/>
              <w:rPr>
                <w:rFonts w:ascii="宋体" w:hAnsi="宋体" w:cs="宋体"/>
                <w:color w:val="000000"/>
              </w:rPr>
            </w:pPr>
            <w:r>
              <w:rPr>
                <w:rFonts w:hint="eastAsia" w:ascii="宋体" w:hAnsi="宋体" w:cs="宋体"/>
                <w:color w:val="000000"/>
                <w:lang w:eastAsia="zh-CN" w:bidi="ar"/>
              </w:rPr>
              <w:t>禹能</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2D29F">
            <w:pPr>
              <w:jc w:val="center"/>
              <w:rPr>
                <w:rFonts w:ascii="宋体" w:hAnsi="宋体" w:cs="宋体"/>
                <w:color w:val="FF0000"/>
              </w:rPr>
            </w:pPr>
          </w:p>
        </w:tc>
      </w:tr>
      <w:tr w14:paraId="03A2E0B4">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437CE6BF">
            <w:pPr>
              <w:textAlignment w:val="center"/>
              <w:rPr>
                <w:rFonts w:ascii="宋体" w:hAnsi="宋体" w:cs="宋体"/>
                <w:b/>
                <w:bCs/>
                <w:color w:val="000000"/>
              </w:rPr>
            </w:pPr>
            <w:r>
              <w:rPr>
                <w:rFonts w:hint="eastAsia" w:ascii="宋体" w:hAnsi="宋体" w:cs="宋体"/>
                <w:b/>
                <w:bCs/>
                <w:color w:val="000000"/>
                <w:lang w:eastAsia="zh-CN" w:bidi="ar"/>
              </w:rPr>
              <w:t>5.瓷砖胶及勾缝剂</w:t>
            </w:r>
          </w:p>
        </w:tc>
      </w:tr>
      <w:tr w14:paraId="58489E8F">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8CF5D9">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7C144F">
            <w:pPr>
              <w:textAlignment w:val="center"/>
              <w:rPr>
                <w:rFonts w:ascii="宋体" w:hAnsi="宋体" w:cs="宋体"/>
                <w:color w:val="000000"/>
                <w:lang w:eastAsia="zh-CN"/>
              </w:rPr>
            </w:pPr>
            <w:r>
              <w:rPr>
                <w:rFonts w:hint="eastAsia" w:ascii="宋体" w:hAnsi="宋体" w:cs="宋体"/>
                <w:color w:val="000000"/>
                <w:lang w:eastAsia="zh-CN" w:bidi="ar"/>
              </w:rPr>
              <w:t>德高（广州）建材有限公司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20D932">
            <w:pPr>
              <w:jc w:val="center"/>
              <w:textAlignment w:val="center"/>
              <w:rPr>
                <w:rFonts w:ascii="宋体" w:hAnsi="宋体" w:cs="宋体"/>
                <w:color w:val="000000"/>
              </w:rPr>
            </w:pPr>
            <w:r>
              <w:rPr>
                <w:rFonts w:hint="eastAsia" w:ascii="宋体" w:hAnsi="宋体" w:cs="宋体"/>
                <w:color w:val="000000"/>
                <w:lang w:eastAsia="zh-CN" w:bidi="ar"/>
              </w:rPr>
              <w:t>德高</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25ACB0">
            <w:pPr>
              <w:jc w:val="center"/>
              <w:rPr>
                <w:rFonts w:ascii="宋体" w:hAnsi="宋体" w:cs="宋体"/>
                <w:color w:val="FF0000"/>
              </w:rPr>
            </w:pPr>
          </w:p>
        </w:tc>
      </w:tr>
      <w:tr w14:paraId="33C3DD91">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1EC224">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FF2DED">
            <w:pPr>
              <w:textAlignment w:val="center"/>
              <w:rPr>
                <w:rFonts w:ascii="宋体" w:hAnsi="宋体" w:cs="宋体"/>
                <w:color w:val="000000"/>
                <w:lang w:eastAsia="zh-CN"/>
              </w:rPr>
            </w:pPr>
            <w:r>
              <w:rPr>
                <w:rFonts w:hint="eastAsia" w:ascii="宋体" w:hAnsi="宋体" w:cs="宋体"/>
                <w:color w:val="000000"/>
                <w:lang w:eastAsia="zh-CN" w:bidi="ar"/>
              </w:rPr>
              <w:t>深圳东方雨虹砂粉科技有限公司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68DE34">
            <w:pPr>
              <w:jc w:val="center"/>
              <w:textAlignment w:val="center"/>
              <w:rPr>
                <w:rFonts w:ascii="宋体" w:hAnsi="宋体" w:cs="宋体"/>
                <w:color w:val="000000"/>
              </w:rPr>
            </w:pPr>
            <w:r>
              <w:rPr>
                <w:rFonts w:hint="eastAsia" w:ascii="宋体" w:hAnsi="宋体" w:cs="宋体"/>
                <w:color w:val="000000"/>
                <w:lang w:eastAsia="zh-CN" w:bidi="ar"/>
              </w:rPr>
              <w:t>东方雨虹</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F80C6D">
            <w:pPr>
              <w:jc w:val="center"/>
              <w:rPr>
                <w:rFonts w:ascii="宋体" w:hAnsi="宋体" w:cs="宋体"/>
                <w:color w:val="FF0000"/>
              </w:rPr>
            </w:pPr>
          </w:p>
        </w:tc>
      </w:tr>
      <w:tr w14:paraId="43F045FD">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D84582">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474A0F">
            <w:pPr>
              <w:textAlignment w:val="center"/>
              <w:rPr>
                <w:rFonts w:ascii="宋体" w:hAnsi="宋体" w:cs="宋体"/>
                <w:color w:val="000000"/>
                <w:lang w:eastAsia="zh-CN"/>
              </w:rPr>
            </w:pPr>
            <w:r>
              <w:rPr>
                <w:rFonts w:hint="eastAsia" w:ascii="宋体" w:hAnsi="宋体" w:cs="宋体"/>
                <w:color w:val="000000"/>
                <w:lang w:eastAsia="zh-CN" w:bidi="ar"/>
              </w:rPr>
              <w:t>三棵树涂料股份有限公司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645181">
            <w:pPr>
              <w:jc w:val="center"/>
              <w:textAlignment w:val="center"/>
              <w:rPr>
                <w:rFonts w:ascii="宋体" w:hAnsi="宋体" w:cs="宋体"/>
                <w:color w:val="000000"/>
              </w:rPr>
            </w:pPr>
            <w:r>
              <w:rPr>
                <w:rFonts w:hint="eastAsia" w:ascii="宋体" w:hAnsi="宋体" w:cs="宋体"/>
                <w:color w:val="000000"/>
                <w:lang w:eastAsia="zh-CN" w:bidi="ar"/>
              </w:rPr>
              <w:t>三棵树</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4EC969">
            <w:pPr>
              <w:jc w:val="center"/>
              <w:rPr>
                <w:rFonts w:ascii="宋体" w:hAnsi="宋体" w:cs="宋体"/>
                <w:color w:val="FF0000"/>
              </w:rPr>
            </w:pPr>
          </w:p>
        </w:tc>
      </w:tr>
      <w:tr w14:paraId="37471026">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3FCFCB">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59F2FD">
            <w:pPr>
              <w:textAlignment w:val="center"/>
              <w:rPr>
                <w:rFonts w:ascii="宋体" w:hAnsi="宋体" w:cs="宋体"/>
                <w:color w:val="000000"/>
                <w:lang w:eastAsia="zh-CN"/>
              </w:rPr>
            </w:pPr>
            <w:r>
              <w:rPr>
                <w:rFonts w:hint="eastAsia" w:ascii="宋体" w:hAnsi="宋体" w:cs="宋体"/>
                <w:color w:val="000000"/>
                <w:lang w:eastAsia="zh-CN" w:bidi="ar"/>
              </w:rPr>
              <w:t>华润建材科技控股有限公司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874C13">
            <w:pPr>
              <w:jc w:val="center"/>
              <w:textAlignment w:val="center"/>
              <w:rPr>
                <w:rFonts w:ascii="宋体" w:hAnsi="宋体" w:cs="宋体"/>
                <w:color w:val="000000"/>
              </w:rPr>
            </w:pPr>
            <w:r>
              <w:rPr>
                <w:rFonts w:hint="eastAsia" w:ascii="宋体" w:hAnsi="宋体" w:cs="宋体"/>
                <w:color w:val="000000"/>
                <w:lang w:eastAsia="zh-CN" w:bidi="ar"/>
              </w:rPr>
              <w:t>润品</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E0B026">
            <w:pPr>
              <w:jc w:val="center"/>
              <w:rPr>
                <w:rFonts w:ascii="宋体" w:hAnsi="宋体" w:cs="宋体"/>
                <w:color w:val="FF0000"/>
              </w:rPr>
            </w:pPr>
          </w:p>
        </w:tc>
      </w:tr>
      <w:tr w14:paraId="6C59CA57">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EA2B0C">
            <w:pPr>
              <w:jc w:val="center"/>
              <w:textAlignment w:val="center"/>
              <w:rPr>
                <w:rFonts w:ascii="宋体" w:hAnsi="宋体" w:cs="宋体"/>
                <w:color w:val="000000"/>
              </w:rPr>
            </w:pPr>
            <w:r>
              <w:rPr>
                <w:rFonts w:hint="eastAsia" w:ascii="宋体" w:hAnsi="宋体" w:cs="宋体"/>
                <w:color w:val="000000"/>
                <w:lang w:eastAsia="zh-CN" w:bidi="ar"/>
              </w:rPr>
              <w:t>5</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369F77">
            <w:pPr>
              <w:textAlignment w:val="center"/>
              <w:rPr>
                <w:rFonts w:ascii="宋体" w:hAnsi="宋体" w:cs="宋体"/>
                <w:color w:val="000000"/>
                <w:lang w:eastAsia="zh-CN"/>
              </w:rPr>
            </w:pPr>
            <w:r>
              <w:rPr>
                <w:rFonts w:hint="eastAsia" w:ascii="宋体" w:hAnsi="宋体" w:cs="宋体"/>
                <w:color w:val="000000"/>
                <w:lang w:eastAsia="zh-CN" w:bidi="ar"/>
              </w:rPr>
              <w:t>科顺民用建材有限公司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D6BF42">
            <w:pPr>
              <w:jc w:val="center"/>
              <w:textAlignment w:val="center"/>
              <w:rPr>
                <w:rFonts w:ascii="宋体" w:hAnsi="宋体" w:cs="宋体"/>
                <w:color w:val="000000"/>
              </w:rPr>
            </w:pPr>
            <w:r>
              <w:rPr>
                <w:rFonts w:hint="eastAsia" w:ascii="宋体" w:hAnsi="宋体" w:cs="宋体"/>
                <w:color w:val="000000"/>
                <w:lang w:eastAsia="zh-CN" w:bidi="ar"/>
              </w:rPr>
              <w:t>CKS科顺</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5E6591">
            <w:pPr>
              <w:jc w:val="center"/>
              <w:rPr>
                <w:rFonts w:ascii="宋体" w:hAnsi="宋体" w:cs="宋体"/>
                <w:color w:val="FF0000"/>
              </w:rPr>
            </w:pPr>
          </w:p>
        </w:tc>
      </w:tr>
      <w:tr w14:paraId="54EA1667">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344CBB3D">
            <w:pPr>
              <w:textAlignment w:val="center"/>
              <w:rPr>
                <w:rFonts w:ascii="宋体" w:hAnsi="宋体" w:cs="宋体"/>
                <w:b/>
                <w:bCs/>
                <w:color w:val="000000"/>
              </w:rPr>
            </w:pPr>
            <w:r>
              <w:rPr>
                <w:rFonts w:hint="eastAsia" w:ascii="宋体" w:hAnsi="宋体" w:cs="宋体"/>
                <w:b/>
                <w:bCs/>
                <w:color w:val="000000"/>
                <w:lang w:eastAsia="zh-CN" w:bidi="ar"/>
              </w:rPr>
              <w:t>6.密封胶</w:t>
            </w:r>
          </w:p>
        </w:tc>
      </w:tr>
      <w:tr w14:paraId="14A0877C">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8E6B06">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D52CB1">
            <w:pPr>
              <w:textAlignment w:val="center"/>
              <w:rPr>
                <w:rFonts w:ascii="宋体" w:hAnsi="宋体" w:cs="宋体"/>
                <w:color w:val="000000"/>
                <w:lang w:eastAsia="zh-CN"/>
              </w:rPr>
            </w:pPr>
            <w:r>
              <w:rPr>
                <w:rFonts w:hint="eastAsia" w:ascii="宋体" w:hAnsi="宋体" w:cs="宋体"/>
                <w:color w:val="000000"/>
                <w:lang w:eastAsia="zh-CN" w:bidi="ar"/>
              </w:rPr>
              <w:t>广州白云科技股份有限公司</w:t>
            </w:r>
          </w:p>
        </w:tc>
        <w:tc>
          <w:tcPr>
            <w:tcW w:w="2448" w:type="dxa"/>
            <w:tcBorders>
              <w:top w:val="single" w:color="000000" w:sz="4" w:space="0"/>
              <w:left w:val="single" w:color="000000" w:sz="4" w:space="0"/>
              <w:bottom w:val="single" w:color="000000" w:sz="4" w:space="0"/>
              <w:right w:val="nil"/>
            </w:tcBorders>
            <w:shd w:val="clear" w:color="auto" w:fill="FFFFFF"/>
            <w:vAlign w:val="center"/>
          </w:tcPr>
          <w:p w14:paraId="65761512">
            <w:pPr>
              <w:jc w:val="center"/>
              <w:textAlignment w:val="center"/>
              <w:rPr>
                <w:rFonts w:ascii="宋体" w:hAnsi="宋体" w:cs="宋体"/>
                <w:color w:val="000000"/>
              </w:rPr>
            </w:pPr>
            <w:r>
              <w:rPr>
                <w:rFonts w:hint="eastAsia" w:ascii="宋体" w:hAnsi="宋体" w:cs="宋体"/>
                <w:color w:val="000000"/>
                <w:lang w:eastAsia="zh-CN" w:bidi="ar"/>
              </w:rPr>
              <w:t>白云</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ABC392">
            <w:pPr>
              <w:jc w:val="center"/>
              <w:rPr>
                <w:rFonts w:ascii="宋体" w:hAnsi="宋体" w:cs="宋体"/>
                <w:b/>
                <w:bCs/>
                <w:color w:val="FF0000"/>
              </w:rPr>
            </w:pPr>
          </w:p>
        </w:tc>
      </w:tr>
      <w:tr w14:paraId="44EFD0AA">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64AB86">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28FA8C">
            <w:pPr>
              <w:textAlignment w:val="center"/>
              <w:rPr>
                <w:rFonts w:ascii="宋体" w:hAnsi="宋体" w:cs="宋体"/>
                <w:color w:val="000000"/>
                <w:lang w:eastAsia="zh-CN"/>
              </w:rPr>
            </w:pPr>
            <w:r>
              <w:rPr>
                <w:rFonts w:hint="eastAsia" w:ascii="宋体" w:hAnsi="宋体" w:cs="宋体"/>
                <w:color w:val="000000"/>
                <w:lang w:eastAsia="zh-CN" w:bidi="ar"/>
              </w:rPr>
              <w:t>广州集泰化工股份有限公司</w:t>
            </w:r>
          </w:p>
        </w:tc>
        <w:tc>
          <w:tcPr>
            <w:tcW w:w="2448" w:type="dxa"/>
            <w:tcBorders>
              <w:top w:val="single" w:color="000000" w:sz="4" w:space="0"/>
              <w:left w:val="single" w:color="000000" w:sz="4" w:space="0"/>
              <w:bottom w:val="single" w:color="000000" w:sz="4" w:space="0"/>
              <w:right w:val="nil"/>
            </w:tcBorders>
            <w:shd w:val="clear" w:color="auto" w:fill="FFFFFF"/>
            <w:vAlign w:val="center"/>
          </w:tcPr>
          <w:p w14:paraId="5AB8997A">
            <w:pPr>
              <w:jc w:val="center"/>
              <w:textAlignment w:val="center"/>
              <w:rPr>
                <w:rFonts w:ascii="宋体" w:hAnsi="宋体" w:cs="宋体"/>
                <w:color w:val="000000"/>
              </w:rPr>
            </w:pPr>
            <w:r>
              <w:rPr>
                <w:rFonts w:hint="eastAsia" w:ascii="宋体" w:hAnsi="宋体" w:cs="宋体"/>
                <w:color w:val="000000"/>
                <w:lang w:eastAsia="zh-CN" w:bidi="ar"/>
              </w:rPr>
              <w:t>安泰</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473796">
            <w:pPr>
              <w:jc w:val="center"/>
              <w:rPr>
                <w:rFonts w:ascii="宋体" w:hAnsi="宋体" w:cs="宋体"/>
                <w:b/>
                <w:bCs/>
                <w:color w:val="FF0000"/>
              </w:rPr>
            </w:pPr>
          </w:p>
        </w:tc>
      </w:tr>
      <w:tr w14:paraId="452DAF2A">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FFED68">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B90516">
            <w:pPr>
              <w:textAlignment w:val="center"/>
              <w:rPr>
                <w:rFonts w:ascii="宋体" w:hAnsi="宋体" w:cs="宋体"/>
                <w:color w:val="000000"/>
              </w:rPr>
            </w:pPr>
            <w:r>
              <w:rPr>
                <w:rFonts w:hint="eastAsia" w:ascii="宋体" w:hAnsi="宋体" w:cs="宋体"/>
                <w:color w:val="000000"/>
                <w:lang w:eastAsia="zh-CN" w:bidi="ar"/>
              </w:rPr>
              <w:t>杭州之江有机硅化工有限公司</w:t>
            </w:r>
          </w:p>
        </w:tc>
        <w:tc>
          <w:tcPr>
            <w:tcW w:w="2448" w:type="dxa"/>
            <w:tcBorders>
              <w:top w:val="single" w:color="000000" w:sz="4" w:space="0"/>
              <w:left w:val="single" w:color="000000" w:sz="4" w:space="0"/>
              <w:bottom w:val="single" w:color="000000" w:sz="4" w:space="0"/>
              <w:right w:val="nil"/>
            </w:tcBorders>
            <w:shd w:val="clear" w:color="auto" w:fill="FFFFFF"/>
            <w:vAlign w:val="center"/>
          </w:tcPr>
          <w:p w14:paraId="71B9E623">
            <w:pPr>
              <w:jc w:val="center"/>
              <w:textAlignment w:val="center"/>
              <w:rPr>
                <w:rFonts w:ascii="宋体" w:hAnsi="宋体" w:cs="宋体"/>
                <w:color w:val="000000"/>
              </w:rPr>
            </w:pPr>
            <w:r>
              <w:rPr>
                <w:rFonts w:hint="eastAsia" w:ascii="宋体" w:hAnsi="宋体" w:cs="宋体"/>
                <w:color w:val="000000"/>
                <w:lang w:eastAsia="zh-CN" w:bidi="ar"/>
              </w:rPr>
              <w:t>之江</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A0D62B">
            <w:pPr>
              <w:jc w:val="center"/>
              <w:rPr>
                <w:rFonts w:ascii="宋体" w:hAnsi="宋体" w:cs="宋体"/>
                <w:b/>
                <w:bCs/>
                <w:color w:val="FF0000"/>
              </w:rPr>
            </w:pPr>
          </w:p>
        </w:tc>
      </w:tr>
      <w:tr w14:paraId="1FD0EB0C">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C7A24B">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9AE406">
            <w:pPr>
              <w:textAlignment w:val="center"/>
              <w:rPr>
                <w:rFonts w:ascii="宋体" w:hAnsi="宋体" w:cs="宋体"/>
                <w:color w:val="000000"/>
                <w:lang w:eastAsia="zh-CN"/>
              </w:rPr>
            </w:pPr>
            <w:r>
              <w:rPr>
                <w:rFonts w:hint="eastAsia" w:ascii="宋体" w:hAnsi="宋体" w:cs="宋体"/>
                <w:color w:val="000000"/>
                <w:lang w:eastAsia="zh-CN" w:bidi="ar"/>
              </w:rPr>
              <w:t>成都硅宝科技股份有限公司</w:t>
            </w:r>
          </w:p>
        </w:tc>
        <w:tc>
          <w:tcPr>
            <w:tcW w:w="2448" w:type="dxa"/>
            <w:tcBorders>
              <w:top w:val="single" w:color="000000" w:sz="4" w:space="0"/>
              <w:left w:val="single" w:color="000000" w:sz="4" w:space="0"/>
              <w:bottom w:val="single" w:color="000000" w:sz="4" w:space="0"/>
              <w:right w:val="nil"/>
            </w:tcBorders>
            <w:shd w:val="clear" w:color="auto" w:fill="FFFFFF"/>
            <w:vAlign w:val="center"/>
          </w:tcPr>
          <w:p w14:paraId="06F7F0A0">
            <w:pPr>
              <w:jc w:val="center"/>
              <w:textAlignment w:val="center"/>
              <w:rPr>
                <w:rFonts w:ascii="宋体" w:hAnsi="宋体" w:cs="宋体"/>
                <w:color w:val="000000"/>
              </w:rPr>
            </w:pPr>
            <w:r>
              <w:rPr>
                <w:rFonts w:hint="eastAsia" w:ascii="宋体" w:hAnsi="宋体" w:cs="宋体"/>
                <w:color w:val="000000"/>
                <w:lang w:eastAsia="zh-CN" w:bidi="ar"/>
              </w:rPr>
              <w:t>硅宝</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2EAD87">
            <w:pPr>
              <w:jc w:val="center"/>
              <w:rPr>
                <w:rFonts w:ascii="宋体" w:hAnsi="宋体" w:cs="宋体"/>
                <w:b/>
                <w:bCs/>
                <w:color w:val="FF0000"/>
              </w:rPr>
            </w:pPr>
          </w:p>
        </w:tc>
      </w:tr>
      <w:tr w14:paraId="45C7039D">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02D8DD">
            <w:pPr>
              <w:jc w:val="center"/>
              <w:textAlignment w:val="center"/>
              <w:rPr>
                <w:rFonts w:ascii="宋体" w:hAnsi="宋体" w:cs="宋体"/>
                <w:color w:val="000000"/>
              </w:rPr>
            </w:pPr>
            <w:r>
              <w:rPr>
                <w:rFonts w:hint="eastAsia" w:ascii="宋体" w:hAnsi="宋体" w:cs="宋体"/>
                <w:color w:val="000000"/>
                <w:lang w:eastAsia="zh-CN" w:bidi="ar"/>
              </w:rPr>
              <w:t>5</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0237F6">
            <w:pPr>
              <w:textAlignment w:val="center"/>
              <w:rPr>
                <w:rFonts w:ascii="宋体" w:hAnsi="宋体" w:cs="宋体"/>
                <w:color w:val="000000"/>
                <w:lang w:eastAsia="zh-CN"/>
              </w:rPr>
            </w:pPr>
            <w:r>
              <w:rPr>
                <w:rFonts w:hint="eastAsia" w:ascii="宋体" w:hAnsi="宋体" w:cs="宋体"/>
                <w:color w:val="000000"/>
                <w:lang w:eastAsia="zh-CN" w:bidi="ar"/>
              </w:rPr>
              <w:t>道康宁（广州）有机硅有限公司</w:t>
            </w:r>
          </w:p>
        </w:tc>
        <w:tc>
          <w:tcPr>
            <w:tcW w:w="2448" w:type="dxa"/>
            <w:tcBorders>
              <w:top w:val="single" w:color="000000" w:sz="4" w:space="0"/>
              <w:left w:val="single" w:color="000000" w:sz="4" w:space="0"/>
              <w:bottom w:val="single" w:color="000000" w:sz="4" w:space="0"/>
              <w:right w:val="nil"/>
            </w:tcBorders>
            <w:shd w:val="clear" w:color="auto" w:fill="FFFFFF"/>
            <w:vAlign w:val="center"/>
          </w:tcPr>
          <w:p w14:paraId="0F8491C3">
            <w:pPr>
              <w:jc w:val="center"/>
              <w:textAlignment w:val="center"/>
              <w:rPr>
                <w:rFonts w:ascii="宋体" w:hAnsi="宋体" w:cs="宋体"/>
                <w:color w:val="000000"/>
              </w:rPr>
            </w:pPr>
            <w:r>
              <w:rPr>
                <w:rFonts w:hint="eastAsia" w:ascii="宋体" w:hAnsi="宋体" w:cs="宋体"/>
                <w:color w:val="000000"/>
                <w:lang w:eastAsia="zh-CN" w:bidi="ar"/>
              </w:rPr>
              <w:t>陶熙</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EF8A90">
            <w:pPr>
              <w:jc w:val="center"/>
              <w:rPr>
                <w:rFonts w:ascii="宋体" w:hAnsi="宋体" w:cs="宋体"/>
                <w:b/>
                <w:bCs/>
                <w:color w:val="FF0000"/>
              </w:rPr>
            </w:pPr>
          </w:p>
        </w:tc>
      </w:tr>
      <w:tr w14:paraId="27490A1C">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A13DEBF">
            <w:pPr>
              <w:textAlignment w:val="center"/>
              <w:rPr>
                <w:rFonts w:ascii="宋体" w:hAnsi="宋体" w:cs="宋体"/>
                <w:b/>
                <w:bCs/>
                <w:color w:val="000000"/>
              </w:rPr>
            </w:pPr>
            <w:r>
              <w:rPr>
                <w:rFonts w:hint="eastAsia" w:ascii="宋体" w:hAnsi="宋体" w:cs="宋体"/>
                <w:b/>
                <w:bCs/>
                <w:color w:val="000000"/>
                <w:lang w:eastAsia="zh-CN" w:bidi="ar"/>
              </w:rPr>
              <w:t>（四）铝合金</w:t>
            </w:r>
          </w:p>
        </w:tc>
      </w:tr>
      <w:tr w14:paraId="6E0C7E70">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DDD8CF8">
            <w:pPr>
              <w:textAlignment w:val="center"/>
              <w:rPr>
                <w:rFonts w:ascii="宋体" w:hAnsi="宋体" w:cs="宋体"/>
                <w:b/>
                <w:bCs/>
                <w:color w:val="000000"/>
              </w:rPr>
            </w:pPr>
            <w:r>
              <w:rPr>
                <w:rFonts w:hint="eastAsia" w:ascii="宋体" w:hAnsi="宋体" w:cs="宋体"/>
                <w:b/>
                <w:bCs/>
                <w:color w:val="000000"/>
                <w:lang w:eastAsia="zh-CN" w:bidi="ar"/>
              </w:rPr>
              <w:t>1.铝合金型材</w:t>
            </w:r>
          </w:p>
        </w:tc>
      </w:tr>
      <w:tr w14:paraId="6ACE65FA">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E2B17">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06E03">
            <w:pPr>
              <w:textAlignment w:val="center"/>
              <w:rPr>
                <w:rFonts w:ascii="宋体" w:hAnsi="宋体" w:cs="宋体"/>
                <w:color w:val="000000"/>
                <w:lang w:eastAsia="zh-CN"/>
              </w:rPr>
            </w:pPr>
            <w:r>
              <w:rPr>
                <w:rFonts w:hint="eastAsia" w:ascii="宋体" w:hAnsi="宋体" w:cs="宋体"/>
                <w:color w:val="000000"/>
                <w:lang w:eastAsia="zh-CN" w:bidi="ar"/>
              </w:rPr>
              <w:t>佛山市三水凤铝铝业有限公司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56C6A">
            <w:pPr>
              <w:jc w:val="center"/>
              <w:textAlignment w:val="center"/>
              <w:rPr>
                <w:rFonts w:ascii="宋体" w:hAnsi="宋体" w:cs="宋体"/>
                <w:color w:val="000000"/>
              </w:rPr>
            </w:pPr>
            <w:r>
              <w:rPr>
                <w:rFonts w:hint="eastAsia" w:ascii="宋体" w:hAnsi="宋体" w:cs="宋体"/>
                <w:color w:val="000000"/>
                <w:lang w:eastAsia="zh-CN" w:bidi="ar"/>
              </w:rPr>
              <w:t>凤铝</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E63431">
            <w:pPr>
              <w:jc w:val="center"/>
              <w:rPr>
                <w:rFonts w:ascii="宋体" w:hAnsi="宋体" w:cs="宋体"/>
                <w:color w:val="FF0000"/>
              </w:rPr>
            </w:pPr>
          </w:p>
        </w:tc>
      </w:tr>
      <w:tr w14:paraId="19C78285">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D6C64">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18A81">
            <w:pPr>
              <w:textAlignment w:val="center"/>
              <w:rPr>
                <w:rFonts w:ascii="宋体" w:hAnsi="宋体" w:cs="宋体"/>
                <w:color w:val="000000"/>
              </w:rPr>
            </w:pPr>
            <w:r>
              <w:rPr>
                <w:rFonts w:hint="eastAsia" w:ascii="宋体" w:hAnsi="宋体" w:cs="宋体"/>
                <w:color w:val="000000"/>
                <w:lang w:eastAsia="zh-CN" w:bidi="ar"/>
              </w:rPr>
              <w:t>广铝集团有限公司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AE7D7">
            <w:pPr>
              <w:jc w:val="center"/>
              <w:textAlignment w:val="center"/>
              <w:rPr>
                <w:rFonts w:ascii="宋体" w:hAnsi="宋体" w:cs="宋体"/>
                <w:color w:val="000000"/>
              </w:rPr>
            </w:pPr>
            <w:r>
              <w:rPr>
                <w:rFonts w:hint="eastAsia" w:ascii="宋体" w:hAnsi="宋体" w:cs="宋体"/>
                <w:color w:val="000000"/>
                <w:lang w:eastAsia="zh-CN" w:bidi="ar"/>
              </w:rPr>
              <w:t>前进牌</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AE079B">
            <w:pPr>
              <w:jc w:val="center"/>
              <w:rPr>
                <w:rFonts w:ascii="宋体" w:hAnsi="宋体" w:cs="宋体"/>
                <w:color w:val="FF0000"/>
              </w:rPr>
            </w:pPr>
          </w:p>
        </w:tc>
      </w:tr>
      <w:tr w14:paraId="05B19B9F">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60093">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B3341">
            <w:pPr>
              <w:textAlignment w:val="center"/>
              <w:rPr>
                <w:rFonts w:ascii="宋体" w:hAnsi="宋体" w:cs="宋体"/>
                <w:color w:val="000000"/>
                <w:lang w:eastAsia="zh-CN"/>
              </w:rPr>
            </w:pPr>
            <w:r>
              <w:rPr>
                <w:rFonts w:hint="eastAsia" w:ascii="宋体" w:hAnsi="宋体" w:cs="宋体"/>
                <w:color w:val="000000"/>
                <w:lang w:eastAsia="zh-CN" w:bidi="ar"/>
              </w:rPr>
              <w:t>广东坚美铝型材厂（集团）有限公司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59429">
            <w:pPr>
              <w:jc w:val="center"/>
              <w:textAlignment w:val="center"/>
              <w:rPr>
                <w:rFonts w:ascii="宋体" w:hAnsi="宋体" w:cs="宋体"/>
                <w:color w:val="000000"/>
              </w:rPr>
            </w:pPr>
            <w:r>
              <w:rPr>
                <w:rFonts w:hint="eastAsia" w:ascii="宋体" w:hAnsi="宋体" w:cs="宋体"/>
                <w:color w:val="000000"/>
                <w:lang w:eastAsia="zh-CN" w:bidi="ar"/>
              </w:rPr>
              <w:t>坚美</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D26103">
            <w:pPr>
              <w:jc w:val="center"/>
              <w:rPr>
                <w:rFonts w:ascii="宋体" w:hAnsi="宋体" w:cs="宋体"/>
                <w:color w:val="FF0000"/>
              </w:rPr>
            </w:pPr>
          </w:p>
        </w:tc>
      </w:tr>
      <w:tr w14:paraId="3BEF16ED">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8A406">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DA531D">
            <w:pPr>
              <w:textAlignment w:val="center"/>
              <w:rPr>
                <w:rFonts w:ascii="宋体" w:hAnsi="宋体" w:cs="宋体"/>
                <w:color w:val="000000"/>
              </w:rPr>
            </w:pPr>
            <w:r>
              <w:rPr>
                <w:rFonts w:hint="eastAsia" w:ascii="宋体" w:hAnsi="宋体" w:cs="宋体"/>
                <w:color w:val="000000"/>
                <w:lang w:eastAsia="zh-CN" w:bidi="ar"/>
              </w:rPr>
              <w:t>广东兴发铝材厂</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4F9500">
            <w:pPr>
              <w:jc w:val="center"/>
              <w:textAlignment w:val="center"/>
              <w:rPr>
                <w:rFonts w:ascii="宋体" w:hAnsi="宋体" w:cs="宋体"/>
                <w:color w:val="000000"/>
              </w:rPr>
            </w:pPr>
            <w:r>
              <w:rPr>
                <w:rFonts w:hint="eastAsia" w:ascii="宋体" w:hAnsi="宋体" w:cs="宋体"/>
                <w:color w:val="000000"/>
                <w:lang w:eastAsia="zh-CN" w:bidi="ar"/>
              </w:rPr>
              <w:t>兴发牌</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B5BE68">
            <w:pPr>
              <w:jc w:val="center"/>
              <w:rPr>
                <w:rFonts w:ascii="宋体" w:hAnsi="宋体" w:cs="宋体"/>
                <w:color w:val="FF0000"/>
              </w:rPr>
            </w:pPr>
          </w:p>
        </w:tc>
      </w:tr>
      <w:tr w14:paraId="4A0FCCA7">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70F4112">
            <w:pPr>
              <w:textAlignment w:val="center"/>
              <w:rPr>
                <w:rFonts w:ascii="宋体" w:hAnsi="宋体" w:cs="宋体"/>
                <w:b/>
                <w:bCs/>
                <w:color w:val="000000"/>
              </w:rPr>
            </w:pPr>
            <w:r>
              <w:rPr>
                <w:rFonts w:hint="eastAsia" w:ascii="宋体" w:hAnsi="宋体" w:cs="宋体"/>
                <w:b/>
                <w:bCs/>
                <w:color w:val="000000"/>
                <w:lang w:eastAsia="zh-CN" w:bidi="ar"/>
              </w:rPr>
              <w:t>2.五金</w:t>
            </w:r>
          </w:p>
        </w:tc>
      </w:tr>
      <w:tr w14:paraId="5F85CBDA">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5904B">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6E886">
            <w:pPr>
              <w:textAlignment w:val="center"/>
              <w:rPr>
                <w:rFonts w:ascii="宋体" w:hAnsi="宋体" w:cs="宋体"/>
                <w:color w:val="000000"/>
                <w:lang w:eastAsia="zh-CN"/>
              </w:rPr>
            </w:pPr>
            <w:r>
              <w:rPr>
                <w:rFonts w:hint="eastAsia" w:ascii="宋体" w:hAnsi="宋体" w:cs="宋体"/>
                <w:color w:val="000000"/>
                <w:lang w:eastAsia="zh-CN" w:bidi="ar"/>
              </w:rPr>
              <w:t>中山亚萨合莱安防科技有限公司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ED539">
            <w:pPr>
              <w:jc w:val="center"/>
              <w:textAlignment w:val="center"/>
              <w:rPr>
                <w:rFonts w:ascii="宋体" w:hAnsi="宋体" w:cs="宋体"/>
                <w:color w:val="000000"/>
              </w:rPr>
            </w:pPr>
            <w:r>
              <w:rPr>
                <w:rFonts w:hint="eastAsia" w:ascii="宋体" w:hAnsi="宋体" w:cs="宋体"/>
                <w:color w:val="000000"/>
                <w:lang w:eastAsia="zh-CN" w:bidi="ar"/>
              </w:rPr>
              <w:t>固力</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1AFF96">
            <w:pPr>
              <w:jc w:val="center"/>
              <w:rPr>
                <w:rFonts w:ascii="宋体" w:hAnsi="宋体" w:cs="宋体"/>
                <w:color w:val="FF0000"/>
              </w:rPr>
            </w:pPr>
          </w:p>
        </w:tc>
      </w:tr>
      <w:tr w14:paraId="1E109B99">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339AB">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1AF8E">
            <w:pPr>
              <w:textAlignment w:val="center"/>
              <w:rPr>
                <w:rFonts w:ascii="宋体" w:hAnsi="宋体" w:cs="宋体"/>
                <w:color w:val="000000"/>
                <w:lang w:eastAsia="zh-CN"/>
              </w:rPr>
            </w:pPr>
            <w:r>
              <w:rPr>
                <w:rFonts w:hint="eastAsia" w:ascii="宋体" w:hAnsi="宋体" w:cs="宋体"/>
                <w:color w:val="000000"/>
                <w:lang w:eastAsia="zh-CN" w:bidi="ar"/>
              </w:rPr>
              <w:t>广东坚朗五金制品股份有限公司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D95CA">
            <w:pPr>
              <w:jc w:val="center"/>
              <w:textAlignment w:val="center"/>
              <w:rPr>
                <w:rFonts w:ascii="宋体" w:hAnsi="宋体" w:cs="宋体"/>
                <w:color w:val="000000"/>
              </w:rPr>
            </w:pPr>
            <w:r>
              <w:rPr>
                <w:rFonts w:hint="eastAsia" w:ascii="宋体" w:hAnsi="宋体" w:cs="宋体"/>
                <w:color w:val="000000"/>
                <w:lang w:eastAsia="zh-CN" w:bidi="ar"/>
              </w:rPr>
              <w:t>坚朗</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AE83D4">
            <w:pPr>
              <w:jc w:val="center"/>
              <w:rPr>
                <w:rFonts w:ascii="宋体" w:hAnsi="宋体" w:cs="宋体"/>
                <w:color w:val="FF0000"/>
              </w:rPr>
            </w:pPr>
          </w:p>
        </w:tc>
      </w:tr>
      <w:tr w14:paraId="1E9CC9DF">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3E859">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3DFD4">
            <w:pPr>
              <w:textAlignment w:val="center"/>
              <w:rPr>
                <w:rFonts w:ascii="宋体" w:hAnsi="宋体" w:cs="宋体"/>
                <w:color w:val="000000"/>
                <w:lang w:eastAsia="zh-CN"/>
              </w:rPr>
            </w:pPr>
            <w:r>
              <w:rPr>
                <w:rFonts w:hint="eastAsia" w:ascii="宋体" w:hAnsi="宋体" w:cs="宋体"/>
                <w:color w:val="000000"/>
                <w:lang w:eastAsia="zh-CN" w:bidi="ar"/>
              </w:rPr>
              <w:t>广东合和建筑五金制品有限公司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09C4F">
            <w:pPr>
              <w:jc w:val="center"/>
              <w:textAlignment w:val="center"/>
              <w:rPr>
                <w:rFonts w:ascii="宋体" w:hAnsi="宋体" w:cs="宋体"/>
                <w:color w:val="000000"/>
              </w:rPr>
            </w:pPr>
            <w:r>
              <w:rPr>
                <w:rFonts w:hint="eastAsia" w:ascii="宋体" w:hAnsi="宋体" w:cs="宋体"/>
                <w:color w:val="000000"/>
                <w:lang w:eastAsia="zh-CN" w:bidi="ar"/>
              </w:rPr>
              <w:t>合和牌</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6B98FE">
            <w:pPr>
              <w:jc w:val="center"/>
              <w:rPr>
                <w:rFonts w:ascii="宋体" w:hAnsi="宋体" w:cs="宋体"/>
                <w:color w:val="FF0000"/>
              </w:rPr>
            </w:pPr>
          </w:p>
        </w:tc>
      </w:tr>
      <w:tr w14:paraId="12CCACDB">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6BCF6">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F407B">
            <w:pPr>
              <w:textAlignment w:val="center"/>
              <w:rPr>
                <w:rFonts w:ascii="宋体" w:hAnsi="宋体" w:cs="宋体"/>
                <w:color w:val="000000"/>
              </w:rPr>
            </w:pPr>
            <w:r>
              <w:rPr>
                <w:rFonts w:hint="eastAsia" w:ascii="宋体" w:hAnsi="宋体" w:cs="宋体"/>
                <w:color w:val="000000"/>
                <w:lang w:eastAsia="zh-CN" w:bidi="ar"/>
              </w:rPr>
              <w:t>春光五金有限公司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8E654">
            <w:pPr>
              <w:jc w:val="center"/>
              <w:textAlignment w:val="center"/>
              <w:rPr>
                <w:rFonts w:ascii="宋体" w:hAnsi="宋体" w:cs="宋体"/>
                <w:color w:val="000000"/>
              </w:rPr>
            </w:pPr>
            <w:r>
              <w:rPr>
                <w:rFonts w:hint="eastAsia" w:ascii="宋体" w:hAnsi="宋体" w:cs="宋体"/>
                <w:color w:val="000000"/>
                <w:lang w:eastAsia="zh-CN" w:bidi="ar"/>
              </w:rPr>
              <w:t>春光CHUGN</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B1EF95">
            <w:pPr>
              <w:jc w:val="center"/>
              <w:rPr>
                <w:rFonts w:ascii="宋体" w:hAnsi="宋体" w:cs="宋体"/>
                <w:color w:val="FF0000"/>
              </w:rPr>
            </w:pPr>
          </w:p>
        </w:tc>
      </w:tr>
      <w:tr w14:paraId="37683F62">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99A77CF">
            <w:pPr>
              <w:textAlignment w:val="center"/>
              <w:rPr>
                <w:rFonts w:ascii="宋体" w:hAnsi="宋体" w:cs="宋体"/>
                <w:b/>
                <w:bCs/>
                <w:color w:val="000000"/>
              </w:rPr>
            </w:pPr>
            <w:r>
              <w:rPr>
                <w:rFonts w:hint="eastAsia" w:ascii="宋体" w:hAnsi="宋体" w:cs="宋体"/>
                <w:b/>
                <w:bCs/>
                <w:color w:val="000000"/>
                <w:lang w:eastAsia="zh-CN" w:bidi="ar"/>
              </w:rPr>
              <w:t>3.玻璃（原片）</w:t>
            </w:r>
          </w:p>
        </w:tc>
      </w:tr>
      <w:tr w14:paraId="3063061C">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6546F">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31814">
            <w:pPr>
              <w:textAlignment w:val="center"/>
              <w:rPr>
                <w:rFonts w:ascii="宋体" w:hAnsi="宋体" w:cs="宋体"/>
                <w:color w:val="000000"/>
                <w:lang w:eastAsia="zh-CN"/>
              </w:rPr>
            </w:pPr>
            <w:r>
              <w:rPr>
                <w:rFonts w:hint="eastAsia" w:ascii="宋体" w:hAnsi="宋体" w:cs="宋体"/>
                <w:color w:val="000000"/>
                <w:lang w:eastAsia="zh-CN" w:bidi="ar"/>
              </w:rPr>
              <w:t>信义玻璃控股有限公司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6BB35">
            <w:pPr>
              <w:jc w:val="center"/>
              <w:textAlignment w:val="center"/>
              <w:rPr>
                <w:rFonts w:ascii="宋体" w:hAnsi="宋体" w:cs="宋体"/>
                <w:color w:val="000000"/>
              </w:rPr>
            </w:pPr>
            <w:r>
              <w:rPr>
                <w:rFonts w:hint="eastAsia" w:ascii="宋体" w:hAnsi="宋体" w:cs="宋体"/>
                <w:color w:val="000000"/>
                <w:lang w:eastAsia="zh-CN" w:bidi="ar"/>
              </w:rPr>
              <w:t>信义玻璃</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CAFF12">
            <w:pPr>
              <w:jc w:val="center"/>
              <w:rPr>
                <w:rFonts w:ascii="宋体" w:hAnsi="宋体" w:cs="宋体"/>
                <w:color w:val="FF0000"/>
              </w:rPr>
            </w:pPr>
          </w:p>
        </w:tc>
      </w:tr>
      <w:tr w14:paraId="6C6E342B">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0BE8D">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528F6">
            <w:pPr>
              <w:textAlignment w:val="center"/>
              <w:rPr>
                <w:rFonts w:ascii="宋体" w:hAnsi="宋体" w:cs="宋体"/>
                <w:color w:val="000000"/>
              </w:rPr>
            </w:pPr>
            <w:r>
              <w:rPr>
                <w:rFonts w:hint="eastAsia" w:ascii="宋体" w:hAnsi="宋体" w:cs="宋体"/>
                <w:color w:val="000000"/>
                <w:lang w:eastAsia="zh-CN" w:bidi="ar"/>
              </w:rPr>
              <w:t>台玻中国控股公司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B7574">
            <w:pPr>
              <w:jc w:val="center"/>
              <w:textAlignment w:val="center"/>
              <w:rPr>
                <w:rFonts w:ascii="宋体" w:hAnsi="宋体" w:cs="宋体"/>
                <w:color w:val="000000"/>
              </w:rPr>
            </w:pPr>
            <w:r>
              <w:rPr>
                <w:rFonts w:hint="eastAsia" w:ascii="宋体" w:hAnsi="宋体" w:cs="宋体"/>
                <w:color w:val="000000"/>
                <w:lang w:eastAsia="zh-CN" w:bidi="ar"/>
              </w:rPr>
              <w:t>台玻</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802AB5">
            <w:pPr>
              <w:jc w:val="center"/>
              <w:rPr>
                <w:rFonts w:ascii="宋体" w:hAnsi="宋体" w:cs="宋体"/>
                <w:color w:val="FF0000"/>
              </w:rPr>
            </w:pPr>
          </w:p>
        </w:tc>
      </w:tr>
      <w:tr w14:paraId="07A68AD8">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A75EB">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84C98">
            <w:pPr>
              <w:textAlignment w:val="center"/>
              <w:rPr>
                <w:rFonts w:ascii="宋体" w:hAnsi="宋体" w:cs="宋体"/>
                <w:color w:val="000000"/>
                <w:lang w:eastAsia="zh-CN"/>
              </w:rPr>
            </w:pPr>
            <w:r>
              <w:rPr>
                <w:rFonts w:hint="eastAsia" w:ascii="宋体" w:hAnsi="宋体" w:cs="宋体"/>
                <w:color w:val="000000"/>
                <w:lang w:eastAsia="zh-CN" w:bidi="ar"/>
              </w:rPr>
              <w:t>中国玻璃控股有限公司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6B315">
            <w:pPr>
              <w:jc w:val="center"/>
              <w:textAlignment w:val="center"/>
              <w:rPr>
                <w:rFonts w:ascii="宋体" w:hAnsi="宋体" w:cs="宋体"/>
                <w:color w:val="000000"/>
              </w:rPr>
            </w:pPr>
            <w:r>
              <w:rPr>
                <w:rFonts w:hint="eastAsia" w:ascii="宋体" w:hAnsi="宋体" w:cs="宋体"/>
                <w:color w:val="000000"/>
                <w:lang w:eastAsia="zh-CN" w:bidi="ar"/>
              </w:rPr>
              <w:t>中玻</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C0C4A5">
            <w:pPr>
              <w:jc w:val="center"/>
              <w:rPr>
                <w:rFonts w:ascii="宋体" w:hAnsi="宋体" w:cs="宋体"/>
                <w:color w:val="FF0000"/>
              </w:rPr>
            </w:pPr>
          </w:p>
        </w:tc>
      </w:tr>
      <w:tr w14:paraId="6DC232A7">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37872">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F1098">
            <w:pPr>
              <w:textAlignment w:val="center"/>
              <w:rPr>
                <w:rFonts w:ascii="宋体" w:hAnsi="宋体" w:cs="宋体"/>
                <w:color w:val="000000"/>
                <w:lang w:eastAsia="zh-CN"/>
              </w:rPr>
            </w:pPr>
            <w:r>
              <w:rPr>
                <w:rFonts w:hint="eastAsia" w:ascii="宋体" w:hAnsi="宋体" w:cs="宋体"/>
                <w:color w:val="000000"/>
                <w:lang w:eastAsia="zh-CN" w:bidi="ar"/>
              </w:rPr>
              <w:t>中国南玻集团股份有限公司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FAC61">
            <w:pPr>
              <w:jc w:val="center"/>
              <w:textAlignment w:val="center"/>
              <w:rPr>
                <w:rFonts w:ascii="宋体" w:hAnsi="宋体" w:cs="宋体"/>
                <w:color w:val="000000"/>
              </w:rPr>
            </w:pPr>
            <w:r>
              <w:rPr>
                <w:rFonts w:hint="eastAsia" w:ascii="宋体" w:hAnsi="宋体" w:cs="宋体"/>
                <w:color w:val="000000"/>
                <w:lang w:eastAsia="zh-CN" w:bidi="ar"/>
              </w:rPr>
              <w:t>南玻</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E24437">
            <w:pPr>
              <w:jc w:val="center"/>
              <w:rPr>
                <w:rFonts w:ascii="宋体" w:hAnsi="宋体" w:cs="宋体"/>
                <w:color w:val="FF0000"/>
              </w:rPr>
            </w:pPr>
          </w:p>
        </w:tc>
      </w:tr>
      <w:tr w14:paraId="237F36DF">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5C3D9">
            <w:pPr>
              <w:jc w:val="center"/>
              <w:textAlignment w:val="center"/>
              <w:rPr>
                <w:rFonts w:ascii="宋体" w:hAnsi="宋体" w:cs="宋体"/>
                <w:color w:val="000000"/>
              </w:rPr>
            </w:pPr>
            <w:r>
              <w:rPr>
                <w:rFonts w:hint="eastAsia" w:ascii="宋体" w:hAnsi="宋体" w:cs="宋体"/>
                <w:color w:val="000000"/>
                <w:lang w:eastAsia="zh-CN" w:bidi="ar"/>
              </w:rPr>
              <w:t>5</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65D5A7">
            <w:pPr>
              <w:textAlignment w:val="center"/>
              <w:rPr>
                <w:rFonts w:ascii="宋体" w:hAnsi="宋体" w:cs="宋体"/>
                <w:color w:val="000000"/>
                <w:lang w:eastAsia="zh-CN"/>
              </w:rPr>
            </w:pPr>
            <w:r>
              <w:rPr>
                <w:rFonts w:hint="eastAsia" w:ascii="宋体" w:hAnsi="宋体" w:cs="宋体"/>
                <w:color w:val="000000"/>
                <w:lang w:eastAsia="zh-CN" w:bidi="ar"/>
              </w:rPr>
              <w:t>上海耀华皮尔金顿玻璃股份有限公司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05D037">
            <w:pPr>
              <w:jc w:val="center"/>
              <w:textAlignment w:val="center"/>
              <w:rPr>
                <w:rFonts w:ascii="宋体" w:hAnsi="宋体" w:cs="宋体"/>
                <w:color w:val="000000"/>
              </w:rPr>
            </w:pPr>
            <w:r>
              <w:rPr>
                <w:rFonts w:hint="eastAsia" w:ascii="宋体" w:hAnsi="宋体" w:cs="宋体"/>
                <w:color w:val="000000"/>
                <w:lang w:eastAsia="zh-CN" w:bidi="ar"/>
              </w:rPr>
              <w:t>耀皮</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C493F">
            <w:pPr>
              <w:jc w:val="center"/>
              <w:rPr>
                <w:rFonts w:ascii="宋体" w:hAnsi="宋体" w:cs="宋体"/>
                <w:color w:val="FF0000"/>
              </w:rPr>
            </w:pPr>
          </w:p>
        </w:tc>
      </w:tr>
      <w:tr w14:paraId="74026346">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08FF98B">
            <w:pPr>
              <w:textAlignment w:val="center"/>
              <w:rPr>
                <w:rFonts w:ascii="宋体" w:hAnsi="宋体" w:cs="宋体"/>
                <w:b/>
                <w:bCs/>
                <w:color w:val="000000"/>
              </w:rPr>
            </w:pPr>
            <w:r>
              <w:rPr>
                <w:rFonts w:hint="eastAsia" w:ascii="宋体" w:hAnsi="宋体" w:cs="宋体"/>
                <w:b/>
                <w:bCs/>
                <w:color w:val="000000"/>
                <w:lang w:eastAsia="zh-CN" w:bidi="ar"/>
              </w:rPr>
              <w:t>（五）木门</w:t>
            </w:r>
          </w:p>
        </w:tc>
      </w:tr>
      <w:tr w14:paraId="7A8D4474">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AD97D96">
            <w:pPr>
              <w:textAlignment w:val="center"/>
              <w:rPr>
                <w:rFonts w:ascii="宋体" w:hAnsi="宋体" w:cs="宋体"/>
                <w:b/>
                <w:bCs/>
                <w:color w:val="000000"/>
              </w:rPr>
            </w:pPr>
            <w:r>
              <w:rPr>
                <w:rFonts w:hint="eastAsia" w:ascii="宋体" w:hAnsi="宋体" w:cs="宋体"/>
                <w:b/>
                <w:bCs/>
                <w:color w:val="000000"/>
                <w:lang w:eastAsia="zh-CN" w:bidi="ar"/>
              </w:rPr>
              <w:t>1.户内门</w:t>
            </w:r>
          </w:p>
        </w:tc>
      </w:tr>
      <w:tr w14:paraId="43B4BC94">
        <w:tblPrEx>
          <w:tblCellMar>
            <w:top w:w="0" w:type="dxa"/>
            <w:left w:w="108" w:type="dxa"/>
            <w:bottom w:w="0" w:type="dxa"/>
            <w:right w:w="108" w:type="dxa"/>
          </w:tblCellMar>
        </w:tblPrEx>
        <w:trPr>
          <w:trHeight w:val="624"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7341F">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7DF14">
            <w:pPr>
              <w:textAlignment w:val="center"/>
              <w:rPr>
                <w:rFonts w:ascii="宋体" w:hAnsi="宋体" w:cs="宋体"/>
                <w:color w:val="000000"/>
                <w:lang w:eastAsia="zh-CN"/>
              </w:rPr>
            </w:pPr>
            <w:r>
              <w:rPr>
                <w:rFonts w:hint="eastAsia" w:ascii="宋体" w:hAnsi="宋体" w:cs="宋体"/>
                <w:color w:val="000000"/>
                <w:lang w:eastAsia="zh-CN" w:bidi="ar"/>
              </w:rPr>
              <w:t>江山欧派门业股份有限公司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B61FB">
            <w:pPr>
              <w:jc w:val="center"/>
              <w:textAlignment w:val="center"/>
              <w:rPr>
                <w:rFonts w:ascii="宋体" w:hAnsi="宋体" w:cs="宋体"/>
                <w:color w:val="000000"/>
              </w:rPr>
            </w:pPr>
            <w:r>
              <w:rPr>
                <w:rFonts w:hint="eastAsia" w:ascii="宋体" w:hAnsi="宋体" w:cs="宋体"/>
                <w:color w:val="000000"/>
                <w:lang w:eastAsia="zh-CN" w:bidi="ar"/>
              </w:rPr>
              <w:t>欧派/欧派安防/欧铂尼</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11495B">
            <w:pPr>
              <w:jc w:val="center"/>
              <w:rPr>
                <w:rFonts w:ascii="宋体" w:hAnsi="宋体" w:cs="宋体"/>
                <w:color w:val="FF0000"/>
              </w:rPr>
            </w:pPr>
          </w:p>
        </w:tc>
      </w:tr>
      <w:tr w14:paraId="2E970AE0">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5A0BB">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66E70">
            <w:pPr>
              <w:textAlignment w:val="center"/>
              <w:rPr>
                <w:rFonts w:ascii="宋体" w:hAnsi="宋体" w:cs="宋体"/>
                <w:color w:val="000000"/>
              </w:rPr>
            </w:pPr>
            <w:r>
              <w:rPr>
                <w:rFonts w:hint="eastAsia" w:ascii="宋体" w:hAnsi="宋体" w:cs="宋体"/>
                <w:color w:val="000000"/>
                <w:lang w:eastAsia="zh-CN" w:bidi="ar"/>
              </w:rPr>
              <w:t>步阳集团有限公司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1FA87">
            <w:pPr>
              <w:jc w:val="center"/>
              <w:textAlignment w:val="center"/>
              <w:rPr>
                <w:rFonts w:ascii="宋体" w:hAnsi="宋体" w:cs="宋体"/>
                <w:color w:val="000000"/>
              </w:rPr>
            </w:pPr>
            <w:r>
              <w:rPr>
                <w:rFonts w:hint="eastAsia" w:ascii="宋体" w:hAnsi="宋体" w:cs="宋体"/>
                <w:color w:val="000000"/>
                <w:lang w:eastAsia="zh-CN" w:bidi="ar"/>
              </w:rPr>
              <w:t>步阳</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7CAD97">
            <w:pPr>
              <w:jc w:val="center"/>
              <w:rPr>
                <w:rFonts w:ascii="宋体" w:hAnsi="宋体" w:cs="宋体"/>
                <w:color w:val="FF0000"/>
              </w:rPr>
            </w:pPr>
          </w:p>
        </w:tc>
      </w:tr>
      <w:tr w14:paraId="4E5B6CDA">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DE7A4">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D89EA">
            <w:pPr>
              <w:textAlignment w:val="center"/>
              <w:rPr>
                <w:rFonts w:ascii="宋体" w:hAnsi="宋体" w:cs="宋体"/>
                <w:color w:val="000000"/>
                <w:lang w:eastAsia="zh-CN"/>
              </w:rPr>
            </w:pPr>
            <w:r>
              <w:rPr>
                <w:rFonts w:hint="eastAsia" w:ascii="宋体" w:hAnsi="宋体" w:cs="宋体"/>
                <w:color w:val="000000"/>
                <w:lang w:eastAsia="zh-CN" w:bidi="ar"/>
              </w:rPr>
              <w:t>盼盼   门业有限责任公司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B9C4A">
            <w:pPr>
              <w:jc w:val="center"/>
              <w:textAlignment w:val="center"/>
              <w:rPr>
                <w:rFonts w:ascii="宋体" w:hAnsi="宋体" w:cs="宋体"/>
                <w:color w:val="000000"/>
              </w:rPr>
            </w:pPr>
            <w:r>
              <w:rPr>
                <w:rFonts w:hint="eastAsia" w:ascii="宋体" w:hAnsi="宋体" w:cs="宋体"/>
                <w:color w:val="000000"/>
                <w:lang w:eastAsia="zh-CN" w:bidi="ar"/>
              </w:rPr>
              <w:t>盼盼</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8C809A">
            <w:pPr>
              <w:jc w:val="center"/>
              <w:rPr>
                <w:rFonts w:ascii="宋体" w:hAnsi="宋体" w:cs="宋体"/>
                <w:color w:val="FF0000"/>
              </w:rPr>
            </w:pPr>
          </w:p>
        </w:tc>
      </w:tr>
      <w:tr w14:paraId="25CD51A9">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F6C98">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0D800">
            <w:pPr>
              <w:textAlignment w:val="center"/>
              <w:rPr>
                <w:rFonts w:ascii="宋体" w:hAnsi="宋体" w:cs="宋体"/>
                <w:color w:val="000000"/>
                <w:lang w:eastAsia="zh-CN"/>
              </w:rPr>
            </w:pPr>
            <w:r>
              <w:rPr>
                <w:rFonts w:hint="eastAsia" w:ascii="宋体" w:hAnsi="宋体" w:cs="宋体"/>
                <w:color w:val="000000"/>
                <w:lang w:eastAsia="zh-CN" w:bidi="ar"/>
              </w:rPr>
              <w:t>广东联塑日利门业有限公司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0865E">
            <w:pPr>
              <w:jc w:val="center"/>
              <w:textAlignment w:val="center"/>
              <w:rPr>
                <w:rFonts w:ascii="宋体" w:hAnsi="宋体" w:cs="宋体"/>
                <w:color w:val="000000"/>
              </w:rPr>
            </w:pPr>
            <w:r>
              <w:rPr>
                <w:rFonts w:hint="eastAsia" w:ascii="宋体" w:hAnsi="宋体" w:cs="宋体"/>
                <w:color w:val="000000"/>
                <w:lang w:eastAsia="zh-CN" w:bidi="ar"/>
              </w:rPr>
              <w:t>LESSO领尚</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FF4943">
            <w:pPr>
              <w:jc w:val="center"/>
              <w:rPr>
                <w:rFonts w:ascii="宋体" w:hAnsi="宋体" w:cs="宋体"/>
                <w:color w:val="FF0000"/>
              </w:rPr>
            </w:pPr>
          </w:p>
        </w:tc>
      </w:tr>
      <w:tr w14:paraId="7CB0D128">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772780B">
            <w:pPr>
              <w:textAlignment w:val="center"/>
              <w:rPr>
                <w:rFonts w:ascii="宋体" w:hAnsi="宋体" w:cs="宋体"/>
                <w:b/>
                <w:bCs/>
                <w:color w:val="000000"/>
              </w:rPr>
            </w:pPr>
            <w:r>
              <w:rPr>
                <w:rFonts w:hint="eastAsia" w:ascii="宋体" w:hAnsi="宋体" w:cs="宋体"/>
                <w:b/>
                <w:bCs/>
                <w:color w:val="000000"/>
                <w:lang w:eastAsia="zh-CN" w:bidi="ar"/>
              </w:rPr>
              <w:t>（六）钢质门</w:t>
            </w:r>
          </w:p>
        </w:tc>
      </w:tr>
      <w:tr w14:paraId="0B8D2924">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0F4EA06">
            <w:pPr>
              <w:textAlignment w:val="center"/>
              <w:rPr>
                <w:rFonts w:ascii="宋体" w:hAnsi="宋体" w:cs="宋体"/>
                <w:b/>
                <w:bCs/>
                <w:color w:val="000000"/>
              </w:rPr>
            </w:pPr>
            <w:r>
              <w:rPr>
                <w:rFonts w:hint="eastAsia" w:ascii="宋体" w:hAnsi="宋体" w:cs="宋体"/>
                <w:b/>
                <w:bCs/>
                <w:color w:val="000000"/>
                <w:lang w:eastAsia="zh-CN" w:bidi="ar"/>
              </w:rPr>
              <w:t>1.入户门</w:t>
            </w:r>
          </w:p>
        </w:tc>
      </w:tr>
      <w:tr w14:paraId="710F07E0">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06B1A">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446E7">
            <w:pPr>
              <w:textAlignment w:val="center"/>
              <w:rPr>
                <w:rFonts w:ascii="宋体" w:hAnsi="宋体" w:cs="宋体"/>
                <w:color w:val="000000"/>
              </w:rPr>
            </w:pPr>
            <w:r>
              <w:rPr>
                <w:rFonts w:hint="eastAsia" w:ascii="宋体" w:hAnsi="宋体" w:cs="宋体"/>
                <w:color w:val="000000"/>
                <w:lang w:eastAsia="zh-CN" w:bidi="ar"/>
              </w:rPr>
              <w:t>步阳集团有限公司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E98E9">
            <w:pPr>
              <w:jc w:val="center"/>
              <w:textAlignment w:val="center"/>
              <w:rPr>
                <w:rFonts w:ascii="宋体" w:hAnsi="宋体" w:cs="宋体"/>
                <w:color w:val="000000"/>
              </w:rPr>
            </w:pPr>
            <w:r>
              <w:rPr>
                <w:rFonts w:hint="eastAsia" w:ascii="宋体" w:hAnsi="宋体" w:cs="宋体"/>
                <w:color w:val="000000"/>
                <w:lang w:eastAsia="zh-CN" w:bidi="ar"/>
              </w:rPr>
              <w:t>步阳</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50CF22">
            <w:pPr>
              <w:jc w:val="center"/>
              <w:rPr>
                <w:rFonts w:ascii="宋体" w:hAnsi="宋体" w:cs="宋体"/>
                <w:color w:val="FF0000"/>
              </w:rPr>
            </w:pPr>
          </w:p>
        </w:tc>
      </w:tr>
      <w:tr w14:paraId="0589CFE9">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3FFBF">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115B9">
            <w:pPr>
              <w:textAlignment w:val="center"/>
              <w:rPr>
                <w:rFonts w:ascii="宋体" w:hAnsi="宋体" w:cs="宋体"/>
                <w:color w:val="000000"/>
                <w:lang w:eastAsia="zh-CN"/>
              </w:rPr>
            </w:pPr>
            <w:r>
              <w:rPr>
                <w:rFonts w:hint="eastAsia" w:ascii="宋体" w:hAnsi="宋体" w:cs="宋体"/>
                <w:color w:val="000000"/>
                <w:lang w:eastAsia="zh-CN" w:bidi="ar"/>
              </w:rPr>
              <w:t>广州市腾龙门业有限公司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DCA18">
            <w:pPr>
              <w:jc w:val="center"/>
              <w:textAlignment w:val="center"/>
              <w:rPr>
                <w:rFonts w:ascii="宋体" w:hAnsi="宋体" w:cs="宋体"/>
                <w:color w:val="000000"/>
              </w:rPr>
            </w:pPr>
            <w:r>
              <w:rPr>
                <w:rFonts w:hint="eastAsia" w:ascii="宋体" w:hAnsi="宋体" w:cs="宋体"/>
                <w:color w:val="000000"/>
                <w:lang w:eastAsia="zh-CN" w:bidi="ar"/>
              </w:rPr>
              <w:t>腾龙</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CE2EC9">
            <w:pPr>
              <w:jc w:val="center"/>
              <w:rPr>
                <w:rFonts w:ascii="宋体" w:hAnsi="宋体" w:cs="宋体"/>
                <w:color w:val="FF0000"/>
              </w:rPr>
            </w:pPr>
          </w:p>
        </w:tc>
      </w:tr>
      <w:tr w14:paraId="050223AB">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F14BF">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1AAF1">
            <w:pPr>
              <w:textAlignment w:val="center"/>
              <w:rPr>
                <w:rFonts w:ascii="宋体" w:hAnsi="宋体" w:cs="宋体"/>
                <w:color w:val="000000"/>
                <w:lang w:eastAsia="zh-CN"/>
              </w:rPr>
            </w:pPr>
            <w:r>
              <w:rPr>
                <w:rFonts w:hint="eastAsia" w:ascii="宋体" w:hAnsi="宋体" w:cs="宋体"/>
                <w:color w:val="000000"/>
                <w:lang w:eastAsia="zh-CN" w:bidi="ar"/>
              </w:rPr>
              <w:t>盼盼   门业有限责任公司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B8DC3">
            <w:pPr>
              <w:jc w:val="center"/>
              <w:textAlignment w:val="center"/>
              <w:rPr>
                <w:rFonts w:ascii="宋体" w:hAnsi="宋体" w:cs="宋体"/>
                <w:color w:val="000000"/>
              </w:rPr>
            </w:pPr>
            <w:r>
              <w:rPr>
                <w:rFonts w:hint="eastAsia" w:ascii="宋体" w:hAnsi="宋体" w:cs="宋体"/>
                <w:color w:val="000000"/>
                <w:lang w:eastAsia="zh-CN" w:bidi="ar"/>
              </w:rPr>
              <w:t>盼盼</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CA3D2C">
            <w:pPr>
              <w:jc w:val="center"/>
              <w:rPr>
                <w:rFonts w:ascii="宋体" w:hAnsi="宋体" w:cs="宋体"/>
                <w:color w:val="FF0000"/>
              </w:rPr>
            </w:pPr>
          </w:p>
        </w:tc>
      </w:tr>
      <w:tr w14:paraId="1AB0001B">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9CC6C">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52202">
            <w:pPr>
              <w:textAlignment w:val="center"/>
              <w:rPr>
                <w:rFonts w:ascii="宋体" w:hAnsi="宋体" w:cs="宋体"/>
                <w:color w:val="000000"/>
                <w:lang w:eastAsia="zh-CN"/>
              </w:rPr>
            </w:pPr>
            <w:r>
              <w:rPr>
                <w:rFonts w:hint="eastAsia" w:ascii="宋体" w:hAnsi="宋体" w:cs="宋体"/>
                <w:color w:val="000000"/>
                <w:lang w:eastAsia="zh-CN" w:bidi="ar"/>
              </w:rPr>
              <w:t>重庆美心（集团）有限公司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27E13">
            <w:pPr>
              <w:jc w:val="center"/>
              <w:textAlignment w:val="center"/>
              <w:rPr>
                <w:rFonts w:ascii="宋体" w:hAnsi="宋体" w:cs="宋体"/>
                <w:color w:val="000000"/>
              </w:rPr>
            </w:pPr>
            <w:r>
              <w:rPr>
                <w:rFonts w:hint="eastAsia" w:ascii="宋体" w:hAnsi="宋体" w:cs="宋体"/>
                <w:color w:val="000000"/>
                <w:lang w:eastAsia="zh-CN" w:bidi="ar"/>
              </w:rPr>
              <w:t>美心</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4888E4">
            <w:pPr>
              <w:jc w:val="center"/>
              <w:rPr>
                <w:rFonts w:ascii="宋体" w:hAnsi="宋体" w:cs="宋体"/>
                <w:color w:val="FF0000"/>
              </w:rPr>
            </w:pPr>
          </w:p>
        </w:tc>
      </w:tr>
      <w:tr w14:paraId="533ABC1A">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ABBE8CD">
            <w:pPr>
              <w:textAlignment w:val="center"/>
              <w:rPr>
                <w:rFonts w:ascii="宋体" w:hAnsi="宋体" w:cs="宋体"/>
                <w:b/>
                <w:bCs/>
                <w:color w:val="000000"/>
              </w:rPr>
            </w:pPr>
            <w:r>
              <w:rPr>
                <w:rFonts w:hint="eastAsia" w:ascii="宋体" w:hAnsi="宋体" w:cs="宋体"/>
                <w:b/>
                <w:bCs/>
                <w:color w:val="000000"/>
                <w:lang w:eastAsia="zh-CN" w:bidi="ar"/>
              </w:rPr>
              <w:t>2.防火门</w:t>
            </w:r>
          </w:p>
        </w:tc>
      </w:tr>
      <w:tr w14:paraId="78B1B623">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826AE">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226BD">
            <w:pPr>
              <w:textAlignment w:val="center"/>
              <w:rPr>
                <w:rFonts w:ascii="宋体" w:hAnsi="宋体" w:cs="宋体"/>
                <w:color w:val="000000"/>
                <w:lang w:eastAsia="zh-CN"/>
              </w:rPr>
            </w:pPr>
            <w:r>
              <w:rPr>
                <w:rFonts w:hint="eastAsia" w:ascii="宋体" w:hAnsi="宋体" w:cs="宋体"/>
                <w:color w:val="000000"/>
                <w:lang w:eastAsia="zh-CN" w:bidi="ar"/>
              </w:rPr>
              <w:t>广州市南粤防火门有限公司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56EF6">
            <w:pPr>
              <w:jc w:val="center"/>
              <w:textAlignment w:val="center"/>
              <w:rPr>
                <w:rFonts w:ascii="宋体" w:hAnsi="宋体" w:cs="宋体"/>
                <w:color w:val="000000"/>
              </w:rPr>
            </w:pPr>
            <w:r>
              <w:rPr>
                <w:rFonts w:hint="eastAsia" w:ascii="宋体" w:hAnsi="宋体" w:cs="宋体"/>
                <w:color w:val="000000"/>
                <w:lang w:eastAsia="zh-CN" w:bidi="ar"/>
              </w:rPr>
              <w:t>南粤</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E4436">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42B74517">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8073A">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3F90B">
            <w:pPr>
              <w:textAlignment w:val="center"/>
              <w:rPr>
                <w:rFonts w:ascii="宋体" w:hAnsi="宋体" w:cs="宋体"/>
                <w:color w:val="000000"/>
                <w:lang w:eastAsia="zh-CN"/>
              </w:rPr>
            </w:pPr>
            <w:r>
              <w:rPr>
                <w:rFonts w:hint="eastAsia" w:ascii="宋体" w:hAnsi="宋体" w:cs="宋体"/>
                <w:color w:val="000000"/>
                <w:lang w:eastAsia="zh-CN" w:bidi="ar"/>
              </w:rPr>
              <w:t>佛山市桂安消防实业有限公司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FE60D">
            <w:pPr>
              <w:jc w:val="center"/>
              <w:textAlignment w:val="center"/>
              <w:rPr>
                <w:rFonts w:ascii="宋体" w:hAnsi="宋体" w:cs="宋体"/>
                <w:color w:val="000000"/>
              </w:rPr>
            </w:pPr>
            <w:r>
              <w:rPr>
                <w:rFonts w:hint="eastAsia" w:ascii="宋体" w:hAnsi="宋体" w:cs="宋体"/>
                <w:color w:val="000000"/>
                <w:lang w:eastAsia="zh-CN" w:bidi="ar"/>
              </w:rPr>
              <w:t>佛山桂安</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E7C47">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69C4A17C">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65DCD">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76BCB">
            <w:pPr>
              <w:textAlignment w:val="center"/>
              <w:rPr>
                <w:rFonts w:ascii="宋体" w:hAnsi="宋体" w:cs="宋体"/>
                <w:color w:val="000000"/>
                <w:lang w:eastAsia="zh-CN"/>
              </w:rPr>
            </w:pPr>
            <w:r>
              <w:rPr>
                <w:rFonts w:hint="eastAsia" w:ascii="宋体" w:hAnsi="宋体" w:cs="宋体"/>
                <w:color w:val="000000"/>
                <w:lang w:eastAsia="zh-CN" w:bidi="ar"/>
              </w:rPr>
              <w:t>深圳蓝盾实业有限公司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4A120">
            <w:pPr>
              <w:jc w:val="center"/>
              <w:textAlignment w:val="center"/>
              <w:rPr>
                <w:rFonts w:ascii="宋体" w:hAnsi="宋体" w:cs="宋体"/>
                <w:color w:val="000000"/>
              </w:rPr>
            </w:pPr>
            <w:r>
              <w:rPr>
                <w:rFonts w:hint="eastAsia" w:ascii="宋体" w:hAnsi="宋体" w:cs="宋体"/>
                <w:color w:val="000000"/>
                <w:lang w:eastAsia="zh-CN" w:bidi="ar"/>
              </w:rPr>
              <w:t>深圳蓝盾</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8FAC4">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63B616E2">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8C11F">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F6F06">
            <w:pPr>
              <w:textAlignment w:val="center"/>
              <w:rPr>
                <w:rFonts w:ascii="宋体" w:hAnsi="宋体" w:cs="宋体"/>
                <w:color w:val="000000"/>
                <w:lang w:eastAsia="zh-CN"/>
              </w:rPr>
            </w:pPr>
            <w:r>
              <w:rPr>
                <w:rFonts w:hint="eastAsia" w:ascii="宋体" w:hAnsi="宋体" w:cs="宋体"/>
                <w:color w:val="000000"/>
                <w:lang w:eastAsia="zh-CN" w:bidi="ar"/>
              </w:rPr>
              <w:t>东莞市永安消防器材厂</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ACD70">
            <w:pPr>
              <w:jc w:val="center"/>
              <w:textAlignment w:val="center"/>
              <w:rPr>
                <w:rFonts w:ascii="宋体" w:hAnsi="宋体" w:cs="宋体"/>
                <w:color w:val="000000"/>
              </w:rPr>
            </w:pPr>
            <w:r>
              <w:rPr>
                <w:rFonts w:hint="eastAsia" w:ascii="宋体" w:hAnsi="宋体" w:cs="宋体"/>
                <w:color w:val="000000"/>
                <w:lang w:eastAsia="zh-CN" w:bidi="ar"/>
              </w:rPr>
              <w:t>东莞永安</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44F5D">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56C27D3A">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19DF8">
            <w:pPr>
              <w:jc w:val="center"/>
              <w:textAlignment w:val="center"/>
              <w:rPr>
                <w:rFonts w:ascii="宋体" w:hAnsi="宋体" w:cs="宋体"/>
                <w:color w:val="000000"/>
              </w:rPr>
            </w:pPr>
            <w:r>
              <w:rPr>
                <w:rFonts w:hint="eastAsia" w:ascii="宋体" w:hAnsi="宋体" w:cs="宋体"/>
                <w:color w:val="000000"/>
                <w:lang w:eastAsia="zh-CN" w:bidi="ar"/>
              </w:rPr>
              <w:t>5</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8A570">
            <w:pPr>
              <w:textAlignment w:val="center"/>
              <w:rPr>
                <w:rFonts w:ascii="宋体" w:hAnsi="宋体" w:cs="宋体"/>
                <w:color w:val="000000"/>
                <w:lang w:eastAsia="zh-CN"/>
              </w:rPr>
            </w:pPr>
            <w:r>
              <w:rPr>
                <w:rFonts w:hint="eastAsia" w:ascii="宋体" w:hAnsi="宋体" w:cs="宋体"/>
                <w:color w:val="000000"/>
                <w:lang w:eastAsia="zh-CN" w:bidi="ar"/>
              </w:rPr>
              <w:t>广东联塑安防科技有限公司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34385">
            <w:pPr>
              <w:jc w:val="center"/>
              <w:textAlignment w:val="center"/>
              <w:rPr>
                <w:rFonts w:ascii="宋体" w:hAnsi="宋体" w:cs="宋体"/>
                <w:color w:val="000000"/>
              </w:rPr>
            </w:pPr>
            <w:r>
              <w:rPr>
                <w:rFonts w:hint="eastAsia" w:ascii="宋体" w:hAnsi="宋体" w:cs="宋体"/>
                <w:color w:val="000000"/>
                <w:lang w:eastAsia="zh-CN" w:bidi="ar"/>
              </w:rPr>
              <w:t>联塑</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8446A">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56E94DC7">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F42439F">
            <w:pPr>
              <w:textAlignment w:val="center"/>
              <w:rPr>
                <w:rFonts w:ascii="宋体" w:hAnsi="宋体" w:cs="宋体"/>
                <w:b/>
                <w:bCs/>
                <w:color w:val="000000"/>
              </w:rPr>
            </w:pPr>
            <w:r>
              <w:rPr>
                <w:rFonts w:hint="eastAsia" w:ascii="宋体" w:hAnsi="宋体" w:cs="宋体"/>
                <w:b/>
                <w:bCs/>
                <w:color w:val="000000"/>
                <w:lang w:eastAsia="zh-CN" w:bidi="ar"/>
              </w:rPr>
              <w:t>（七）防火卷帘</w:t>
            </w:r>
          </w:p>
        </w:tc>
      </w:tr>
      <w:tr w14:paraId="02C6A117">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A1A82">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DEA19">
            <w:pPr>
              <w:textAlignment w:val="center"/>
              <w:rPr>
                <w:rFonts w:ascii="宋体" w:hAnsi="宋体" w:cs="宋体"/>
                <w:color w:val="000000"/>
                <w:lang w:eastAsia="zh-CN"/>
              </w:rPr>
            </w:pPr>
            <w:r>
              <w:rPr>
                <w:rFonts w:hint="eastAsia" w:ascii="宋体" w:hAnsi="宋体" w:cs="宋体"/>
                <w:color w:val="000000"/>
                <w:lang w:eastAsia="zh-CN" w:bidi="ar"/>
              </w:rPr>
              <w:t>广州市泰昌实业有限公司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18FD7">
            <w:pPr>
              <w:jc w:val="center"/>
              <w:textAlignment w:val="center"/>
              <w:rPr>
                <w:rFonts w:ascii="宋体" w:hAnsi="宋体" w:cs="宋体"/>
                <w:color w:val="000000"/>
              </w:rPr>
            </w:pPr>
            <w:r>
              <w:rPr>
                <w:rFonts w:hint="eastAsia" w:ascii="宋体" w:hAnsi="宋体" w:cs="宋体"/>
                <w:color w:val="000000"/>
                <w:lang w:eastAsia="zh-CN" w:bidi="ar"/>
              </w:rPr>
              <w:t>泰昌</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4BA45">
            <w:pPr>
              <w:jc w:val="center"/>
              <w:textAlignment w:val="center"/>
              <w:rPr>
                <w:rFonts w:ascii="宋体" w:hAnsi="宋体" w:cs="宋体"/>
                <w:color w:val="FF0000"/>
                <w:sz w:val="22"/>
                <w:szCs w:val="22"/>
              </w:rPr>
            </w:pPr>
            <w:r>
              <w:rPr>
                <w:rFonts w:hint="eastAsia" w:ascii="宋体" w:hAnsi="宋体" w:cs="宋体"/>
                <w:color w:val="FF0000"/>
                <w:sz w:val="22"/>
                <w:szCs w:val="22"/>
                <w:lang w:eastAsia="zh-CN" w:bidi="ar"/>
              </w:rPr>
              <w:t xml:space="preserve">  </w:t>
            </w:r>
          </w:p>
        </w:tc>
      </w:tr>
      <w:tr w14:paraId="55DA6538">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E60B2">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BF82A">
            <w:pPr>
              <w:textAlignment w:val="center"/>
              <w:rPr>
                <w:rFonts w:ascii="宋体" w:hAnsi="宋体" w:cs="宋体"/>
                <w:color w:val="000000"/>
                <w:lang w:eastAsia="zh-CN"/>
              </w:rPr>
            </w:pPr>
            <w:r>
              <w:rPr>
                <w:rFonts w:hint="eastAsia" w:ascii="宋体" w:hAnsi="宋体" w:cs="宋体"/>
                <w:color w:val="000000"/>
                <w:lang w:eastAsia="zh-CN" w:bidi="ar"/>
              </w:rPr>
              <w:t>广东家吉消防实业有限公司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4630E">
            <w:pPr>
              <w:jc w:val="center"/>
              <w:textAlignment w:val="center"/>
              <w:rPr>
                <w:rFonts w:ascii="宋体" w:hAnsi="宋体" w:cs="宋体"/>
                <w:color w:val="000000"/>
              </w:rPr>
            </w:pPr>
            <w:r>
              <w:rPr>
                <w:rFonts w:hint="eastAsia" w:ascii="宋体" w:hAnsi="宋体" w:cs="宋体"/>
                <w:color w:val="000000"/>
                <w:lang w:eastAsia="zh-CN" w:bidi="ar"/>
              </w:rPr>
              <w:t>广东家吉</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D1296">
            <w:pPr>
              <w:jc w:val="center"/>
              <w:textAlignment w:val="center"/>
              <w:rPr>
                <w:rFonts w:ascii="宋体" w:hAnsi="宋体" w:cs="宋体"/>
                <w:color w:val="FF0000"/>
                <w:sz w:val="22"/>
                <w:szCs w:val="22"/>
              </w:rPr>
            </w:pPr>
            <w:r>
              <w:rPr>
                <w:rFonts w:hint="eastAsia" w:ascii="宋体" w:hAnsi="宋体" w:cs="宋体"/>
                <w:color w:val="FF0000"/>
                <w:sz w:val="22"/>
                <w:szCs w:val="22"/>
                <w:lang w:eastAsia="zh-CN" w:bidi="ar"/>
              </w:rPr>
              <w:t xml:space="preserve">  </w:t>
            </w:r>
          </w:p>
        </w:tc>
      </w:tr>
      <w:tr w14:paraId="07D29BC7">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0B143">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CFAD0">
            <w:pPr>
              <w:textAlignment w:val="center"/>
              <w:rPr>
                <w:rFonts w:ascii="宋体" w:hAnsi="宋体" w:cs="宋体"/>
                <w:color w:val="000000"/>
                <w:lang w:eastAsia="zh-CN"/>
              </w:rPr>
            </w:pPr>
            <w:r>
              <w:rPr>
                <w:rFonts w:hint="eastAsia" w:ascii="宋体" w:hAnsi="宋体" w:cs="宋体"/>
                <w:color w:val="000000"/>
                <w:lang w:eastAsia="zh-CN" w:bidi="ar"/>
              </w:rPr>
              <w:t>广州市锦澜消防设备有限公司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9F7E9">
            <w:pPr>
              <w:jc w:val="center"/>
              <w:textAlignment w:val="center"/>
              <w:rPr>
                <w:rFonts w:ascii="宋体" w:hAnsi="宋体" w:cs="宋体"/>
                <w:color w:val="000000"/>
              </w:rPr>
            </w:pPr>
            <w:r>
              <w:rPr>
                <w:rFonts w:hint="eastAsia" w:ascii="宋体" w:hAnsi="宋体" w:cs="宋体"/>
                <w:color w:val="000000"/>
                <w:lang w:eastAsia="zh-CN" w:bidi="ar"/>
              </w:rPr>
              <w:t>锦澜牌</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89698">
            <w:pPr>
              <w:jc w:val="center"/>
              <w:textAlignment w:val="center"/>
              <w:rPr>
                <w:rFonts w:ascii="宋体" w:hAnsi="宋体" w:cs="宋体"/>
                <w:color w:val="FF0000"/>
                <w:sz w:val="22"/>
                <w:szCs w:val="22"/>
              </w:rPr>
            </w:pPr>
            <w:r>
              <w:rPr>
                <w:rFonts w:hint="eastAsia" w:ascii="宋体" w:hAnsi="宋体" w:cs="宋体"/>
                <w:color w:val="FF0000"/>
                <w:sz w:val="22"/>
                <w:szCs w:val="22"/>
                <w:lang w:eastAsia="zh-CN" w:bidi="ar"/>
              </w:rPr>
              <w:t xml:space="preserve">  </w:t>
            </w:r>
          </w:p>
        </w:tc>
      </w:tr>
      <w:tr w14:paraId="1B679548">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171E8">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D3CA9">
            <w:pPr>
              <w:textAlignment w:val="center"/>
              <w:rPr>
                <w:rFonts w:ascii="宋体" w:hAnsi="宋体" w:cs="宋体"/>
                <w:color w:val="000000"/>
                <w:lang w:eastAsia="zh-CN"/>
              </w:rPr>
            </w:pPr>
            <w:r>
              <w:rPr>
                <w:rFonts w:hint="eastAsia" w:ascii="宋体" w:hAnsi="宋体" w:cs="宋体"/>
                <w:color w:val="000000"/>
                <w:lang w:eastAsia="zh-CN" w:bidi="ar"/>
              </w:rPr>
              <w:t>广东蓝盾门业有限公司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9E7B1">
            <w:pPr>
              <w:jc w:val="center"/>
              <w:textAlignment w:val="center"/>
              <w:rPr>
                <w:rFonts w:ascii="宋体" w:hAnsi="宋体" w:cs="宋体"/>
                <w:color w:val="000000"/>
              </w:rPr>
            </w:pPr>
            <w:r>
              <w:rPr>
                <w:rFonts w:hint="eastAsia" w:ascii="宋体" w:hAnsi="宋体" w:cs="宋体"/>
                <w:color w:val="000000"/>
                <w:lang w:eastAsia="zh-CN" w:bidi="ar"/>
              </w:rPr>
              <w:t>蓝盾</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1A39D">
            <w:pPr>
              <w:jc w:val="center"/>
              <w:textAlignment w:val="center"/>
              <w:rPr>
                <w:rFonts w:ascii="宋体" w:hAnsi="宋体" w:cs="宋体"/>
                <w:color w:val="FF0000"/>
                <w:sz w:val="22"/>
                <w:szCs w:val="22"/>
              </w:rPr>
            </w:pPr>
            <w:r>
              <w:rPr>
                <w:rFonts w:hint="eastAsia" w:ascii="宋体" w:hAnsi="宋体" w:cs="宋体"/>
                <w:color w:val="FF0000"/>
                <w:sz w:val="22"/>
                <w:szCs w:val="22"/>
                <w:lang w:eastAsia="zh-CN" w:bidi="ar"/>
              </w:rPr>
              <w:t xml:space="preserve">   </w:t>
            </w:r>
          </w:p>
        </w:tc>
      </w:tr>
      <w:tr w14:paraId="5F85E55B">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EED17">
            <w:pPr>
              <w:jc w:val="center"/>
              <w:textAlignment w:val="center"/>
              <w:rPr>
                <w:rFonts w:ascii="宋体" w:hAnsi="宋体" w:cs="宋体"/>
                <w:color w:val="000000"/>
              </w:rPr>
            </w:pPr>
            <w:r>
              <w:rPr>
                <w:rFonts w:hint="eastAsia" w:ascii="宋体" w:hAnsi="宋体" w:cs="宋体"/>
                <w:color w:val="000000"/>
                <w:lang w:eastAsia="zh-CN" w:bidi="ar"/>
              </w:rPr>
              <w:t>5</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A9FD8">
            <w:pPr>
              <w:textAlignment w:val="center"/>
              <w:rPr>
                <w:rFonts w:ascii="宋体" w:hAnsi="宋体" w:cs="宋体"/>
                <w:color w:val="000000"/>
                <w:lang w:eastAsia="zh-CN"/>
              </w:rPr>
            </w:pPr>
            <w:r>
              <w:rPr>
                <w:rFonts w:hint="eastAsia" w:ascii="宋体" w:hAnsi="宋体" w:cs="宋体"/>
                <w:color w:val="000000"/>
                <w:lang w:eastAsia="zh-CN" w:bidi="ar"/>
              </w:rPr>
              <w:t>广州市南粤防火门有限公司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F9ED6">
            <w:pPr>
              <w:jc w:val="center"/>
              <w:textAlignment w:val="center"/>
              <w:rPr>
                <w:rFonts w:ascii="宋体" w:hAnsi="宋体" w:cs="宋体"/>
                <w:color w:val="000000"/>
              </w:rPr>
            </w:pPr>
            <w:r>
              <w:rPr>
                <w:rFonts w:hint="eastAsia" w:ascii="宋体" w:hAnsi="宋体" w:cs="宋体"/>
                <w:color w:val="000000"/>
                <w:lang w:eastAsia="zh-CN" w:bidi="ar"/>
              </w:rPr>
              <w:t>南粤</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73C74">
            <w:pPr>
              <w:jc w:val="center"/>
              <w:textAlignment w:val="center"/>
              <w:rPr>
                <w:rFonts w:ascii="宋体" w:hAnsi="宋体" w:cs="宋体"/>
                <w:color w:val="FF0000"/>
                <w:sz w:val="22"/>
                <w:szCs w:val="22"/>
              </w:rPr>
            </w:pPr>
            <w:r>
              <w:rPr>
                <w:rFonts w:hint="eastAsia" w:ascii="宋体" w:hAnsi="宋体" w:cs="宋体"/>
                <w:color w:val="FF0000"/>
                <w:sz w:val="22"/>
                <w:szCs w:val="22"/>
                <w:lang w:eastAsia="zh-CN" w:bidi="ar"/>
              </w:rPr>
              <w:t xml:space="preserve">  </w:t>
            </w:r>
          </w:p>
        </w:tc>
      </w:tr>
      <w:tr w14:paraId="71589790">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57CE3A8">
            <w:pPr>
              <w:textAlignment w:val="center"/>
              <w:rPr>
                <w:rFonts w:ascii="宋体" w:hAnsi="宋体" w:cs="宋体"/>
                <w:b/>
                <w:bCs/>
                <w:color w:val="000000"/>
              </w:rPr>
            </w:pPr>
            <w:r>
              <w:rPr>
                <w:rFonts w:hint="eastAsia" w:ascii="宋体" w:hAnsi="宋体" w:cs="宋体"/>
                <w:b/>
                <w:bCs/>
                <w:color w:val="000000"/>
                <w:lang w:eastAsia="zh-CN" w:bidi="ar"/>
              </w:rPr>
              <w:t>（八）五金及门锁</w:t>
            </w:r>
          </w:p>
        </w:tc>
      </w:tr>
      <w:tr w14:paraId="73954DBE">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3ACDF8AD">
            <w:pPr>
              <w:textAlignment w:val="center"/>
              <w:rPr>
                <w:rFonts w:ascii="宋体" w:hAnsi="宋体" w:cs="宋体"/>
                <w:b/>
                <w:bCs/>
                <w:color w:val="000000"/>
              </w:rPr>
            </w:pPr>
            <w:r>
              <w:rPr>
                <w:rFonts w:hint="eastAsia" w:ascii="宋体" w:hAnsi="宋体" w:cs="宋体"/>
                <w:b/>
                <w:bCs/>
                <w:color w:val="000000"/>
                <w:lang w:eastAsia="zh-CN" w:bidi="ar"/>
              </w:rPr>
              <w:t>1.门五金</w:t>
            </w:r>
          </w:p>
        </w:tc>
      </w:tr>
      <w:tr w14:paraId="76F45F27">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F22934">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6016F5">
            <w:pPr>
              <w:textAlignment w:val="center"/>
              <w:rPr>
                <w:rFonts w:ascii="宋体" w:hAnsi="宋体" w:cs="宋体"/>
                <w:color w:val="000000"/>
                <w:lang w:eastAsia="zh-CN"/>
              </w:rPr>
            </w:pPr>
            <w:r>
              <w:rPr>
                <w:rFonts w:hint="eastAsia" w:ascii="宋体" w:hAnsi="宋体" w:cs="宋体"/>
                <w:color w:val="000000"/>
                <w:lang w:eastAsia="zh-CN" w:bidi="ar"/>
              </w:rPr>
              <w:t>广东合和建筑五金制品有限公司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1B0504">
            <w:pPr>
              <w:jc w:val="center"/>
              <w:textAlignment w:val="center"/>
              <w:rPr>
                <w:rFonts w:ascii="宋体" w:hAnsi="宋体" w:cs="宋体"/>
                <w:color w:val="000000"/>
              </w:rPr>
            </w:pPr>
            <w:r>
              <w:rPr>
                <w:rFonts w:hint="eastAsia" w:ascii="宋体" w:hAnsi="宋体" w:cs="宋体"/>
                <w:color w:val="000000"/>
                <w:lang w:eastAsia="zh-CN" w:bidi="ar"/>
              </w:rPr>
              <w:t>合和牌</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47BE09">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2ED89E9F">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2D0060">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DEF24A">
            <w:pPr>
              <w:textAlignment w:val="center"/>
              <w:rPr>
                <w:rFonts w:ascii="宋体" w:hAnsi="宋体" w:cs="宋体"/>
                <w:color w:val="000000"/>
              </w:rPr>
            </w:pPr>
            <w:r>
              <w:rPr>
                <w:rFonts w:hint="eastAsia" w:ascii="宋体" w:hAnsi="宋体" w:cs="宋体"/>
                <w:color w:val="000000"/>
                <w:lang w:eastAsia="zh-CN" w:bidi="ar"/>
              </w:rPr>
              <w:t>春光五金有限公司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6168C9">
            <w:pPr>
              <w:jc w:val="center"/>
              <w:textAlignment w:val="center"/>
              <w:rPr>
                <w:rFonts w:ascii="宋体" w:hAnsi="宋体" w:cs="宋体"/>
                <w:color w:val="000000"/>
              </w:rPr>
            </w:pPr>
            <w:r>
              <w:rPr>
                <w:rFonts w:hint="eastAsia" w:ascii="宋体" w:hAnsi="宋体" w:cs="宋体"/>
                <w:color w:val="000000"/>
                <w:lang w:eastAsia="zh-CN" w:bidi="ar"/>
              </w:rPr>
              <w:t>春光CHUGN</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E804FE">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5915687D">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9A83E4">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CF6C4C">
            <w:pPr>
              <w:textAlignment w:val="center"/>
              <w:rPr>
                <w:rFonts w:ascii="宋体" w:hAnsi="宋体" w:cs="宋体"/>
                <w:color w:val="000000"/>
                <w:lang w:eastAsia="zh-CN"/>
              </w:rPr>
            </w:pPr>
            <w:r>
              <w:rPr>
                <w:rFonts w:hint="eastAsia" w:ascii="宋体" w:hAnsi="宋体" w:cs="宋体"/>
                <w:color w:val="000000"/>
                <w:lang w:eastAsia="zh-CN" w:bidi="ar"/>
              </w:rPr>
              <w:t>广东坚朗五金制品股份有限公司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D41C98">
            <w:pPr>
              <w:jc w:val="center"/>
              <w:textAlignment w:val="center"/>
              <w:rPr>
                <w:rFonts w:ascii="宋体" w:hAnsi="宋体" w:cs="宋体"/>
                <w:color w:val="000000"/>
              </w:rPr>
            </w:pPr>
            <w:r>
              <w:rPr>
                <w:rFonts w:hint="eastAsia" w:ascii="宋体" w:hAnsi="宋体" w:cs="宋体"/>
                <w:color w:val="000000"/>
                <w:lang w:eastAsia="zh-CN" w:bidi="ar"/>
              </w:rPr>
              <w:t>坚朗</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6D571C">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2E55F514">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F305F2">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DCF3BB">
            <w:pPr>
              <w:textAlignment w:val="center"/>
              <w:rPr>
                <w:rFonts w:ascii="宋体" w:hAnsi="宋体" w:cs="宋体"/>
                <w:color w:val="000000"/>
                <w:lang w:eastAsia="zh-CN"/>
              </w:rPr>
            </w:pPr>
            <w:r>
              <w:rPr>
                <w:rFonts w:hint="eastAsia" w:ascii="宋体" w:hAnsi="宋体" w:cs="宋体"/>
                <w:color w:val="000000"/>
                <w:lang w:eastAsia="zh-CN" w:bidi="ar"/>
              </w:rPr>
              <w:t>亚尔五金集团有限公司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701724">
            <w:pPr>
              <w:jc w:val="center"/>
              <w:textAlignment w:val="center"/>
              <w:rPr>
                <w:rFonts w:ascii="宋体" w:hAnsi="宋体" w:cs="宋体"/>
                <w:color w:val="000000"/>
              </w:rPr>
            </w:pPr>
            <w:r>
              <w:rPr>
                <w:rFonts w:hint="eastAsia" w:ascii="宋体" w:hAnsi="宋体" w:cs="宋体"/>
                <w:color w:val="000000"/>
                <w:lang w:eastAsia="zh-CN" w:bidi="ar"/>
              </w:rPr>
              <w:t>亚尔</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0A38D5">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777CCA7B">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DAAD49">
            <w:pPr>
              <w:jc w:val="center"/>
              <w:textAlignment w:val="center"/>
              <w:rPr>
                <w:rFonts w:ascii="宋体" w:hAnsi="宋体" w:cs="宋体"/>
                <w:color w:val="000000"/>
              </w:rPr>
            </w:pPr>
            <w:r>
              <w:rPr>
                <w:rFonts w:hint="eastAsia" w:ascii="宋体" w:hAnsi="宋体" w:cs="宋体"/>
                <w:color w:val="000000"/>
                <w:lang w:eastAsia="zh-CN" w:bidi="ar"/>
              </w:rPr>
              <w:t>5</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91F2F2">
            <w:pPr>
              <w:textAlignment w:val="center"/>
              <w:rPr>
                <w:rFonts w:ascii="宋体" w:hAnsi="宋体" w:cs="宋体"/>
                <w:color w:val="000000"/>
                <w:lang w:eastAsia="zh-CN"/>
              </w:rPr>
            </w:pPr>
            <w:r>
              <w:rPr>
                <w:rFonts w:hint="eastAsia" w:ascii="宋体" w:hAnsi="宋体" w:cs="宋体"/>
                <w:color w:val="000000"/>
                <w:lang w:eastAsia="zh-CN" w:bidi="ar"/>
              </w:rPr>
              <w:t>深圳市固诺建材有限公司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97EFF1">
            <w:pPr>
              <w:jc w:val="center"/>
              <w:textAlignment w:val="center"/>
              <w:rPr>
                <w:rFonts w:ascii="宋体" w:hAnsi="宋体" w:cs="宋体"/>
                <w:color w:val="000000"/>
              </w:rPr>
            </w:pPr>
            <w:r>
              <w:rPr>
                <w:rFonts w:hint="eastAsia" w:ascii="宋体" w:hAnsi="宋体" w:cs="宋体"/>
                <w:color w:val="000000"/>
                <w:lang w:eastAsia="zh-CN" w:bidi="ar"/>
              </w:rPr>
              <w:t>固诺</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438ADF">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24089845">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647E66E4">
            <w:pPr>
              <w:textAlignment w:val="center"/>
              <w:rPr>
                <w:rFonts w:ascii="宋体" w:hAnsi="宋体" w:cs="宋体"/>
                <w:b/>
                <w:bCs/>
                <w:color w:val="000000"/>
              </w:rPr>
            </w:pPr>
            <w:r>
              <w:rPr>
                <w:rFonts w:hint="eastAsia" w:ascii="宋体" w:hAnsi="宋体" w:cs="宋体"/>
                <w:b/>
                <w:bCs/>
                <w:color w:val="000000"/>
                <w:lang w:eastAsia="zh-CN" w:bidi="ar"/>
              </w:rPr>
              <w:t>2.门锁</w:t>
            </w:r>
          </w:p>
        </w:tc>
      </w:tr>
      <w:tr w14:paraId="6E50263D">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F1A620">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A4318F">
            <w:pPr>
              <w:textAlignment w:val="center"/>
              <w:rPr>
                <w:rFonts w:ascii="宋体" w:hAnsi="宋体" w:cs="宋体"/>
                <w:color w:val="000000"/>
                <w:lang w:eastAsia="zh-CN"/>
              </w:rPr>
            </w:pPr>
            <w:r>
              <w:rPr>
                <w:rFonts w:hint="eastAsia" w:ascii="宋体" w:hAnsi="宋体" w:cs="宋体"/>
                <w:color w:val="000000"/>
                <w:lang w:eastAsia="zh-CN" w:bidi="ar"/>
              </w:rPr>
              <w:t>广东合和建筑五金制品有限公司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E712EE">
            <w:pPr>
              <w:jc w:val="center"/>
              <w:textAlignment w:val="center"/>
              <w:rPr>
                <w:rFonts w:ascii="宋体" w:hAnsi="宋体" w:cs="宋体"/>
                <w:color w:val="000000"/>
              </w:rPr>
            </w:pPr>
            <w:r>
              <w:rPr>
                <w:rFonts w:hint="eastAsia" w:ascii="宋体" w:hAnsi="宋体" w:cs="宋体"/>
                <w:color w:val="000000"/>
                <w:lang w:eastAsia="zh-CN" w:bidi="ar"/>
              </w:rPr>
              <w:t>合和牌</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37C615">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1EBC4282">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925403">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B00CE7">
            <w:pPr>
              <w:textAlignment w:val="center"/>
              <w:rPr>
                <w:rFonts w:ascii="宋体" w:hAnsi="宋体" w:cs="宋体"/>
                <w:color w:val="000000"/>
              </w:rPr>
            </w:pPr>
            <w:r>
              <w:rPr>
                <w:rFonts w:hint="eastAsia" w:ascii="宋体" w:hAnsi="宋体" w:cs="宋体"/>
                <w:color w:val="000000"/>
                <w:lang w:eastAsia="zh-CN" w:bidi="ar"/>
              </w:rPr>
              <w:t>春光五金有限公司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D030BA">
            <w:pPr>
              <w:jc w:val="center"/>
              <w:textAlignment w:val="center"/>
              <w:rPr>
                <w:rFonts w:ascii="宋体" w:hAnsi="宋体" w:cs="宋体"/>
                <w:color w:val="000000"/>
              </w:rPr>
            </w:pPr>
            <w:r>
              <w:rPr>
                <w:rFonts w:hint="eastAsia" w:ascii="宋体" w:hAnsi="宋体" w:cs="宋体"/>
                <w:color w:val="000000"/>
                <w:lang w:eastAsia="zh-CN" w:bidi="ar"/>
              </w:rPr>
              <w:t>春光CHUGN</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CB0B0F">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0C6B4685">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6AC791">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E6AE67">
            <w:pPr>
              <w:textAlignment w:val="center"/>
              <w:rPr>
                <w:rFonts w:ascii="宋体" w:hAnsi="宋体" w:cs="宋体"/>
                <w:color w:val="000000"/>
                <w:lang w:eastAsia="zh-CN"/>
              </w:rPr>
            </w:pPr>
            <w:r>
              <w:rPr>
                <w:rFonts w:hint="eastAsia" w:ascii="宋体" w:hAnsi="宋体" w:cs="宋体"/>
                <w:color w:val="000000"/>
                <w:lang w:eastAsia="zh-CN" w:bidi="ar"/>
              </w:rPr>
              <w:t>广东坚朗五金制品股份有限公司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447249">
            <w:pPr>
              <w:jc w:val="center"/>
              <w:textAlignment w:val="center"/>
              <w:rPr>
                <w:rFonts w:ascii="宋体" w:hAnsi="宋体" w:cs="宋体"/>
                <w:color w:val="000000"/>
              </w:rPr>
            </w:pPr>
            <w:r>
              <w:rPr>
                <w:rFonts w:hint="eastAsia" w:ascii="宋体" w:hAnsi="宋体" w:cs="宋体"/>
                <w:color w:val="000000"/>
                <w:lang w:eastAsia="zh-CN" w:bidi="ar"/>
              </w:rPr>
              <w:t>坚朗</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54D126">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40305A7B">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66A81B">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B42187">
            <w:pPr>
              <w:textAlignment w:val="center"/>
              <w:rPr>
                <w:rFonts w:ascii="宋体" w:hAnsi="宋体" w:cs="宋体"/>
                <w:color w:val="000000"/>
                <w:lang w:eastAsia="zh-CN"/>
              </w:rPr>
            </w:pPr>
            <w:r>
              <w:rPr>
                <w:rFonts w:hint="eastAsia" w:ascii="宋体" w:hAnsi="宋体" w:cs="宋体"/>
                <w:color w:val="000000"/>
                <w:lang w:eastAsia="zh-CN" w:bidi="ar"/>
              </w:rPr>
              <w:t>广州洛科韦尔安防科技有限公司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6882AA">
            <w:pPr>
              <w:jc w:val="center"/>
              <w:textAlignment w:val="center"/>
              <w:rPr>
                <w:rFonts w:ascii="宋体" w:hAnsi="宋体" w:cs="宋体"/>
                <w:color w:val="000000"/>
              </w:rPr>
            </w:pPr>
            <w:r>
              <w:rPr>
                <w:rFonts w:hint="eastAsia" w:ascii="宋体" w:hAnsi="宋体" w:cs="宋体"/>
                <w:color w:val="000000"/>
                <w:lang w:eastAsia="zh-CN" w:bidi="ar"/>
              </w:rPr>
              <w:t>洛科韦尔</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4C2DD6">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576011E4">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90E58A">
            <w:pPr>
              <w:jc w:val="center"/>
              <w:textAlignment w:val="center"/>
              <w:rPr>
                <w:rFonts w:ascii="宋体" w:hAnsi="宋体" w:cs="宋体"/>
                <w:color w:val="000000"/>
              </w:rPr>
            </w:pPr>
            <w:r>
              <w:rPr>
                <w:rFonts w:hint="eastAsia" w:ascii="宋体" w:hAnsi="宋体" w:cs="宋体"/>
                <w:color w:val="000000"/>
                <w:lang w:eastAsia="zh-CN" w:bidi="ar"/>
              </w:rPr>
              <w:t>5</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9D7734">
            <w:pPr>
              <w:textAlignment w:val="center"/>
              <w:rPr>
                <w:rFonts w:ascii="宋体" w:hAnsi="宋体" w:cs="宋体"/>
                <w:color w:val="000000"/>
                <w:lang w:eastAsia="zh-CN"/>
              </w:rPr>
            </w:pPr>
            <w:r>
              <w:rPr>
                <w:rFonts w:hint="eastAsia" w:ascii="宋体" w:hAnsi="宋体" w:cs="宋体"/>
                <w:color w:val="000000"/>
                <w:lang w:eastAsia="zh-CN" w:bidi="ar"/>
              </w:rPr>
              <w:t>上海海维斯五金有限公司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EA23A9">
            <w:pPr>
              <w:jc w:val="center"/>
              <w:textAlignment w:val="center"/>
              <w:rPr>
                <w:rFonts w:ascii="宋体" w:hAnsi="宋体" w:cs="宋体"/>
                <w:color w:val="000000"/>
              </w:rPr>
            </w:pPr>
            <w:r>
              <w:rPr>
                <w:rFonts w:hint="eastAsia" w:ascii="宋体" w:hAnsi="宋体" w:cs="宋体"/>
                <w:color w:val="000000"/>
                <w:lang w:eastAsia="zh-CN" w:bidi="ar"/>
              </w:rPr>
              <w:t>Herrscher海维斯</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AF5951">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5AB73776">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365A082B">
            <w:pPr>
              <w:textAlignment w:val="center"/>
              <w:rPr>
                <w:rFonts w:ascii="宋体" w:hAnsi="宋体" w:cs="宋体"/>
                <w:b/>
                <w:bCs/>
                <w:color w:val="000000"/>
              </w:rPr>
            </w:pPr>
            <w:r>
              <w:rPr>
                <w:rFonts w:hint="eastAsia" w:ascii="宋体" w:hAnsi="宋体" w:cs="宋体"/>
                <w:b/>
                <w:bCs/>
                <w:color w:val="000000"/>
                <w:lang w:eastAsia="zh-CN" w:bidi="ar"/>
              </w:rPr>
              <w:t>（九）隔段</w:t>
            </w:r>
          </w:p>
        </w:tc>
      </w:tr>
      <w:tr w14:paraId="2B25506F">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66601E55">
            <w:pPr>
              <w:textAlignment w:val="center"/>
              <w:rPr>
                <w:rFonts w:ascii="宋体" w:hAnsi="宋体" w:cs="宋体"/>
                <w:b/>
                <w:bCs/>
                <w:color w:val="000000"/>
              </w:rPr>
            </w:pPr>
            <w:r>
              <w:rPr>
                <w:rFonts w:hint="eastAsia" w:ascii="宋体" w:hAnsi="宋体" w:cs="宋体"/>
                <w:b/>
                <w:bCs/>
                <w:color w:val="000000"/>
                <w:lang w:eastAsia="zh-CN" w:bidi="ar"/>
              </w:rPr>
              <w:t>1.抗倍特隔段</w:t>
            </w:r>
          </w:p>
        </w:tc>
      </w:tr>
      <w:tr w14:paraId="46988EFE">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34A784">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29CA1B">
            <w:pPr>
              <w:textAlignment w:val="center"/>
              <w:rPr>
                <w:rFonts w:ascii="宋体" w:hAnsi="宋体" w:cs="宋体"/>
                <w:color w:val="000000"/>
                <w:lang w:eastAsia="zh-CN"/>
              </w:rPr>
            </w:pPr>
            <w:r>
              <w:rPr>
                <w:rFonts w:hint="eastAsia" w:ascii="宋体" w:hAnsi="宋体" w:cs="宋体"/>
                <w:color w:val="000000"/>
                <w:lang w:eastAsia="zh-CN" w:bidi="ar"/>
              </w:rPr>
              <w:t>江苏博大新材料科技股份有限公司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E0349D">
            <w:pPr>
              <w:jc w:val="center"/>
              <w:textAlignment w:val="center"/>
              <w:rPr>
                <w:rFonts w:ascii="宋体" w:hAnsi="宋体" w:cs="宋体"/>
                <w:color w:val="000000"/>
              </w:rPr>
            </w:pPr>
            <w:r>
              <w:rPr>
                <w:rFonts w:hint="eastAsia" w:ascii="宋体" w:hAnsi="宋体" w:cs="宋体"/>
                <w:color w:val="000000"/>
                <w:lang w:eastAsia="zh-CN" w:bidi="ar"/>
              </w:rPr>
              <w:t>博大</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33137">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2E62E660">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12DA7F">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316599">
            <w:pPr>
              <w:textAlignment w:val="center"/>
              <w:rPr>
                <w:rFonts w:ascii="宋体" w:hAnsi="宋体" w:cs="宋体"/>
                <w:color w:val="000000"/>
                <w:lang w:eastAsia="zh-CN"/>
              </w:rPr>
            </w:pPr>
            <w:r>
              <w:rPr>
                <w:rFonts w:hint="eastAsia" w:ascii="宋体" w:hAnsi="宋体" w:cs="宋体"/>
                <w:color w:val="000000"/>
                <w:lang w:eastAsia="zh-CN" w:bidi="ar"/>
              </w:rPr>
              <w:t>受克威盛亚新材料（上海）有限公司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D99DA8">
            <w:pPr>
              <w:jc w:val="center"/>
              <w:textAlignment w:val="center"/>
              <w:rPr>
                <w:rFonts w:ascii="宋体" w:hAnsi="宋体" w:cs="宋体"/>
                <w:color w:val="000000"/>
              </w:rPr>
            </w:pPr>
            <w:r>
              <w:rPr>
                <w:rFonts w:hint="eastAsia" w:ascii="宋体" w:hAnsi="宋体" w:cs="宋体"/>
                <w:color w:val="000000"/>
                <w:lang w:eastAsia="zh-CN" w:bidi="ar"/>
              </w:rPr>
              <w:t>威盛亚</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729C3">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75ED041B">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6A56D2">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F9BB36">
            <w:pPr>
              <w:textAlignment w:val="center"/>
              <w:rPr>
                <w:rFonts w:ascii="宋体" w:hAnsi="宋体" w:cs="宋体"/>
                <w:color w:val="000000"/>
                <w:lang w:eastAsia="zh-CN"/>
              </w:rPr>
            </w:pPr>
            <w:r>
              <w:rPr>
                <w:rFonts w:hint="eastAsia" w:ascii="宋体" w:hAnsi="宋体" w:cs="宋体"/>
                <w:color w:val="000000"/>
                <w:lang w:eastAsia="zh-CN" w:bidi="ar"/>
              </w:rPr>
              <w:t>佳丽福板业（广州）有限公司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903F21">
            <w:pPr>
              <w:jc w:val="center"/>
              <w:textAlignment w:val="center"/>
              <w:rPr>
                <w:rFonts w:ascii="宋体" w:hAnsi="宋体" w:cs="宋体"/>
                <w:color w:val="000000"/>
              </w:rPr>
            </w:pPr>
            <w:r>
              <w:rPr>
                <w:rFonts w:hint="eastAsia" w:ascii="宋体" w:hAnsi="宋体" w:cs="宋体"/>
                <w:color w:val="000000"/>
                <w:lang w:eastAsia="zh-CN" w:bidi="ar"/>
              </w:rPr>
              <w:t>佳丽福</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16DFA">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42D851DA">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74AA47">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1E11D8">
            <w:pPr>
              <w:textAlignment w:val="center"/>
              <w:rPr>
                <w:rFonts w:ascii="宋体" w:hAnsi="宋体" w:cs="宋体"/>
                <w:color w:val="000000"/>
                <w:lang w:eastAsia="zh-CN"/>
              </w:rPr>
            </w:pPr>
            <w:r>
              <w:rPr>
                <w:rFonts w:hint="eastAsia" w:ascii="宋体" w:hAnsi="宋体" w:cs="宋体"/>
                <w:color w:val="000000"/>
                <w:lang w:eastAsia="zh-CN" w:bidi="ar"/>
              </w:rPr>
              <w:t>广州市新邦比建材有限公司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8AA8B1">
            <w:pPr>
              <w:jc w:val="center"/>
              <w:textAlignment w:val="center"/>
              <w:rPr>
                <w:rFonts w:ascii="宋体" w:hAnsi="宋体" w:cs="宋体"/>
                <w:color w:val="000000"/>
              </w:rPr>
            </w:pPr>
            <w:r>
              <w:rPr>
                <w:rFonts w:hint="eastAsia" w:ascii="宋体" w:hAnsi="宋体" w:cs="宋体"/>
                <w:color w:val="000000"/>
                <w:lang w:eastAsia="zh-CN" w:bidi="ar"/>
              </w:rPr>
              <w:t>邦比</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D5CDF">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68A503AE">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A55B25">
            <w:pPr>
              <w:jc w:val="center"/>
              <w:textAlignment w:val="center"/>
              <w:rPr>
                <w:rFonts w:ascii="宋体" w:hAnsi="宋体" w:cs="宋体"/>
                <w:color w:val="000000"/>
              </w:rPr>
            </w:pPr>
            <w:r>
              <w:rPr>
                <w:rFonts w:hint="eastAsia" w:ascii="宋体" w:hAnsi="宋体" w:cs="宋体"/>
                <w:color w:val="000000"/>
                <w:lang w:eastAsia="zh-CN" w:bidi="ar"/>
              </w:rPr>
              <w:t>5</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B4D828">
            <w:pPr>
              <w:textAlignment w:val="center"/>
              <w:rPr>
                <w:rFonts w:ascii="宋体" w:hAnsi="宋体" w:cs="宋体"/>
                <w:color w:val="000000"/>
                <w:lang w:eastAsia="zh-CN"/>
              </w:rPr>
            </w:pPr>
            <w:r>
              <w:rPr>
                <w:rFonts w:hint="eastAsia" w:ascii="宋体" w:hAnsi="宋体" w:cs="宋体"/>
                <w:color w:val="000000"/>
                <w:lang w:eastAsia="zh-CN" w:bidi="ar"/>
              </w:rPr>
              <w:t>佛山市讯兴卫浴有限公司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95CB79">
            <w:pPr>
              <w:jc w:val="center"/>
              <w:textAlignment w:val="center"/>
              <w:rPr>
                <w:rFonts w:ascii="宋体" w:hAnsi="宋体" w:cs="宋体"/>
                <w:color w:val="000000"/>
              </w:rPr>
            </w:pPr>
            <w:r>
              <w:rPr>
                <w:rFonts w:hint="eastAsia" w:ascii="宋体" w:hAnsi="宋体" w:cs="宋体"/>
                <w:color w:val="000000"/>
                <w:lang w:eastAsia="zh-CN" w:bidi="ar"/>
              </w:rPr>
              <w:t>Hoode富迪</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1720E">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68701D91">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DD796D2">
            <w:pPr>
              <w:textAlignment w:val="center"/>
              <w:rPr>
                <w:rFonts w:ascii="宋体" w:hAnsi="宋体" w:cs="宋体"/>
                <w:b/>
                <w:bCs/>
                <w:color w:val="000000"/>
              </w:rPr>
            </w:pPr>
            <w:r>
              <w:rPr>
                <w:rFonts w:hint="eastAsia" w:ascii="宋体" w:hAnsi="宋体" w:cs="宋体"/>
                <w:b/>
                <w:bCs/>
                <w:color w:val="000000"/>
                <w:lang w:eastAsia="zh-CN" w:bidi="ar"/>
              </w:rPr>
              <w:t>（十）洁具卫浴</w:t>
            </w:r>
          </w:p>
        </w:tc>
      </w:tr>
      <w:tr w14:paraId="267420EA">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1CBB8">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10FDB">
            <w:pPr>
              <w:textAlignment w:val="center"/>
              <w:rPr>
                <w:rFonts w:ascii="宋体" w:hAnsi="宋体" w:cs="宋体"/>
                <w:color w:val="000000"/>
                <w:lang w:eastAsia="zh-CN"/>
              </w:rPr>
            </w:pPr>
            <w:r>
              <w:rPr>
                <w:rFonts w:hint="eastAsia" w:ascii="宋体" w:hAnsi="宋体" w:cs="宋体"/>
                <w:color w:val="000000"/>
                <w:lang w:eastAsia="zh-CN" w:bidi="ar"/>
              </w:rPr>
              <w:t>东陶（中国）有限公司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7CD58">
            <w:pPr>
              <w:jc w:val="center"/>
              <w:textAlignment w:val="center"/>
              <w:rPr>
                <w:rFonts w:ascii="宋体" w:hAnsi="宋体" w:cs="宋体"/>
                <w:color w:val="000000"/>
              </w:rPr>
            </w:pPr>
            <w:r>
              <w:rPr>
                <w:rFonts w:hint="eastAsia" w:ascii="宋体" w:hAnsi="宋体" w:cs="宋体"/>
                <w:color w:val="000000"/>
                <w:lang w:eastAsia="zh-CN" w:bidi="ar"/>
              </w:rPr>
              <w:t>TOTO</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8D89D">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57F5AA48">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824F4">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4B71A">
            <w:pPr>
              <w:textAlignment w:val="center"/>
              <w:rPr>
                <w:rFonts w:ascii="宋体" w:hAnsi="宋体" w:cs="宋体"/>
                <w:color w:val="000000"/>
                <w:lang w:eastAsia="zh-CN"/>
              </w:rPr>
            </w:pPr>
            <w:r>
              <w:rPr>
                <w:rFonts w:hint="eastAsia" w:ascii="宋体" w:hAnsi="宋体" w:cs="宋体"/>
                <w:color w:val="000000"/>
                <w:lang w:eastAsia="zh-CN" w:bidi="ar"/>
              </w:rPr>
              <w:t>广东恒洁卫浴有限公司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8F0FB">
            <w:pPr>
              <w:jc w:val="center"/>
              <w:textAlignment w:val="center"/>
              <w:rPr>
                <w:rFonts w:ascii="宋体" w:hAnsi="宋体" w:cs="宋体"/>
                <w:color w:val="000000"/>
              </w:rPr>
            </w:pPr>
            <w:r>
              <w:rPr>
                <w:rFonts w:hint="eastAsia" w:ascii="宋体" w:hAnsi="宋体" w:cs="宋体"/>
                <w:color w:val="000000"/>
                <w:lang w:eastAsia="zh-CN" w:bidi="ar"/>
              </w:rPr>
              <w:t>恒洁</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E493F">
            <w:pPr>
              <w:jc w:val="center"/>
              <w:rPr>
                <w:rFonts w:ascii="宋体" w:hAnsi="宋体" w:cs="宋体"/>
                <w:color w:val="FF0000"/>
              </w:rPr>
            </w:pPr>
          </w:p>
        </w:tc>
      </w:tr>
      <w:tr w14:paraId="795DDFBD">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E5411">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0B3AB6">
            <w:pPr>
              <w:textAlignment w:val="center"/>
              <w:rPr>
                <w:rFonts w:ascii="宋体" w:hAnsi="宋体" w:cs="宋体"/>
                <w:color w:val="000000"/>
                <w:lang w:eastAsia="zh-CN"/>
              </w:rPr>
            </w:pPr>
            <w:r>
              <w:rPr>
                <w:rFonts w:hint="eastAsia" w:ascii="宋体" w:hAnsi="宋体" w:cs="宋体"/>
                <w:color w:val="000000"/>
                <w:lang w:eastAsia="zh-CN" w:bidi="ar"/>
              </w:rPr>
              <w:t>佛山东鹏洁具股份有限公司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1A3B99">
            <w:pPr>
              <w:jc w:val="center"/>
              <w:textAlignment w:val="center"/>
              <w:rPr>
                <w:rFonts w:ascii="宋体" w:hAnsi="宋体" w:cs="宋体"/>
                <w:color w:val="000000"/>
              </w:rPr>
            </w:pPr>
            <w:r>
              <w:rPr>
                <w:rFonts w:hint="eastAsia" w:ascii="宋体" w:hAnsi="宋体" w:cs="宋体"/>
                <w:color w:val="000000"/>
                <w:lang w:eastAsia="zh-CN" w:bidi="ar"/>
              </w:rPr>
              <w:t>东鹏</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40F59">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7396BFB8">
        <w:tblPrEx>
          <w:tblCellMar>
            <w:top w:w="0" w:type="dxa"/>
            <w:left w:w="108" w:type="dxa"/>
            <w:bottom w:w="0" w:type="dxa"/>
            <w:right w:w="108" w:type="dxa"/>
          </w:tblCellMar>
        </w:tblPrEx>
        <w:trPr>
          <w:trHeight w:val="624"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54138">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E135A">
            <w:pPr>
              <w:textAlignment w:val="center"/>
              <w:rPr>
                <w:rFonts w:ascii="宋体" w:hAnsi="宋体" w:cs="宋体"/>
                <w:color w:val="000000"/>
                <w:lang w:eastAsia="zh-CN"/>
              </w:rPr>
            </w:pPr>
            <w:r>
              <w:rPr>
                <w:rFonts w:hint="eastAsia" w:ascii="宋体" w:hAnsi="宋体" w:cs="宋体"/>
                <w:color w:val="000000"/>
                <w:lang w:eastAsia="zh-CN" w:bidi="ar"/>
              </w:rPr>
              <w:t>美标（中国）有限公司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E64A9">
            <w:pPr>
              <w:jc w:val="center"/>
              <w:textAlignment w:val="center"/>
              <w:rPr>
                <w:rFonts w:ascii="宋体" w:hAnsi="宋体" w:cs="宋体"/>
                <w:color w:val="000000"/>
              </w:rPr>
            </w:pPr>
            <w:r>
              <w:rPr>
                <w:rFonts w:hint="eastAsia" w:ascii="宋体" w:hAnsi="宋体" w:cs="宋体"/>
                <w:color w:val="000000"/>
                <w:lang w:eastAsia="zh-CN" w:bidi="ar"/>
              </w:rPr>
              <w:t>美标（American Standard）</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5EAB3">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653EE38E">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8464F89">
            <w:pPr>
              <w:textAlignment w:val="center"/>
              <w:rPr>
                <w:rFonts w:ascii="宋体" w:hAnsi="宋体" w:cs="宋体"/>
                <w:b/>
                <w:bCs/>
                <w:color w:val="000000"/>
              </w:rPr>
            </w:pPr>
            <w:r>
              <w:rPr>
                <w:rFonts w:hint="eastAsia" w:ascii="宋体" w:hAnsi="宋体" w:cs="宋体"/>
                <w:b/>
                <w:bCs/>
                <w:color w:val="000000"/>
                <w:lang w:eastAsia="zh-CN" w:bidi="ar"/>
              </w:rPr>
              <w:t>（十一）卫浴五金</w:t>
            </w:r>
          </w:p>
        </w:tc>
      </w:tr>
      <w:tr w14:paraId="68D6BE37">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4A665">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0FDFD">
            <w:pPr>
              <w:textAlignment w:val="center"/>
              <w:rPr>
                <w:rFonts w:ascii="宋体" w:hAnsi="宋体" w:cs="宋体"/>
                <w:color w:val="000000"/>
                <w:lang w:eastAsia="zh-CN"/>
              </w:rPr>
            </w:pPr>
            <w:r>
              <w:rPr>
                <w:rFonts w:hint="eastAsia" w:ascii="宋体" w:hAnsi="宋体" w:cs="宋体"/>
                <w:color w:val="000000"/>
                <w:lang w:eastAsia="zh-CN" w:bidi="ar"/>
              </w:rPr>
              <w:t>东陶（中国）有限公司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BE1FF">
            <w:pPr>
              <w:jc w:val="center"/>
              <w:textAlignment w:val="center"/>
              <w:rPr>
                <w:rFonts w:ascii="宋体" w:hAnsi="宋体" w:cs="宋体"/>
                <w:color w:val="000000"/>
              </w:rPr>
            </w:pPr>
            <w:r>
              <w:rPr>
                <w:rFonts w:hint="eastAsia" w:ascii="宋体" w:hAnsi="宋体" w:cs="宋体"/>
                <w:color w:val="000000"/>
                <w:lang w:eastAsia="zh-CN" w:bidi="ar"/>
              </w:rPr>
              <w:t>TOTO</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2CE3E">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7DCDEB54">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95BB4">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366FB">
            <w:pPr>
              <w:textAlignment w:val="center"/>
              <w:rPr>
                <w:rFonts w:ascii="宋体" w:hAnsi="宋体" w:cs="宋体"/>
                <w:color w:val="000000"/>
                <w:lang w:eastAsia="zh-CN"/>
              </w:rPr>
            </w:pPr>
            <w:r>
              <w:rPr>
                <w:rFonts w:hint="eastAsia" w:ascii="宋体" w:hAnsi="宋体" w:cs="宋体"/>
                <w:color w:val="000000"/>
                <w:lang w:eastAsia="zh-CN" w:bidi="ar"/>
              </w:rPr>
              <w:t>广东恒洁卫浴有限公司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0776D">
            <w:pPr>
              <w:jc w:val="center"/>
              <w:textAlignment w:val="center"/>
              <w:rPr>
                <w:rFonts w:ascii="宋体" w:hAnsi="宋体" w:cs="宋体"/>
                <w:color w:val="000000"/>
              </w:rPr>
            </w:pPr>
            <w:r>
              <w:rPr>
                <w:rFonts w:hint="eastAsia" w:ascii="宋体" w:hAnsi="宋体" w:cs="宋体"/>
                <w:color w:val="000000"/>
                <w:lang w:eastAsia="zh-CN" w:bidi="ar"/>
              </w:rPr>
              <w:t>恒洁</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BE064">
            <w:pPr>
              <w:jc w:val="center"/>
              <w:rPr>
                <w:rFonts w:ascii="宋体" w:hAnsi="宋体" w:cs="宋体"/>
                <w:color w:val="FF0000"/>
              </w:rPr>
            </w:pPr>
          </w:p>
        </w:tc>
      </w:tr>
      <w:tr w14:paraId="0FC26269">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F2655">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995698">
            <w:pPr>
              <w:textAlignment w:val="center"/>
              <w:rPr>
                <w:rFonts w:ascii="宋体" w:hAnsi="宋体" w:cs="宋体"/>
                <w:color w:val="000000"/>
                <w:lang w:eastAsia="zh-CN"/>
              </w:rPr>
            </w:pPr>
            <w:r>
              <w:rPr>
                <w:rFonts w:hint="eastAsia" w:ascii="宋体" w:hAnsi="宋体" w:cs="宋体"/>
                <w:color w:val="000000"/>
                <w:lang w:eastAsia="zh-CN" w:bidi="ar"/>
              </w:rPr>
              <w:t>佛山东鹏洁具股份有限公司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7E4FD4">
            <w:pPr>
              <w:jc w:val="center"/>
              <w:textAlignment w:val="center"/>
              <w:rPr>
                <w:rFonts w:ascii="宋体" w:hAnsi="宋体" w:cs="宋体"/>
                <w:color w:val="000000"/>
              </w:rPr>
            </w:pPr>
            <w:r>
              <w:rPr>
                <w:rFonts w:hint="eastAsia" w:ascii="宋体" w:hAnsi="宋体" w:cs="宋体"/>
                <w:color w:val="000000"/>
                <w:lang w:eastAsia="zh-CN" w:bidi="ar"/>
              </w:rPr>
              <w:t>东鹏</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1B29A">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04A47689">
        <w:tblPrEx>
          <w:tblCellMar>
            <w:top w:w="0" w:type="dxa"/>
            <w:left w:w="108" w:type="dxa"/>
            <w:bottom w:w="0" w:type="dxa"/>
            <w:right w:w="108" w:type="dxa"/>
          </w:tblCellMar>
        </w:tblPrEx>
        <w:trPr>
          <w:trHeight w:val="624"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36E2D">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27607">
            <w:pPr>
              <w:textAlignment w:val="center"/>
              <w:rPr>
                <w:rFonts w:ascii="宋体" w:hAnsi="宋体" w:cs="宋体"/>
                <w:color w:val="000000"/>
                <w:lang w:eastAsia="zh-CN"/>
              </w:rPr>
            </w:pPr>
            <w:r>
              <w:rPr>
                <w:rFonts w:hint="eastAsia" w:ascii="宋体" w:hAnsi="宋体" w:cs="宋体"/>
                <w:color w:val="000000"/>
                <w:lang w:eastAsia="zh-CN" w:bidi="ar"/>
              </w:rPr>
              <w:t>美标（中国）有限公司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207E3">
            <w:pPr>
              <w:jc w:val="center"/>
              <w:textAlignment w:val="center"/>
              <w:rPr>
                <w:rFonts w:ascii="宋体" w:hAnsi="宋体" w:cs="宋体"/>
                <w:color w:val="000000"/>
              </w:rPr>
            </w:pPr>
            <w:r>
              <w:rPr>
                <w:rFonts w:hint="eastAsia" w:ascii="宋体" w:hAnsi="宋体" w:cs="宋体"/>
                <w:color w:val="000000"/>
                <w:lang w:eastAsia="zh-CN" w:bidi="ar"/>
              </w:rPr>
              <w:t>美标（American Standard）</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1128B">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1FB12868">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E1FBDA9">
            <w:pPr>
              <w:textAlignment w:val="center"/>
              <w:rPr>
                <w:rFonts w:ascii="宋体" w:hAnsi="宋体" w:cs="宋体"/>
                <w:b/>
                <w:bCs/>
                <w:color w:val="000000"/>
              </w:rPr>
            </w:pPr>
            <w:r>
              <w:rPr>
                <w:rFonts w:hint="eastAsia" w:ascii="宋体" w:hAnsi="宋体" w:cs="宋体"/>
                <w:b/>
                <w:bCs/>
                <w:color w:val="000000"/>
                <w:lang w:eastAsia="zh-CN" w:bidi="ar"/>
              </w:rPr>
              <w:t>三、机电材料设备</w:t>
            </w:r>
          </w:p>
        </w:tc>
      </w:tr>
      <w:tr w14:paraId="086DB626">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0FDA702">
            <w:pPr>
              <w:textAlignment w:val="center"/>
              <w:rPr>
                <w:rFonts w:ascii="宋体" w:hAnsi="宋体" w:cs="宋体"/>
                <w:b/>
                <w:bCs/>
                <w:color w:val="000000"/>
              </w:rPr>
            </w:pPr>
            <w:r>
              <w:rPr>
                <w:rFonts w:hint="eastAsia" w:ascii="宋体" w:hAnsi="宋体" w:cs="宋体"/>
                <w:b/>
                <w:bCs/>
                <w:color w:val="000000"/>
                <w:lang w:eastAsia="zh-CN" w:bidi="ar"/>
              </w:rPr>
              <w:t>（一）电气材料设备</w:t>
            </w:r>
          </w:p>
        </w:tc>
      </w:tr>
      <w:tr w14:paraId="22ACD4DE">
        <w:tblPrEx>
          <w:tblCellMar>
            <w:top w:w="0" w:type="dxa"/>
            <w:left w:w="108" w:type="dxa"/>
            <w:bottom w:w="0" w:type="dxa"/>
            <w:right w:w="108" w:type="dxa"/>
          </w:tblCellMar>
        </w:tblPrEx>
        <w:trPr>
          <w:trHeight w:val="348"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A21695C">
            <w:pPr>
              <w:textAlignment w:val="center"/>
              <w:rPr>
                <w:rFonts w:ascii="宋体" w:hAnsi="宋体" w:cs="宋体"/>
                <w:b/>
                <w:bCs/>
                <w:color w:val="000000"/>
              </w:rPr>
            </w:pPr>
            <w:r>
              <w:rPr>
                <w:rFonts w:hint="eastAsia" w:ascii="宋体" w:hAnsi="宋体" w:cs="宋体"/>
                <w:b/>
                <w:bCs/>
                <w:color w:val="000000"/>
                <w:lang w:eastAsia="zh-CN" w:bidi="ar"/>
              </w:rPr>
              <w:t>1. 电线电缆</w:t>
            </w:r>
          </w:p>
        </w:tc>
      </w:tr>
      <w:tr w14:paraId="6C8C5F53">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82488">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683FA">
            <w:pPr>
              <w:textAlignment w:val="center"/>
              <w:rPr>
                <w:rFonts w:ascii="宋体" w:hAnsi="宋体" w:cs="宋体"/>
                <w:color w:val="000000"/>
              </w:rPr>
            </w:pPr>
            <w:r>
              <w:rPr>
                <w:rFonts w:hint="eastAsia" w:ascii="宋体" w:hAnsi="宋体" w:cs="宋体"/>
                <w:color w:val="000000"/>
                <w:lang w:eastAsia="zh-CN" w:bidi="ar"/>
              </w:rPr>
              <w:t>广州电缆有限公司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62A91">
            <w:pPr>
              <w:jc w:val="center"/>
              <w:textAlignment w:val="center"/>
              <w:rPr>
                <w:rFonts w:ascii="宋体" w:hAnsi="宋体" w:cs="宋体"/>
                <w:color w:val="000000"/>
              </w:rPr>
            </w:pPr>
            <w:r>
              <w:rPr>
                <w:rFonts w:hint="eastAsia" w:ascii="宋体" w:hAnsi="宋体" w:cs="宋体"/>
                <w:color w:val="000000"/>
                <w:lang w:eastAsia="zh-CN" w:bidi="ar"/>
              </w:rPr>
              <w:t>双菱</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2541F">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5B96022F">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8A29E">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92A95">
            <w:pPr>
              <w:textAlignment w:val="center"/>
              <w:rPr>
                <w:rFonts w:ascii="宋体" w:hAnsi="宋体" w:cs="宋体"/>
                <w:color w:val="000000"/>
                <w:lang w:eastAsia="zh-CN"/>
              </w:rPr>
            </w:pPr>
            <w:r>
              <w:rPr>
                <w:rFonts w:hint="eastAsia" w:ascii="宋体" w:hAnsi="宋体" w:cs="宋体"/>
                <w:color w:val="000000"/>
                <w:lang w:eastAsia="zh-CN" w:bidi="ar"/>
              </w:rPr>
              <w:t>广东南缆电缆有限公司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53B44">
            <w:pPr>
              <w:jc w:val="center"/>
              <w:textAlignment w:val="center"/>
              <w:rPr>
                <w:rFonts w:ascii="宋体" w:hAnsi="宋体" w:cs="宋体"/>
                <w:color w:val="000000"/>
              </w:rPr>
            </w:pPr>
            <w:r>
              <w:rPr>
                <w:rFonts w:hint="eastAsia" w:ascii="宋体" w:hAnsi="宋体" w:cs="宋体"/>
                <w:color w:val="000000"/>
                <w:lang w:eastAsia="zh-CN" w:bidi="ar"/>
              </w:rPr>
              <w:t>南电</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91C0A">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28F1D374">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9C66D">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A7CA6">
            <w:pPr>
              <w:textAlignment w:val="center"/>
              <w:rPr>
                <w:rFonts w:ascii="宋体" w:hAnsi="宋体" w:cs="宋体"/>
                <w:color w:val="000000"/>
                <w:lang w:eastAsia="zh-CN"/>
              </w:rPr>
            </w:pPr>
            <w:r>
              <w:rPr>
                <w:rFonts w:hint="eastAsia" w:ascii="宋体" w:hAnsi="宋体" w:cs="宋体"/>
                <w:color w:val="000000"/>
                <w:lang w:eastAsia="zh-CN" w:bidi="ar"/>
              </w:rPr>
              <w:t>广州番禺电缆集团有限公司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C12AE">
            <w:pPr>
              <w:jc w:val="center"/>
              <w:textAlignment w:val="center"/>
              <w:rPr>
                <w:rFonts w:ascii="宋体" w:hAnsi="宋体" w:cs="宋体"/>
                <w:color w:val="000000"/>
              </w:rPr>
            </w:pPr>
            <w:r>
              <w:rPr>
                <w:rFonts w:hint="eastAsia" w:ascii="宋体" w:hAnsi="宋体" w:cs="宋体"/>
                <w:color w:val="000000"/>
                <w:lang w:eastAsia="zh-CN" w:bidi="ar"/>
              </w:rPr>
              <w:t>番电/乐光</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B4352">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3EB83D65">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DF8BF">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A16A5">
            <w:pPr>
              <w:textAlignment w:val="center"/>
              <w:rPr>
                <w:rFonts w:ascii="宋体" w:hAnsi="宋体" w:cs="宋体"/>
                <w:color w:val="000000"/>
                <w:lang w:eastAsia="zh-CN"/>
              </w:rPr>
            </w:pPr>
            <w:r>
              <w:rPr>
                <w:rFonts w:hint="eastAsia" w:ascii="宋体" w:hAnsi="宋体" w:cs="宋体"/>
                <w:color w:val="000000"/>
                <w:lang w:eastAsia="zh-CN" w:bidi="ar"/>
              </w:rPr>
              <w:t>广州市明兴电缆有限公司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84D26">
            <w:pPr>
              <w:jc w:val="center"/>
              <w:textAlignment w:val="center"/>
              <w:rPr>
                <w:rFonts w:ascii="宋体" w:hAnsi="宋体" w:cs="宋体"/>
                <w:color w:val="000000"/>
              </w:rPr>
            </w:pPr>
            <w:r>
              <w:rPr>
                <w:rFonts w:hint="eastAsia" w:ascii="宋体" w:hAnsi="宋体" w:cs="宋体"/>
                <w:color w:val="000000"/>
                <w:lang w:eastAsia="zh-CN" w:bidi="ar"/>
              </w:rPr>
              <w:t>明兴电缆</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DCD72">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76043409">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EABFE">
            <w:pPr>
              <w:jc w:val="center"/>
              <w:textAlignment w:val="center"/>
              <w:rPr>
                <w:rFonts w:ascii="宋体" w:hAnsi="宋体" w:cs="宋体"/>
                <w:color w:val="000000"/>
              </w:rPr>
            </w:pPr>
            <w:r>
              <w:rPr>
                <w:rFonts w:hint="eastAsia" w:ascii="宋体" w:hAnsi="宋体" w:cs="宋体"/>
                <w:color w:val="000000"/>
                <w:lang w:eastAsia="zh-CN" w:bidi="ar"/>
              </w:rPr>
              <w:t>5</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8961D">
            <w:pPr>
              <w:textAlignment w:val="center"/>
              <w:rPr>
                <w:rFonts w:ascii="宋体" w:hAnsi="宋体" w:cs="宋体"/>
                <w:color w:val="000000"/>
                <w:lang w:eastAsia="zh-CN"/>
              </w:rPr>
            </w:pPr>
            <w:r>
              <w:rPr>
                <w:rFonts w:hint="eastAsia" w:ascii="宋体" w:hAnsi="宋体" w:cs="宋体"/>
                <w:color w:val="000000"/>
                <w:lang w:eastAsia="zh-CN" w:bidi="ar"/>
              </w:rPr>
              <w:t>广东天虹电缆有限公司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1A93F">
            <w:pPr>
              <w:jc w:val="center"/>
              <w:textAlignment w:val="center"/>
              <w:rPr>
                <w:rFonts w:ascii="宋体" w:hAnsi="宋体" w:cs="宋体"/>
                <w:color w:val="000000"/>
              </w:rPr>
            </w:pPr>
            <w:r>
              <w:rPr>
                <w:rFonts w:hint="eastAsia" w:ascii="宋体" w:hAnsi="宋体" w:cs="宋体"/>
                <w:color w:val="000000"/>
                <w:lang w:eastAsia="zh-CN" w:bidi="ar"/>
              </w:rPr>
              <w:t>天泓</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F4230">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309ED8CB">
        <w:tblPrEx>
          <w:tblCellMar>
            <w:top w:w="0" w:type="dxa"/>
            <w:left w:w="108" w:type="dxa"/>
            <w:bottom w:w="0" w:type="dxa"/>
            <w:right w:w="108" w:type="dxa"/>
          </w:tblCellMar>
        </w:tblPrEx>
        <w:trPr>
          <w:trHeight w:val="348"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A361B22">
            <w:pPr>
              <w:textAlignment w:val="center"/>
              <w:rPr>
                <w:rFonts w:ascii="宋体" w:hAnsi="宋体" w:cs="宋体"/>
                <w:b/>
                <w:bCs/>
                <w:color w:val="000000"/>
              </w:rPr>
            </w:pPr>
            <w:r>
              <w:rPr>
                <w:rFonts w:hint="eastAsia" w:ascii="宋体" w:hAnsi="宋体" w:cs="宋体"/>
                <w:b/>
                <w:bCs/>
                <w:color w:val="000000"/>
                <w:lang w:eastAsia="zh-CN" w:bidi="ar"/>
              </w:rPr>
              <w:t>2. 灯具</w:t>
            </w:r>
          </w:p>
        </w:tc>
      </w:tr>
      <w:tr w14:paraId="3FCCA938">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DE97D">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32D68">
            <w:pPr>
              <w:textAlignment w:val="center"/>
              <w:rPr>
                <w:rFonts w:ascii="宋体" w:hAnsi="宋体" w:cs="宋体"/>
                <w:color w:val="000000"/>
                <w:lang w:eastAsia="zh-CN"/>
              </w:rPr>
            </w:pPr>
            <w:r>
              <w:rPr>
                <w:rFonts w:hint="eastAsia" w:ascii="宋体" w:hAnsi="宋体" w:cs="宋体"/>
                <w:color w:val="000000"/>
                <w:lang w:eastAsia="zh-CN" w:bidi="ar"/>
              </w:rPr>
              <w:t>广东三雄极光照明股份有限公司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00935">
            <w:pPr>
              <w:jc w:val="center"/>
              <w:textAlignment w:val="center"/>
              <w:rPr>
                <w:rFonts w:ascii="宋体" w:hAnsi="宋体" w:cs="宋体"/>
                <w:color w:val="000000"/>
              </w:rPr>
            </w:pPr>
            <w:r>
              <w:rPr>
                <w:rFonts w:hint="eastAsia" w:ascii="宋体" w:hAnsi="宋体" w:cs="宋体"/>
                <w:color w:val="000000"/>
                <w:lang w:eastAsia="zh-CN" w:bidi="ar"/>
              </w:rPr>
              <w:t>三雄</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A85A9">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2C5AFC58">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13B2F">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910A4">
            <w:pPr>
              <w:textAlignment w:val="center"/>
              <w:rPr>
                <w:rFonts w:ascii="宋体" w:hAnsi="宋体" w:cs="宋体"/>
                <w:color w:val="000000"/>
                <w:lang w:eastAsia="zh-CN"/>
              </w:rPr>
            </w:pPr>
            <w:r>
              <w:rPr>
                <w:rFonts w:hint="eastAsia" w:ascii="宋体" w:hAnsi="宋体" w:cs="宋体"/>
                <w:color w:val="000000"/>
                <w:lang w:eastAsia="zh-CN" w:bidi="ar"/>
              </w:rPr>
              <w:t>佛山电器照明股份有限公司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FBD89">
            <w:pPr>
              <w:jc w:val="center"/>
              <w:textAlignment w:val="center"/>
              <w:rPr>
                <w:rFonts w:ascii="宋体" w:hAnsi="宋体" w:cs="宋体"/>
                <w:color w:val="000000"/>
              </w:rPr>
            </w:pPr>
            <w:r>
              <w:rPr>
                <w:rFonts w:hint="eastAsia" w:ascii="宋体" w:hAnsi="宋体" w:cs="宋体"/>
                <w:color w:val="000000"/>
                <w:lang w:eastAsia="zh-CN" w:bidi="ar"/>
              </w:rPr>
              <w:t>佛照</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0FD01">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36724D5B">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059FB">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356B9">
            <w:pPr>
              <w:textAlignment w:val="center"/>
              <w:rPr>
                <w:rFonts w:ascii="宋体" w:hAnsi="宋体" w:cs="宋体"/>
                <w:color w:val="000000"/>
                <w:lang w:eastAsia="zh-CN"/>
              </w:rPr>
            </w:pPr>
            <w:r>
              <w:rPr>
                <w:rFonts w:hint="eastAsia" w:ascii="宋体" w:hAnsi="宋体" w:cs="宋体"/>
                <w:color w:val="000000"/>
                <w:lang w:eastAsia="zh-CN" w:bidi="ar"/>
              </w:rPr>
              <w:t>昕诺飞（中国）投资有限公司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2DA64">
            <w:pPr>
              <w:jc w:val="center"/>
              <w:textAlignment w:val="center"/>
              <w:rPr>
                <w:rFonts w:ascii="宋体" w:hAnsi="宋体" w:cs="宋体"/>
                <w:color w:val="000000"/>
              </w:rPr>
            </w:pPr>
            <w:r>
              <w:rPr>
                <w:rFonts w:hint="eastAsia" w:ascii="宋体" w:hAnsi="宋体" w:cs="宋体"/>
                <w:color w:val="000000"/>
                <w:lang w:eastAsia="zh-CN" w:bidi="ar"/>
              </w:rPr>
              <w:t>飞利浦</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94D4A">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32C46EB3">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B615D">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D0786">
            <w:pPr>
              <w:textAlignment w:val="center"/>
              <w:rPr>
                <w:rFonts w:ascii="宋体" w:hAnsi="宋体" w:cs="宋体"/>
                <w:color w:val="000000"/>
                <w:lang w:eastAsia="zh-CN"/>
              </w:rPr>
            </w:pPr>
            <w:r>
              <w:rPr>
                <w:rFonts w:hint="eastAsia" w:ascii="宋体" w:hAnsi="宋体" w:cs="宋体"/>
                <w:color w:val="000000"/>
                <w:lang w:eastAsia="zh-CN" w:bidi="ar"/>
              </w:rPr>
              <w:t>惠州雷士光电科技有限公司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14B82">
            <w:pPr>
              <w:jc w:val="center"/>
              <w:textAlignment w:val="center"/>
              <w:rPr>
                <w:rFonts w:ascii="宋体" w:hAnsi="宋体" w:cs="宋体"/>
                <w:color w:val="000000"/>
              </w:rPr>
            </w:pPr>
            <w:r>
              <w:rPr>
                <w:rFonts w:hint="eastAsia" w:ascii="宋体" w:hAnsi="宋体" w:cs="宋体"/>
                <w:color w:val="000000"/>
                <w:lang w:eastAsia="zh-CN" w:bidi="ar"/>
              </w:rPr>
              <w:t>雷士</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A1285">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1C07A6F7">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65FCB">
            <w:pPr>
              <w:jc w:val="center"/>
              <w:textAlignment w:val="center"/>
              <w:rPr>
                <w:rFonts w:ascii="宋体" w:hAnsi="宋体" w:cs="宋体"/>
                <w:color w:val="000000"/>
              </w:rPr>
            </w:pPr>
            <w:r>
              <w:rPr>
                <w:rFonts w:hint="eastAsia" w:ascii="宋体" w:hAnsi="宋体" w:cs="宋体"/>
                <w:color w:val="000000"/>
                <w:lang w:eastAsia="zh-CN" w:bidi="ar"/>
              </w:rPr>
              <w:t>5</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90B31">
            <w:pPr>
              <w:textAlignment w:val="center"/>
              <w:rPr>
                <w:rFonts w:ascii="宋体" w:hAnsi="宋体" w:cs="宋体"/>
                <w:color w:val="000000"/>
                <w:lang w:eastAsia="zh-CN"/>
              </w:rPr>
            </w:pPr>
            <w:r>
              <w:rPr>
                <w:rFonts w:hint="eastAsia" w:ascii="宋体" w:hAnsi="宋体" w:cs="宋体"/>
                <w:color w:val="000000"/>
                <w:lang w:eastAsia="zh-CN" w:bidi="ar"/>
              </w:rPr>
              <w:t>罗格朗智能电气（惠州）有限公司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1538C">
            <w:pPr>
              <w:jc w:val="center"/>
              <w:textAlignment w:val="center"/>
              <w:rPr>
                <w:rFonts w:ascii="宋体" w:hAnsi="宋体" w:cs="宋体"/>
                <w:color w:val="000000"/>
              </w:rPr>
            </w:pPr>
            <w:r>
              <w:rPr>
                <w:rFonts w:hint="eastAsia" w:ascii="宋体" w:hAnsi="宋体" w:cs="宋体"/>
                <w:color w:val="000000"/>
                <w:lang w:eastAsia="zh-CN" w:bidi="ar"/>
              </w:rPr>
              <w:t>罗格朗</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A28B2">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210BCFDE">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351DBE3">
            <w:pPr>
              <w:textAlignment w:val="center"/>
              <w:rPr>
                <w:rFonts w:ascii="宋体" w:hAnsi="宋体" w:cs="宋体"/>
                <w:b/>
                <w:bCs/>
                <w:color w:val="000000"/>
                <w:lang w:eastAsia="zh-CN"/>
              </w:rPr>
            </w:pPr>
            <w:r>
              <w:rPr>
                <w:rFonts w:hint="eastAsia" w:ascii="宋体" w:hAnsi="宋体" w:cs="宋体"/>
                <w:b/>
                <w:bCs/>
                <w:color w:val="000000"/>
                <w:lang w:eastAsia="zh-CN" w:bidi="ar"/>
              </w:rPr>
              <w:t>3. 干式变压器（需同时满足南方电网的技术要求）</w:t>
            </w:r>
          </w:p>
        </w:tc>
      </w:tr>
      <w:tr w14:paraId="6E424692">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DE661">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B16D2">
            <w:pPr>
              <w:textAlignment w:val="center"/>
              <w:rPr>
                <w:rFonts w:ascii="宋体" w:hAnsi="宋体" w:cs="宋体"/>
                <w:color w:val="000000"/>
                <w:lang w:eastAsia="zh-CN"/>
              </w:rPr>
            </w:pPr>
            <w:r>
              <w:rPr>
                <w:rFonts w:hint="eastAsia" w:ascii="宋体" w:hAnsi="宋体" w:cs="宋体"/>
                <w:color w:val="000000"/>
                <w:lang w:eastAsia="zh-CN" w:bidi="ar"/>
              </w:rPr>
              <w:t>顺特电气设备有限公司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9A23A">
            <w:pPr>
              <w:jc w:val="center"/>
              <w:textAlignment w:val="center"/>
              <w:rPr>
                <w:rFonts w:ascii="宋体" w:hAnsi="宋体" w:cs="宋体"/>
                <w:color w:val="000000"/>
              </w:rPr>
            </w:pPr>
            <w:r>
              <w:rPr>
                <w:rFonts w:hint="eastAsia" w:ascii="宋体" w:hAnsi="宋体" w:cs="宋体"/>
                <w:color w:val="000000"/>
                <w:lang w:eastAsia="zh-CN" w:bidi="ar"/>
              </w:rPr>
              <w:t>顺特电气</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04842">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1E5D26E4">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813C2">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BCA10">
            <w:pPr>
              <w:textAlignment w:val="center"/>
              <w:rPr>
                <w:rFonts w:ascii="宋体" w:hAnsi="宋体" w:cs="宋体"/>
                <w:color w:val="000000"/>
                <w:lang w:eastAsia="zh-CN"/>
              </w:rPr>
            </w:pPr>
            <w:r>
              <w:rPr>
                <w:rFonts w:hint="eastAsia" w:ascii="宋体" w:hAnsi="宋体" w:cs="宋体"/>
                <w:color w:val="000000"/>
                <w:lang w:eastAsia="zh-CN" w:bidi="ar"/>
              </w:rPr>
              <w:t>广州骏发电气设备有限公司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7F6E2">
            <w:pPr>
              <w:jc w:val="center"/>
              <w:textAlignment w:val="center"/>
              <w:rPr>
                <w:rFonts w:ascii="宋体" w:hAnsi="宋体" w:cs="宋体"/>
                <w:color w:val="000000"/>
              </w:rPr>
            </w:pPr>
            <w:r>
              <w:rPr>
                <w:rFonts w:hint="eastAsia" w:ascii="宋体" w:hAnsi="宋体" w:cs="宋体"/>
                <w:color w:val="000000"/>
                <w:lang w:eastAsia="zh-CN" w:bidi="ar"/>
              </w:rPr>
              <w:t>骏发</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D0AC5">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33CAF9B6">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A0C69">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ECDBA">
            <w:pPr>
              <w:textAlignment w:val="center"/>
              <w:rPr>
                <w:rFonts w:ascii="宋体" w:hAnsi="宋体" w:cs="宋体"/>
                <w:color w:val="000000"/>
                <w:lang w:eastAsia="zh-CN"/>
              </w:rPr>
            </w:pPr>
            <w:r>
              <w:rPr>
                <w:rFonts w:hint="eastAsia" w:ascii="宋体" w:hAnsi="宋体" w:cs="宋体"/>
                <w:color w:val="000000"/>
                <w:lang w:eastAsia="zh-CN" w:bidi="ar"/>
              </w:rPr>
              <w:t>海南金盘电气有限公司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392AF">
            <w:pPr>
              <w:jc w:val="center"/>
              <w:textAlignment w:val="center"/>
              <w:rPr>
                <w:rFonts w:ascii="宋体" w:hAnsi="宋体" w:cs="宋体"/>
                <w:color w:val="000000"/>
              </w:rPr>
            </w:pPr>
            <w:r>
              <w:rPr>
                <w:rFonts w:hint="eastAsia" w:ascii="宋体" w:hAnsi="宋体" w:cs="宋体"/>
                <w:color w:val="000000"/>
                <w:lang w:eastAsia="zh-CN" w:bidi="ar"/>
              </w:rPr>
              <w:t>金盘科技</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E6FBC">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2F02EC70">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B917D">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9C6C1">
            <w:pPr>
              <w:textAlignment w:val="center"/>
              <w:rPr>
                <w:rFonts w:ascii="宋体" w:hAnsi="宋体" w:cs="宋体"/>
                <w:color w:val="000000"/>
                <w:lang w:eastAsia="zh-CN"/>
              </w:rPr>
            </w:pPr>
            <w:r>
              <w:rPr>
                <w:rFonts w:hint="eastAsia" w:ascii="宋体" w:hAnsi="宋体" w:cs="宋体"/>
                <w:color w:val="000000"/>
                <w:lang w:eastAsia="zh-CN" w:bidi="ar"/>
              </w:rPr>
              <w:t xml:space="preserve">施耐德电气（中国）有限公司 </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B5FF8">
            <w:pPr>
              <w:jc w:val="center"/>
              <w:textAlignment w:val="center"/>
              <w:rPr>
                <w:rFonts w:ascii="宋体" w:hAnsi="宋体" w:cs="宋体"/>
                <w:color w:val="000000"/>
              </w:rPr>
            </w:pPr>
            <w:r>
              <w:rPr>
                <w:rFonts w:hint="eastAsia" w:ascii="宋体" w:hAnsi="宋体" w:cs="宋体"/>
                <w:color w:val="000000"/>
                <w:lang w:eastAsia="zh-CN" w:bidi="ar"/>
              </w:rPr>
              <w:t>施耐德</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3B4E4">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03AAC607">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8625C">
            <w:pPr>
              <w:jc w:val="center"/>
              <w:textAlignment w:val="center"/>
              <w:rPr>
                <w:rFonts w:ascii="宋体" w:hAnsi="宋体" w:cs="宋体"/>
                <w:color w:val="000000"/>
              </w:rPr>
            </w:pPr>
            <w:r>
              <w:rPr>
                <w:rFonts w:hint="eastAsia" w:ascii="宋体" w:hAnsi="宋体" w:cs="宋体"/>
                <w:color w:val="000000"/>
                <w:lang w:eastAsia="zh-CN" w:bidi="ar"/>
              </w:rPr>
              <w:t>5</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36986">
            <w:pPr>
              <w:textAlignment w:val="center"/>
              <w:rPr>
                <w:rFonts w:ascii="宋体" w:hAnsi="宋体" w:cs="宋体"/>
                <w:color w:val="000000"/>
                <w:lang w:eastAsia="zh-CN"/>
              </w:rPr>
            </w:pPr>
            <w:r>
              <w:rPr>
                <w:rFonts w:hint="eastAsia" w:ascii="宋体" w:hAnsi="宋体" w:cs="宋体"/>
                <w:color w:val="000000"/>
                <w:lang w:eastAsia="zh-CN" w:bidi="ar"/>
              </w:rPr>
              <w:t>广东中鹏电气有限公司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F2AC9">
            <w:pPr>
              <w:jc w:val="center"/>
              <w:textAlignment w:val="center"/>
              <w:rPr>
                <w:rFonts w:ascii="宋体" w:hAnsi="宋体" w:cs="宋体"/>
                <w:color w:val="000000"/>
              </w:rPr>
            </w:pPr>
            <w:r>
              <w:rPr>
                <w:rFonts w:hint="eastAsia" w:ascii="宋体" w:hAnsi="宋体" w:cs="宋体"/>
                <w:color w:val="000000"/>
                <w:lang w:eastAsia="zh-CN" w:bidi="ar"/>
              </w:rPr>
              <w:t>广东中鹏</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58FE2">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2F4E69E2">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772B65F">
            <w:pPr>
              <w:textAlignment w:val="center"/>
              <w:rPr>
                <w:rFonts w:ascii="宋体" w:hAnsi="宋体" w:cs="宋体"/>
                <w:b/>
                <w:bCs/>
                <w:color w:val="000000"/>
                <w:lang w:eastAsia="zh-CN"/>
              </w:rPr>
            </w:pPr>
            <w:r>
              <w:rPr>
                <w:rFonts w:hint="eastAsia" w:ascii="宋体" w:hAnsi="宋体" w:cs="宋体"/>
                <w:b/>
                <w:bCs/>
                <w:color w:val="000000"/>
                <w:lang w:eastAsia="zh-CN" w:bidi="ar"/>
              </w:rPr>
              <w:t>4. 高压柜（需同时满足南方电网的技术要求）</w:t>
            </w:r>
          </w:p>
        </w:tc>
      </w:tr>
      <w:tr w14:paraId="4EDA7E14">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314A1">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8C4D2">
            <w:pPr>
              <w:textAlignment w:val="center"/>
              <w:rPr>
                <w:rFonts w:ascii="宋体" w:hAnsi="宋体" w:cs="宋体"/>
                <w:color w:val="000000"/>
                <w:lang w:eastAsia="zh-CN"/>
              </w:rPr>
            </w:pPr>
            <w:r>
              <w:rPr>
                <w:rFonts w:hint="eastAsia" w:ascii="宋体" w:hAnsi="宋体" w:cs="宋体"/>
                <w:color w:val="000000"/>
                <w:lang w:eastAsia="zh-CN" w:bidi="ar"/>
              </w:rPr>
              <w:t>广州白云电器设备股份有限公司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623FA">
            <w:pPr>
              <w:jc w:val="center"/>
              <w:textAlignment w:val="center"/>
              <w:rPr>
                <w:rFonts w:ascii="宋体" w:hAnsi="宋体" w:cs="宋体"/>
                <w:color w:val="000000"/>
              </w:rPr>
            </w:pPr>
            <w:r>
              <w:rPr>
                <w:rFonts w:hint="eastAsia" w:ascii="宋体" w:hAnsi="宋体" w:cs="宋体"/>
                <w:color w:val="000000"/>
                <w:lang w:eastAsia="zh-CN" w:bidi="ar"/>
              </w:rPr>
              <w:t>白云</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23D7B">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11A58D53">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FE317">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3A33E">
            <w:pPr>
              <w:textAlignment w:val="center"/>
              <w:rPr>
                <w:rFonts w:ascii="宋体" w:hAnsi="宋体" w:cs="宋体"/>
                <w:color w:val="000000"/>
                <w:lang w:eastAsia="zh-CN"/>
              </w:rPr>
            </w:pPr>
            <w:r>
              <w:rPr>
                <w:rFonts w:hint="eastAsia" w:ascii="宋体" w:hAnsi="宋体" w:cs="宋体"/>
                <w:color w:val="000000"/>
                <w:lang w:eastAsia="zh-CN" w:bidi="ar"/>
              </w:rPr>
              <w:t>广东省顺德开关厂有限公司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4632D">
            <w:pPr>
              <w:jc w:val="center"/>
              <w:textAlignment w:val="center"/>
              <w:rPr>
                <w:rFonts w:ascii="宋体" w:hAnsi="宋体" w:cs="宋体"/>
                <w:color w:val="000000"/>
              </w:rPr>
            </w:pPr>
            <w:r>
              <w:rPr>
                <w:rFonts w:hint="eastAsia" w:ascii="宋体" w:hAnsi="宋体" w:cs="宋体"/>
                <w:color w:val="000000"/>
                <w:lang w:eastAsia="zh-CN" w:bidi="ar"/>
              </w:rPr>
              <w:t>顺开</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8958A">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11156468">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CA6AF">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9AD42">
            <w:pPr>
              <w:textAlignment w:val="center"/>
              <w:rPr>
                <w:rFonts w:ascii="宋体" w:hAnsi="宋体" w:cs="宋体"/>
                <w:color w:val="000000"/>
                <w:lang w:eastAsia="zh-CN"/>
              </w:rPr>
            </w:pPr>
            <w:r>
              <w:rPr>
                <w:rFonts w:hint="eastAsia" w:ascii="宋体" w:hAnsi="宋体" w:cs="宋体"/>
                <w:color w:val="000000"/>
                <w:lang w:eastAsia="zh-CN" w:bidi="ar"/>
              </w:rPr>
              <w:t>广州广高高压电器有限公司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E6D87">
            <w:pPr>
              <w:jc w:val="center"/>
              <w:textAlignment w:val="center"/>
              <w:rPr>
                <w:rFonts w:ascii="宋体" w:hAnsi="宋体" w:cs="宋体"/>
                <w:color w:val="000000"/>
              </w:rPr>
            </w:pPr>
            <w:r>
              <w:rPr>
                <w:rFonts w:hint="eastAsia" w:ascii="宋体" w:hAnsi="宋体" w:cs="宋体"/>
                <w:color w:val="000000"/>
                <w:lang w:eastAsia="zh-CN" w:bidi="ar"/>
              </w:rPr>
              <w:t>广高</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BDB11">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6C6B25C2">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38CF2">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977A5">
            <w:pPr>
              <w:textAlignment w:val="center"/>
              <w:rPr>
                <w:rFonts w:ascii="宋体" w:hAnsi="宋体" w:cs="宋体"/>
                <w:color w:val="000000"/>
                <w:lang w:eastAsia="zh-CN"/>
              </w:rPr>
            </w:pPr>
            <w:r>
              <w:rPr>
                <w:rFonts w:hint="eastAsia" w:ascii="宋体" w:hAnsi="宋体" w:cs="宋体"/>
                <w:color w:val="000000"/>
                <w:lang w:eastAsia="zh-CN" w:bidi="ar"/>
              </w:rPr>
              <w:t>广东长电成套电器有限公司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C371D">
            <w:pPr>
              <w:jc w:val="center"/>
              <w:textAlignment w:val="center"/>
              <w:rPr>
                <w:rFonts w:ascii="宋体" w:hAnsi="宋体" w:cs="宋体"/>
                <w:color w:val="000000"/>
              </w:rPr>
            </w:pPr>
            <w:r>
              <w:rPr>
                <w:rFonts w:hint="eastAsia" w:ascii="宋体" w:hAnsi="宋体" w:cs="宋体"/>
                <w:color w:val="000000"/>
                <w:lang w:eastAsia="zh-CN" w:bidi="ar"/>
              </w:rPr>
              <w:t>长电</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9F41B">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0A961CA1">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7C651">
            <w:pPr>
              <w:jc w:val="center"/>
              <w:textAlignment w:val="center"/>
              <w:rPr>
                <w:rFonts w:ascii="宋体" w:hAnsi="宋体" w:cs="宋体"/>
                <w:color w:val="000000"/>
              </w:rPr>
            </w:pPr>
            <w:r>
              <w:rPr>
                <w:rFonts w:hint="eastAsia" w:ascii="宋体" w:hAnsi="宋体" w:cs="宋体"/>
                <w:color w:val="000000"/>
                <w:lang w:eastAsia="zh-CN" w:bidi="ar"/>
              </w:rPr>
              <w:t>5</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6FCB4">
            <w:pPr>
              <w:textAlignment w:val="center"/>
              <w:rPr>
                <w:rFonts w:ascii="宋体" w:hAnsi="宋体" w:cs="宋体"/>
                <w:color w:val="000000"/>
                <w:lang w:eastAsia="zh-CN"/>
              </w:rPr>
            </w:pPr>
            <w:r>
              <w:rPr>
                <w:rFonts w:hint="eastAsia" w:ascii="宋体" w:hAnsi="宋体" w:cs="宋体"/>
                <w:color w:val="000000"/>
                <w:lang w:eastAsia="zh-CN" w:bidi="ar"/>
              </w:rPr>
              <w:t xml:space="preserve">施耐德电气（中国）有限公司 </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C27C5">
            <w:pPr>
              <w:jc w:val="center"/>
              <w:textAlignment w:val="center"/>
              <w:rPr>
                <w:rFonts w:ascii="宋体" w:hAnsi="宋体" w:cs="宋体"/>
                <w:color w:val="000000"/>
              </w:rPr>
            </w:pPr>
            <w:r>
              <w:rPr>
                <w:rFonts w:hint="eastAsia" w:ascii="宋体" w:hAnsi="宋体" w:cs="宋体"/>
                <w:color w:val="000000"/>
                <w:lang w:eastAsia="zh-CN" w:bidi="ar"/>
              </w:rPr>
              <w:t>施耐德电气</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5E241">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33C20188">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9FEF2FF">
            <w:pPr>
              <w:textAlignment w:val="center"/>
              <w:rPr>
                <w:rFonts w:ascii="宋体" w:hAnsi="宋体" w:cs="宋体"/>
                <w:b/>
                <w:bCs/>
                <w:color w:val="000000"/>
              </w:rPr>
            </w:pPr>
            <w:r>
              <w:rPr>
                <w:rFonts w:hint="eastAsia" w:ascii="宋体" w:hAnsi="宋体" w:cs="宋体"/>
                <w:b/>
                <w:bCs/>
                <w:color w:val="000000"/>
                <w:lang w:eastAsia="zh-CN" w:bidi="ar"/>
              </w:rPr>
              <w:t>5. 高压柜内核心元器件</w:t>
            </w:r>
          </w:p>
        </w:tc>
      </w:tr>
      <w:tr w14:paraId="60B18D32">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72197">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6B032">
            <w:pPr>
              <w:textAlignment w:val="center"/>
              <w:rPr>
                <w:rFonts w:ascii="宋体" w:hAnsi="宋体" w:cs="宋体"/>
                <w:color w:val="000000"/>
                <w:lang w:eastAsia="zh-CN"/>
              </w:rPr>
            </w:pPr>
            <w:r>
              <w:rPr>
                <w:rFonts w:hint="eastAsia" w:ascii="宋体" w:hAnsi="宋体" w:cs="宋体"/>
                <w:color w:val="000000"/>
                <w:lang w:eastAsia="zh-CN" w:bidi="ar"/>
              </w:rPr>
              <w:t>广东省顺德开关厂有限公司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D4B56">
            <w:pPr>
              <w:jc w:val="center"/>
              <w:textAlignment w:val="center"/>
              <w:rPr>
                <w:rFonts w:ascii="宋体" w:hAnsi="宋体" w:cs="宋体"/>
                <w:color w:val="000000"/>
              </w:rPr>
            </w:pPr>
            <w:r>
              <w:rPr>
                <w:rFonts w:hint="eastAsia" w:ascii="宋体" w:hAnsi="宋体" w:cs="宋体"/>
                <w:color w:val="000000"/>
                <w:lang w:eastAsia="zh-CN" w:bidi="ar"/>
              </w:rPr>
              <w:t>顺开</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92F90">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2AFA50C9">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DB6FC">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09D72">
            <w:pPr>
              <w:textAlignment w:val="center"/>
              <w:rPr>
                <w:rFonts w:ascii="宋体" w:hAnsi="宋体" w:cs="宋体"/>
                <w:color w:val="000000"/>
                <w:lang w:eastAsia="zh-CN"/>
              </w:rPr>
            </w:pPr>
            <w:r>
              <w:rPr>
                <w:rFonts w:hint="eastAsia" w:ascii="宋体" w:hAnsi="宋体" w:cs="宋体"/>
                <w:color w:val="000000"/>
                <w:lang w:eastAsia="zh-CN" w:bidi="ar"/>
              </w:rPr>
              <w:t xml:space="preserve">施耐德电气（中国）有限公司 </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DEA47">
            <w:pPr>
              <w:jc w:val="center"/>
              <w:textAlignment w:val="center"/>
              <w:rPr>
                <w:rFonts w:ascii="宋体" w:hAnsi="宋体" w:cs="宋体"/>
                <w:color w:val="000000"/>
              </w:rPr>
            </w:pPr>
            <w:r>
              <w:rPr>
                <w:rFonts w:hint="eastAsia" w:ascii="宋体" w:hAnsi="宋体" w:cs="宋体"/>
                <w:color w:val="000000"/>
                <w:lang w:eastAsia="zh-CN" w:bidi="ar"/>
              </w:rPr>
              <w:t>施耐德</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A2BF5">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7DE508F6">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4243D">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09B58">
            <w:pPr>
              <w:textAlignment w:val="center"/>
              <w:rPr>
                <w:rFonts w:ascii="宋体" w:hAnsi="宋体" w:cs="宋体"/>
                <w:color w:val="000000"/>
                <w:lang w:eastAsia="zh-CN"/>
              </w:rPr>
            </w:pPr>
            <w:r>
              <w:rPr>
                <w:rFonts w:hint="eastAsia" w:ascii="宋体" w:hAnsi="宋体" w:cs="宋体"/>
                <w:color w:val="000000"/>
                <w:lang w:eastAsia="zh-CN" w:bidi="ar"/>
              </w:rPr>
              <w:t>广州白云电器设备股份有限公司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DD322">
            <w:pPr>
              <w:jc w:val="center"/>
              <w:textAlignment w:val="center"/>
              <w:rPr>
                <w:rFonts w:ascii="宋体" w:hAnsi="宋体" w:cs="宋体"/>
                <w:color w:val="000000"/>
              </w:rPr>
            </w:pPr>
            <w:r>
              <w:rPr>
                <w:rFonts w:hint="eastAsia" w:ascii="宋体" w:hAnsi="宋体" w:cs="宋体"/>
                <w:color w:val="000000"/>
                <w:lang w:eastAsia="zh-CN" w:bidi="ar"/>
              </w:rPr>
              <w:t>白云</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E3639">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53C8B3C4">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BA6DF">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ACDB5">
            <w:pPr>
              <w:textAlignment w:val="center"/>
              <w:rPr>
                <w:rFonts w:ascii="宋体" w:hAnsi="宋体" w:cs="宋体"/>
                <w:color w:val="000000"/>
                <w:lang w:eastAsia="zh-CN"/>
              </w:rPr>
            </w:pPr>
            <w:r>
              <w:rPr>
                <w:rFonts w:hint="eastAsia" w:ascii="宋体" w:hAnsi="宋体" w:cs="宋体"/>
                <w:color w:val="000000"/>
                <w:lang w:eastAsia="zh-CN" w:bidi="ar"/>
              </w:rPr>
              <w:t>上海安奕极企业发展股份有限公司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CAC1F">
            <w:pPr>
              <w:jc w:val="center"/>
              <w:textAlignment w:val="center"/>
              <w:rPr>
                <w:rFonts w:ascii="宋体" w:hAnsi="宋体" w:cs="宋体"/>
                <w:color w:val="000000"/>
              </w:rPr>
            </w:pPr>
            <w:r>
              <w:rPr>
                <w:rFonts w:hint="eastAsia" w:ascii="宋体" w:hAnsi="宋体" w:cs="宋体"/>
                <w:color w:val="000000"/>
                <w:lang w:eastAsia="zh-CN" w:bidi="ar"/>
              </w:rPr>
              <w:t>AEG</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7CAFD">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563FBD32">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20A65">
            <w:pPr>
              <w:jc w:val="center"/>
              <w:textAlignment w:val="center"/>
              <w:rPr>
                <w:rFonts w:ascii="宋体" w:hAnsi="宋体" w:cs="宋体"/>
                <w:color w:val="000000"/>
              </w:rPr>
            </w:pPr>
            <w:r>
              <w:rPr>
                <w:rFonts w:hint="eastAsia" w:ascii="宋体" w:hAnsi="宋体" w:cs="宋体"/>
                <w:color w:val="000000"/>
                <w:lang w:eastAsia="zh-CN" w:bidi="ar"/>
              </w:rPr>
              <w:t>5</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A1EAA">
            <w:pPr>
              <w:textAlignment w:val="center"/>
              <w:rPr>
                <w:rFonts w:ascii="宋体" w:hAnsi="宋体" w:cs="宋体"/>
                <w:color w:val="000000"/>
                <w:lang w:eastAsia="zh-CN"/>
              </w:rPr>
            </w:pPr>
            <w:r>
              <w:rPr>
                <w:rFonts w:hint="eastAsia" w:ascii="宋体" w:hAnsi="宋体" w:cs="宋体"/>
                <w:color w:val="000000"/>
                <w:lang w:eastAsia="zh-CN" w:bidi="ar"/>
              </w:rPr>
              <w:t>广州广高高压电器有限公司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B4B5A">
            <w:pPr>
              <w:jc w:val="center"/>
              <w:textAlignment w:val="center"/>
              <w:rPr>
                <w:rFonts w:ascii="宋体" w:hAnsi="宋体" w:cs="宋体"/>
                <w:color w:val="000000"/>
              </w:rPr>
            </w:pPr>
            <w:r>
              <w:rPr>
                <w:rFonts w:hint="eastAsia" w:ascii="宋体" w:hAnsi="宋体" w:cs="宋体"/>
                <w:color w:val="000000"/>
                <w:lang w:eastAsia="zh-CN" w:bidi="ar"/>
              </w:rPr>
              <w:t>广高</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45251">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3E0CEC3C">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A8CC52F">
            <w:pPr>
              <w:textAlignment w:val="center"/>
              <w:rPr>
                <w:rFonts w:ascii="宋体" w:hAnsi="宋体" w:cs="宋体"/>
                <w:b/>
                <w:bCs/>
                <w:color w:val="000000"/>
              </w:rPr>
            </w:pPr>
            <w:r>
              <w:rPr>
                <w:rFonts w:hint="eastAsia" w:ascii="宋体" w:hAnsi="宋体" w:cs="宋体"/>
                <w:b/>
                <w:bCs/>
                <w:color w:val="000000"/>
                <w:lang w:eastAsia="zh-CN" w:bidi="ar"/>
              </w:rPr>
              <w:t>6. 低压柜</w:t>
            </w:r>
          </w:p>
        </w:tc>
      </w:tr>
      <w:tr w14:paraId="4C3A8D51">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2C5A3">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D8130">
            <w:pPr>
              <w:textAlignment w:val="center"/>
              <w:rPr>
                <w:rFonts w:ascii="宋体" w:hAnsi="宋体" w:cs="宋体"/>
                <w:color w:val="000000"/>
                <w:lang w:eastAsia="zh-CN"/>
              </w:rPr>
            </w:pPr>
            <w:r>
              <w:rPr>
                <w:rFonts w:hint="eastAsia" w:ascii="宋体" w:hAnsi="宋体" w:cs="宋体"/>
                <w:color w:val="000000"/>
                <w:lang w:eastAsia="zh-CN" w:bidi="ar"/>
              </w:rPr>
              <w:t>广州白云电器设备股份有限公司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FC164">
            <w:pPr>
              <w:jc w:val="center"/>
              <w:textAlignment w:val="center"/>
              <w:rPr>
                <w:rFonts w:ascii="宋体" w:hAnsi="宋体" w:cs="宋体"/>
                <w:color w:val="000000"/>
              </w:rPr>
            </w:pPr>
            <w:r>
              <w:rPr>
                <w:rFonts w:hint="eastAsia" w:ascii="宋体" w:hAnsi="宋体" w:cs="宋体"/>
                <w:color w:val="000000"/>
                <w:lang w:eastAsia="zh-CN" w:bidi="ar"/>
              </w:rPr>
              <w:t>白云</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0B3FE">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46B2948F">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9B93C">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61656">
            <w:pPr>
              <w:textAlignment w:val="center"/>
              <w:rPr>
                <w:rFonts w:ascii="宋体" w:hAnsi="宋体" w:cs="宋体"/>
                <w:color w:val="000000"/>
                <w:lang w:eastAsia="zh-CN"/>
              </w:rPr>
            </w:pPr>
            <w:r>
              <w:rPr>
                <w:rFonts w:hint="eastAsia" w:ascii="宋体" w:hAnsi="宋体" w:cs="宋体"/>
                <w:color w:val="000000"/>
                <w:lang w:eastAsia="zh-CN" w:bidi="ar"/>
              </w:rPr>
              <w:t>广东省顺德开关厂有限公司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1B6E8">
            <w:pPr>
              <w:jc w:val="center"/>
              <w:textAlignment w:val="center"/>
              <w:rPr>
                <w:rFonts w:ascii="宋体" w:hAnsi="宋体" w:cs="宋体"/>
                <w:color w:val="000000"/>
              </w:rPr>
            </w:pPr>
            <w:r>
              <w:rPr>
                <w:rFonts w:hint="eastAsia" w:ascii="宋体" w:hAnsi="宋体" w:cs="宋体"/>
                <w:color w:val="000000"/>
                <w:lang w:eastAsia="zh-CN" w:bidi="ar"/>
              </w:rPr>
              <w:t>顺开</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943B6">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54C60992">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F2495">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A826C">
            <w:pPr>
              <w:textAlignment w:val="center"/>
              <w:rPr>
                <w:rFonts w:ascii="宋体" w:hAnsi="宋体" w:cs="宋体"/>
                <w:color w:val="000000"/>
                <w:lang w:eastAsia="zh-CN"/>
              </w:rPr>
            </w:pPr>
            <w:r>
              <w:rPr>
                <w:rFonts w:hint="eastAsia" w:ascii="宋体" w:hAnsi="宋体" w:cs="宋体"/>
                <w:color w:val="000000"/>
                <w:lang w:eastAsia="zh-CN" w:bidi="ar"/>
              </w:rPr>
              <w:t>广东长电成套电器有限公司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EEF62">
            <w:pPr>
              <w:jc w:val="center"/>
              <w:textAlignment w:val="center"/>
              <w:rPr>
                <w:rFonts w:ascii="宋体" w:hAnsi="宋体" w:cs="宋体"/>
                <w:color w:val="000000"/>
              </w:rPr>
            </w:pPr>
            <w:r>
              <w:rPr>
                <w:rFonts w:hint="eastAsia" w:ascii="宋体" w:hAnsi="宋体" w:cs="宋体"/>
                <w:color w:val="000000"/>
                <w:lang w:eastAsia="zh-CN" w:bidi="ar"/>
              </w:rPr>
              <w:t>长电</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2720B">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63F4ACA8">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41966">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623BB">
            <w:pPr>
              <w:textAlignment w:val="center"/>
              <w:rPr>
                <w:rFonts w:ascii="宋体" w:hAnsi="宋体" w:cs="宋体"/>
                <w:color w:val="000000"/>
                <w:lang w:eastAsia="zh-CN"/>
              </w:rPr>
            </w:pPr>
            <w:r>
              <w:rPr>
                <w:rFonts w:hint="eastAsia" w:ascii="宋体" w:hAnsi="宋体" w:cs="宋体"/>
                <w:color w:val="000000"/>
                <w:lang w:eastAsia="zh-CN" w:bidi="ar"/>
              </w:rPr>
              <w:t>广州广高高压电器有限公司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1F729">
            <w:pPr>
              <w:jc w:val="center"/>
              <w:textAlignment w:val="center"/>
              <w:rPr>
                <w:rFonts w:ascii="宋体" w:hAnsi="宋体" w:cs="宋体"/>
                <w:color w:val="000000"/>
              </w:rPr>
            </w:pPr>
            <w:r>
              <w:rPr>
                <w:rFonts w:hint="eastAsia" w:ascii="宋体" w:hAnsi="宋体" w:cs="宋体"/>
                <w:color w:val="000000"/>
                <w:lang w:eastAsia="zh-CN" w:bidi="ar"/>
              </w:rPr>
              <w:t>广高</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750F0">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1868EADF">
        <w:tblPrEx>
          <w:tblCellMar>
            <w:top w:w="0" w:type="dxa"/>
            <w:left w:w="108" w:type="dxa"/>
            <w:bottom w:w="0" w:type="dxa"/>
            <w:right w:w="108" w:type="dxa"/>
          </w:tblCellMar>
        </w:tblPrEx>
        <w:trPr>
          <w:trHeight w:val="588"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3019A">
            <w:pPr>
              <w:jc w:val="center"/>
              <w:textAlignment w:val="center"/>
              <w:rPr>
                <w:rFonts w:ascii="宋体" w:hAnsi="宋体" w:cs="宋体"/>
                <w:color w:val="000000"/>
              </w:rPr>
            </w:pPr>
            <w:r>
              <w:rPr>
                <w:rFonts w:hint="eastAsia" w:ascii="宋体" w:hAnsi="宋体" w:cs="宋体"/>
                <w:color w:val="000000"/>
                <w:lang w:eastAsia="zh-CN" w:bidi="ar"/>
              </w:rPr>
              <w:t>5</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8A3F9">
            <w:pPr>
              <w:textAlignment w:val="center"/>
              <w:rPr>
                <w:rFonts w:ascii="宋体" w:hAnsi="宋体" w:cs="宋体"/>
                <w:color w:val="000000"/>
                <w:lang w:eastAsia="zh-CN"/>
              </w:rPr>
            </w:pPr>
            <w:r>
              <w:rPr>
                <w:rFonts w:hint="eastAsia" w:ascii="宋体" w:hAnsi="宋体" w:cs="宋体"/>
                <w:color w:val="000000"/>
                <w:lang w:eastAsia="zh-CN" w:bidi="ar"/>
              </w:rPr>
              <w:t>广东省江门市新会电气控制设备厂有限公司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4529F">
            <w:pPr>
              <w:jc w:val="center"/>
              <w:textAlignment w:val="center"/>
              <w:rPr>
                <w:rFonts w:ascii="宋体" w:hAnsi="宋体" w:cs="宋体"/>
                <w:color w:val="000000"/>
              </w:rPr>
            </w:pPr>
            <w:r>
              <w:rPr>
                <w:rFonts w:hint="eastAsia" w:ascii="宋体" w:hAnsi="宋体" w:cs="宋体"/>
                <w:color w:val="000000"/>
                <w:lang w:eastAsia="zh-CN" w:bidi="ar"/>
              </w:rPr>
              <w:t>新会电控</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BBA1B">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76471986">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D22F81C">
            <w:pPr>
              <w:textAlignment w:val="center"/>
              <w:rPr>
                <w:rFonts w:ascii="宋体" w:hAnsi="宋体" w:cs="宋体"/>
                <w:b/>
                <w:bCs/>
                <w:color w:val="000000"/>
                <w:lang w:eastAsia="zh-CN"/>
              </w:rPr>
            </w:pPr>
            <w:r>
              <w:rPr>
                <w:rFonts w:hint="eastAsia" w:ascii="宋体" w:hAnsi="宋体" w:cs="宋体"/>
                <w:b/>
                <w:bCs/>
                <w:color w:val="000000"/>
                <w:lang w:eastAsia="zh-CN" w:bidi="ar"/>
              </w:rPr>
              <w:t>7. 低压柜、配电箱内核心元器件</w:t>
            </w:r>
          </w:p>
        </w:tc>
      </w:tr>
      <w:tr w14:paraId="1A5A7A72">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C4571">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F3043">
            <w:pPr>
              <w:textAlignment w:val="center"/>
              <w:rPr>
                <w:rFonts w:ascii="宋体" w:hAnsi="宋体" w:cs="宋体"/>
                <w:color w:val="000000"/>
                <w:lang w:eastAsia="zh-CN"/>
              </w:rPr>
            </w:pPr>
            <w:r>
              <w:rPr>
                <w:rFonts w:hint="eastAsia" w:ascii="宋体" w:hAnsi="宋体" w:cs="宋体"/>
                <w:color w:val="000000"/>
                <w:lang w:eastAsia="zh-CN" w:bidi="ar"/>
              </w:rPr>
              <w:t>常熟开关制造有限公司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8CEA2">
            <w:pPr>
              <w:jc w:val="center"/>
              <w:textAlignment w:val="center"/>
              <w:rPr>
                <w:rFonts w:ascii="宋体" w:hAnsi="宋体" w:cs="宋体"/>
                <w:color w:val="000000"/>
              </w:rPr>
            </w:pPr>
            <w:r>
              <w:rPr>
                <w:rFonts w:hint="eastAsia" w:ascii="宋体" w:hAnsi="宋体" w:cs="宋体"/>
                <w:color w:val="000000"/>
                <w:lang w:eastAsia="zh-CN" w:bidi="ar"/>
              </w:rPr>
              <w:t>常熟开关</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45C3B">
            <w:pPr>
              <w:jc w:val="center"/>
              <w:rPr>
                <w:rFonts w:ascii="宋体" w:hAnsi="宋体" w:cs="宋体"/>
                <w:color w:val="FF0000"/>
              </w:rPr>
            </w:pPr>
          </w:p>
        </w:tc>
      </w:tr>
      <w:tr w14:paraId="6B3DCDC6">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B181D">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C894A">
            <w:pPr>
              <w:textAlignment w:val="center"/>
              <w:rPr>
                <w:rFonts w:ascii="宋体" w:hAnsi="宋体" w:cs="宋体"/>
                <w:color w:val="000000"/>
                <w:lang w:eastAsia="zh-CN"/>
              </w:rPr>
            </w:pPr>
            <w:r>
              <w:rPr>
                <w:rFonts w:hint="eastAsia" w:ascii="宋体" w:hAnsi="宋体" w:cs="宋体"/>
                <w:color w:val="000000"/>
                <w:lang w:eastAsia="zh-CN" w:bidi="ar"/>
              </w:rPr>
              <w:t>上海良信电器股份有限公司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49948">
            <w:pPr>
              <w:jc w:val="center"/>
              <w:textAlignment w:val="center"/>
              <w:rPr>
                <w:rFonts w:ascii="宋体" w:hAnsi="宋体" w:cs="宋体"/>
                <w:color w:val="000000"/>
              </w:rPr>
            </w:pPr>
            <w:r>
              <w:rPr>
                <w:rFonts w:hint="eastAsia" w:ascii="宋体" w:hAnsi="宋体" w:cs="宋体"/>
                <w:color w:val="000000"/>
                <w:lang w:eastAsia="zh-CN" w:bidi="ar"/>
              </w:rPr>
              <w:t>Nader良信</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D7B58">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17B32FE0">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B7B0B">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350DE">
            <w:pPr>
              <w:textAlignment w:val="center"/>
              <w:rPr>
                <w:rFonts w:ascii="宋体" w:hAnsi="宋体" w:cs="宋体"/>
                <w:color w:val="000000"/>
                <w:lang w:eastAsia="zh-CN"/>
              </w:rPr>
            </w:pPr>
            <w:r>
              <w:rPr>
                <w:rFonts w:hint="eastAsia" w:ascii="宋体" w:hAnsi="宋体" w:cs="宋体"/>
                <w:color w:val="000000"/>
                <w:lang w:eastAsia="zh-CN" w:bidi="ar"/>
              </w:rPr>
              <w:t>上海人民电器开关厂集团有限公司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685A3">
            <w:pPr>
              <w:jc w:val="center"/>
              <w:textAlignment w:val="center"/>
              <w:rPr>
                <w:rFonts w:ascii="宋体" w:hAnsi="宋体" w:cs="宋体"/>
                <w:color w:val="000000"/>
              </w:rPr>
            </w:pPr>
            <w:r>
              <w:rPr>
                <w:rFonts w:hint="eastAsia" w:ascii="宋体" w:hAnsi="宋体" w:cs="宋体"/>
                <w:color w:val="000000"/>
                <w:lang w:eastAsia="zh-CN" w:bidi="ar"/>
              </w:rPr>
              <w:t>上海人民</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ADAF5">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1C166E21">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38441">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BBDAE">
            <w:pPr>
              <w:textAlignment w:val="center"/>
              <w:rPr>
                <w:rFonts w:ascii="宋体" w:hAnsi="宋体" w:cs="宋体"/>
                <w:color w:val="000000"/>
                <w:lang w:eastAsia="zh-CN"/>
              </w:rPr>
            </w:pPr>
            <w:r>
              <w:rPr>
                <w:rFonts w:hint="eastAsia" w:ascii="宋体" w:hAnsi="宋体" w:cs="宋体"/>
                <w:color w:val="000000"/>
                <w:lang w:eastAsia="zh-CN" w:bidi="ar"/>
              </w:rPr>
              <w:t>罗格朗低压电器（无锡）有限公司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9391A">
            <w:pPr>
              <w:jc w:val="center"/>
              <w:textAlignment w:val="center"/>
              <w:rPr>
                <w:rFonts w:ascii="宋体" w:hAnsi="宋体" w:cs="宋体"/>
                <w:color w:val="000000"/>
              </w:rPr>
            </w:pPr>
            <w:r>
              <w:rPr>
                <w:rFonts w:hint="eastAsia" w:ascii="宋体" w:hAnsi="宋体" w:cs="宋体"/>
                <w:color w:val="000000"/>
                <w:lang w:eastAsia="zh-CN" w:bidi="ar"/>
              </w:rPr>
              <w:t>罗格朗</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3B5D5">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62EC49DA">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2FDF1">
            <w:pPr>
              <w:jc w:val="center"/>
              <w:textAlignment w:val="center"/>
              <w:rPr>
                <w:rFonts w:ascii="宋体" w:hAnsi="宋体" w:cs="宋体"/>
                <w:color w:val="000000"/>
              </w:rPr>
            </w:pPr>
            <w:r>
              <w:rPr>
                <w:rFonts w:hint="eastAsia" w:ascii="宋体" w:hAnsi="宋体" w:cs="宋体"/>
                <w:color w:val="000000"/>
                <w:lang w:eastAsia="zh-CN" w:bidi="ar"/>
              </w:rPr>
              <w:t>5</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299B5">
            <w:pPr>
              <w:textAlignment w:val="center"/>
              <w:rPr>
                <w:rFonts w:ascii="宋体" w:hAnsi="宋体" w:cs="宋体"/>
                <w:color w:val="000000"/>
                <w:lang w:eastAsia="zh-CN"/>
              </w:rPr>
            </w:pPr>
            <w:r>
              <w:rPr>
                <w:rFonts w:hint="eastAsia" w:ascii="宋体" w:hAnsi="宋体" w:cs="宋体"/>
                <w:color w:val="000000"/>
                <w:lang w:eastAsia="zh-CN" w:bidi="ar"/>
              </w:rPr>
              <w:t>上海安奕极企业发展股份有限公司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22EFC">
            <w:pPr>
              <w:jc w:val="center"/>
              <w:textAlignment w:val="center"/>
              <w:rPr>
                <w:rFonts w:ascii="宋体" w:hAnsi="宋体" w:cs="宋体"/>
                <w:color w:val="000000"/>
              </w:rPr>
            </w:pPr>
            <w:r>
              <w:rPr>
                <w:rFonts w:hint="eastAsia" w:ascii="宋体" w:hAnsi="宋体" w:cs="宋体"/>
                <w:color w:val="000000"/>
                <w:lang w:eastAsia="zh-CN" w:bidi="ar"/>
              </w:rPr>
              <w:t>AEG</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5B525">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3EAB085A">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7ABCA47">
            <w:pPr>
              <w:textAlignment w:val="center"/>
              <w:rPr>
                <w:rFonts w:ascii="宋体" w:hAnsi="宋体" w:cs="宋体"/>
                <w:b/>
                <w:bCs/>
                <w:color w:val="000000"/>
              </w:rPr>
            </w:pPr>
            <w:r>
              <w:rPr>
                <w:rFonts w:hint="eastAsia" w:ascii="宋体" w:hAnsi="宋体" w:cs="宋体"/>
                <w:b/>
                <w:bCs/>
                <w:color w:val="000000"/>
                <w:lang w:eastAsia="zh-CN" w:bidi="ar"/>
              </w:rPr>
              <w:t>8. 配电箱</w:t>
            </w:r>
          </w:p>
        </w:tc>
      </w:tr>
      <w:tr w14:paraId="62ED55A3">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F05AE">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78752">
            <w:pPr>
              <w:textAlignment w:val="center"/>
              <w:rPr>
                <w:rFonts w:ascii="宋体" w:hAnsi="宋体" w:cs="宋体"/>
                <w:color w:val="000000"/>
                <w:lang w:eastAsia="zh-CN"/>
              </w:rPr>
            </w:pPr>
            <w:r>
              <w:rPr>
                <w:rFonts w:hint="eastAsia" w:ascii="宋体" w:hAnsi="宋体" w:cs="宋体"/>
                <w:color w:val="000000"/>
                <w:lang w:eastAsia="zh-CN" w:bidi="ar"/>
              </w:rPr>
              <w:t>广州白云电器设备股份有限公司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48BE3">
            <w:pPr>
              <w:jc w:val="center"/>
              <w:textAlignment w:val="center"/>
              <w:rPr>
                <w:rFonts w:ascii="宋体" w:hAnsi="宋体" w:cs="宋体"/>
                <w:color w:val="000000"/>
              </w:rPr>
            </w:pPr>
            <w:r>
              <w:rPr>
                <w:rFonts w:hint="eastAsia" w:ascii="宋体" w:hAnsi="宋体" w:cs="宋体"/>
                <w:color w:val="000000"/>
                <w:lang w:eastAsia="zh-CN" w:bidi="ar"/>
              </w:rPr>
              <w:t>白云</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B32DF">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1BDBE9ED">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08DB7">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27D88">
            <w:pPr>
              <w:textAlignment w:val="center"/>
              <w:rPr>
                <w:rFonts w:ascii="宋体" w:hAnsi="宋体" w:cs="宋体"/>
                <w:color w:val="000000"/>
                <w:lang w:eastAsia="zh-CN"/>
              </w:rPr>
            </w:pPr>
            <w:r>
              <w:rPr>
                <w:rFonts w:hint="eastAsia" w:ascii="宋体" w:hAnsi="宋体" w:cs="宋体"/>
                <w:color w:val="000000"/>
                <w:lang w:eastAsia="zh-CN" w:bidi="ar"/>
              </w:rPr>
              <w:t>广州广高高压电器有限公司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35F7E">
            <w:pPr>
              <w:jc w:val="center"/>
              <w:textAlignment w:val="center"/>
              <w:rPr>
                <w:rFonts w:ascii="宋体" w:hAnsi="宋体" w:cs="宋体"/>
                <w:color w:val="000000"/>
              </w:rPr>
            </w:pPr>
            <w:r>
              <w:rPr>
                <w:rFonts w:hint="eastAsia" w:ascii="宋体" w:hAnsi="宋体" w:cs="宋体"/>
                <w:color w:val="000000"/>
                <w:lang w:eastAsia="zh-CN" w:bidi="ar"/>
              </w:rPr>
              <w:t>广高</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1C7FC">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24742E3A">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73794">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BF868">
            <w:pPr>
              <w:textAlignment w:val="center"/>
              <w:rPr>
                <w:rFonts w:ascii="宋体" w:hAnsi="宋体" w:cs="宋体"/>
                <w:color w:val="000000"/>
                <w:lang w:eastAsia="zh-CN"/>
              </w:rPr>
            </w:pPr>
            <w:r>
              <w:rPr>
                <w:rFonts w:hint="eastAsia" w:ascii="宋体" w:hAnsi="宋体" w:cs="宋体"/>
                <w:color w:val="000000"/>
                <w:lang w:eastAsia="zh-CN" w:bidi="ar"/>
              </w:rPr>
              <w:t>广东省顺德开关厂有限公司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38D35">
            <w:pPr>
              <w:jc w:val="center"/>
              <w:textAlignment w:val="center"/>
              <w:rPr>
                <w:rFonts w:ascii="宋体" w:hAnsi="宋体" w:cs="宋体"/>
                <w:color w:val="000000"/>
              </w:rPr>
            </w:pPr>
            <w:r>
              <w:rPr>
                <w:rFonts w:hint="eastAsia" w:ascii="宋体" w:hAnsi="宋体" w:cs="宋体"/>
                <w:color w:val="000000"/>
                <w:lang w:eastAsia="zh-CN" w:bidi="ar"/>
              </w:rPr>
              <w:t>顺开</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3400C">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67EBD5E1">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54310">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1F4E6">
            <w:pPr>
              <w:textAlignment w:val="center"/>
              <w:rPr>
                <w:rFonts w:ascii="宋体" w:hAnsi="宋体" w:cs="宋体"/>
                <w:color w:val="000000"/>
                <w:lang w:eastAsia="zh-CN"/>
              </w:rPr>
            </w:pPr>
            <w:r>
              <w:rPr>
                <w:rFonts w:hint="eastAsia" w:ascii="宋体" w:hAnsi="宋体" w:cs="宋体"/>
                <w:color w:val="000000"/>
                <w:lang w:eastAsia="zh-CN" w:bidi="ar"/>
              </w:rPr>
              <w:t>广东施富电气实业有限公司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73665">
            <w:pPr>
              <w:jc w:val="center"/>
              <w:textAlignment w:val="center"/>
              <w:rPr>
                <w:rFonts w:ascii="宋体" w:hAnsi="宋体" w:cs="宋体"/>
                <w:color w:val="000000"/>
              </w:rPr>
            </w:pPr>
            <w:r>
              <w:rPr>
                <w:rFonts w:hint="eastAsia" w:ascii="宋体" w:hAnsi="宋体" w:cs="宋体"/>
                <w:color w:val="000000"/>
                <w:lang w:eastAsia="zh-CN" w:bidi="ar"/>
              </w:rPr>
              <w:t>施富</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7BAA2">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50E87460">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677EB">
            <w:pPr>
              <w:jc w:val="center"/>
              <w:textAlignment w:val="center"/>
              <w:rPr>
                <w:rFonts w:ascii="宋体" w:hAnsi="宋体" w:cs="宋体"/>
                <w:color w:val="000000"/>
              </w:rPr>
            </w:pPr>
            <w:r>
              <w:rPr>
                <w:rFonts w:hint="eastAsia" w:ascii="宋体" w:hAnsi="宋体" w:cs="宋体"/>
                <w:color w:val="000000"/>
                <w:lang w:eastAsia="zh-CN" w:bidi="ar"/>
              </w:rPr>
              <w:t>5</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F6BDE">
            <w:pPr>
              <w:textAlignment w:val="center"/>
              <w:rPr>
                <w:rFonts w:ascii="宋体" w:hAnsi="宋体" w:cs="宋体"/>
                <w:color w:val="000000"/>
                <w:lang w:eastAsia="zh-CN"/>
              </w:rPr>
            </w:pPr>
            <w:r>
              <w:rPr>
                <w:rFonts w:hint="eastAsia" w:ascii="宋体" w:hAnsi="宋体" w:cs="宋体"/>
                <w:color w:val="000000"/>
                <w:lang w:eastAsia="zh-CN" w:bidi="ar"/>
              </w:rPr>
              <w:t>广东长电成套电器有限公司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AB34F">
            <w:pPr>
              <w:jc w:val="center"/>
              <w:textAlignment w:val="center"/>
              <w:rPr>
                <w:rFonts w:ascii="宋体" w:hAnsi="宋体" w:cs="宋体"/>
                <w:color w:val="000000"/>
              </w:rPr>
            </w:pPr>
            <w:r>
              <w:rPr>
                <w:rFonts w:hint="eastAsia" w:ascii="宋体" w:hAnsi="宋体" w:cs="宋体"/>
                <w:color w:val="000000"/>
                <w:lang w:eastAsia="zh-CN" w:bidi="ar"/>
              </w:rPr>
              <w:t>长电</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55458">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46999351">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FD75984">
            <w:pPr>
              <w:textAlignment w:val="center"/>
              <w:rPr>
                <w:rFonts w:ascii="宋体" w:hAnsi="宋体" w:cs="宋体"/>
                <w:b/>
                <w:bCs/>
                <w:color w:val="000000"/>
              </w:rPr>
            </w:pPr>
            <w:r>
              <w:rPr>
                <w:rFonts w:hint="eastAsia" w:ascii="宋体" w:hAnsi="宋体" w:cs="宋体"/>
                <w:b/>
                <w:bCs/>
                <w:color w:val="000000"/>
                <w:lang w:eastAsia="zh-CN" w:bidi="ar"/>
              </w:rPr>
              <w:t>9. 开关插座</w:t>
            </w:r>
          </w:p>
        </w:tc>
      </w:tr>
      <w:tr w14:paraId="4A254793">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ED1DA">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7B5E3">
            <w:pPr>
              <w:textAlignment w:val="center"/>
              <w:rPr>
                <w:rFonts w:ascii="宋体" w:hAnsi="宋体" w:cs="宋体"/>
                <w:color w:val="000000"/>
                <w:lang w:eastAsia="zh-CN"/>
              </w:rPr>
            </w:pPr>
            <w:r>
              <w:rPr>
                <w:rFonts w:hint="eastAsia" w:ascii="宋体" w:hAnsi="宋体" w:cs="宋体"/>
                <w:color w:val="000000"/>
                <w:lang w:eastAsia="zh-CN" w:bidi="ar"/>
              </w:rPr>
              <w:t>西门子（中国）有限公司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B0F04">
            <w:pPr>
              <w:jc w:val="center"/>
              <w:textAlignment w:val="center"/>
              <w:rPr>
                <w:rFonts w:ascii="宋体" w:hAnsi="宋体" w:cs="宋体"/>
                <w:color w:val="000000"/>
              </w:rPr>
            </w:pPr>
            <w:r>
              <w:rPr>
                <w:rFonts w:hint="eastAsia" w:ascii="宋体" w:hAnsi="宋体" w:cs="宋体"/>
                <w:color w:val="000000"/>
                <w:lang w:eastAsia="zh-CN" w:bidi="ar"/>
              </w:rPr>
              <w:t>西门子</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6B12F">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34442F32">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8885F">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9B955">
            <w:pPr>
              <w:textAlignment w:val="center"/>
              <w:rPr>
                <w:rFonts w:ascii="宋体" w:hAnsi="宋体" w:cs="宋体"/>
                <w:color w:val="000000"/>
                <w:lang w:eastAsia="zh-CN"/>
              </w:rPr>
            </w:pPr>
            <w:r>
              <w:rPr>
                <w:rFonts w:hint="eastAsia" w:ascii="宋体" w:hAnsi="宋体" w:cs="宋体"/>
                <w:color w:val="000000"/>
                <w:lang w:eastAsia="zh-CN" w:bidi="ar"/>
              </w:rPr>
              <w:t xml:space="preserve">施耐德电气（中国）有限公司 </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ADB01">
            <w:pPr>
              <w:jc w:val="center"/>
              <w:textAlignment w:val="center"/>
              <w:rPr>
                <w:rFonts w:ascii="宋体" w:hAnsi="宋体" w:cs="宋体"/>
                <w:color w:val="000000"/>
              </w:rPr>
            </w:pPr>
            <w:r>
              <w:rPr>
                <w:rFonts w:hint="eastAsia" w:ascii="宋体" w:hAnsi="宋体" w:cs="宋体"/>
                <w:color w:val="000000"/>
                <w:lang w:eastAsia="zh-CN" w:bidi="ar"/>
              </w:rPr>
              <w:t>施耐德</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19F61">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66718F0A">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815F6">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293CE">
            <w:pPr>
              <w:textAlignment w:val="center"/>
              <w:rPr>
                <w:rFonts w:ascii="宋体" w:hAnsi="宋体" w:cs="宋体"/>
                <w:color w:val="000000"/>
              </w:rPr>
            </w:pPr>
            <w:r>
              <w:rPr>
                <w:rFonts w:hint="eastAsia" w:ascii="宋体" w:hAnsi="宋体" w:cs="宋体"/>
                <w:color w:val="000000"/>
                <w:lang w:eastAsia="zh-CN" w:bidi="ar"/>
              </w:rPr>
              <w:t>ABB（中国）有限公司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93D95">
            <w:pPr>
              <w:jc w:val="center"/>
              <w:textAlignment w:val="center"/>
              <w:rPr>
                <w:rFonts w:ascii="宋体" w:hAnsi="宋体" w:cs="宋体"/>
                <w:color w:val="000000"/>
              </w:rPr>
            </w:pPr>
            <w:r>
              <w:rPr>
                <w:rFonts w:hint="eastAsia" w:ascii="宋体" w:hAnsi="宋体" w:cs="宋体"/>
                <w:color w:val="000000"/>
                <w:lang w:eastAsia="zh-CN" w:bidi="ar"/>
              </w:rPr>
              <w:t>ABB</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6351B">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3D0E60FC">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DF030">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2B1B3">
            <w:pPr>
              <w:textAlignment w:val="center"/>
              <w:rPr>
                <w:rFonts w:ascii="宋体" w:hAnsi="宋体" w:cs="宋体"/>
                <w:color w:val="000000"/>
                <w:lang w:eastAsia="zh-CN"/>
              </w:rPr>
            </w:pPr>
            <w:r>
              <w:rPr>
                <w:rFonts w:hint="eastAsia" w:ascii="宋体" w:hAnsi="宋体" w:cs="宋体"/>
                <w:color w:val="000000"/>
                <w:lang w:eastAsia="zh-CN" w:bidi="ar"/>
              </w:rPr>
              <w:t>昕诺飞（中国）投资有限公司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7CC16">
            <w:pPr>
              <w:jc w:val="center"/>
              <w:textAlignment w:val="center"/>
              <w:rPr>
                <w:rFonts w:ascii="宋体" w:hAnsi="宋体" w:cs="宋体"/>
                <w:color w:val="000000"/>
              </w:rPr>
            </w:pPr>
            <w:r>
              <w:rPr>
                <w:rFonts w:hint="eastAsia" w:ascii="宋体" w:hAnsi="宋体" w:cs="宋体"/>
                <w:color w:val="000000"/>
                <w:lang w:eastAsia="zh-CN" w:bidi="ar"/>
              </w:rPr>
              <w:t>飞利浦PHILIPS</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91356">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24155928">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3D6A0">
            <w:pPr>
              <w:jc w:val="center"/>
              <w:textAlignment w:val="center"/>
              <w:rPr>
                <w:rFonts w:ascii="宋体" w:hAnsi="宋体" w:cs="宋体"/>
                <w:color w:val="000000"/>
              </w:rPr>
            </w:pPr>
            <w:r>
              <w:rPr>
                <w:rFonts w:hint="eastAsia" w:ascii="宋体" w:hAnsi="宋体" w:cs="宋体"/>
                <w:color w:val="000000"/>
                <w:lang w:eastAsia="zh-CN" w:bidi="ar"/>
              </w:rPr>
              <w:t>5</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2C5A1">
            <w:pPr>
              <w:textAlignment w:val="center"/>
              <w:rPr>
                <w:rFonts w:ascii="宋体" w:hAnsi="宋体" w:cs="宋体"/>
                <w:color w:val="000000"/>
                <w:lang w:eastAsia="zh-CN"/>
              </w:rPr>
            </w:pPr>
            <w:r>
              <w:rPr>
                <w:rFonts w:hint="eastAsia" w:ascii="宋体" w:hAnsi="宋体" w:cs="宋体"/>
                <w:color w:val="000000"/>
                <w:lang w:eastAsia="zh-CN" w:bidi="ar"/>
              </w:rPr>
              <w:t>松下电气设备（中国)有限公司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D17AE">
            <w:pPr>
              <w:jc w:val="center"/>
              <w:textAlignment w:val="center"/>
              <w:rPr>
                <w:rFonts w:ascii="宋体" w:hAnsi="宋体" w:cs="宋体"/>
                <w:color w:val="000000"/>
              </w:rPr>
            </w:pPr>
            <w:r>
              <w:rPr>
                <w:rFonts w:hint="eastAsia" w:ascii="宋体" w:hAnsi="宋体" w:cs="宋体"/>
                <w:color w:val="000000"/>
                <w:lang w:eastAsia="zh-CN" w:bidi="ar"/>
              </w:rPr>
              <w:t>Panasonic</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5754A">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4139B915">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2F11A6B">
            <w:pPr>
              <w:textAlignment w:val="center"/>
              <w:rPr>
                <w:rFonts w:ascii="宋体" w:hAnsi="宋体" w:cs="宋体"/>
                <w:b/>
                <w:bCs/>
                <w:color w:val="000000"/>
              </w:rPr>
            </w:pPr>
            <w:r>
              <w:rPr>
                <w:rFonts w:hint="eastAsia" w:ascii="宋体" w:hAnsi="宋体" w:cs="宋体"/>
                <w:b/>
                <w:bCs/>
                <w:color w:val="000000"/>
                <w:lang w:eastAsia="zh-CN" w:bidi="ar"/>
              </w:rPr>
              <w:t>10. 母线槽</w:t>
            </w:r>
          </w:p>
        </w:tc>
      </w:tr>
      <w:tr w14:paraId="5CCCD62E">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9B6BA">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6B7B0">
            <w:pPr>
              <w:textAlignment w:val="center"/>
              <w:rPr>
                <w:rFonts w:ascii="宋体" w:hAnsi="宋体" w:cs="宋体"/>
                <w:color w:val="000000"/>
                <w:sz w:val="22"/>
                <w:szCs w:val="22"/>
                <w:lang w:eastAsia="zh-CN"/>
              </w:rPr>
            </w:pPr>
            <w:r>
              <w:rPr>
                <w:rFonts w:hint="eastAsia" w:ascii="宋体" w:hAnsi="宋体" w:cs="宋体"/>
                <w:color w:val="000000"/>
                <w:sz w:val="22"/>
                <w:szCs w:val="22"/>
                <w:lang w:eastAsia="zh-CN" w:bidi="ar"/>
              </w:rPr>
              <w:t>施耐德（广州）母线有限公司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3707A">
            <w:pPr>
              <w:jc w:val="center"/>
              <w:textAlignment w:val="center"/>
              <w:rPr>
                <w:rFonts w:ascii="宋体" w:hAnsi="宋体" w:cs="宋体"/>
                <w:color w:val="000000"/>
                <w:sz w:val="22"/>
                <w:szCs w:val="22"/>
              </w:rPr>
            </w:pPr>
            <w:r>
              <w:rPr>
                <w:rFonts w:hint="eastAsia" w:ascii="宋体" w:hAnsi="宋体" w:cs="宋体"/>
                <w:color w:val="000000"/>
                <w:sz w:val="22"/>
                <w:szCs w:val="22"/>
                <w:lang w:eastAsia="zh-CN" w:bidi="ar"/>
              </w:rPr>
              <w:t>施耐德</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0615C">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42BC6403">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28386">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2BFF0">
            <w:pPr>
              <w:textAlignment w:val="center"/>
              <w:rPr>
                <w:rFonts w:ascii="宋体" w:hAnsi="宋体" w:cs="宋体"/>
                <w:color w:val="000000"/>
                <w:sz w:val="22"/>
                <w:szCs w:val="22"/>
                <w:lang w:eastAsia="zh-CN"/>
              </w:rPr>
            </w:pPr>
            <w:r>
              <w:rPr>
                <w:rFonts w:hint="eastAsia" w:ascii="宋体" w:hAnsi="宋体" w:cs="宋体"/>
                <w:color w:val="000000"/>
                <w:sz w:val="22"/>
                <w:szCs w:val="22"/>
                <w:lang w:eastAsia="zh-CN" w:bidi="ar"/>
              </w:rPr>
              <w:t>广州半径电力铜材有限公司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B0F43">
            <w:pPr>
              <w:jc w:val="center"/>
              <w:textAlignment w:val="center"/>
              <w:rPr>
                <w:rFonts w:ascii="宋体" w:hAnsi="宋体" w:cs="宋体"/>
                <w:color w:val="000000"/>
                <w:sz w:val="22"/>
                <w:szCs w:val="22"/>
              </w:rPr>
            </w:pPr>
            <w:r>
              <w:rPr>
                <w:rFonts w:hint="eastAsia" w:ascii="宋体" w:hAnsi="宋体" w:cs="宋体"/>
                <w:color w:val="000000"/>
                <w:sz w:val="22"/>
                <w:szCs w:val="22"/>
                <w:lang w:eastAsia="zh-CN" w:bidi="ar"/>
              </w:rPr>
              <w:t>半径</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4234C">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4B5F2101">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4BB37">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ACB0F">
            <w:pPr>
              <w:textAlignment w:val="center"/>
              <w:rPr>
                <w:rFonts w:ascii="宋体" w:hAnsi="宋体" w:cs="宋体"/>
                <w:color w:val="000000"/>
                <w:lang w:eastAsia="zh-CN"/>
              </w:rPr>
            </w:pPr>
            <w:r>
              <w:rPr>
                <w:rFonts w:hint="eastAsia" w:ascii="宋体" w:hAnsi="宋体" w:cs="宋体"/>
                <w:color w:val="000000"/>
                <w:lang w:eastAsia="zh-CN" w:bidi="ar"/>
              </w:rPr>
              <w:t>广州白云电器设备股份有限公司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72838">
            <w:pPr>
              <w:jc w:val="center"/>
              <w:textAlignment w:val="center"/>
              <w:rPr>
                <w:rFonts w:ascii="宋体" w:hAnsi="宋体" w:cs="宋体"/>
                <w:color w:val="000000"/>
              </w:rPr>
            </w:pPr>
            <w:r>
              <w:rPr>
                <w:rFonts w:hint="eastAsia" w:ascii="宋体" w:hAnsi="宋体" w:cs="宋体"/>
                <w:color w:val="000000"/>
                <w:lang w:eastAsia="zh-CN" w:bidi="ar"/>
              </w:rPr>
              <w:t>白云</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6AF46">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4F21E254">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FD4E9">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491C2">
            <w:pPr>
              <w:textAlignment w:val="center"/>
              <w:rPr>
                <w:rFonts w:ascii="宋体" w:hAnsi="宋体" w:cs="宋体"/>
                <w:color w:val="000000"/>
                <w:lang w:eastAsia="zh-CN"/>
              </w:rPr>
            </w:pPr>
            <w:r>
              <w:rPr>
                <w:rFonts w:hint="eastAsia" w:ascii="宋体" w:hAnsi="宋体" w:cs="宋体"/>
                <w:color w:val="000000"/>
                <w:lang w:eastAsia="zh-CN" w:bidi="ar"/>
              </w:rPr>
              <w:t>广州南电电气有限公司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06975">
            <w:pPr>
              <w:jc w:val="center"/>
              <w:textAlignment w:val="center"/>
              <w:rPr>
                <w:rFonts w:ascii="宋体" w:hAnsi="宋体" w:cs="宋体"/>
                <w:color w:val="000000"/>
              </w:rPr>
            </w:pPr>
            <w:r>
              <w:rPr>
                <w:rFonts w:hint="eastAsia" w:ascii="宋体" w:hAnsi="宋体" w:cs="宋体"/>
                <w:color w:val="000000"/>
                <w:lang w:eastAsia="zh-CN" w:bidi="ar"/>
              </w:rPr>
              <w:t>广州南电电气</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BB1EF">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53CA2516">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9121D">
            <w:pPr>
              <w:jc w:val="center"/>
              <w:textAlignment w:val="center"/>
              <w:rPr>
                <w:rFonts w:ascii="宋体" w:hAnsi="宋体" w:cs="宋体"/>
                <w:color w:val="000000"/>
              </w:rPr>
            </w:pPr>
            <w:r>
              <w:rPr>
                <w:rFonts w:hint="eastAsia" w:ascii="宋体" w:hAnsi="宋体" w:cs="宋体"/>
                <w:color w:val="000000"/>
                <w:lang w:eastAsia="zh-CN" w:bidi="ar"/>
              </w:rPr>
              <w:t>5</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EB32D">
            <w:pPr>
              <w:textAlignment w:val="center"/>
              <w:rPr>
                <w:rFonts w:ascii="宋体" w:hAnsi="宋体" w:cs="宋体"/>
                <w:color w:val="000000"/>
                <w:lang w:eastAsia="zh-CN"/>
              </w:rPr>
            </w:pPr>
            <w:r>
              <w:rPr>
                <w:rFonts w:hint="eastAsia" w:ascii="宋体" w:hAnsi="宋体" w:cs="宋体"/>
                <w:color w:val="000000"/>
                <w:lang w:eastAsia="zh-CN" w:bidi="ar"/>
              </w:rPr>
              <w:t>广东金光默勒电气有限公司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B9E89">
            <w:pPr>
              <w:jc w:val="center"/>
              <w:textAlignment w:val="center"/>
              <w:rPr>
                <w:rFonts w:ascii="宋体" w:hAnsi="宋体" w:cs="宋体"/>
                <w:color w:val="000000"/>
              </w:rPr>
            </w:pPr>
            <w:r>
              <w:rPr>
                <w:rFonts w:hint="eastAsia" w:ascii="宋体" w:hAnsi="宋体" w:cs="宋体"/>
                <w:color w:val="000000"/>
                <w:lang w:eastAsia="zh-CN" w:bidi="ar"/>
              </w:rPr>
              <w:t>金光默勒</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F3BDB">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1972EAC7">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834A926">
            <w:pPr>
              <w:textAlignment w:val="center"/>
              <w:rPr>
                <w:rFonts w:ascii="宋体" w:hAnsi="宋体" w:cs="宋体"/>
                <w:b/>
                <w:bCs/>
                <w:color w:val="000000"/>
              </w:rPr>
            </w:pPr>
            <w:r>
              <w:rPr>
                <w:rFonts w:hint="eastAsia" w:ascii="宋体" w:hAnsi="宋体" w:cs="宋体"/>
                <w:b/>
                <w:bCs/>
                <w:color w:val="000000"/>
                <w:lang w:eastAsia="zh-CN" w:bidi="ar"/>
              </w:rPr>
              <w:t>11. 金属线管</w:t>
            </w:r>
          </w:p>
        </w:tc>
      </w:tr>
      <w:tr w14:paraId="03B28661">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1E550">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CC752">
            <w:pPr>
              <w:textAlignment w:val="center"/>
              <w:rPr>
                <w:rFonts w:ascii="宋体" w:hAnsi="宋体" w:cs="宋体"/>
                <w:color w:val="000000"/>
                <w:lang w:eastAsia="zh-CN"/>
              </w:rPr>
            </w:pPr>
            <w:r>
              <w:rPr>
                <w:rFonts w:hint="eastAsia" w:ascii="宋体" w:hAnsi="宋体" w:cs="宋体"/>
                <w:color w:val="000000"/>
                <w:lang w:eastAsia="zh-CN" w:bidi="ar"/>
              </w:rPr>
              <w:t>广东华捷钢管实业有限公司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0F446">
            <w:pPr>
              <w:jc w:val="center"/>
              <w:textAlignment w:val="center"/>
              <w:rPr>
                <w:rFonts w:ascii="宋体" w:hAnsi="宋体" w:cs="宋体"/>
                <w:color w:val="000000"/>
              </w:rPr>
            </w:pPr>
            <w:r>
              <w:rPr>
                <w:rFonts w:hint="eastAsia" w:ascii="宋体" w:hAnsi="宋体" w:cs="宋体"/>
                <w:color w:val="000000"/>
                <w:lang w:eastAsia="zh-CN" w:bidi="ar"/>
              </w:rPr>
              <w:t>华捷</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E5209">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1DC11075">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31CC7">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A9107">
            <w:pPr>
              <w:textAlignment w:val="center"/>
              <w:rPr>
                <w:rFonts w:ascii="宋体" w:hAnsi="宋体" w:cs="宋体"/>
                <w:color w:val="000000"/>
                <w:lang w:eastAsia="zh-CN"/>
              </w:rPr>
            </w:pPr>
            <w:r>
              <w:rPr>
                <w:rFonts w:hint="eastAsia" w:ascii="宋体" w:hAnsi="宋体" w:cs="宋体"/>
                <w:color w:val="000000"/>
                <w:lang w:eastAsia="zh-CN" w:bidi="ar"/>
              </w:rPr>
              <w:t>广东穗生管业有限公司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B7556">
            <w:pPr>
              <w:jc w:val="center"/>
              <w:textAlignment w:val="center"/>
              <w:rPr>
                <w:rFonts w:ascii="宋体" w:hAnsi="宋体" w:cs="宋体"/>
                <w:color w:val="000000"/>
              </w:rPr>
            </w:pPr>
            <w:r>
              <w:rPr>
                <w:rFonts w:hint="eastAsia" w:ascii="宋体" w:hAnsi="宋体" w:cs="宋体"/>
                <w:color w:val="000000"/>
                <w:lang w:eastAsia="zh-CN" w:bidi="ar"/>
              </w:rPr>
              <w:t>穗生</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451EF">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4566D0EE">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51750">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ADF06">
            <w:pPr>
              <w:textAlignment w:val="center"/>
              <w:rPr>
                <w:rFonts w:ascii="宋体" w:hAnsi="宋体" w:cs="宋体"/>
                <w:color w:val="000000"/>
                <w:lang w:eastAsia="zh-CN"/>
              </w:rPr>
            </w:pPr>
            <w:r>
              <w:rPr>
                <w:rFonts w:hint="eastAsia" w:ascii="宋体" w:hAnsi="宋体" w:cs="宋体"/>
                <w:color w:val="000000"/>
                <w:lang w:eastAsia="zh-CN" w:bidi="ar"/>
              </w:rPr>
              <w:t>广东联塑科技实业有限公司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D8776">
            <w:pPr>
              <w:jc w:val="center"/>
              <w:textAlignment w:val="center"/>
              <w:rPr>
                <w:rFonts w:ascii="宋体" w:hAnsi="宋体" w:cs="宋体"/>
                <w:color w:val="000000"/>
              </w:rPr>
            </w:pPr>
            <w:r>
              <w:rPr>
                <w:rFonts w:hint="eastAsia" w:ascii="宋体" w:hAnsi="宋体" w:cs="宋体"/>
                <w:color w:val="000000"/>
                <w:lang w:eastAsia="zh-CN" w:bidi="ar"/>
              </w:rPr>
              <w:t>联塑</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F91F4">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772C31D5">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031BC">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4712B">
            <w:pPr>
              <w:textAlignment w:val="center"/>
              <w:rPr>
                <w:rFonts w:ascii="宋体" w:hAnsi="宋体" w:cs="宋体"/>
                <w:color w:val="000000"/>
                <w:lang w:eastAsia="zh-CN"/>
              </w:rPr>
            </w:pPr>
            <w:r>
              <w:rPr>
                <w:rFonts w:hint="eastAsia" w:ascii="宋体" w:hAnsi="宋体" w:cs="宋体"/>
                <w:color w:val="000000"/>
                <w:lang w:eastAsia="zh-CN" w:bidi="ar"/>
              </w:rPr>
              <w:t>广东金来电气有限公司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638B3">
            <w:pPr>
              <w:jc w:val="center"/>
              <w:textAlignment w:val="center"/>
              <w:rPr>
                <w:rFonts w:ascii="宋体" w:hAnsi="宋体" w:cs="宋体"/>
                <w:color w:val="000000"/>
              </w:rPr>
            </w:pPr>
            <w:r>
              <w:rPr>
                <w:rFonts w:hint="eastAsia" w:ascii="宋体" w:hAnsi="宋体" w:cs="宋体"/>
                <w:color w:val="000000"/>
                <w:lang w:eastAsia="zh-CN" w:bidi="ar"/>
              </w:rPr>
              <w:t>金来</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279BC">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6FBF196A">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F8F53">
            <w:pPr>
              <w:jc w:val="center"/>
              <w:textAlignment w:val="center"/>
              <w:rPr>
                <w:rFonts w:ascii="宋体" w:hAnsi="宋体" w:cs="宋体"/>
                <w:color w:val="000000"/>
              </w:rPr>
            </w:pPr>
            <w:r>
              <w:rPr>
                <w:rFonts w:hint="eastAsia" w:ascii="宋体" w:hAnsi="宋体" w:cs="宋体"/>
                <w:color w:val="000000"/>
                <w:lang w:eastAsia="zh-CN" w:bidi="ar"/>
              </w:rPr>
              <w:t>5</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2862D">
            <w:pPr>
              <w:textAlignment w:val="center"/>
              <w:rPr>
                <w:rFonts w:ascii="宋体" w:hAnsi="宋体" w:cs="宋体"/>
                <w:color w:val="000000"/>
                <w:lang w:eastAsia="zh-CN"/>
              </w:rPr>
            </w:pPr>
            <w:r>
              <w:rPr>
                <w:rFonts w:hint="eastAsia" w:ascii="宋体" w:hAnsi="宋体" w:cs="宋体"/>
                <w:color w:val="000000"/>
                <w:lang w:eastAsia="zh-CN" w:bidi="ar"/>
              </w:rPr>
              <w:t>广东施富电气实业有限公司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E0F61">
            <w:pPr>
              <w:jc w:val="center"/>
              <w:textAlignment w:val="center"/>
              <w:rPr>
                <w:rFonts w:ascii="宋体" w:hAnsi="宋体" w:cs="宋体"/>
                <w:color w:val="000000"/>
              </w:rPr>
            </w:pPr>
            <w:r>
              <w:rPr>
                <w:rFonts w:hint="eastAsia" w:ascii="宋体" w:hAnsi="宋体" w:cs="宋体"/>
                <w:color w:val="000000"/>
                <w:lang w:eastAsia="zh-CN" w:bidi="ar"/>
              </w:rPr>
              <w:t>施富</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118AE">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666007FD">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168A84C">
            <w:pPr>
              <w:textAlignment w:val="center"/>
              <w:rPr>
                <w:rFonts w:ascii="宋体" w:hAnsi="宋体" w:cs="宋体"/>
                <w:b/>
                <w:bCs/>
                <w:color w:val="000000"/>
              </w:rPr>
            </w:pPr>
            <w:r>
              <w:rPr>
                <w:rFonts w:hint="eastAsia" w:ascii="宋体" w:hAnsi="宋体" w:cs="宋体"/>
                <w:b/>
                <w:bCs/>
                <w:color w:val="000000"/>
                <w:lang w:eastAsia="zh-CN" w:bidi="ar"/>
              </w:rPr>
              <w:t>12. 电缆桥架</w:t>
            </w:r>
          </w:p>
        </w:tc>
      </w:tr>
      <w:tr w14:paraId="13293D3C">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57C86">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9ADB9">
            <w:pPr>
              <w:textAlignment w:val="center"/>
              <w:rPr>
                <w:rFonts w:ascii="宋体" w:hAnsi="宋体" w:cs="宋体"/>
                <w:color w:val="000000"/>
                <w:lang w:eastAsia="zh-CN"/>
              </w:rPr>
            </w:pPr>
            <w:r>
              <w:rPr>
                <w:rFonts w:hint="eastAsia" w:ascii="宋体" w:hAnsi="宋体" w:cs="宋体"/>
                <w:color w:val="000000"/>
                <w:lang w:eastAsia="zh-CN" w:bidi="ar"/>
              </w:rPr>
              <w:t>广东宏际线管实业有限公司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1696D">
            <w:pPr>
              <w:jc w:val="center"/>
              <w:textAlignment w:val="center"/>
              <w:rPr>
                <w:rFonts w:ascii="宋体" w:hAnsi="宋体" w:cs="宋体"/>
                <w:color w:val="000000"/>
              </w:rPr>
            </w:pPr>
            <w:r>
              <w:rPr>
                <w:rFonts w:hint="eastAsia" w:ascii="宋体" w:hAnsi="宋体" w:cs="宋体"/>
                <w:color w:val="000000"/>
                <w:lang w:eastAsia="zh-CN" w:bidi="ar"/>
              </w:rPr>
              <w:t>宏际</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6E2B9">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1C12452A">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35403">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49D13">
            <w:pPr>
              <w:textAlignment w:val="center"/>
              <w:rPr>
                <w:rFonts w:ascii="宋体" w:hAnsi="宋体" w:cs="宋体"/>
                <w:color w:val="000000"/>
                <w:lang w:eastAsia="zh-CN"/>
              </w:rPr>
            </w:pPr>
            <w:r>
              <w:rPr>
                <w:rFonts w:hint="eastAsia" w:ascii="宋体" w:hAnsi="宋体" w:cs="宋体"/>
                <w:color w:val="000000"/>
                <w:lang w:eastAsia="zh-CN" w:bidi="ar"/>
              </w:rPr>
              <w:t>广东金来电气有限公司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E4791">
            <w:pPr>
              <w:jc w:val="center"/>
              <w:textAlignment w:val="center"/>
              <w:rPr>
                <w:rFonts w:ascii="宋体" w:hAnsi="宋体" w:cs="宋体"/>
                <w:color w:val="000000"/>
              </w:rPr>
            </w:pPr>
            <w:r>
              <w:rPr>
                <w:rFonts w:hint="eastAsia" w:ascii="宋体" w:hAnsi="宋体" w:cs="宋体"/>
                <w:color w:val="000000"/>
                <w:lang w:eastAsia="zh-CN" w:bidi="ar"/>
              </w:rPr>
              <w:t>金来</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97835">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16E720FC">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127AD">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B04EF">
            <w:pPr>
              <w:textAlignment w:val="center"/>
              <w:rPr>
                <w:rFonts w:ascii="宋体" w:hAnsi="宋体" w:cs="宋体"/>
                <w:color w:val="000000"/>
                <w:lang w:eastAsia="zh-CN"/>
              </w:rPr>
            </w:pPr>
            <w:r>
              <w:rPr>
                <w:rFonts w:hint="eastAsia" w:ascii="宋体" w:hAnsi="宋体" w:cs="宋体"/>
                <w:color w:val="000000"/>
                <w:lang w:eastAsia="zh-CN" w:bidi="ar"/>
              </w:rPr>
              <w:t>广州贝滨管业有限公司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5809A">
            <w:pPr>
              <w:jc w:val="center"/>
              <w:textAlignment w:val="center"/>
              <w:rPr>
                <w:rFonts w:ascii="宋体" w:hAnsi="宋体" w:cs="宋体"/>
                <w:color w:val="000000"/>
              </w:rPr>
            </w:pPr>
            <w:r>
              <w:rPr>
                <w:rFonts w:hint="eastAsia" w:ascii="宋体" w:hAnsi="宋体" w:cs="宋体"/>
                <w:color w:val="000000"/>
                <w:lang w:eastAsia="zh-CN" w:bidi="ar"/>
              </w:rPr>
              <w:t>贝滨</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BB99D">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00411D44">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BEA44">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837B6">
            <w:pPr>
              <w:textAlignment w:val="center"/>
              <w:rPr>
                <w:rFonts w:ascii="宋体" w:hAnsi="宋体" w:cs="宋体"/>
                <w:color w:val="000000"/>
                <w:lang w:eastAsia="zh-CN"/>
              </w:rPr>
            </w:pPr>
            <w:r>
              <w:rPr>
                <w:rFonts w:hint="eastAsia" w:ascii="宋体" w:hAnsi="宋体" w:cs="宋体"/>
                <w:color w:val="000000"/>
                <w:lang w:eastAsia="zh-CN" w:bidi="ar"/>
              </w:rPr>
              <w:t>广东施富电气实业有限公司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21A1B">
            <w:pPr>
              <w:jc w:val="center"/>
              <w:textAlignment w:val="center"/>
              <w:rPr>
                <w:rFonts w:ascii="宋体" w:hAnsi="宋体" w:cs="宋体"/>
                <w:color w:val="000000"/>
              </w:rPr>
            </w:pPr>
            <w:r>
              <w:rPr>
                <w:rFonts w:hint="eastAsia" w:ascii="宋体" w:hAnsi="宋体" w:cs="宋体"/>
                <w:color w:val="000000"/>
                <w:lang w:eastAsia="zh-CN" w:bidi="ar"/>
              </w:rPr>
              <w:t>施富</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A482D">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06F72A67">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F9E4A">
            <w:pPr>
              <w:jc w:val="center"/>
              <w:textAlignment w:val="center"/>
              <w:rPr>
                <w:rFonts w:ascii="宋体" w:hAnsi="宋体" w:cs="宋体"/>
                <w:color w:val="000000"/>
              </w:rPr>
            </w:pPr>
            <w:r>
              <w:rPr>
                <w:rFonts w:hint="eastAsia" w:ascii="宋体" w:hAnsi="宋体" w:cs="宋体"/>
                <w:color w:val="000000"/>
                <w:lang w:eastAsia="zh-CN" w:bidi="ar"/>
              </w:rPr>
              <w:t>5</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2D9AC">
            <w:pPr>
              <w:textAlignment w:val="center"/>
              <w:rPr>
                <w:rFonts w:ascii="宋体" w:hAnsi="宋体" w:cs="宋体"/>
                <w:color w:val="000000"/>
                <w:lang w:eastAsia="zh-CN"/>
              </w:rPr>
            </w:pPr>
            <w:r>
              <w:rPr>
                <w:rFonts w:hint="eastAsia" w:ascii="宋体" w:hAnsi="宋体" w:cs="宋体"/>
                <w:color w:val="000000"/>
                <w:lang w:eastAsia="zh-CN" w:bidi="ar"/>
              </w:rPr>
              <w:t>广东联塑科技实业有限公司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0DD08">
            <w:pPr>
              <w:jc w:val="center"/>
              <w:textAlignment w:val="center"/>
              <w:rPr>
                <w:rFonts w:ascii="宋体" w:hAnsi="宋体" w:cs="宋体"/>
                <w:color w:val="000000"/>
              </w:rPr>
            </w:pPr>
            <w:r>
              <w:rPr>
                <w:rFonts w:hint="eastAsia" w:ascii="宋体" w:hAnsi="宋体" w:cs="宋体"/>
                <w:color w:val="000000"/>
                <w:lang w:eastAsia="zh-CN" w:bidi="ar"/>
              </w:rPr>
              <w:t>联塑</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3535F">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32388B48">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273E8DA">
            <w:pPr>
              <w:textAlignment w:val="center"/>
              <w:rPr>
                <w:rFonts w:ascii="宋体" w:hAnsi="宋体" w:cs="宋体"/>
                <w:b/>
                <w:bCs/>
                <w:color w:val="000000"/>
              </w:rPr>
            </w:pPr>
            <w:r>
              <w:rPr>
                <w:rFonts w:hint="eastAsia" w:ascii="宋体" w:hAnsi="宋体" w:cs="宋体"/>
                <w:b/>
                <w:bCs/>
                <w:color w:val="000000"/>
                <w:lang w:eastAsia="zh-CN" w:bidi="ar"/>
              </w:rPr>
              <w:t>13. 柴油发电机组</w:t>
            </w:r>
          </w:p>
        </w:tc>
      </w:tr>
      <w:tr w14:paraId="22D38B47">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330FC">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EF935">
            <w:pPr>
              <w:textAlignment w:val="center"/>
              <w:rPr>
                <w:rFonts w:ascii="宋体" w:hAnsi="宋体" w:cs="宋体"/>
                <w:color w:val="000000"/>
                <w:lang w:eastAsia="zh-CN"/>
              </w:rPr>
            </w:pPr>
            <w:r>
              <w:rPr>
                <w:rFonts w:hint="eastAsia" w:ascii="宋体" w:hAnsi="宋体" w:cs="宋体"/>
                <w:color w:val="000000"/>
                <w:lang w:eastAsia="zh-CN" w:bidi="ar"/>
              </w:rPr>
              <w:t>广西玉柴机器集团有限公司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19A07">
            <w:pPr>
              <w:jc w:val="center"/>
              <w:textAlignment w:val="center"/>
              <w:rPr>
                <w:rFonts w:ascii="宋体" w:hAnsi="宋体" w:cs="宋体"/>
                <w:color w:val="000000"/>
              </w:rPr>
            </w:pPr>
            <w:r>
              <w:rPr>
                <w:rFonts w:hint="eastAsia" w:ascii="宋体" w:hAnsi="宋体" w:cs="宋体"/>
                <w:color w:val="000000"/>
                <w:lang w:eastAsia="zh-CN" w:bidi="ar"/>
              </w:rPr>
              <w:t>玉柴</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67572">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4F7676D9">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2768C">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AB542">
            <w:pPr>
              <w:textAlignment w:val="center"/>
              <w:rPr>
                <w:rFonts w:ascii="宋体" w:hAnsi="宋体" w:cs="宋体"/>
                <w:color w:val="000000"/>
                <w:lang w:eastAsia="zh-CN"/>
              </w:rPr>
            </w:pPr>
            <w:r>
              <w:rPr>
                <w:rFonts w:hint="eastAsia" w:ascii="宋体" w:hAnsi="宋体" w:cs="宋体"/>
                <w:color w:val="000000"/>
                <w:lang w:eastAsia="zh-CN" w:bidi="ar"/>
              </w:rPr>
              <w:t>潍柴动力股份有限公司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26F8C">
            <w:pPr>
              <w:jc w:val="center"/>
              <w:textAlignment w:val="center"/>
              <w:rPr>
                <w:rFonts w:ascii="宋体" w:hAnsi="宋体" w:cs="宋体"/>
                <w:color w:val="000000"/>
              </w:rPr>
            </w:pPr>
            <w:r>
              <w:rPr>
                <w:rFonts w:hint="eastAsia" w:ascii="宋体" w:hAnsi="宋体" w:cs="宋体"/>
                <w:color w:val="000000"/>
                <w:lang w:eastAsia="zh-CN" w:bidi="ar"/>
              </w:rPr>
              <w:t>潍柴</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A723D">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51318DB6">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9B9FF">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D73AB">
            <w:pPr>
              <w:textAlignment w:val="center"/>
              <w:rPr>
                <w:rFonts w:ascii="宋体" w:hAnsi="宋体" w:cs="宋体"/>
                <w:color w:val="000000"/>
                <w:lang w:eastAsia="zh-CN"/>
              </w:rPr>
            </w:pPr>
            <w:r>
              <w:rPr>
                <w:rFonts w:hint="eastAsia" w:ascii="宋体" w:hAnsi="宋体" w:cs="宋体"/>
                <w:color w:val="000000"/>
                <w:lang w:eastAsia="zh-CN" w:bidi="ar"/>
              </w:rPr>
              <w:t>康明斯电力（中国）有限公司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E6B1D">
            <w:pPr>
              <w:jc w:val="center"/>
              <w:textAlignment w:val="center"/>
              <w:rPr>
                <w:rFonts w:ascii="宋体" w:hAnsi="宋体" w:cs="宋体"/>
                <w:color w:val="000000"/>
              </w:rPr>
            </w:pPr>
            <w:r>
              <w:rPr>
                <w:rFonts w:hint="eastAsia" w:ascii="宋体" w:hAnsi="宋体" w:cs="宋体"/>
                <w:color w:val="000000"/>
                <w:lang w:eastAsia="zh-CN" w:bidi="ar"/>
              </w:rPr>
              <w:t>康明斯</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137D3">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03D27414">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1DAEC">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ED110">
            <w:pPr>
              <w:textAlignment w:val="center"/>
              <w:rPr>
                <w:rFonts w:ascii="宋体" w:hAnsi="宋体" w:cs="宋体"/>
                <w:color w:val="000000"/>
                <w:lang w:eastAsia="zh-CN"/>
              </w:rPr>
            </w:pPr>
            <w:r>
              <w:rPr>
                <w:rFonts w:hint="eastAsia" w:ascii="宋体" w:hAnsi="宋体" w:cs="宋体"/>
                <w:color w:val="000000"/>
                <w:lang w:eastAsia="zh-CN" w:bidi="ar"/>
              </w:rPr>
              <w:t>上海新动力汽车科技股份有限公司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CE243">
            <w:pPr>
              <w:jc w:val="center"/>
              <w:textAlignment w:val="center"/>
              <w:rPr>
                <w:rFonts w:ascii="宋体" w:hAnsi="宋体" w:cs="宋体"/>
                <w:color w:val="000000"/>
              </w:rPr>
            </w:pPr>
            <w:r>
              <w:rPr>
                <w:rFonts w:hint="eastAsia" w:ascii="宋体" w:hAnsi="宋体" w:cs="宋体"/>
                <w:color w:val="000000"/>
                <w:lang w:eastAsia="zh-CN" w:bidi="ar"/>
              </w:rPr>
              <w:t>上柴</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02874">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4211374D">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639C16D">
            <w:pPr>
              <w:textAlignment w:val="center"/>
              <w:rPr>
                <w:rFonts w:ascii="宋体" w:hAnsi="宋体" w:cs="宋体"/>
                <w:b/>
                <w:bCs/>
                <w:color w:val="000000"/>
              </w:rPr>
            </w:pPr>
            <w:r>
              <w:rPr>
                <w:rFonts w:hint="eastAsia" w:ascii="宋体" w:hAnsi="宋体" w:cs="宋体"/>
                <w:b/>
                <w:bCs/>
                <w:color w:val="000000"/>
                <w:lang w:eastAsia="zh-CN" w:bidi="ar"/>
              </w:rPr>
              <w:t>14. 电梯</w:t>
            </w:r>
          </w:p>
        </w:tc>
      </w:tr>
      <w:tr w14:paraId="134A13B6">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33E6D">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7DD61">
            <w:pPr>
              <w:textAlignment w:val="center"/>
              <w:rPr>
                <w:rFonts w:ascii="宋体" w:hAnsi="宋体" w:cs="宋体"/>
                <w:color w:val="000000"/>
                <w:lang w:eastAsia="zh-CN"/>
              </w:rPr>
            </w:pPr>
            <w:r>
              <w:rPr>
                <w:rFonts w:hint="eastAsia" w:ascii="宋体" w:hAnsi="宋体" w:cs="宋体"/>
                <w:color w:val="000000"/>
                <w:lang w:eastAsia="zh-CN" w:bidi="ar"/>
              </w:rPr>
              <w:t>日立电梯（中国）有限公司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1726A">
            <w:pPr>
              <w:jc w:val="center"/>
              <w:textAlignment w:val="center"/>
              <w:rPr>
                <w:rFonts w:ascii="宋体" w:hAnsi="宋体" w:cs="宋体"/>
                <w:color w:val="000000"/>
              </w:rPr>
            </w:pPr>
            <w:r>
              <w:rPr>
                <w:rFonts w:hint="eastAsia" w:ascii="宋体" w:hAnsi="宋体" w:cs="宋体"/>
                <w:color w:val="000000"/>
                <w:lang w:eastAsia="zh-CN" w:bidi="ar"/>
              </w:rPr>
              <w:t>日立</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61FBD">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04418A11">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F9BC6">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67D8F">
            <w:pPr>
              <w:textAlignment w:val="center"/>
              <w:rPr>
                <w:rFonts w:ascii="宋体" w:hAnsi="宋体" w:cs="宋体"/>
                <w:color w:val="000000"/>
                <w:lang w:eastAsia="zh-CN"/>
              </w:rPr>
            </w:pPr>
            <w:r>
              <w:rPr>
                <w:rFonts w:hint="eastAsia" w:ascii="宋体" w:hAnsi="宋体" w:cs="宋体"/>
                <w:color w:val="000000"/>
                <w:lang w:eastAsia="zh-CN" w:bidi="ar"/>
              </w:rPr>
              <w:t>广州广日电梯工业有限公司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551CB">
            <w:pPr>
              <w:jc w:val="center"/>
              <w:textAlignment w:val="center"/>
              <w:rPr>
                <w:rFonts w:ascii="宋体" w:hAnsi="宋体" w:cs="宋体"/>
                <w:color w:val="000000"/>
              </w:rPr>
            </w:pPr>
            <w:r>
              <w:rPr>
                <w:rFonts w:hint="eastAsia" w:ascii="宋体" w:hAnsi="宋体" w:cs="宋体"/>
                <w:color w:val="000000"/>
                <w:lang w:eastAsia="zh-CN" w:bidi="ar"/>
              </w:rPr>
              <w:t>广日</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CB4B6">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51859E6D">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71236">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C6744">
            <w:pPr>
              <w:textAlignment w:val="center"/>
              <w:rPr>
                <w:rFonts w:ascii="宋体" w:hAnsi="宋体" w:cs="宋体"/>
                <w:color w:val="000000"/>
                <w:lang w:eastAsia="zh-CN"/>
              </w:rPr>
            </w:pPr>
            <w:r>
              <w:rPr>
                <w:rFonts w:hint="eastAsia" w:ascii="宋体" w:hAnsi="宋体" w:cs="宋体"/>
                <w:color w:val="000000"/>
                <w:lang w:eastAsia="zh-CN" w:bidi="ar"/>
              </w:rPr>
              <w:t>上海三菱电梯有限公司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FC786">
            <w:pPr>
              <w:jc w:val="center"/>
              <w:textAlignment w:val="center"/>
              <w:rPr>
                <w:rFonts w:ascii="宋体" w:hAnsi="宋体" w:cs="宋体"/>
                <w:color w:val="000000"/>
              </w:rPr>
            </w:pPr>
            <w:r>
              <w:rPr>
                <w:rFonts w:hint="eastAsia" w:ascii="宋体" w:hAnsi="宋体" w:cs="宋体"/>
                <w:color w:val="000000"/>
                <w:lang w:eastAsia="zh-CN" w:bidi="ar"/>
              </w:rPr>
              <w:t>三菱</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70DEC">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65836F1A">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EA3E9">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A4437">
            <w:pPr>
              <w:textAlignment w:val="center"/>
              <w:rPr>
                <w:rFonts w:ascii="宋体" w:hAnsi="宋体" w:cs="宋体"/>
                <w:color w:val="000000"/>
                <w:lang w:eastAsia="zh-CN"/>
              </w:rPr>
            </w:pPr>
            <w:r>
              <w:rPr>
                <w:rFonts w:hint="eastAsia" w:ascii="宋体" w:hAnsi="宋体" w:cs="宋体"/>
                <w:color w:val="000000"/>
                <w:lang w:eastAsia="zh-CN" w:bidi="ar"/>
              </w:rPr>
              <w:t>奥的斯电梯（中国）有限公司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561F0">
            <w:pPr>
              <w:jc w:val="center"/>
              <w:textAlignment w:val="center"/>
              <w:rPr>
                <w:rFonts w:ascii="宋体" w:hAnsi="宋体" w:cs="宋体"/>
                <w:color w:val="000000"/>
              </w:rPr>
            </w:pPr>
            <w:r>
              <w:rPr>
                <w:rFonts w:hint="eastAsia" w:ascii="宋体" w:hAnsi="宋体" w:cs="宋体"/>
                <w:color w:val="000000"/>
                <w:lang w:eastAsia="zh-CN" w:bidi="ar"/>
              </w:rPr>
              <w:t>OTIS</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72378">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24B686DB">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49488">
            <w:pPr>
              <w:jc w:val="center"/>
              <w:textAlignment w:val="center"/>
              <w:rPr>
                <w:rFonts w:ascii="宋体" w:hAnsi="宋体" w:cs="宋体"/>
                <w:color w:val="000000"/>
              </w:rPr>
            </w:pPr>
            <w:r>
              <w:rPr>
                <w:rFonts w:hint="eastAsia" w:ascii="宋体" w:hAnsi="宋体" w:cs="宋体"/>
                <w:color w:val="000000"/>
                <w:lang w:eastAsia="zh-CN" w:bidi="ar"/>
              </w:rPr>
              <w:t>5</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B9DE8">
            <w:pPr>
              <w:textAlignment w:val="center"/>
              <w:rPr>
                <w:rFonts w:ascii="宋体" w:hAnsi="宋体" w:cs="宋体"/>
                <w:color w:val="000000"/>
              </w:rPr>
            </w:pPr>
            <w:r>
              <w:rPr>
                <w:rFonts w:hint="eastAsia" w:ascii="宋体" w:hAnsi="宋体" w:cs="宋体"/>
                <w:color w:val="000000"/>
                <w:lang w:eastAsia="zh-CN" w:bidi="ar"/>
              </w:rPr>
              <w:t>通力电梯有限公司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1C590">
            <w:pPr>
              <w:jc w:val="center"/>
              <w:textAlignment w:val="center"/>
              <w:rPr>
                <w:rFonts w:ascii="宋体" w:hAnsi="宋体" w:cs="宋体"/>
                <w:color w:val="000000"/>
              </w:rPr>
            </w:pPr>
            <w:r>
              <w:rPr>
                <w:rFonts w:hint="eastAsia" w:ascii="宋体" w:hAnsi="宋体" w:cs="宋体"/>
                <w:color w:val="000000"/>
                <w:lang w:eastAsia="zh-CN" w:bidi="ar"/>
              </w:rPr>
              <w:t>通力</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05F7E">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1F406ACF">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6A78E">
            <w:pPr>
              <w:jc w:val="center"/>
              <w:textAlignment w:val="center"/>
              <w:rPr>
                <w:rFonts w:ascii="宋体" w:hAnsi="宋体" w:cs="宋体"/>
                <w:color w:val="000000"/>
              </w:rPr>
            </w:pPr>
            <w:r>
              <w:rPr>
                <w:rFonts w:hint="eastAsia" w:ascii="宋体" w:hAnsi="宋体" w:cs="宋体"/>
                <w:color w:val="000000"/>
                <w:lang w:eastAsia="zh-CN" w:bidi="ar"/>
              </w:rPr>
              <w:t>6</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8A4A6">
            <w:pPr>
              <w:textAlignment w:val="center"/>
              <w:rPr>
                <w:rFonts w:ascii="宋体" w:hAnsi="宋体" w:cs="宋体"/>
                <w:color w:val="000000"/>
                <w:lang w:eastAsia="zh-CN"/>
              </w:rPr>
            </w:pPr>
            <w:r>
              <w:rPr>
                <w:rFonts w:hint="eastAsia" w:ascii="宋体" w:hAnsi="宋体" w:cs="宋体"/>
                <w:color w:val="000000"/>
                <w:lang w:eastAsia="zh-CN" w:bidi="ar"/>
              </w:rPr>
              <w:t>迅达（中国）电梯有限公司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B8120">
            <w:pPr>
              <w:jc w:val="center"/>
              <w:textAlignment w:val="center"/>
              <w:rPr>
                <w:rFonts w:ascii="宋体" w:hAnsi="宋体" w:cs="宋体"/>
                <w:color w:val="000000"/>
              </w:rPr>
            </w:pPr>
            <w:r>
              <w:rPr>
                <w:rFonts w:hint="eastAsia" w:ascii="宋体" w:hAnsi="宋体" w:cs="宋体"/>
                <w:color w:val="000000"/>
                <w:lang w:eastAsia="zh-CN" w:bidi="ar"/>
              </w:rPr>
              <w:t>迅达</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32DED">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72CBF7D3">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D1DEE3C">
            <w:pPr>
              <w:textAlignment w:val="center"/>
              <w:rPr>
                <w:rFonts w:ascii="宋体" w:hAnsi="宋体" w:cs="宋体"/>
                <w:b/>
                <w:bCs/>
                <w:color w:val="000000"/>
                <w:lang w:eastAsia="zh-CN"/>
              </w:rPr>
            </w:pPr>
            <w:r>
              <w:rPr>
                <w:rFonts w:hint="eastAsia" w:ascii="宋体" w:hAnsi="宋体" w:cs="宋体"/>
                <w:b/>
                <w:bCs/>
                <w:color w:val="000000"/>
                <w:lang w:eastAsia="zh-CN" w:bidi="ar"/>
              </w:rPr>
              <w:t>（二）给排水材料设备</w:t>
            </w:r>
          </w:p>
        </w:tc>
      </w:tr>
      <w:tr w14:paraId="465691AA">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B02EC65">
            <w:pPr>
              <w:textAlignment w:val="center"/>
              <w:rPr>
                <w:rFonts w:ascii="宋体" w:hAnsi="宋体" w:cs="宋体"/>
                <w:b/>
                <w:bCs/>
                <w:color w:val="000000"/>
              </w:rPr>
            </w:pPr>
            <w:r>
              <w:rPr>
                <w:rFonts w:hint="eastAsia" w:ascii="宋体" w:hAnsi="宋体" w:cs="宋体"/>
                <w:b/>
                <w:bCs/>
                <w:color w:val="000000"/>
                <w:lang w:eastAsia="zh-CN" w:bidi="ar"/>
              </w:rPr>
              <w:t>1. 生活水泵及污水泵</w:t>
            </w:r>
          </w:p>
        </w:tc>
      </w:tr>
      <w:tr w14:paraId="497F5C9F">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999D7">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45C18">
            <w:pPr>
              <w:textAlignment w:val="center"/>
              <w:rPr>
                <w:rFonts w:ascii="宋体" w:hAnsi="宋体" w:cs="宋体"/>
                <w:color w:val="000000"/>
                <w:lang w:eastAsia="zh-CN"/>
              </w:rPr>
            </w:pPr>
            <w:r>
              <w:rPr>
                <w:rFonts w:hint="eastAsia" w:ascii="宋体" w:hAnsi="宋体" w:cs="宋体"/>
                <w:color w:val="000000"/>
                <w:lang w:eastAsia="zh-CN" w:bidi="ar"/>
              </w:rPr>
              <w:t>广州市白云泵业集团有限公司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FBD99">
            <w:pPr>
              <w:jc w:val="center"/>
              <w:textAlignment w:val="center"/>
              <w:rPr>
                <w:rFonts w:ascii="宋体" w:hAnsi="宋体" w:cs="宋体"/>
                <w:color w:val="000000"/>
              </w:rPr>
            </w:pPr>
            <w:r>
              <w:rPr>
                <w:rFonts w:hint="eastAsia" w:ascii="宋体" w:hAnsi="宋体" w:cs="宋体"/>
                <w:color w:val="000000"/>
                <w:lang w:eastAsia="zh-CN" w:bidi="ar"/>
              </w:rPr>
              <w:t>白云</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F83E1">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55CCBFEC">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CDD70">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62618">
            <w:pPr>
              <w:textAlignment w:val="center"/>
              <w:rPr>
                <w:rFonts w:ascii="宋体" w:hAnsi="宋体" w:cs="宋体"/>
                <w:color w:val="000000"/>
                <w:lang w:eastAsia="zh-CN"/>
              </w:rPr>
            </w:pPr>
            <w:r>
              <w:rPr>
                <w:rFonts w:hint="eastAsia" w:ascii="宋体" w:hAnsi="宋体" w:cs="宋体"/>
                <w:color w:val="000000"/>
                <w:lang w:eastAsia="zh-CN" w:bidi="ar"/>
              </w:rPr>
              <w:t>广州广一泵业有限公司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1E4EC">
            <w:pPr>
              <w:jc w:val="center"/>
              <w:textAlignment w:val="center"/>
              <w:rPr>
                <w:rFonts w:ascii="宋体" w:hAnsi="宋体" w:cs="宋体"/>
                <w:color w:val="000000"/>
              </w:rPr>
            </w:pPr>
            <w:r>
              <w:rPr>
                <w:rFonts w:hint="eastAsia" w:ascii="宋体" w:hAnsi="宋体" w:cs="宋体"/>
                <w:color w:val="000000"/>
                <w:lang w:eastAsia="zh-CN" w:bidi="ar"/>
              </w:rPr>
              <w:t>广一</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8CA92">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6C8F6FA2">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D3F5C">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DAA83">
            <w:pPr>
              <w:textAlignment w:val="center"/>
              <w:rPr>
                <w:rFonts w:ascii="宋体" w:hAnsi="宋体" w:cs="宋体"/>
                <w:color w:val="000000"/>
                <w:lang w:eastAsia="zh-CN"/>
              </w:rPr>
            </w:pPr>
            <w:r>
              <w:rPr>
                <w:rFonts w:hint="eastAsia" w:ascii="宋体" w:hAnsi="宋体" w:cs="宋体"/>
                <w:color w:val="000000"/>
                <w:lang w:eastAsia="zh-CN" w:bidi="ar"/>
              </w:rPr>
              <w:t>山东双轮股份有限公司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4EDE5">
            <w:pPr>
              <w:jc w:val="center"/>
              <w:textAlignment w:val="center"/>
              <w:rPr>
                <w:rFonts w:ascii="宋体" w:hAnsi="宋体" w:cs="宋体"/>
                <w:color w:val="000000"/>
              </w:rPr>
            </w:pPr>
            <w:r>
              <w:rPr>
                <w:rFonts w:hint="eastAsia" w:ascii="宋体" w:hAnsi="宋体" w:cs="宋体"/>
                <w:color w:val="000000"/>
                <w:lang w:eastAsia="zh-CN" w:bidi="ar"/>
              </w:rPr>
              <w:t>双轮</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982B0">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6B7F419C">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90578">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328DD">
            <w:pPr>
              <w:textAlignment w:val="center"/>
              <w:rPr>
                <w:rFonts w:ascii="宋体" w:hAnsi="宋体" w:cs="宋体"/>
                <w:color w:val="000000"/>
                <w:lang w:eastAsia="zh-CN"/>
              </w:rPr>
            </w:pPr>
            <w:r>
              <w:rPr>
                <w:rFonts w:hint="eastAsia" w:ascii="宋体" w:hAnsi="宋体" w:cs="宋体"/>
                <w:color w:val="000000"/>
                <w:lang w:eastAsia="zh-CN" w:bidi="ar"/>
              </w:rPr>
              <w:t>上海凯泉泵业（集团）有限公司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0D877">
            <w:pPr>
              <w:jc w:val="center"/>
              <w:textAlignment w:val="center"/>
              <w:rPr>
                <w:rFonts w:ascii="宋体" w:hAnsi="宋体" w:cs="宋体"/>
                <w:color w:val="000000"/>
              </w:rPr>
            </w:pPr>
            <w:r>
              <w:rPr>
                <w:rFonts w:hint="eastAsia" w:ascii="宋体" w:hAnsi="宋体" w:cs="宋体"/>
                <w:color w:val="000000"/>
                <w:lang w:eastAsia="zh-CN" w:bidi="ar"/>
              </w:rPr>
              <w:t>凯泉</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66263">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5E4CEE08">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0D2DA">
            <w:pPr>
              <w:jc w:val="center"/>
              <w:textAlignment w:val="center"/>
              <w:rPr>
                <w:rFonts w:ascii="宋体" w:hAnsi="宋体" w:cs="宋体"/>
                <w:color w:val="000000"/>
              </w:rPr>
            </w:pPr>
            <w:r>
              <w:rPr>
                <w:rFonts w:hint="eastAsia" w:ascii="宋体" w:hAnsi="宋体" w:cs="宋体"/>
                <w:color w:val="000000"/>
                <w:lang w:eastAsia="zh-CN" w:bidi="ar"/>
              </w:rPr>
              <w:t>5</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A1A14">
            <w:pPr>
              <w:textAlignment w:val="center"/>
              <w:rPr>
                <w:rFonts w:ascii="宋体" w:hAnsi="宋体" w:cs="宋体"/>
                <w:color w:val="000000"/>
                <w:lang w:eastAsia="zh-CN"/>
              </w:rPr>
            </w:pPr>
            <w:r>
              <w:rPr>
                <w:rFonts w:hint="eastAsia" w:ascii="宋体" w:hAnsi="宋体" w:cs="宋体"/>
                <w:color w:val="000000"/>
                <w:lang w:eastAsia="zh-CN" w:bidi="ar"/>
              </w:rPr>
              <w:t>上海申宝泵业有限公司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BCFE8">
            <w:pPr>
              <w:jc w:val="center"/>
              <w:textAlignment w:val="center"/>
              <w:rPr>
                <w:rFonts w:ascii="宋体" w:hAnsi="宋体" w:cs="宋体"/>
                <w:color w:val="000000"/>
              </w:rPr>
            </w:pPr>
            <w:r>
              <w:rPr>
                <w:rFonts w:hint="eastAsia" w:ascii="宋体" w:hAnsi="宋体" w:cs="宋体"/>
                <w:color w:val="000000"/>
                <w:lang w:eastAsia="zh-CN" w:bidi="ar"/>
              </w:rPr>
              <w:t>申宝</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CE75E">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64B8624A">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D6D5B30">
            <w:pPr>
              <w:textAlignment w:val="center"/>
              <w:rPr>
                <w:rFonts w:ascii="宋体" w:hAnsi="宋体" w:cs="宋体"/>
                <w:b/>
                <w:bCs/>
                <w:color w:val="000000"/>
              </w:rPr>
            </w:pPr>
            <w:r>
              <w:rPr>
                <w:rFonts w:hint="eastAsia" w:ascii="宋体" w:hAnsi="宋体" w:cs="宋体"/>
                <w:b/>
                <w:bCs/>
                <w:color w:val="000000"/>
                <w:lang w:eastAsia="zh-CN" w:bidi="ar"/>
              </w:rPr>
              <w:t>2. 阀门</w:t>
            </w:r>
          </w:p>
        </w:tc>
      </w:tr>
      <w:tr w14:paraId="7AADD4BF">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6B428">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653D6">
            <w:pPr>
              <w:textAlignment w:val="center"/>
              <w:rPr>
                <w:rFonts w:ascii="宋体" w:hAnsi="宋体" w:cs="宋体"/>
                <w:color w:val="000000"/>
                <w:lang w:eastAsia="zh-CN"/>
              </w:rPr>
            </w:pPr>
            <w:r>
              <w:rPr>
                <w:rFonts w:hint="eastAsia" w:ascii="宋体" w:hAnsi="宋体" w:cs="宋体"/>
                <w:color w:val="000000"/>
                <w:lang w:eastAsia="zh-CN" w:bidi="ar"/>
              </w:rPr>
              <w:t>上海冠龙阀门节能设备股份有限公司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9DAA0">
            <w:pPr>
              <w:jc w:val="center"/>
              <w:textAlignment w:val="center"/>
              <w:rPr>
                <w:rFonts w:ascii="宋体" w:hAnsi="宋体" w:cs="宋体"/>
                <w:color w:val="000000"/>
              </w:rPr>
            </w:pPr>
            <w:r>
              <w:rPr>
                <w:rFonts w:hint="eastAsia" w:ascii="宋体" w:hAnsi="宋体" w:cs="宋体"/>
                <w:color w:val="000000"/>
                <w:lang w:eastAsia="zh-CN" w:bidi="ar"/>
              </w:rPr>
              <w:t>冠龙</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4AE64">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495841DF">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63D5A">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A42DF">
            <w:pPr>
              <w:textAlignment w:val="center"/>
              <w:rPr>
                <w:rFonts w:ascii="宋体" w:hAnsi="宋体" w:cs="宋体"/>
                <w:color w:val="000000"/>
                <w:lang w:eastAsia="zh-CN"/>
              </w:rPr>
            </w:pPr>
            <w:r>
              <w:rPr>
                <w:rFonts w:hint="eastAsia" w:ascii="宋体" w:hAnsi="宋体" w:cs="宋体"/>
                <w:color w:val="000000"/>
                <w:lang w:eastAsia="zh-CN" w:bidi="ar"/>
              </w:rPr>
              <w:t>正丰阀门集团有限公司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42F0B">
            <w:pPr>
              <w:jc w:val="center"/>
              <w:textAlignment w:val="center"/>
              <w:rPr>
                <w:rFonts w:ascii="宋体" w:hAnsi="宋体" w:cs="宋体"/>
                <w:color w:val="000000"/>
              </w:rPr>
            </w:pPr>
            <w:r>
              <w:rPr>
                <w:rFonts w:hint="eastAsia" w:ascii="宋体" w:hAnsi="宋体" w:cs="宋体"/>
                <w:color w:val="000000"/>
                <w:lang w:eastAsia="zh-CN" w:bidi="ar"/>
              </w:rPr>
              <w:t>正丰</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93D69">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24404700">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45E14">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61210">
            <w:pPr>
              <w:textAlignment w:val="center"/>
              <w:rPr>
                <w:rFonts w:ascii="宋体" w:hAnsi="宋体" w:cs="宋体"/>
                <w:color w:val="000000"/>
                <w:lang w:eastAsia="zh-CN"/>
              </w:rPr>
            </w:pPr>
            <w:r>
              <w:rPr>
                <w:rFonts w:hint="eastAsia" w:ascii="宋体" w:hAnsi="宋体" w:cs="宋体"/>
                <w:color w:val="000000"/>
                <w:lang w:eastAsia="zh-CN" w:bidi="ar"/>
              </w:rPr>
              <w:t>浙江良精阀门有限公司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9C0EB">
            <w:pPr>
              <w:jc w:val="center"/>
              <w:textAlignment w:val="center"/>
              <w:rPr>
                <w:rFonts w:ascii="宋体" w:hAnsi="宋体" w:cs="宋体"/>
                <w:color w:val="000000"/>
              </w:rPr>
            </w:pPr>
            <w:r>
              <w:rPr>
                <w:rFonts w:hint="eastAsia" w:ascii="宋体" w:hAnsi="宋体" w:cs="宋体"/>
                <w:color w:val="000000"/>
                <w:lang w:eastAsia="zh-CN" w:bidi="ar"/>
              </w:rPr>
              <w:t>良精</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9CCA4">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3841905C">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114AA">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AADC8">
            <w:pPr>
              <w:textAlignment w:val="center"/>
              <w:rPr>
                <w:rFonts w:ascii="宋体" w:hAnsi="宋体" w:cs="宋体"/>
                <w:color w:val="000000"/>
                <w:lang w:eastAsia="zh-CN"/>
              </w:rPr>
            </w:pPr>
            <w:r>
              <w:rPr>
                <w:rFonts w:hint="eastAsia" w:ascii="宋体" w:hAnsi="宋体" w:cs="宋体"/>
                <w:color w:val="000000"/>
                <w:lang w:eastAsia="zh-CN" w:bidi="ar"/>
              </w:rPr>
              <w:t>广州市佳福斯阀门制造有限公司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0CBFB">
            <w:pPr>
              <w:jc w:val="center"/>
              <w:textAlignment w:val="center"/>
              <w:rPr>
                <w:rFonts w:ascii="宋体" w:hAnsi="宋体" w:cs="宋体"/>
                <w:color w:val="000000"/>
              </w:rPr>
            </w:pPr>
            <w:r>
              <w:rPr>
                <w:rFonts w:hint="eastAsia" w:ascii="宋体" w:hAnsi="宋体" w:cs="宋体"/>
                <w:color w:val="000000"/>
                <w:lang w:eastAsia="zh-CN" w:bidi="ar"/>
              </w:rPr>
              <w:t>佳福斯</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17CA9">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0219E407">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73FD8">
            <w:pPr>
              <w:jc w:val="center"/>
              <w:textAlignment w:val="center"/>
              <w:rPr>
                <w:rFonts w:ascii="宋体" w:hAnsi="宋体" w:cs="宋体"/>
                <w:color w:val="000000"/>
              </w:rPr>
            </w:pPr>
            <w:r>
              <w:rPr>
                <w:rFonts w:hint="eastAsia" w:ascii="宋体" w:hAnsi="宋体" w:cs="宋体"/>
                <w:color w:val="000000"/>
                <w:lang w:eastAsia="zh-CN" w:bidi="ar"/>
              </w:rPr>
              <w:t>5</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BAB16">
            <w:pPr>
              <w:textAlignment w:val="center"/>
              <w:rPr>
                <w:rFonts w:ascii="宋体" w:hAnsi="宋体" w:cs="宋体"/>
                <w:color w:val="000000"/>
                <w:lang w:eastAsia="zh-CN"/>
              </w:rPr>
            </w:pPr>
            <w:r>
              <w:rPr>
                <w:rFonts w:hint="eastAsia" w:ascii="宋体" w:hAnsi="宋体" w:cs="宋体"/>
                <w:color w:val="000000"/>
                <w:lang w:eastAsia="zh-CN" w:bidi="ar"/>
              </w:rPr>
              <w:t>广东永泉阀门科技有限公司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AD5B0">
            <w:pPr>
              <w:jc w:val="center"/>
              <w:textAlignment w:val="center"/>
              <w:rPr>
                <w:rFonts w:ascii="宋体" w:hAnsi="宋体" w:cs="宋体"/>
                <w:color w:val="000000"/>
              </w:rPr>
            </w:pPr>
            <w:r>
              <w:rPr>
                <w:rFonts w:hint="eastAsia" w:ascii="宋体" w:hAnsi="宋体" w:cs="宋体"/>
                <w:color w:val="000000"/>
                <w:lang w:eastAsia="zh-CN" w:bidi="ar"/>
              </w:rPr>
              <w:t>永泉</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3DF7D">
            <w:pPr>
              <w:jc w:val="center"/>
              <w:rPr>
                <w:rFonts w:ascii="宋体" w:hAnsi="宋体" w:cs="宋体"/>
                <w:color w:val="FF0000"/>
              </w:rPr>
            </w:pPr>
          </w:p>
        </w:tc>
      </w:tr>
      <w:tr w14:paraId="779C04B9">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2CF8AC2">
            <w:pPr>
              <w:textAlignment w:val="center"/>
              <w:rPr>
                <w:rFonts w:ascii="宋体" w:hAnsi="宋体" w:cs="宋体"/>
                <w:b/>
                <w:bCs/>
                <w:color w:val="000000"/>
              </w:rPr>
            </w:pPr>
            <w:r>
              <w:rPr>
                <w:rFonts w:hint="eastAsia" w:ascii="宋体" w:hAnsi="宋体" w:cs="宋体"/>
                <w:b/>
                <w:bCs/>
                <w:color w:val="000000"/>
                <w:lang w:eastAsia="zh-CN" w:bidi="ar"/>
              </w:rPr>
              <w:t>3. 管材</w:t>
            </w:r>
          </w:p>
        </w:tc>
      </w:tr>
      <w:tr w14:paraId="1D954263">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F61D5F3">
            <w:pPr>
              <w:textAlignment w:val="center"/>
              <w:rPr>
                <w:rFonts w:ascii="宋体" w:hAnsi="宋体" w:cs="宋体"/>
                <w:b/>
                <w:bCs/>
                <w:color w:val="000000"/>
                <w:lang w:eastAsia="zh-CN"/>
              </w:rPr>
            </w:pPr>
            <w:r>
              <w:rPr>
                <w:rFonts w:hint="eastAsia" w:ascii="宋体" w:hAnsi="宋体" w:cs="宋体"/>
                <w:b/>
                <w:bCs/>
                <w:color w:val="000000"/>
                <w:lang w:eastAsia="zh-CN" w:bidi="ar"/>
              </w:rPr>
              <w:t>（1）PVC-U给排水管、PP-R给水管、PE给水管</w:t>
            </w:r>
          </w:p>
        </w:tc>
      </w:tr>
      <w:tr w14:paraId="153405B3">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4FB90">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E09AE">
            <w:pPr>
              <w:textAlignment w:val="center"/>
              <w:rPr>
                <w:rFonts w:ascii="宋体" w:hAnsi="宋体" w:cs="宋体"/>
                <w:color w:val="000000"/>
                <w:lang w:eastAsia="zh-CN"/>
              </w:rPr>
            </w:pPr>
            <w:r>
              <w:rPr>
                <w:rFonts w:hint="eastAsia" w:ascii="宋体" w:hAnsi="宋体" w:cs="宋体"/>
                <w:color w:val="000000"/>
                <w:lang w:eastAsia="zh-CN" w:bidi="ar"/>
              </w:rPr>
              <w:t>广东联塑科技实业有限公司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D1E6C">
            <w:pPr>
              <w:jc w:val="center"/>
              <w:textAlignment w:val="center"/>
              <w:rPr>
                <w:rFonts w:ascii="宋体" w:hAnsi="宋体" w:cs="宋体"/>
                <w:color w:val="000000"/>
              </w:rPr>
            </w:pPr>
            <w:r>
              <w:rPr>
                <w:rFonts w:hint="eastAsia" w:ascii="宋体" w:hAnsi="宋体" w:cs="宋体"/>
                <w:color w:val="000000"/>
                <w:lang w:eastAsia="zh-CN" w:bidi="ar"/>
              </w:rPr>
              <w:t>联塑</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9E3D0">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19BF858A">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454A6">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740EC">
            <w:pPr>
              <w:textAlignment w:val="center"/>
              <w:rPr>
                <w:rFonts w:ascii="宋体" w:hAnsi="宋体" w:cs="宋体"/>
                <w:color w:val="000000"/>
                <w:lang w:eastAsia="zh-CN"/>
              </w:rPr>
            </w:pPr>
            <w:r>
              <w:rPr>
                <w:rFonts w:hint="eastAsia" w:ascii="宋体" w:hAnsi="宋体" w:cs="宋体"/>
                <w:color w:val="000000"/>
                <w:lang w:eastAsia="zh-CN" w:bidi="ar"/>
              </w:rPr>
              <w:t>顾地科技股份有限公司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DD81C">
            <w:pPr>
              <w:jc w:val="center"/>
              <w:textAlignment w:val="center"/>
              <w:rPr>
                <w:rFonts w:ascii="宋体" w:hAnsi="宋体" w:cs="宋体"/>
                <w:color w:val="000000"/>
              </w:rPr>
            </w:pPr>
            <w:r>
              <w:rPr>
                <w:rFonts w:hint="eastAsia" w:ascii="宋体" w:hAnsi="宋体" w:cs="宋体"/>
                <w:color w:val="000000"/>
                <w:lang w:eastAsia="zh-CN" w:bidi="ar"/>
              </w:rPr>
              <w:t>顾地</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450F4">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1AD65AF7">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B43C4">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67A19">
            <w:pPr>
              <w:textAlignment w:val="center"/>
              <w:rPr>
                <w:rFonts w:ascii="宋体" w:hAnsi="宋体" w:cs="宋体"/>
                <w:color w:val="000000"/>
                <w:lang w:eastAsia="zh-CN"/>
              </w:rPr>
            </w:pPr>
            <w:r>
              <w:rPr>
                <w:rFonts w:hint="eastAsia" w:ascii="宋体" w:hAnsi="宋体" w:cs="宋体"/>
                <w:color w:val="000000"/>
                <w:lang w:eastAsia="zh-CN" w:bidi="ar"/>
              </w:rPr>
              <w:t>广东雄塑科技集团股份有限公司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A91D0">
            <w:pPr>
              <w:jc w:val="center"/>
              <w:textAlignment w:val="center"/>
              <w:rPr>
                <w:rFonts w:ascii="宋体" w:hAnsi="宋体" w:cs="宋体"/>
                <w:color w:val="000000"/>
              </w:rPr>
            </w:pPr>
            <w:r>
              <w:rPr>
                <w:rFonts w:hint="eastAsia" w:ascii="宋体" w:hAnsi="宋体" w:cs="宋体"/>
                <w:color w:val="000000"/>
                <w:lang w:eastAsia="zh-CN" w:bidi="ar"/>
              </w:rPr>
              <w:t>雄塑</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0C8E6">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7E7DC660">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72DE3">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81A93">
            <w:pPr>
              <w:textAlignment w:val="center"/>
              <w:rPr>
                <w:rFonts w:ascii="宋体" w:hAnsi="宋体" w:cs="宋体"/>
                <w:color w:val="000000"/>
                <w:lang w:eastAsia="zh-CN"/>
              </w:rPr>
            </w:pPr>
            <w:r>
              <w:rPr>
                <w:rFonts w:hint="eastAsia" w:ascii="宋体" w:hAnsi="宋体" w:cs="宋体"/>
                <w:color w:val="000000"/>
                <w:lang w:eastAsia="zh-CN" w:bidi="ar"/>
              </w:rPr>
              <w:t>日丰企业集团有限公司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71EA6">
            <w:pPr>
              <w:jc w:val="center"/>
              <w:textAlignment w:val="center"/>
              <w:rPr>
                <w:rFonts w:ascii="宋体" w:hAnsi="宋体" w:cs="宋体"/>
                <w:color w:val="000000"/>
              </w:rPr>
            </w:pPr>
            <w:r>
              <w:rPr>
                <w:rFonts w:hint="eastAsia" w:ascii="宋体" w:hAnsi="宋体" w:cs="宋体"/>
                <w:color w:val="000000"/>
                <w:lang w:eastAsia="zh-CN" w:bidi="ar"/>
              </w:rPr>
              <w:t>日丰</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EEDDD">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21F2D90B">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FB51A">
            <w:pPr>
              <w:jc w:val="center"/>
              <w:textAlignment w:val="center"/>
              <w:rPr>
                <w:rFonts w:ascii="宋体" w:hAnsi="宋体" w:cs="宋体"/>
                <w:color w:val="000000"/>
              </w:rPr>
            </w:pPr>
            <w:r>
              <w:rPr>
                <w:rFonts w:hint="eastAsia" w:ascii="宋体" w:hAnsi="宋体" w:cs="宋体"/>
                <w:color w:val="000000"/>
                <w:lang w:eastAsia="zh-CN" w:bidi="ar"/>
              </w:rPr>
              <w:t>5</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5292A">
            <w:pPr>
              <w:textAlignment w:val="center"/>
              <w:rPr>
                <w:rFonts w:ascii="宋体" w:hAnsi="宋体" w:cs="宋体"/>
                <w:color w:val="000000"/>
                <w:lang w:eastAsia="zh-CN"/>
              </w:rPr>
            </w:pPr>
            <w:r>
              <w:rPr>
                <w:rFonts w:hint="eastAsia" w:ascii="宋体" w:hAnsi="宋体" w:cs="宋体"/>
                <w:color w:val="000000"/>
                <w:lang w:eastAsia="zh-CN" w:bidi="ar"/>
              </w:rPr>
              <w:t>浙江中财管道科技股份有限公司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5EFBF">
            <w:pPr>
              <w:jc w:val="center"/>
              <w:textAlignment w:val="center"/>
              <w:rPr>
                <w:rFonts w:ascii="宋体" w:hAnsi="宋体" w:cs="宋体"/>
                <w:color w:val="000000"/>
              </w:rPr>
            </w:pPr>
            <w:r>
              <w:rPr>
                <w:rFonts w:hint="eastAsia" w:ascii="宋体" w:hAnsi="宋体" w:cs="宋体"/>
                <w:color w:val="000000"/>
                <w:lang w:eastAsia="zh-CN" w:bidi="ar"/>
              </w:rPr>
              <w:t>中财</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7263D">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6CBC0B84">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0154341">
            <w:pPr>
              <w:textAlignment w:val="center"/>
              <w:rPr>
                <w:rFonts w:ascii="宋体" w:hAnsi="宋体" w:cs="宋体"/>
                <w:b/>
                <w:bCs/>
                <w:color w:val="000000"/>
                <w:lang w:eastAsia="zh-CN"/>
              </w:rPr>
            </w:pPr>
            <w:r>
              <w:rPr>
                <w:rFonts w:hint="eastAsia" w:ascii="宋体" w:hAnsi="宋体" w:cs="宋体"/>
                <w:b/>
                <w:bCs/>
                <w:color w:val="000000"/>
                <w:lang w:eastAsia="zh-CN" w:bidi="ar"/>
              </w:rPr>
              <w:t>（2）HDPE双壁波纹管、缠绕管</w:t>
            </w:r>
          </w:p>
        </w:tc>
      </w:tr>
      <w:tr w14:paraId="7927BF67">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9D0D1">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1AB21">
            <w:pPr>
              <w:textAlignment w:val="center"/>
              <w:rPr>
                <w:rFonts w:ascii="宋体" w:hAnsi="宋体" w:cs="宋体"/>
                <w:color w:val="000000"/>
                <w:lang w:eastAsia="zh-CN"/>
              </w:rPr>
            </w:pPr>
            <w:r>
              <w:rPr>
                <w:rFonts w:hint="eastAsia" w:ascii="宋体" w:hAnsi="宋体" w:cs="宋体"/>
                <w:color w:val="000000"/>
                <w:lang w:eastAsia="zh-CN" w:bidi="ar"/>
              </w:rPr>
              <w:t>广东联塑科技实业有限公司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B773D">
            <w:pPr>
              <w:jc w:val="center"/>
              <w:textAlignment w:val="center"/>
              <w:rPr>
                <w:rFonts w:ascii="宋体" w:hAnsi="宋体" w:cs="宋体"/>
                <w:color w:val="000000"/>
              </w:rPr>
            </w:pPr>
            <w:r>
              <w:rPr>
                <w:rFonts w:hint="eastAsia" w:ascii="宋体" w:hAnsi="宋体" w:cs="宋体"/>
                <w:color w:val="000000"/>
                <w:lang w:eastAsia="zh-CN" w:bidi="ar"/>
              </w:rPr>
              <w:t>联塑</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0F42C">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4EAE9715">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964A5">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16385">
            <w:pPr>
              <w:textAlignment w:val="center"/>
              <w:rPr>
                <w:rFonts w:ascii="宋体" w:hAnsi="宋体" w:cs="宋体"/>
                <w:color w:val="000000"/>
                <w:lang w:eastAsia="zh-CN"/>
              </w:rPr>
            </w:pPr>
            <w:r>
              <w:rPr>
                <w:rFonts w:hint="eastAsia" w:ascii="宋体" w:hAnsi="宋体" w:cs="宋体"/>
                <w:color w:val="000000"/>
                <w:lang w:eastAsia="zh-CN" w:bidi="ar"/>
              </w:rPr>
              <w:t>顾地科技股份有限公司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490BB">
            <w:pPr>
              <w:jc w:val="center"/>
              <w:textAlignment w:val="center"/>
              <w:rPr>
                <w:rFonts w:ascii="宋体" w:hAnsi="宋体" w:cs="宋体"/>
                <w:color w:val="000000"/>
              </w:rPr>
            </w:pPr>
            <w:r>
              <w:rPr>
                <w:rFonts w:hint="eastAsia" w:ascii="宋体" w:hAnsi="宋体" w:cs="宋体"/>
                <w:color w:val="000000"/>
                <w:lang w:eastAsia="zh-CN" w:bidi="ar"/>
              </w:rPr>
              <w:t>顾地</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4F541">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04DA1206">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3299B">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85A94">
            <w:pPr>
              <w:textAlignment w:val="center"/>
              <w:rPr>
                <w:rFonts w:ascii="宋体" w:hAnsi="宋体" w:cs="宋体"/>
                <w:color w:val="000000"/>
                <w:lang w:eastAsia="zh-CN"/>
              </w:rPr>
            </w:pPr>
            <w:r>
              <w:rPr>
                <w:rFonts w:hint="eastAsia" w:ascii="宋体" w:hAnsi="宋体" w:cs="宋体"/>
                <w:color w:val="000000"/>
                <w:lang w:eastAsia="zh-CN" w:bidi="ar"/>
              </w:rPr>
              <w:t>日丰企业集团有限公司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511AD">
            <w:pPr>
              <w:jc w:val="center"/>
              <w:textAlignment w:val="center"/>
              <w:rPr>
                <w:rFonts w:ascii="宋体" w:hAnsi="宋体" w:cs="宋体"/>
                <w:color w:val="000000"/>
              </w:rPr>
            </w:pPr>
            <w:r>
              <w:rPr>
                <w:rFonts w:hint="eastAsia" w:ascii="宋体" w:hAnsi="宋体" w:cs="宋体"/>
                <w:color w:val="000000"/>
                <w:lang w:eastAsia="zh-CN" w:bidi="ar"/>
              </w:rPr>
              <w:t>日丰</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D692B">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2EA20147">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63BBC">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101AA">
            <w:pPr>
              <w:textAlignment w:val="center"/>
              <w:rPr>
                <w:rFonts w:ascii="宋体" w:hAnsi="宋体" w:cs="宋体"/>
                <w:color w:val="000000"/>
                <w:lang w:eastAsia="zh-CN"/>
              </w:rPr>
            </w:pPr>
            <w:r>
              <w:rPr>
                <w:rFonts w:hint="eastAsia" w:ascii="宋体" w:hAnsi="宋体" w:cs="宋体"/>
                <w:color w:val="000000"/>
                <w:lang w:eastAsia="zh-CN" w:bidi="ar"/>
              </w:rPr>
              <w:t>浙江中财管道科技股份有限公司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702F9">
            <w:pPr>
              <w:jc w:val="center"/>
              <w:textAlignment w:val="center"/>
              <w:rPr>
                <w:rFonts w:ascii="宋体" w:hAnsi="宋体" w:cs="宋体"/>
                <w:color w:val="000000"/>
              </w:rPr>
            </w:pPr>
            <w:r>
              <w:rPr>
                <w:rFonts w:hint="eastAsia" w:ascii="宋体" w:hAnsi="宋体" w:cs="宋体"/>
                <w:color w:val="000000"/>
                <w:lang w:eastAsia="zh-CN" w:bidi="ar"/>
              </w:rPr>
              <w:t>中财</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1BE1F">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2F712833">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B6EC6">
            <w:pPr>
              <w:jc w:val="center"/>
              <w:textAlignment w:val="center"/>
              <w:rPr>
                <w:rFonts w:ascii="宋体" w:hAnsi="宋体" w:cs="宋体"/>
                <w:color w:val="000000"/>
              </w:rPr>
            </w:pPr>
            <w:r>
              <w:rPr>
                <w:rFonts w:hint="eastAsia" w:ascii="宋体" w:hAnsi="宋体" w:cs="宋体"/>
                <w:color w:val="000000"/>
                <w:lang w:eastAsia="zh-CN" w:bidi="ar"/>
              </w:rPr>
              <w:t>5</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D9EB2">
            <w:pPr>
              <w:textAlignment w:val="center"/>
              <w:rPr>
                <w:rFonts w:ascii="宋体" w:hAnsi="宋体" w:cs="宋体"/>
                <w:color w:val="000000"/>
                <w:lang w:eastAsia="zh-CN"/>
              </w:rPr>
            </w:pPr>
            <w:r>
              <w:rPr>
                <w:rFonts w:hint="eastAsia" w:ascii="宋体" w:hAnsi="宋体" w:cs="宋体"/>
                <w:color w:val="000000"/>
                <w:lang w:eastAsia="zh-CN" w:bidi="ar"/>
              </w:rPr>
              <w:t>广东雄塑科技集团股份有限公司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2C2FF">
            <w:pPr>
              <w:jc w:val="center"/>
              <w:textAlignment w:val="center"/>
              <w:rPr>
                <w:rFonts w:ascii="宋体" w:hAnsi="宋体" w:cs="宋体"/>
                <w:color w:val="000000"/>
              </w:rPr>
            </w:pPr>
            <w:r>
              <w:rPr>
                <w:rFonts w:hint="eastAsia" w:ascii="宋体" w:hAnsi="宋体" w:cs="宋体"/>
                <w:color w:val="000000"/>
                <w:lang w:eastAsia="zh-CN" w:bidi="ar"/>
              </w:rPr>
              <w:t>雄塑</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EBD4D">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78246B3D">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3E83F778">
            <w:pPr>
              <w:textAlignment w:val="center"/>
              <w:rPr>
                <w:rFonts w:ascii="宋体" w:hAnsi="宋体" w:cs="宋体"/>
                <w:b/>
                <w:bCs/>
                <w:color w:val="000000"/>
                <w:lang w:eastAsia="zh-CN"/>
              </w:rPr>
            </w:pPr>
            <w:r>
              <w:rPr>
                <w:rFonts w:hint="eastAsia" w:ascii="宋体" w:hAnsi="宋体" w:cs="宋体"/>
                <w:b/>
                <w:bCs/>
                <w:color w:val="000000"/>
                <w:lang w:eastAsia="zh-CN" w:bidi="ar"/>
              </w:rPr>
              <w:t>（3）电力电缆通信管（包括PE、PVC-C、PVC-U、HDPE管等）</w:t>
            </w:r>
          </w:p>
        </w:tc>
      </w:tr>
      <w:tr w14:paraId="466E77C2">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1D323A">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94FBAB">
            <w:pPr>
              <w:textAlignment w:val="center"/>
              <w:rPr>
                <w:rFonts w:ascii="宋体" w:hAnsi="宋体" w:cs="宋体"/>
                <w:color w:val="000000"/>
                <w:lang w:eastAsia="zh-CN"/>
              </w:rPr>
            </w:pPr>
            <w:r>
              <w:rPr>
                <w:rFonts w:hint="eastAsia" w:ascii="宋体" w:hAnsi="宋体" w:cs="宋体"/>
                <w:color w:val="000000"/>
                <w:lang w:eastAsia="zh-CN" w:bidi="ar"/>
              </w:rPr>
              <w:t>广东联塑科技实业有限公司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568DD7">
            <w:pPr>
              <w:jc w:val="center"/>
              <w:textAlignment w:val="center"/>
              <w:rPr>
                <w:rFonts w:ascii="宋体" w:hAnsi="宋体" w:cs="宋体"/>
                <w:color w:val="000000"/>
              </w:rPr>
            </w:pPr>
            <w:r>
              <w:rPr>
                <w:rFonts w:hint="eastAsia" w:ascii="宋体" w:hAnsi="宋体" w:cs="宋体"/>
                <w:color w:val="000000"/>
                <w:lang w:eastAsia="zh-CN" w:bidi="ar"/>
              </w:rPr>
              <w:t>联塑</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ADAE2F">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608B88FD">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82FDD8">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8E92F6">
            <w:pPr>
              <w:textAlignment w:val="center"/>
              <w:rPr>
                <w:rFonts w:ascii="宋体" w:hAnsi="宋体" w:cs="宋体"/>
                <w:color w:val="000000"/>
                <w:lang w:eastAsia="zh-CN"/>
              </w:rPr>
            </w:pPr>
            <w:r>
              <w:rPr>
                <w:rFonts w:hint="eastAsia" w:ascii="宋体" w:hAnsi="宋体" w:cs="宋体"/>
                <w:color w:val="000000"/>
                <w:lang w:eastAsia="zh-CN" w:bidi="ar"/>
              </w:rPr>
              <w:t>顾地科技股份有限公司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C46FBF">
            <w:pPr>
              <w:jc w:val="center"/>
              <w:textAlignment w:val="center"/>
              <w:rPr>
                <w:rFonts w:ascii="宋体" w:hAnsi="宋体" w:cs="宋体"/>
                <w:color w:val="000000"/>
              </w:rPr>
            </w:pPr>
            <w:r>
              <w:rPr>
                <w:rFonts w:hint="eastAsia" w:ascii="宋体" w:hAnsi="宋体" w:cs="宋体"/>
                <w:color w:val="000000"/>
                <w:lang w:eastAsia="zh-CN" w:bidi="ar"/>
              </w:rPr>
              <w:t>顾地</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2095F5">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60853293">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B2B414">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1A074A">
            <w:pPr>
              <w:textAlignment w:val="center"/>
              <w:rPr>
                <w:rFonts w:ascii="宋体" w:hAnsi="宋体" w:cs="宋体"/>
                <w:color w:val="000000"/>
                <w:lang w:eastAsia="zh-CN"/>
              </w:rPr>
            </w:pPr>
            <w:r>
              <w:rPr>
                <w:rFonts w:hint="eastAsia" w:ascii="宋体" w:hAnsi="宋体" w:cs="宋体"/>
                <w:color w:val="000000"/>
                <w:lang w:eastAsia="zh-CN" w:bidi="ar"/>
              </w:rPr>
              <w:t>广东雄塑科技集团股份有限公司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1F112B">
            <w:pPr>
              <w:jc w:val="center"/>
              <w:textAlignment w:val="center"/>
              <w:rPr>
                <w:rFonts w:ascii="宋体" w:hAnsi="宋体" w:cs="宋体"/>
                <w:color w:val="000000"/>
              </w:rPr>
            </w:pPr>
            <w:r>
              <w:rPr>
                <w:rFonts w:hint="eastAsia" w:ascii="宋体" w:hAnsi="宋体" w:cs="宋体"/>
                <w:color w:val="000000"/>
                <w:lang w:eastAsia="zh-CN" w:bidi="ar"/>
              </w:rPr>
              <w:t>雄塑</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37311D">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2DA2724A">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0CE4B7">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6DD766">
            <w:pPr>
              <w:textAlignment w:val="center"/>
              <w:rPr>
                <w:rFonts w:ascii="宋体" w:hAnsi="宋体" w:cs="宋体"/>
                <w:color w:val="000000"/>
                <w:lang w:eastAsia="zh-CN"/>
              </w:rPr>
            </w:pPr>
            <w:r>
              <w:rPr>
                <w:rFonts w:hint="eastAsia" w:ascii="宋体" w:hAnsi="宋体" w:cs="宋体"/>
                <w:color w:val="000000"/>
                <w:lang w:eastAsia="zh-CN" w:bidi="ar"/>
              </w:rPr>
              <w:t>康泰塑胶科技股份有限公司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797AB2">
            <w:pPr>
              <w:jc w:val="center"/>
              <w:textAlignment w:val="center"/>
              <w:rPr>
                <w:rFonts w:ascii="宋体" w:hAnsi="宋体" w:cs="宋体"/>
                <w:color w:val="000000"/>
              </w:rPr>
            </w:pPr>
            <w:r>
              <w:rPr>
                <w:rFonts w:hint="eastAsia" w:ascii="宋体" w:hAnsi="宋体" w:cs="宋体"/>
                <w:color w:val="000000"/>
                <w:lang w:eastAsia="zh-CN" w:bidi="ar"/>
              </w:rPr>
              <w:t>康泰牌</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6D7AE7">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0D46E2DC">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F53571">
            <w:pPr>
              <w:jc w:val="center"/>
              <w:textAlignment w:val="center"/>
              <w:rPr>
                <w:rFonts w:ascii="宋体" w:hAnsi="宋体" w:cs="宋体"/>
                <w:color w:val="000000"/>
              </w:rPr>
            </w:pPr>
            <w:r>
              <w:rPr>
                <w:rFonts w:hint="eastAsia" w:ascii="宋体" w:hAnsi="宋体" w:cs="宋体"/>
                <w:color w:val="000000"/>
                <w:lang w:eastAsia="zh-CN" w:bidi="ar"/>
              </w:rPr>
              <w:t>5</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010F57">
            <w:pPr>
              <w:textAlignment w:val="center"/>
              <w:rPr>
                <w:rFonts w:ascii="宋体" w:hAnsi="宋体" w:cs="宋体"/>
                <w:color w:val="000000"/>
                <w:lang w:eastAsia="zh-CN"/>
              </w:rPr>
            </w:pPr>
            <w:r>
              <w:rPr>
                <w:rFonts w:hint="eastAsia" w:ascii="宋体" w:hAnsi="宋体" w:cs="宋体"/>
                <w:color w:val="000000"/>
                <w:lang w:eastAsia="zh-CN" w:bidi="ar"/>
              </w:rPr>
              <w:t>日丰企业集团有限公司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1B44C6">
            <w:pPr>
              <w:jc w:val="center"/>
              <w:textAlignment w:val="center"/>
              <w:rPr>
                <w:rFonts w:ascii="宋体" w:hAnsi="宋体" w:cs="宋体"/>
                <w:color w:val="000000"/>
              </w:rPr>
            </w:pPr>
            <w:r>
              <w:rPr>
                <w:rFonts w:hint="eastAsia" w:ascii="宋体" w:hAnsi="宋体" w:cs="宋体"/>
                <w:color w:val="000000"/>
                <w:lang w:eastAsia="zh-CN" w:bidi="ar"/>
              </w:rPr>
              <w:t>日丰</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1F29B8">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194962F3">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314DB61">
            <w:pPr>
              <w:textAlignment w:val="center"/>
              <w:rPr>
                <w:rFonts w:ascii="宋体" w:hAnsi="宋体" w:cs="宋体"/>
                <w:b/>
                <w:bCs/>
                <w:color w:val="000000"/>
                <w:lang w:eastAsia="zh-CN"/>
              </w:rPr>
            </w:pPr>
            <w:r>
              <w:rPr>
                <w:rFonts w:hint="eastAsia" w:ascii="宋体" w:hAnsi="宋体" w:cs="宋体"/>
                <w:b/>
                <w:bCs/>
                <w:color w:val="000000"/>
                <w:lang w:eastAsia="zh-CN" w:bidi="ar"/>
              </w:rPr>
              <w:t>（4）PVC绝缘电线管槽</w:t>
            </w:r>
          </w:p>
        </w:tc>
      </w:tr>
      <w:tr w14:paraId="051C59ED">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FF239">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14B9E">
            <w:pPr>
              <w:textAlignment w:val="center"/>
              <w:rPr>
                <w:rFonts w:ascii="宋体" w:hAnsi="宋体" w:cs="宋体"/>
                <w:color w:val="000000"/>
                <w:lang w:eastAsia="zh-CN"/>
              </w:rPr>
            </w:pPr>
            <w:r>
              <w:rPr>
                <w:rFonts w:hint="eastAsia" w:ascii="宋体" w:hAnsi="宋体" w:cs="宋体"/>
                <w:color w:val="000000"/>
                <w:lang w:eastAsia="zh-CN" w:bidi="ar"/>
              </w:rPr>
              <w:t>广东联塑科技实业有限公司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35036">
            <w:pPr>
              <w:jc w:val="center"/>
              <w:textAlignment w:val="center"/>
              <w:rPr>
                <w:rFonts w:ascii="宋体" w:hAnsi="宋体" w:cs="宋体"/>
                <w:color w:val="000000"/>
              </w:rPr>
            </w:pPr>
            <w:r>
              <w:rPr>
                <w:rFonts w:hint="eastAsia" w:ascii="宋体" w:hAnsi="宋体" w:cs="宋体"/>
                <w:color w:val="000000"/>
                <w:lang w:eastAsia="zh-CN" w:bidi="ar"/>
              </w:rPr>
              <w:t>联塑</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00AAF2">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791D9712">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F26B4">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68BDC">
            <w:pPr>
              <w:textAlignment w:val="center"/>
              <w:rPr>
                <w:rFonts w:ascii="宋体" w:hAnsi="宋体" w:cs="宋体"/>
                <w:color w:val="000000"/>
                <w:lang w:eastAsia="zh-CN"/>
              </w:rPr>
            </w:pPr>
            <w:r>
              <w:rPr>
                <w:rFonts w:hint="eastAsia" w:ascii="宋体" w:hAnsi="宋体" w:cs="宋体"/>
                <w:color w:val="000000"/>
                <w:lang w:eastAsia="zh-CN" w:bidi="ar"/>
              </w:rPr>
              <w:t>顾地科技股份有限公司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5FABB">
            <w:pPr>
              <w:jc w:val="center"/>
              <w:textAlignment w:val="center"/>
              <w:rPr>
                <w:rFonts w:ascii="宋体" w:hAnsi="宋体" w:cs="宋体"/>
                <w:color w:val="000000"/>
              </w:rPr>
            </w:pPr>
            <w:r>
              <w:rPr>
                <w:rFonts w:hint="eastAsia" w:ascii="宋体" w:hAnsi="宋体" w:cs="宋体"/>
                <w:color w:val="000000"/>
                <w:lang w:eastAsia="zh-CN" w:bidi="ar"/>
              </w:rPr>
              <w:t>顾地</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D60744">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78D2B0F6">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3CA62">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E456F">
            <w:pPr>
              <w:textAlignment w:val="center"/>
              <w:rPr>
                <w:rFonts w:ascii="宋体" w:hAnsi="宋体" w:cs="宋体"/>
                <w:color w:val="000000"/>
                <w:lang w:eastAsia="zh-CN"/>
              </w:rPr>
            </w:pPr>
            <w:r>
              <w:rPr>
                <w:rFonts w:hint="eastAsia" w:ascii="宋体" w:hAnsi="宋体" w:cs="宋体"/>
                <w:color w:val="000000"/>
                <w:lang w:eastAsia="zh-CN" w:bidi="ar"/>
              </w:rPr>
              <w:t>广东雄塑科技集团股份有限公司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4E7C8">
            <w:pPr>
              <w:jc w:val="center"/>
              <w:textAlignment w:val="center"/>
              <w:rPr>
                <w:rFonts w:ascii="宋体" w:hAnsi="宋体" w:cs="宋体"/>
                <w:color w:val="000000"/>
              </w:rPr>
            </w:pPr>
            <w:r>
              <w:rPr>
                <w:rFonts w:hint="eastAsia" w:ascii="宋体" w:hAnsi="宋体" w:cs="宋体"/>
                <w:color w:val="000000"/>
                <w:lang w:eastAsia="zh-CN" w:bidi="ar"/>
              </w:rPr>
              <w:t>雄塑</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B797FA">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710AAC19">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D4B70">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A7419">
            <w:pPr>
              <w:textAlignment w:val="center"/>
              <w:rPr>
                <w:rFonts w:ascii="宋体" w:hAnsi="宋体" w:cs="宋体"/>
                <w:color w:val="000000"/>
                <w:lang w:eastAsia="zh-CN"/>
              </w:rPr>
            </w:pPr>
            <w:r>
              <w:rPr>
                <w:rFonts w:hint="eastAsia" w:ascii="宋体" w:hAnsi="宋体" w:cs="宋体"/>
                <w:color w:val="000000"/>
                <w:lang w:eastAsia="zh-CN" w:bidi="ar"/>
              </w:rPr>
              <w:t>浙江中财管道科技股份有限公司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E7F0C">
            <w:pPr>
              <w:jc w:val="center"/>
              <w:textAlignment w:val="center"/>
              <w:rPr>
                <w:rFonts w:ascii="宋体" w:hAnsi="宋体" w:cs="宋体"/>
                <w:color w:val="000000"/>
              </w:rPr>
            </w:pPr>
            <w:r>
              <w:rPr>
                <w:rFonts w:hint="eastAsia" w:ascii="宋体" w:hAnsi="宋体" w:cs="宋体"/>
                <w:color w:val="000000"/>
                <w:lang w:eastAsia="zh-CN" w:bidi="ar"/>
              </w:rPr>
              <w:t>中财</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897DA1">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42AB49E5">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99963">
            <w:pPr>
              <w:jc w:val="center"/>
              <w:textAlignment w:val="center"/>
              <w:rPr>
                <w:rFonts w:ascii="宋体" w:hAnsi="宋体" w:cs="宋体"/>
                <w:color w:val="000000"/>
              </w:rPr>
            </w:pPr>
            <w:r>
              <w:rPr>
                <w:rFonts w:hint="eastAsia" w:ascii="宋体" w:hAnsi="宋体" w:cs="宋体"/>
                <w:color w:val="000000"/>
                <w:lang w:eastAsia="zh-CN" w:bidi="ar"/>
              </w:rPr>
              <w:t>5</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D128AA">
            <w:pPr>
              <w:textAlignment w:val="center"/>
              <w:rPr>
                <w:rFonts w:ascii="宋体" w:hAnsi="宋体" w:cs="宋体"/>
                <w:color w:val="000000"/>
                <w:lang w:eastAsia="zh-CN"/>
              </w:rPr>
            </w:pPr>
            <w:r>
              <w:rPr>
                <w:rFonts w:hint="eastAsia" w:ascii="宋体" w:hAnsi="宋体" w:cs="宋体"/>
                <w:color w:val="000000"/>
                <w:lang w:eastAsia="zh-CN" w:bidi="ar"/>
              </w:rPr>
              <w:t>康泰塑胶科技股份有限公司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017DE">
            <w:pPr>
              <w:jc w:val="center"/>
              <w:textAlignment w:val="center"/>
              <w:rPr>
                <w:rFonts w:ascii="宋体" w:hAnsi="宋体" w:cs="宋体"/>
                <w:color w:val="000000"/>
              </w:rPr>
            </w:pPr>
            <w:r>
              <w:rPr>
                <w:rFonts w:hint="eastAsia" w:ascii="宋体" w:hAnsi="宋体" w:cs="宋体"/>
                <w:color w:val="000000"/>
                <w:lang w:eastAsia="zh-CN" w:bidi="ar"/>
              </w:rPr>
              <w:t>康泰牌</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FE77DF">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0A1EE240">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3A2757A">
            <w:pPr>
              <w:textAlignment w:val="center"/>
              <w:rPr>
                <w:rFonts w:ascii="宋体" w:hAnsi="宋体" w:cs="宋体"/>
                <w:b/>
                <w:bCs/>
                <w:color w:val="000000"/>
              </w:rPr>
            </w:pPr>
            <w:r>
              <w:rPr>
                <w:rFonts w:hint="eastAsia" w:ascii="宋体" w:hAnsi="宋体" w:cs="宋体"/>
                <w:b/>
                <w:bCs/>
                <w:color w:val="000000"/>
                <w:lang w:eastAsia="zh-CN" w:bidi="ar"/>
              </w:rPr>
              <w:t>（5）镀锌钢管</w:t>
            </w:r>
          </w:p>
        </w:tc>
      </w:tr>
      <w:tr w14:paraId="37FF79AD">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CDA9A">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E30C4">
            <w:pPr>
              <w:textAlignment w:val="center"/>
              <w:rPr>
                <w:rFonts w:ascii="宋体" w:hAnsi="宋体" w:cs="宋体"/>
                <w:color w:val="000000"/>
                <w:lang w:eastAsia="zh-CN"/>
              </w:rPr>
            </w:pPr>
            <w:r>
              <w:rPr>
                <w:rFonts w:hint="eastAsia" w:ascii="宋体" w:hAnsi="宋体" w:cs="宋体"/>
                <w:color w:val="000000"/>
                <w:lang w:eastAsia="zh-CN" w:bidi="ar"/>
              </w:rPr>
              <w:t>广东华捷钢管实业有限公司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1D67F">
            <w:pPr>
              <w:jc w:val="center"/>
              <w:textAlignment w:val="center"/>
              <w:rPr>
                <w:rFonts w:ascii="宋体" w:hAnsi="宋体" w:cs="宋体"/>
                <w:color w:val="000000"/>
              </w:rPr>
            </w:pPr>
            <w:r>
              <w:rPr>
                <w:rFonts w:hint="eastAsia" w:ascii="宋体" w:hAnsi="宋体" w:cs="宋体"/>
                <w:color w:val="000000"/>
                <w:lang w:eastAsia="zh-CN" w:bidi="ar"/>
              </w:rPr>
              <w:t>华捷</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6E28C2">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2303D998">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55A4F">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11B68">
            <w:pPr>
              <w:textAlignment w:val="center"/>
              <w:rPr>
                <w:rFonts w:ascii="宋体" w:hAnsi="宋体" w:cs="宋体"/>
                <w:color w:val="000000"/>
                <w:lang w:eastAsia="zh-CN"/>
              </w:rPr>
            </w:pPr>
            <w:r>
              <w:rPr>
                <w:rFonts w:hint="eastAsia" w:ascii="宋体" w:hAnsi="宋体" w:cs="宋体"/>
                <w:color w:val="000000"/>
                <w:lang w:eastAsia="zh-CN" w:bidi="ar"/>
              </w:rPr>
              <w:t>广东穗生管业有限公司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92574">
            <w:pPr>
              <w:jc w:val="center"/>
              <w:textAlignment w:val="center"/>
              <w:rPr>
                <w:rFonts w:ascii="宋体" w:hAnsi="宋体" w:cs="宋体"/>
                <w:color w:val="000000"/>
              </w:rPr>
            </w:pPr>
            <w:r>
              <w:rPr>
                <w:rFonts w:hint="eastAsia" w:ascii="宋体" w:hAnsi="宋体" w:cs="宋体"/>
                <w:color w:val="000000"/>
                <w:lang w:eastAsia="zh-CN" w:bidi="ar"/>
              </w:rPr>
              <w:t>穗生</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1AFAFB">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2EE6238A">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6F06A">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5DBFF">
            <w:pPr>
              <w:textAlignment w:val="center"/>
              <w:rPr>
                <w:rFonts w:ascii="宋体" w:hAnsi="宋体" w:cs="宋体"/>
                <w:color w:val="000000"/>
                <w:lang w:eastAsia="zh-CN"/>
              </w:rPr>
            </w:pPr>
            <w:r>
              <w:rPr>
                <w:rFonts w:hint="eastAsia" w:ascii="宋体" w:hAnsi="宋体" w:cs="宋体"/>
                <w:color w:val="000000"/>
                <w:lang w:eastAsia="zh-CN" w:bidi="ar"/>
              </w:rPr>
              <w:t>广东施富电气实业有限公司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37050">
            <w:pPr>
              <w:jc w:val="center"/>
              <w:textAlignment w:val="center"/>
              <w:rPr>
                <w:rFonts w:ascii="宋体" w:hAnsi="宋体" w:cs="宋体"/>
                <w:color w:val="000000"/>
              </w:rPr>
            </w:pPr>
            <w:r>
              <w:rPr>
                <w:rFonts w:hint="eastAsia" w:ascii="宋体" w:hAnsi="宋体" w:cs="宋体"/>
                <w:color w:val="000000"/>
                <w:lang w:eastAsia="zh-CN" w:bidi="ar"/>
              </w:rPr>
              <w:t>施富</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3F5864">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0C914BDA">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8463C">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9AE33">
            <w:pPr>
              <w:textAlignment w:val="center"/>
              <w:rPr>
                <w:rFonts w:ascii="宋体" w:hAnsi="宋体" w:cs="宋体"/>
                <w:color w:val="000000"/>
                <w:lang w:eastAsia="zh-CN"/>
              </w:rPr>
            </w:pPr>
            <w:r>
              <w:rPr>
                <w:rFonts w:hint="eastAsia" w:ascii="宋体" w:hAnsi="宋体" w:cs="宋体"/>
                <w:color w:val="000000"/>
                <w:lang w:eastAsia="zh-CN" w:bidi="ar"/>
              </w:rPr>
              <w:t>广东联塑科技实业有限公司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545D5">
            <w:pPr>
              <w:jc w:val="center"/>
              <w:textAlignment w:val="center"/>
              <w:rPr>
                <w:rFonts w:ascii="宋体" w:hAnsi="宋体" w:cs="宋体"/>
                <w:color w:val="000000"/>
              </w:rPr>
            </w:pPr>
            <w:r>
              <w:rPr>
                <w:rFonts w:hint="eastAsia" w:ascii="宋体" w:hAnsi="宋体" w:cs="宋体"/>
                <w:color w:val="000000"/>
                <w:lang w:eastAsia="zh-CN" w:bidi="ar"/>
              </w:rPr>
              <w:t>联塑</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064EB0">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451983DA">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3479436">
            <w:pPr>
              <w:textAlignment w:val="center"/>
              <w:rPr>
                <w:rFonts w:ascii="宋体" w:hAnsi="宋体" w:cs="宋体"/>
                <w:b/>
                <w:bCs/>
                <w:color w:val="000000"/>
              </w:rPr>
            </w:pPr>
            <w:r>
              <w:rPr>
                <w:rFonts w:hint="eastAsia" w:ascii="宋体" w:hAnsi="宋体" w:cs="宋体"/>
                <w:b/>
                <w:bCs/>
                <w:color w:val="000000"/>
                <w:lang w:eastAsia="zh-CN" w:bidi="ar"/>
              </w:rPr>
              <w:t>（6）薄壁不锈钢管</w:t>
            </w:r>
          </w:p>
        </w:tc>
      </w:tr>
      <w:tr w14:paraId="6828D3D7">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90D03">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6480A">
            <w:pPr>
              <w:textAlignment w:val="center"/>
              <w:rPr>
                <w:rFonts w:ascii="宋体" w:hAnsi="宋体" w:cs="宋体"/>
                <w:color w:val="000000"/>
                <w:lang w:eastAsia="zh-CN"/>
              </w:rPr>
            </w:pPr>
            <w:r>
              <w:rPr>
                <w:rFonts w:hint="eastAsia" w:ascii="宋体" w:hAnsi="宋体" w:cs="宋体"/>
                <w:color w:val="000000"/>
                <w:lang w:eastAsia="zh-CN" w:bidi="ar"/>
              </w:rPr>
              <w:t>广州美亚股份有限公司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354A8">
            <w:pPr>
              <w:jc w:val="center"/>
              <w:textAlignment w:val="center"/>
              <w:rPr>
                <w:rFonts w:ascii="宋体" w:hAnsi="宋体" w:cs="宋体"/>
                <w:color w:val="000000"/>
              </w:rPr>
            </w:pPr>
            <w:r>
              <w:rPr>
                <w:rFonts w:hint="eastAsia" w:ascii="宋体" w:hAnsi="宋体" w:cs="宋体"/>
                <w:color w:val="000000"/>
                <w:lang w:eastAsia="zh-CN" w:bidi="ar"/>
              </w:rPr>
              <w:t>美亚</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E0DDC7">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148F252A">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C206E">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64D87">
            <w:pPr>
              <w:textAlignment w:val="center"/>
              <w:rPr>
                <w:rFonts w:ascii="宋体" w:hAnsi="宋体" w:cs="宋体"/>
                <w:color w:val="000000"/>
                <w:lang w:eastAsia="zh-CN"/>
              </w:rPr>
            </w:pPr>
            <w:r>
              <w:rPr>
                <w:rFonts w:hint="eastAsia" w:ascii="宋体" w:hAnsi="宋体" w:cs="宋体"/>
                <w:color w:val="000000"/>
                <w:lang w:eastAsia="zh-CN" w:bidi="ar"/>
              </w:rPr>
              <w:t>广东双兴新材料集团有限公司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04C98">
            <w:pPr>
              <w:jc w:val="center"/>
              <w:textAlignment w:val="center"/>
              <w:rPr>
                <w:rFonts w:ascii="宋体" w:hAnsi="宋体" w:cs="宋体"/>
                <w:color w:val="000000"/>
              </w:rPr>
            </w:pPr>
            <w:r>
              <w:rPr>
                <w:rFonts w:hint="eastAsia" w:ascii="宋体" w:hAnsi="宋体" w:cs="宋体"/>
                <w:color w:val="000000"/>
                <w:lang w:eastAsia="zh-CN" w:bidi="ar"/>
              </w:rPr>
              <w:t>双兴</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8692B2">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691D9086">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0AE65">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4A643">
            <w:pPr>
              <w:textAlignment w:val="center"/>
              <w:rPr>
                <w:rFonts w:ascii="宋体" w:hAnsi="宋体" w:cs="宋体"/>
                <w:color w:val="000000"/>
                <w:lang w:eastAsia="zh-CN"/>
              </w:rPr>
            </w:pPr>
            <w:r>
              <w:rPr>
                <w:rFonts w:hint="eastAsia" w:ascii="宋体" w:hAnsi="宋体" w:cs="宋体"/>
                <w:color w:val="000000"/>
                <w:lang w:eastAsia="zh-CN" w:bidi="ar"/>
              </w:rPr>
              <w:t>无锡金羊管件有限公司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82384">
            <w:pPr>
              <w:jc w:val="center"/>
              <w:textAlignment w:val="center"/>
              <w:rPr>
                <w:rFonts w:ascii="宋体" w:hAnsi="宋体" w:cs="宋体"/>
                <w:color w:val="000000"/>
              </w:rPr>
            </w:pPr>
            <w:r>
              <w:rPr>
                <w:rFonts w:hint="eastAsia" w:ascii="宋体" w:hAnsi="宋体" w:cs="宋体"/>
                <w:color w:val="000000"/>
                <w:lang w:eastAsia="zh-CN" w:bidi="ar"/>
              </w:rPr>
              <w:t>金羊</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11D2C0">
            <w:pPr>
              <w:jc w:val="center"/>
              <w:rPr>
                <w:rFonts w:ascii="宋体" w:hAnsi="宋体" w:cs="宋体"/>
                <w:color w:val="FF0000"/>
              </w:rPr>
            </w:pPr>
          </w:p>
        </w:tc>
      </w:tr>
      <w:tr w14:paraId="51C5D692">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63190">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7BDD0">
            <w:pPr>
              <w:textAlignment w:val="center"/>
              <w:rPr>
                <w:rFonts w:ascii="宋体" w:hAnsi="宋体" w:cs="宋体"/>
                <w:color w:val="000000"/>
                <w:lang w:eastAsia="zh-CN"/>
              </w:rPr>
            </w:pPr>
            <w:r>
              <w:rPr>
                <w:rFonts w:hint="eastAsia" w:ascii="宋体" w:hAnsi="宋体" w:cs="宋体"/>
                <w:color w:val="000000"/>
                <w:lang w:eastAsia="zh-CN" w:bidi="ar"/>
              </w:rPr>
              <w:t>深圳市民乐管业有限公司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ED851">
            <w:pPr>
              <w:jc w:val="center"/>
              <w:textAlignment w:val="center"/>
              <w:rPr>
                <w:rFonts w:ascii="宋体" w:hAnsi="宋体" w:cs="宋体"/>
                <w:color w:val="000000"/>
              </w:rPr>
            </w:pPr>
            <w:r>
              <w:rPr>
                <w:rFonts w:hint="eastAsia" w:ascii="宋体" w:hAnsi="宋体" w:cs="宋体"/>
                <w:color w:val="000000"/>
                <w:lang w:eastAsia="zh-CN" w:bidi="ar"/>
              </w:rPr>
              <w:t>民乐</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FC6C59">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66F114EA">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655AD">
            <w:pPr>
              <w:jc w:val="center"/>
              <w:textAlignment w:val="center"/>
              <w:rPr>
                <w:rFonts w:ascii="宋体" w:hAnsi="宋体" w:cs="宋体"/>
                <w:color w:val="000000"/>
              </w:rPr>
            </w:pPr>
            <w:r>
              <w:rPr>
                <w:rFonts w:hint="eastAsia" w:ascii="宋体" w:hAnsi="宋体" w:cs="宋体"/>
                <w:color w:val="000000"/>
                <w:lang w:eastAsia="zh-CN" w:bidi="ar"/>
              </w:rPr>
              <w:t>5</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F586F">
            <w:pPr>
              <w:textAlignment w:val="center"/>
              <w:rPr>
                <w:rFonts w:ascii="宋体" w:hAnsi="宋体" w:cs="宋体"/>
                <w:color w:val="000000"/>
                <w:lang w:eastAsia="zh-CN"/>
              </w:rPr>
            </w:pPr>
            <w:r>
              <w:rPr>
                <w:rFonts w:hint="eastAsia" w:ascii="宋体" w:hAnsi="宋体" w:cs="宋体"/>
                <w:color w:val="000000"/>
                <w:lang w:eastAsia="zh-CN" w:bidi="ar"/>
              </w:rPr>
              <w:t>广东联塑科技实业有限公司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44547">
            <w:pPr>
              <w:jc w:val="center"/>
              <w:textAlignment w:val="center"/>
              <w:rPr>
                <w:rFonts w:ascii="宋体" w:hAnsi="宋体" w:cs="宋体"/>
                <w:color w:val="000000"/>
              </w:rPr>
            </w:pPr>
            <w:r>
              <w:rPr>
                <w:rFonts w:hint="eastAsia" w:ascii="宋体" w:hAnsi="宋体" w:cs="宋体"/>
                <w:color w:val="000000"/>
                <w:lang w:eastAsia="zh-CN" w:bidi="ar"/>
              </w:rPr>
              <w:t>联塑</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66FD81">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4877B9A3">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1356C8E">
            <w:pPr>
              <w:textAlignment w:val="center"/>
              <w:rPr>
                <w:rFonts w:ascii="宋体" w:hAnsi="宋体" w:cs="宋体"/>
                <w:b/>
                <w:bCs/>
                <w:color w:val="000000"/>
              </w:rPr>
            </w:pPr>
            <w:r>
              <w:rPr>
                <w:rFonts w:hint="eastAsia" w:ascii="宋体" w:hAnsi="宋体" w:cs="宋体"/>
                <w:b/>
                <w:bCs/>
                <w:color w:val="000000"/>
                <w:lang w:eastAsia="zh-CN" w:bidi="ar"/>
              </w:rPr>
              <w:t>（7）钢塑复合管</w:t>
            </w:r>
          </w:p>
        </w:tc>
      </w:tr>
      <w:tr w14:paraId="32D44C4B">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31EED">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78573">
            <w:pPr>
              <w:textAlignment w:val="center"/>
              <w:rPr>
                <w:rFonts w:ascii="宋体" w:hAnsi="宋体" w:cs="宋体"/>
                <w:color w:val="000000"/>
                <w:lang w:eastAsia="zh-CN"/>
              </w:rPr>
            </w:pPr>
            <w:r>
              <w:rPr>
                <w:rFonts w:hint="eastAsia" w:ascii="宋体" w:hAnsi="宋体" w:cs="宋体"/>
                <w:color w:val="000000"/>
                <w:lang w:eastAsia="zh-CN" w:bidi="ar"/>
              </w:rPr>
              <w:t>广东华捷钢管实业有限公司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CB005">
            <w:pPr>
              <w:jc w:val="center"/>
              <w:textAlignment w:val="center"/>
              <w:rPr>
                <w:rFonts w:ascii="宋体" w:hAnsi="宋体" w:cs="宋体"/>
                <w:color w:val="000000"/>
              </w:rPr>
            </w:pPr>
            <w:r>
              <w:rPr>
                <w:rFonts w:hint="eastAsia" w:ascii="宋体" w:hAnsi="宋体" w:cs="宋体"/>
                <w:color w:val="000000"/>
                <w:lang w:eastAsia="zh-CN" w:bidi="ar"/>
              </w:rPr>
              <w:t>华捷</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2AC811">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50257E37">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8E6B1">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0580A">
            <w:pPr>
              <w:textAlignment w:val="center"/>
              <w:rPr>
                <w:rFonts w:ascii="宋体" w:hAnsi="宋体" w:cs="宋体"/>
                <w:color w:val="000000"/>
                <w:lang w:eastAsia="zh-CN"/>
              </w:rPr>
            </w:pPr>
            <w:r>
              <w:rPr>
                <w:rFonts w:hint="eastAsia" w:ascii="宋体" w:hAnsi="宋体" w:cs="宋体"/>
                <w:color w:val="000000"/>
                <w:lang w:eastAsia="zh-CN" w:bidi="ar"/>
              </w:rPr>
              <w:t>广东穗生管业有限公司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06B43">
            <w:pPr>
              <w:jc w:val="center"/>
              <w:textAlignment w:val="center"/>
              <w:rPr>
                <w:rFonts w:ascii="宋体" w:hAnsi="宋体" w:cs="宋体"/>
                <w:color w:val="000000"/>
              </w:rPr>
            </w:pPr>
            <w:r>
              <w:rPr>
                <w:rFonts w:hint="eastAsia" w:ascii="宋体" w:hAnsi="宋体" w:cs="宋体"/>
                <w:color w:val="000000"/>
                <w:lang w:eastAsia="zh-CN" w:bidi="ar"/>
              </w:rPr>
              <w:t>穗生</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7F23DF">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1A79691C">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37FEC">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AB0FE">
            <w:pPr>
              <w:textAlignment w:val="center"/>
              <w:rPr>
                <w:rFonts w:ascii="宋体" w:hAnsi="宋体" w:cs="宋体"/>
                <w:color w:val="000000"/>
                <w:lang w:eastAsia="zh-CN"/>
              </w:rPr>
            </w:pPr>
            <w:r>
              <w:rPr>
                <w:rFonts w:hint="eastAsia" w:ascii="宋体" w:hAnsi="宋体" w:cs="宋体"/>
                <w:color w:val="000000"/>
                <w:lang w:eastAsia="zh-CN" w:bidi="ar"/>
              </w:rPr>
              <w:t>广东荣钢管道科技有限公司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E9582">
            <w:pPr>
              <w:jc w:val="center"/>
              <w:textAlignment w:val="center"/>
              <w:rPr>
                <w:rFonts w:ascii="宋体" w:hAnsi="宋体" w:cs="宋体"/>
                <w:color w:val="000000"/>
              </w:rPr>
            </w:pPr>
            <w:r>
              <w:rPr>
                <w:rFonts w:hint="eastAsia" w:ascii="宋体" w:hAnsi="宋体" w:cs="宋体"/>
                <w:color w:val="000000"/>
                <w:lang w:eastAsia="zh-CN" w:bidi="ar"/>
              </w:rPr>
              <w:t>荣钢</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B10241">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781C1CBA">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86938">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3CFB5">
            <w:pPr>
              <w:textAlignment w:val="center"/>
              <w:rPr>
                <w:rFonts w:ascii="宋体" w:hAnsi="宋体" w:cs="宋体"/>
                <w:color w:val="000000"/>
                <w:lang w:eastAsia="zh-CN"/>
              </w:rPr>
            </w:pPr>
            <w:r>
              <w:rPr>
                <w:rFonts w:hint="eastAsia" w:ascii="宋体" w:hAnsi="宋体" w:cs="宋体"/>
                <w:color w:val="000000"/>
                <w:lang w:eastAsia="zh-CN" w:bidi="ar"/>
              </w:rPr>
              <w:t>广东联塑科技实业有限公司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AE64C">
            <w:pPr>
              <w:jc w:val="center"/>
              <w:textAlignment w:val="center"/>
              <w:rPr>
                <w:rFonts w:ascii="宋体" w:hAnsi="宋体" w:cs="宋体"/>
                <w:color w:val="000000"/>
              </w:rPr>
            </w:pPr>
            <w:r>
              <w:rPr>
                <w:rFonts w:hint="eastAsia" w:ascii="宋体" w:hAnsi="宋体" w:cs="宋体"/>
                <w:color w:val="000000"/>
                <w:lang w:eastAsia="zh-CN" w:bidi="ar"/>
              </w:rPr>
              <w:t>联塑</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9D1D5A">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2D9E3830">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4C2AC31">
            <w:pPr>
              <w:textAlignment w:val="center"/>
              <w:rPr>
                <w:rFonts w:ascii="宋体" w:hAnsi="宋体" w:cs="宋体"/>
                <w:b/>
                <w:bCs/>
                <w:color w:val="000000"/>
              </w:rPr>
            </w:pPr>
            <w:r>
              <w:rPr>
                <w:rFonts w:hint="eastAsia" w:ascii="宋体" w:hAnsi="宋体" w:cs="宋体"/>
                <w:b/>
                <w:bCs/>
                <w:color w:val="000000"/>
                <w:lang w:eastAsia="zh-CN" w:bidi="ar"/>
              </w:rPr>
              <w:t>（8）球墨铸铁管</w:t>
            </w:r>
          </w:p>
        </w:tc>
      </w:tr>
      <w:tr w14:paraId="6A4E9B32">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964F8">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CA69F">
            <w:pPr>
              <w:textAlignment w:val="center"/>
              <w:rPr>
                <w:rFonts w:ascii="宋体" w:hAnsi="宋体" w:cs="宋体"/>
                <w:color w:val="000000"/>
                <w:lang w:eastAsia="zh-CN"/>
              </w:rPr>
            </w:pPr>
            <w:r>
              <w:rPr>
                <w:rFonts w:hint="eastAsia" w:ascii="宋体" w:hAnsi="宋体" w:cs="宋体"/>
                <w:color w:val="000000"/>
                <w:lang w:eastAsia="zh-CN" w:bidi="ar"/>
              </w:rPr>
              <w:t>新兴铸管股份有限公司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26EFA">
            <w:pPr>
              <w:jc w:val="center"/>
              <w:textAlignment w:val="center"/>
              <w:rPr>
                <w:rFonts w:ascii="宋体" w:hAnsi="宋体" w:cs="宋体"/>
                <w:color w:val="000000"/>
              </w:rPr>
            </w:pPr>
            <w:r>
              <w:rPr>
                <w:rFonts w:hint="eastAsia" w:ascii="宋体" w:hAnsi="宋体" w:cs="宋体"/>
                <w:color w:val="000000"/>
                <w:lang w:eastAsia="zh-CN" w:bidi="ar"/>
              </w:rPr>
              <w:t>新兴</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743737">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328457B3">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9901A">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9D7BB">
            <w:pPr>
              <w:textAlignment w:val="center"/>
              <w:rPr>
                <w:rFonts w:ascii="宋体" w:hAnsi="宋体" w:cs="宋体"/>
                <w:color w:val="000000"/>
                <w:lang w:eastAsia="zh-CN"/>
              </w:rPr>
            </w:pPr>
            <w:r>
              <w:rPr>
                <w:rFonts w:hint="eastAsia" w:ascii="宋体" w:hAnsi="宋体" w:cs="宋体"/>
                <w:color w:val="000000"/>
                <w:lang w:eastAsia="zh-CN" w:bidi="ar"/>
              </w:rPr>
              <w:t>福建台明铸管科技股份有限公司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B4D37">
            <w:pPr>
              <w:jc w:val="center"/>
              <w:textAlignment w:val="center"/>
              <w:rPr>
                <w:rFonts w:ascii="宋体" w:hAnsi="宋体" w:cs="宋体"/>
                <w:color w:val="000000"/>
              </w:rPr>
            </w:pPr>
            <w:r>
              <w:rPr>
                <w:rFonts w:hint="eastAsia" w:ascii="宋体" w:hAnsi="宋体" w:cs="宋体"/>
                <w:color w:val="000000"/>
                <w:lang w:eastAsia="zh-CN" w:bidi="ar"/>
              </w:rPr>
              <w:t>台明</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FE9EA8">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24AFE461">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54F2C">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64F75">
            <w:pPr>
              <w:textAlignment w:val="center"/>
              <w:rPr>
                <w:rFonts w:ascii="宋体" w:hAnsi="宋体" w:cs="宋体"/>
                <w:color w:val="000000"/>
                <w:lang w:eastAsia="zh-CN"/>
              </w:rPr>
            </w:pPr>
            <w:r>
              <w:rPr>
                <w:rFonts w:hint="eastAsia" w:ascii="宋体" w:hAnsi="宋体" w:cs="宋体"/>
                <w:color w:val="000000"/>
                <w:lang w:eastAsia="zh-CN" w:bidi="ar"/>
              </w:rPr>
              <w:t>广州市骏通建材有限公司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0EE9D">
            <w:pPr>
              <w:jc w:val="center"/>
              <w:textAlignment w:val="center"/>
              <w:rPr>
                <w:rFonts w:ascii="宋体" w:hAnsi="宋体" w:cs="宋体"/>
                <w:color w:val="000000"/>
              </w:rPr>
            </w:pPr>
            <w:r>
              <w:rPr>
                <w:rFonts w:hint="eastAsia" w:ascii="宋体" w:hAnsi="宋体" w:cs="宋体"/>
                <w:color w:val="000000"/>
                <w:lang w:eastAsia="zh-CN" w:bidi="ar"/>
              </w:rPr>
              <w:t>骏通</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F3C449">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4ED00DAF">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C62FE">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1EC1A">
            <w:pPr>
              <w:textAlignment w:val="center"/>
              <w:rPr>
                <w:rFonts w:ascii="宋体" w:hAnsi="宋体" w:cs="宋体"/>
                <w:color w:val="000000"/>
                <w:lang w:eastAsia="zh-CN"/>
              </w:rPr>
            </w:pPr>
            <w:r>
              <w:rPr>
                <w:rFonts w:hint="eastAsia" w:ascii="宋体" w:hAnsi="宋体" w:cs="宋体"/>
                <w:color w:val="000000"/>
                <w:lang w:eastAsia="zh-CN" w:bidi="ar"/>
              </w:rPr>
              <w:t>泽州金秋铸造有限责任有限公司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537B9">
            <w:pPr>
              <w:jc w:val="center"/>
              <w:textAlignment w:val="center"/>
              <w:rPr>
                <w:rFonts w:ascii="宋体" w:hAnsi="宋体" w:cs="宋体"/>
                <w:color w:val="000000"/>
              </w:rPr>
            </w:pPr>
            <w:r>
              <w:rPr>
                <w:rFonts w:hint="eastAsia" w:ascii="宋体" w:hAnsi="宋体" w:cs="宋体"/>
                <w:color w:val="000000"/>
                <w:lang w:eastAsia="zh-CN" w:bidi="ar"/>
              </w:rPr>
              <w:t>金秋</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6486C6">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638D0E59">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B1E40">
            <w:pPr>
              <w:jc w:val="center"/>
              <w:textAlignment w:val="center"/>
              <w:rPr>
                <w:rFonts w:ascii="宋体" w:hAnsi="宋体" w:cs="宋体"/>
                <w:color w:val="000000"/>
              </w:rPr>
            </w:pPr>
            <w:r>
              <w:rPr>
                <w:rFonts w:hint="eastAsia" w:ascii="宋体" w:hAnsi="宋体" w:cs="宋体"/>
                <w:color w:val="000000"/>
                <w:lang w:eastAsia="zh-CN" w:bidi="ar"/>
              </w:rPr>
              <w:t>5</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AA930">
            <w:pPr>
              <w:textAlignment w:val="center"/>
              <w:rPr>
                <w:rFonts w:ascii="宋体" w:hAnsi="宋体" w:cs="宋体"/>
                <w:color w:val="000000"/>
                <w:lang w:eastAsia="zh-CN"/>
              </w:rPr>
            </w:pPr>
            <w:r>
              <w:rPr>
                <w:rFonts w:hint="eastAsia" w:ascii="宋体" w:hAnsi="宋体" w:cs="宋体"/>
                <w:color w:val="000000"/>
                <w:lang w:eastAsia="zh-CN" w:bidi="ar"/>
              </w:rPr>
              <w:t>高平市泫氏铸管有限公司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74503">
            <w:pPr>
              <w:jc w:val="center"/>
              <w:textAlignment w:val="center"/>
              <w:rPr>
                <w:rFonts w:ascii="宋体" w:hAnsi="宋体" w:cs="宋体"/>
                <w:color w:val="000000"/>
              </w:rPr>
            </w:pPr>
            <w:r>
              <w:rPr>
                <w:rFonts w:hint="eastAsia" w:ascii="宋体" w:hAnsi="宋体" w:cs="宋体"/>
                <w:color w:val="000000"/>
                <w:lang w:eastAsia="zh-CN" w:bidi="ar"/>
              </w:rPr>
              <w:t>泫氏</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6EE08E">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432E904E">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15868BA">
            <w:pPr>
              <w:textAlignment w:val="center"/>
              <w:rPr>
                <w:rFonts w:ascii="宋体" w:hAnsi="宋体" w:cs="宋体"/>
                <w:b/>
                <w:bCs/>
                <w:color w:val="000000"/>
              </w:rPr>
            </w:pPr>
            <w:r>
              <w:rPr>
                <w:rFonts w:hint="eastAsia" w:ascii="宋体" w:hAnsi="宋体" w:cs="宋体"/>
                <w:b/>
                <w:bCs/>
                <w:color w:val="000000"/>
                <w:lang w:eastAsia="zh-CN" w:bidi="ar"/>
              </w:rPr>
              <w:t>6. 抗震支吊架</w:t>
            </w:r>
          </w:p>
        </w:tc>
      </w:tr>
      <w:tr w14:paraId="66593A78">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BDF97">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6CF51">
            <w:pPr>
              <w:textAlignment w:val="center"/>
              <w:rPr>
                <w:rFonts w:ascii="宋体" w:hAnsi="宋体" w:cs="宋体"/>
                <w:color w:val="000000"/>
                <w:lang w:eastAsia="zh-CN"/>
              </w:rPr>
            </w:pPr>
            <w:r>
              <w:rPr>
                <w:rFonts w:hint="eastAsia" w:ascii="宋体" w:hAnsi="宋体" w:cs="宋体"/>
                <w:color w:val="000000"/>
                <w:lang w:eastAsia="zh-CN" w:bidi="ar"/>
              </w:rPr>
              <w:t>广州华侨振动控制科技有限公司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8FA6E7">
            <w:pPr>
              <w:jc w:val="center"/>
              <w:textAlignment w:val="center"/>
              <w:rPr>
                <w:rFonts w:ascii="宋体" w:hAnsi="宋体" w:cs="宋体"/>
                <w:color w:val="000000"/>
              </w:rPr>
            </w:pPr>
            <w:r>
              <w:rPr>
                <w:rFonts w:hint="eastAsia" w:ascii="宋体" w:hAnsi="宋体" w:cs="宋体"/>
                <w:color w:val="000000"/>
                <w:lang w:eastAsia="zh-CN" w:bidi="ar"/>
              </w:rPr>
              <w:t>华侨振动</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913CFB">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4A20739A">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98250">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30624">
            <w:pPr>
              <w:textAlignment w:val="center"/>
              <w:rPr>
                <w:rFonts w:ascii="宋体" w:hAnsi="宋体" w:cs="宋体"/>
                <w:color w:val="000000"/>
                <w:lang w:eastAsia="zh-CN"/>
              </w:rPr>
            </w:pPr>
            <w:r>
              <w:rPr>
                <w:rFonts w:hint="eastAsia" w:ascii="宋体" w:hAnsi="宋体" w:cs="宋体"/>
                <w:color w:val="000000"/>
                <w:lang w:eastAsia="zh-CN" w:bidi="ar"/>
              </w:rPr>
              <w:t>广州市派来固建筑科技有限公司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90753A">
            <w:pPr>
              <w:jc w:val="center"/>
              <w:textAlignment w:val="center"/>
              <w:rPr>
                <w:rFonts w:ascii="宋体" w:hAnsi="宋体" w:cs="宋体"/>
                <w:color w:val="000000"/>
              </w:rPr>
            </w:pPr>
            <w:r>
              <w:rPr>
                <w:rFonts w:hint="eastAsia" w:ascii="宋体" w:hAnsi="宋体" w:cs="宋体"/>
                <w:color w:val="000000"/>
                <w:lang w:eastAsia="zh-CN" w:bidi="ar"/>
              </w:rPr>
              <w:t>派来固</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BC71A5">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44B63A6B">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2F8DF">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09F05">
            <w:pPr>
              <w:textAlignment w:val="center"/>
              <w:rPr>
                <w:rFonts w:ascii="宋体" w:hAnsi="宋体" w:cs="宋体"/>
                <w:color w:val="000000"/>
                <w:lang w:eastAsia="zh-CN"/>
              </w:rPr>
            </w:pPr>
            <w:r>
              <w:rPr>
                <w:rFonts w:hint="eastAsia" w:ascii="宋体" w:hAnsi="宋体" w:cs="宋体"/>
                <w:color w:val="000000"/>
                <w:lang w:eastAsia="zh-CN" w:bidi="ar"/>
              </w:rPr>
              <w:t>广州市麦臣建筑材料有限公司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129E1B">
            <w:pPr>
              <w:jc w:val="center"/>
              <w:textAlignment w:val="center"/>
              <w:rPr>
                <w:rFonts w:ascii="宋体" w:hAnsi="宋体" w:cs="宋体"/>
                <w:color w:val="000000"/>
              </w:rPr>
            </w:pPr>
            <w:r>
              <w:rPr>
                <w:rFonts w:hint="eastAsia" w:ascii="宋体" w:hAnsi="宋体" w:cs="宋体"/>
                <w:color w:val="000000"/>
                <w:lang w:eastAsia="zh-CN" w:bidi="ar"/>
              </w:rPr>
              <w:t>麦臣</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DBF7E6">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5CCE7A99">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AAD32">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E0557">
            <w:pPr>
              <w:textAlignment w:val="center"/>
              <w:rPr>
                <w:rFonts w:ascii="宋体" w:hAnsi="宋体" w:cs="宋体"/>
                <w:color w:val="000000"/>
                <w:lang w:eastAsia="zh-CN"/>
              </w:rPr>
            </w:pPr>
            <w:r>
              <w:rPr>
                <w:rFonts w:hint="eastAsia" w:ascii="宋体" w:hAnsi="宋体" w:cs="宋体"/>
                <w:color w:val="000000"/>
                <w:lang w:eastAsia="zh-CN" w:bidi="ar"/>
              </w:rPr>
              <w:t>广州图固建筑科技有限公司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D85568">
            <w:pPr>
              <w:jc w:val="center"/>
              <w:textAlignment w:val="center"/>
              <w:rPr>
                <w:rFonts w:ascii="宋体" w:hAnsi="宋体" w:cs="宋体"/>
                <w:color w:val="000000"/>
              </w:rPr>
            </w:pPr>
            <w:r>
              <w:rPr>
                <w:rFonts w:hint="eastAsia" w:ascii="宋体" w:hAnsi="宋体" w:cs="宋体"/>
                <w:color w:val="000000"/>
                <w:lang w:eastAsia="zh-CN" w:bidi="ar"/>
              </w:rPr>
              <w:t>图固TUGOE</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9F4814">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71E9125B">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03039">
            <w:pPr>
              <w:jc w:val="center"/>
              <w:textAlignment w:val="center"/>
              <w:rPr>
                <w:rFonts w:ascii="宋体" w:hAnsi="宋体" w:cs="宋体"/>
                <w:color w:val="000000"/>
              </w:rPr>
            </w:pPr>
            <w:r>
              <w:rPr>
                <w:rFonts w:hint="eastAsia" w:ascii="宋体" w:hAnsi="宋体" w:cs="宋体"/>
                <w:color w:val="000000"/>
                <w:lang w:eastAsia="zh-CN" w:bidi="ar"/>
              </w:rPr>
              <w:t>5</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1F8D4">
            <w:pPr>
              <w:textAlignment w:val="center"/>
              <w:rPr>
                <w:rFonts w:ascii="宋体" w:hAnsi="宋体" w:cs="宋体"/>
                <w:color w:val="000000"/>
                <w:lang w:eastAsia="zh-CN"/>
              </w:rPr>
            </w:pPr>
            <w:r>
              <w:rPr>
                <w:rFonts w:hint="eastAsia" w:ascii="宋体" w:hAnsi="宋体" w:cs="宋体"/>
                <w:color w:val="000000"/>
                <w:lang w:eastAsia="zh-CN" w:bidi="ar"/>
              </w:rPr>
              <w:t>广州市泰昌实业有限公司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3B4BCF">
            <w:pPr>
              <w:jc w:val="center"/>
              <w:textAlignment w:val="center"/>
              <w:rPr>
                <w:rFonts w:ascii="宋体" w:hAnsi="宋体" w:cs="宋体"/>
                <w:color w:val="000000"/>
              </w:rPr>
            </w:pPr>
            <w:r>
              <w:rPr>
                <w:rFonts w:hint="eastAsia" w:ascii="宋体" w:hAnsi="宋体" w:cs="宋体"/>
                <w:color w:val="000000"/>
                <w:lang w:eastAsia="zh-CN" w:bidi="ar"/>
              </w:rPr>
              <w:t>泰昌</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6342B5">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20898335">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95C9E55">
            <w:pPr>
              <w:textAlignment w:val="center"/>
              <w:rPr>
                <w:rFonts w:ascii="宋体" w:hAnsi="宋体" w:cs="宋体"/>
                <w:b/>
                <w:bCs/>
                <w:color w:val="000000"/>
              </w:rPr>
            </w:pPr>
            <w:r>
              <w:rPr>
                <w:rFonts w:hint="eastAsia" w:ascii="宋体" w:hAnsi="宋体" w:cs="宋体"/>
                <w:b/>
                <w:bCs/>
                <w:color w:val="000000"/>
                <w:lang w:eastAsia="zh-CN" w:bidi="ar"/>
              </w:rPr>
              <w:t>7. 不锈钢水箱</w:t>
            </w:r>
          </w:p>
        </w:tc>
      </w:tr>
      <w:tr w14:paraId="66DE99E8">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A8527">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0579D">
            <w:pPr>
              <w:textAlignment w:val="center"/>
              <w:rPr>
                <w:rFonts w:ascii="宋体" w:hAnsi="宋体" w:cs="宋体"/>
                <w:color w:val="000000"/>
                <w:lang w:eastAsia="zh-CN"/>
              </w:rPr>
            </w:pPr>
            <w:r>
              <w:rPr>
                <w:rFonts w:hint="eastAsia" w:ascii="宋体" w:hAnsi="宋体" w:cs="宋体"/>
                <w:color w:val="000000"/>
                <w:lang w:eastAsia="zh-CN" w:bidi="ar"/>
              </w:rPr>
              <w:t>广州市白云泵业集团有限公司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A9BC8">
            <w:pPr>
              <w:jc w:val="center"/>
              <w:textAlignment w:val="center"/>
              <w:rPr>
                <w:rFonts w:ascii="宋体" w:hAnsi="宋体" w:cs="宋体"/>
                <w:color w:val="000000"/>
              </w:rPr>
            </w:pPr>
            <w:r>
              <w:rPr>
                <w:rFonts w:hint="eastAsia" w:ascii="宋体" w:hAnsi="宋体" w:cs="宋体"/>
                <w:color w:val="000000"/>
                <w:lang w:eastAsia="zh-CN" w:bidi="ar"/>
              </w:rPr>
              <w:t>白云</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E504C9">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2849B352">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6B891">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DBE20">
            <w:pPr>
              <w:textAlignment w:val="center"/>
              <w:rPr>
                <w:rFonts w:ascii="宋体" w:hAnsi="宋体" w:cs="宋体"/>
                <w:color w:val="000000"/>
                <w:lang w:eastAsia="zh-CN"/>
              </w:rPr>
            </w:pPr>
            <w:r>
              <w:rPr>
                <w:rFonts w:hint="eastAsia" w:ascii="宋体" w:hAnsi="宋体" w:cs="宋体"/>
                <w:color w:val="000000"/>
                <w:lang w:eastAsia="zh-CN" w:bidi="ar"/>
              </w:rPr>
              <w:t>广州市百福电气设备有限公司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A70EB">
            <w:pPr>
              <w:jc w:val="center"/>
              <w:textAlignment w:val="center"/>
              <w:rPr>
                <w:rFonts w:ascii="宋体" w:hAnsi="宋体" w:cs="宋体"/>
                <w:color w:val="000000"/>
              </w:rPr>
            </w:pPr>
            <w:r>
              <w:rPr>
                <w:rFonts w:hint="eastAsia" w:ascii="宋体" w:hAnsi="宋体" w:cs="宋体"/>
                <w:color w:val="000000"/>
                <w:lang w:eastAsia="zh-CN" w:bidi="ar"/>
              </w:rPr>
              <w:t>百德福</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6CA7C8">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02158013">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287C6">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CFF91">
            <w:pPr>
              <w:textAlignment w:val="center"/>
              <w:rPr>
                <w:rFonts w:ascii="宋体" w:hAnsi="宋体" w:cs="宋体"/>
                <w:color w:val="000000"/>
                <w:lang w:eastAsia="zh-CN"/>
              </w:rPr>
            </w:pPr>
            <w:r>
              <w:rPr>
                <w:rFonts w:hint="eastAsia" w:ascii="宋体" w:hAnsi="宋体" w:cs="宋体"/>
                <w:color w:val="000000"/>
                <w:lang w:eastAsia="zh-CN" w:bidi="ar"/>
              </w:rPr>
              <w:t>广州恒德环保科技有限公司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4917C">
            <w:pPr>
              <w:jc w:val="center"/>
              <w:textAlignment w:val="center"/>
              <w:rPr>
                <w:rFonts w:ascii="宋体" w:hAnsi="宋体" w:cs="宋体"/>
                <w:color w:val="000000"/>
              </w:rPr>
            </w:pPr>
            <w:r>
              <w:rPr>
                <w:rFonts w:hint="eastAsia" w:ascii="宋体" w:hAnsi="宋体" w:cs="宋体"/>
                <w:color w:val="000000"/>
                <w:lang w:eastAsia="zh-CN" w:bidi="ar"/>
              </w:rPr>
              <w:t>恒德</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5BB631">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38589B24">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01170">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52026">
            <w:pPr>
              <w:textAlignment w:val="center"/>
              <w:rPr>
                <w:rFonts w:ascii="宋体" w:hAnsi="宋体" w:cs="宋体"/>
                <w:color w:val="000000"/>
                <w:lang w:eastAsia="zh-CN"/>
              </w:rPr>
            </w:pPr>
            <w:r>
              <w:rPr>
                <w:rFonts w:hint="eastAsia" w:ascii="宋体" w:hAnsi="宋体" w:cs="宋体"/>
                <w:color w:val="000000"/>
                <w:lang w:eastAsia="zh-CN" w:bidi="ar"/>
              </w:rPr>
              <w:t>广州市尚信环保股份有限公司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9F2AA">
            <w:pPr>
              <w:jc w:val="center"/>
              <w:textAlignment w:val="center"/>
              <w:rPr>
                <w:rFonts w:ascii="宋体" w:hAnsi="宋体" w:cs="宋体"/>
                <w:color w:val="000000"/>
              </w:rPr>
            </w:pPr>
            <w:r>
              <w:rPr>
                <w:rFonts w:hint="eastAsia" w:ascii="宋体" w:hAnsi="宋体" w:cs="宋体"/>
                <w:color w:val="000000"/>
                <w:lang w:eastAsia="zh-CN" w:bidi="ar"/>
              </w:rPr>
              <w:t>尚志信</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D3C151">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0CA01219">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6F748">
            <w:pPr>
              <w:jc w:val="center"/>
              <w:textAlignment w:val="center"/>
              <w:rPr>
                <w:rFonts w:ascii="宋体" w:hAnsi="宋体" w:cs="宋体"/>
                <w:color w:val="000000"/>
              </w:rPr>
            </w:pPr>
            <w:r>
              <w:rPr>
                <w:rFonts w:hint="eastAsia" w:ascii="宋体" w:hAnsi="宋体" w:cs="宋体"/>
                <w:color w:val="000000"/>
                <w:lang w:eastAsia="zh-CN" w:bidi="ar"/>
              </w:rPr>
              <w:t>5</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E5618">
            <w:pPr>
              <w:textAlignment w:val="center"/>
              <w:rPr>
                <w:rFonts w:ascii="宋体" w:hAnsi="宋体" w:cs="宋体"/>
                <w:color w:val="000000"/>
                <w:lang w:eastAsia="zh-CN"/>
              </w:rPr>
            </w:pPr>
            <w:r>
              <w:rPr>
                <w:rFonts w:hint="eastAsia" w:ascii="宋体" w:hAnsi="宋体" w:cs="宋体"/>
                <w:color w:val="000000"/>
                <w:lang w:eastAsia="zh-CN" w:bidi="ar"/>
              </w:rPr>
              <w:t>佛山市恒沃环保设备有限公司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256A7">
            <w:pPr>
              <w:jc w:val="center"/>
              <w:textAlignment w:val="center"/>
              <w:rPr>
                <w:rFonts w:ascii="宋体" w:hAnsi="宋体" w:cs="宋体"/>
                <w:color w:val="000000"/>
              </w:rPr>
            </w:pPr>
            <w:r>
              <w:rPr>
                <w:rFonts w:hint="eastAsia" w:ascii="宋体" w:hAnsi="宋体" w:cs="宋体"/>
                <w:color w:val="000000"/>
                <w:lang w:eastAsia="zh-CN" w:bidi="ar"/>
              </w:rPr>
              <w:t>金恒沃</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03E1F8">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0E29066D">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626541C">
            <w:pPr>
              <w:textAlignment w:val="center"/>
              <w:rPr>
                <w:rFonts w:ascii="宋体" w:hAnsi="宋体" w:cs="宋体"/>
                <w:b/>
                <w:bCs/>
                <w:color w:val="000000"/>
              </w:rPr>
            </w:pPr>
            <w:r>
              <w:rPr>
                <w:rFonts w:hint="eastAsia" w:ascii="宋体" w:hAnsi="宋体" w:cs="宋体"/>
                <w:b/>
                <w:bCs/>
                <w:color w:val="000000"/>
                <w:lang w:eastAsia="zh-CN" w:bidi="ar"/>
              </w:rPr>
              <w:t>（三）消防材料设备</w:t>
            </w:r>
          </w:p>
        </w:tc>
      </w:tr>
      <w:tr w14:paraId="3FEBE7D1">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279B7A4">
            <w:pPr>
              <w:textAlignment w:val="center"/>
              <w:rPr>
                <w:rFonts w:ascii="宋体" w:hAnsi="宋体" w:cs="宋体"/>
                <w:b/>
                <w:bCs/>
                <w:color w:val="000000"/>
              </w:rPr>
            </w:pPr>
            <w:r>
              <w:rPr>
                <w:rFonts w:hint="eastAsia" w:ascii="宋体" w:hAnsi="宋体" w:cs="宋体"/>
                <w:b/>
                <w:bCs/>
                <w:color w:val="000000"/>
                <w:lang w:eastAsia="zh-CN" w:bidi="ar"/>
              </w:rPr>
              <w:t>1. 消防水泵及控制柜</w:t>
            </w:r>
          </w:p>
        </w:tc>
      </w:tr>
      <w:tr w14:paraId="4D4BC00A">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39B5C">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762D3">
            <w:pPr>
              <w:textAlignment w:val="center"/>
              <w:rPr>
                <w:rFonts w:ascii="宋体" w:hAnsi="宋体" w:cs="宋体"/>
                <w:color w:val="000000"/>
                <w:lang w:eastAsia="zh-CN"/>
              </w:rPr>
            </w:pPr>
            <w:r>
              <w:rPr>
                <w:rFonts w:hint="eastAsia" w:ascii="宋体" w:hAnsi="宋体" w:cs="宋体"/>
                <w:color w:val="000000"/>
                <w:lang w:eastAsia="zh-CN" w:bidi="ar"/>
              </w:rPr>
              <w:t>山东双轮股份有限公司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44BF3">
            <w:pPr>
              <w:jc w:val="center"/>
              <w:textAlignment w:val="center"/>
              <w:rPr>
                <w:rFonts w:ascii="宋体" w:hAnsi="宋体" w:cs="宋体"/>
                <w:color w:val="000000"/>
              </w:rPr>
            </w:pPr>
            <w:r>
              <w:rPr>
                <w:rFonts w:hint="eastAsia" w:ascii="宋体" w:hAnsi="宋体" w:cs="宋体"/>
                <w:color w:val="000000"/>
                <w:lang w:eastAsia="zh-CN" w:bidi="ar"/>
              </w:rPr>
              <w:t>双轮</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95F07A">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38F36A3C">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6B252">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4C295">
            <w:pPr>
              <w:textAlignment w:val="center"/>
              <w:rPr>
                <w:rFonts w:ascii="宋体" w:hAnsi="宋体" w:cs="宋体"/>
                <w:color w:val="000000"/>
                <w:lang w:eastAsia="zh-CN"/>
              </w:rPr>
            </w:pPr>
            <w:r>
              <w:rPr>
                <w:rFonts w:hint="eastAsia" w:ascii="宋体" w:hAnsi="宋体" w:cs="宋体"/>
                <w:color w:val="000000"/>
                <w:lang w:eastAsia="zh-CN" w:bidi="ar"/>
              </w:rPr>
              <w:t>上海凯泉泵业（集团）有限公司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B7330">
            <w:pPr>
              <w:jc w:val="center"/>
              <w:textAlignment w:val="center"/>
              <w:rPr>
                <w:rFonts w:ascii="宋体" w:hAnsi="宋体" w:cs="宋体"/>
                <w:color w:val="000000"/>
              </w:rPr>
            </w:pPr>
            <w:r>
              <w:rPr>
                <w:rFonts w:hint="eastAsia" w:ascii="宋体" w:hAnsi="宋体" w:cs="宋体"/>
                <w:color w:val="000000"/>
                <w:lang w:eastAsia="zh-CN" w:bidi="ar"/>
              </w:rPr>
              <w:t>凯泉</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2E0E0E">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75C93D96">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15055">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C62C9">
            <w:pPr>
              <w:textAlignment w:val="center"/>
              <w:rPr>
                <w:rFonts w:ascii="宋体" w:hAnsi="宋体" w:cs="宋体"/>
                <w:color w:val="000000"/>
                <w:lang w:eastAsia="zh-CN"/>
              </w:rPr>
            </w:pPr>
            <w:r>
              <w:rPr>
                <w:rFonts w:hint="eastAsia" w:ascii="宋体" w:hAnsi="宋体" w:cs="宋体"/>
                <w:color w:val="000000"/>
                <w:lang w:eastAsia="zh-CN" w:bidi="ar"/>
              </w:rPr>
              <w:t>上海申宝泵业有限公司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D7830">
            <w:pPr>
              <w:jc w:val="center"/>
              <w:textAlignment w:val="center"/>
              <w:rPr>
                <w:rFonts w:ascii="宋体" w:hAnsi="宋体" w:cs="宋体"/>
                <w:color w:val="000000"/>
              </w:rPr>
            </w:pPr>
            <w:r>
              <w:rPr>
                <w:rFonts w:hint="eastAsia" w:ascii="宋体" w:hAnsi="宋体" w:cs="宋体"/>
                <w:color w:val="000000"/>
                <w:lang w:eastAsia="zh-CN" w:bidi="ar"/>
              </w:rPr>
              <w:t>申宝</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B3910C">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1D61E4AF">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A4BEB">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E8ABB">
            <w:pPr>
              <w:textAlignment w:val="center"/>
              <w:rPr>
                <w:rFonts w:ascii="宋体" w:hAnsi="宋体" w:cs="宋体"/>
                <w:color w:val="000000"/>
                <w:lang w:eastAsia="zh-CN"/>
              </w:rPr>
            </w:pPr>
            <w:r>
              <w:rPr>
                <w:rFonts w:hint="eastAsia" w:ascii="宋体" w:hAnsi="宋体" w:cs="宋体"/>
                <w:color w:val="000000"/>
                <w:lang w:eastAsia="zh-CN" w:bidi="ar"/>
              </w:rPr>
              <w:t>广州市白云泵业集团有限公司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95F1D">
            <w:pPr>
              <w:jc w:val="center"/>
              <w:textAlignment w:val="center"/>
              <w:rPr>
                <w:rFonts w:ascii="宋体" w:hAnsi="宋体" w:cs="宋体"/>
                <w:color w:val="000000"/>
              </w:rPr>
            </w:pPr>
            <w:r>
              <w:rPr>
                <w:rFonts w:hint="eastAsia" w:ascii="宋体" w:hAnsi="宋体" w:cs="宋体"/>
                <w:color w:val="000000"/>
                <w:lang w:eastAsia="zh-CN" w:bidi="ar"/>
              </w:rPr>
              <w:t>白云</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345DE6">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2B79054B">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31D60">
            <w:pPr>
              <w:jc w:val="center"/>
              <w:textAlignment w:val="center"/>
              <w:rPr>
                <w:rFonts w:ascii="宋体" w:hAnsi="宋体" w:cs="宋体"/>
                <w:color w:val="000000"/>
              </w:rPr>
            </w:pPr>
            <w:r>
              <w:rPr>
                <w:rFonts w:hint="eastAsia" w:ascii="宋体" w:hAnsi="宋体" w:cs="宋体"/>
                <w:color w:val="000000"/>
                <w:lang w:eastAsia="zh-CN" w:bidi="ar"/>
              </w:rPr>
              <w:t>5</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B5E37">
            <w:pPr>
              <w:textAlignment w:val="center"/>
              <w:rPr>
                <w:rFonts w:ascii="宋体" w:hAnsi="宋体" w:cs="宋体"/>
                <w:color w:val="000000"/>
                <w:lang w:eastAsia="zh-CN"/>
              </w:rPr>
            </w:pPr>
            <w:r>
              <w:rPr>
                <w:rFonts w:hint="eastAsia" w:ascii="宋体" w:hAnsi="宋体" w:cs="宋体"/>
                <w:color w:val="000000"/>
                <w:lang w:eastAsia="zh-CN" w:bidi="ar"/>
              </w:rPr>
              <w:t>广州广一泵业有限公司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2B489">
            <w:pPr>
              <w:jc w:val="center"/>
              <w:textAlignment w:val="center"/>
              <w:rPr>
                <w:rFonts w:ascii="宋体" w:hAnsi="宋体" w:cs="宋体"/>
                <w:color w:val="000000"/>
              </w:rPr>
            </w:pPr>
            <w:r>
              <w:rPr>
                <w:rFonts w:hint="eastAsia" w:ascii="宋体" w:hAnsi="宋体" w:cs="宋体"/>
                <w:color w:val="000000"/>
                <w:lang w:eastAsia="zh-CN" w:bidi="ar"/>
              </w:rPr>
              <w:t>广一</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59D69E">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153D63CF">
        <w:tblPrEx>
          <w:tblCellMar>
            <w:top w:w="0" w:type="dxa"/>
            <w:left w:w="108" w:type="dxa"/>
            <w:bottom w:w="0" w:type="dxa"/>
            <w:right w:w="108" w:type="dxa"/>
          </w:tblCellMar>
        </w:tblPrEx>
        <w:trPr>
          <w:trHeight w:val="738"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E4D92D6">
            <w:pPr>
              <w:textAlignment w:val="center"/>
              <w:rPr>
                <w:rFonts w:ascii="宋体" w:hAnsi="宋体" w:cs="宋体"/>
                <w:b/>
                <w:bCs/>
                <w:color w:val="000000"/>
                <w:lang w:eastAsia="zh-CN"/>
              </w:rPr>
            </w:pPr>
            <w:r>
              <w:rPr>
                <w:rFonts w:hint="eastAsia" w:ascii="宋体" w:hAnsi="宋体" w:cs="宋体"/>
                <w:b/>
                <w:bCs/>
                <w:color w:val="000000"/>
                <w:lang w:eastAsia="zh-CN" w:bidi="ar"/>
              </w:rPr>
              <w:t>2. 消防水阀门（包括各类法兰阀门、丝扣阀、防污截止阀、减压阀、Y型过滤器、信号闸阀、水泵接合器等）</w:t>
            </w:r>
          </w:p>
        </w:tc>
      </w:tr>
      <w:tr w14:paraId="71B82CC9">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7FE10">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DC3EB">
            <w:pPr>
              <w:textAlignment w:val="center"/>
              <w:rPr>
                <w:rFonts w:ascii="宋体" w:hAnsi="宋体" w:cs="宋体"/>
                <w:color w:val="000000"/>
                <w:lang w:eastAsia="zh-CN"/>
              </w:rPr>
            </w:pPr>
            <w:r>
              <w:rPr>
                <w:rFonts w:hint="eastAsia" w:ascii="宋体" w:hAnsi="宋体" w:cs="宋体"/>
                <w:color w:val="000000"/>
                <w:lang w:eastAsia="zh-CN" w:bidi="ar"/>
              </w:rPr>
              <w:t>上海冠龙阀门节能设备股份有限公司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03529">
            <w:pPr>
              <w:jc w:val="center"/>
              <w:textAlignment w:val="center"/>
              <w:rPr>
                <w:rFonts w:ascii="宋体" w:hAnsi="宋体" w:cs="宋体"/>
                <w:color w:val="000000"/>
              </w:rPr>
            </w:pPr>
            <w:r>
              <w:rPr>
                <w:rFonts w:hint="eastAsia" w:ascii="宋体" w:hAnsi="宋体" w:cs="宋体"/>
                <w:color w:val="000000"/>
                <w:lang w:eastAsia="zh-CN" w:bidi="ar"/>
              </w:rPr>
              <w:t>冠龙</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6E7CF2">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1B6DBA64">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1AD27">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A393F">
            <w:pPr>
              <w:textAlignment w:val="center"/>
              <w:rPr>
                <w:rFonts w:ascii="宋体" w:hAnsi="宋体" w:cs="宋体"/>
                <w:color w:val="000000"/>
                <w:lang w:eastAsia="zh-CN"/>
              </w:rPr>
            </w:pPr>
            <w:r>
              <w:rPr>
                <w:rFonts w:hint="eastAsia" w:ascii="宋体" w:hAnsi="宋体" w:cs="宋体"/>
                <w:color w:val="000000"/>
                <w:lang w:eastAsia="zh-CN" w:bidi="ar"/>
              </w:rPr>
              <w:t>正丰阀门集团有限公司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448C4">
            <w:pPr>
              <w:jc w:val="center"/>
              <w:textAlignment w:val="center"/>
              <w:rPr>
                <w:rFonts w:ascii="宋体" w:hAnsi="宋体" w:cs="宋体"/>
                <w:color w:val="000000"/>
              </w:rPr>
            </w:pPr>
            <w:r>
              <w:rPr>
                <w:rFonts w:hint="eastAsia" w:ascii="宋体" w:hAnsi="宋体" w:cs="宋体"/>
                <w:color w:val="000000"/>
                <w:lang w:eastAsia="zh-CN" w:bidi="ar"/>
              </w:rPr>
              <w:t>正丰</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F5909C">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031FD53B">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CA6D1">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5FA6A">
            <w:pPr>
              <w:textAlignment w:val="center"/>
              <w:rPr>
                <w:rFonts w:ascii="宋体" w:hAnsi="宋体" w:cs="宋体"/>
                <w:color w:val="000000"/>
                <w:lang w:eastAsia="zh-CN"/>
              </w:rPr>
            </w:pPr>
            <w:r>
              <w:rPr>
                <w:rFonts w:hint="eastAsia" w:ascii="宋体" w:hAnsi="宋体" w:cs="宋体"/>
                <w:color w:val="000000"/>
                <w:lang w:eastAsia="zh-CN" w:bidi="ar"/>
              </w:rPr>
              <w:t>浙江良精阀门有限公司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40C6E">
            <w:pPr>
              <w:jc w:val="center"/>
              <w:textAlignment w:val="center"/>
              <w:rPr>
                <w:rFonts w:ascii="宋体" w:hAnsi="宋体" w:cs="宋体"/>
                <w:color w:val="000000"/>
              </w:rPr>
            </w:pPr>
            <w:r>
              <w:rPr>
                <w:rFonts w:hint="eastAsia" w:ascii="宋体" w:hAnsi="宋体" w:cs="宋体"/>
                <w:color w:val="000000"/>
                <w:lang w:eastAsia="zh-CN" w:bidi="ar"/>
              </w:rPr>
              <w:t>良精</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9888C5">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4880F703">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BECAA">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12BE2">
            <w:pPr>
              <w:textAlignment w:val="center"/>
              <w:rPr>
                <w:rFonts w:ascii="宋体" w:hAnsi="宋体" w:cs="宋体"/>
                <w:color w:val="000000"/>
                <w:lang w:eastAsia="zh-CN"/>
              </w:rPr>
            </w:pPr>
            <w:r>
              <w:rPr>
                <w:rFonts w:hint="eastAsia" w:ascii="宋体" w:hAnsi="宋体" w:cs="宋体"/>
                <w:color w:val="000000"/>
                <w:lang w:eastAsia="zh-CN" w:bidi="ar"/>
              </w:rPr>
              <w:t>广州市佳福斯阀门制造有限公司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F1D94">
            <w:pPr>
              <w:jc w:val="center"/>
              <w:textAlignment w:val="center"/>
              <w:rPr>
                <w:rFonts w:ascii="宋体" w:hAnsi="宋体" w:cs="宋体"/>
                <w:color w:val="000000"/>
              </w:rPr>
            </w:pPr>
            <w:r>
              <w:rPr>
                <w:rFonts w:hint="eastAsia" w:ascii="宋体" w:hAnsi="宋体" w:cs="宋体"/>
                <w:color w:val="000000"/>
                <w:lang w:eastAsia="zh-CN" w:bidi="ar"/>
              </w:rPr>
              <w:t>佳福斯</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C67437">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29CFF1BC">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57CB3">
            <w:pPr>
              <w:jc w:val="center"/>
              <w:textAlignment w:val="center"/>
              <w:rPr>
                <w:rFonts w:ascii="宋体" w:hAnsi="宋体" w:cs="宋体"/>
                <w:color w:val="000000"/>
              </w:rPr>
            </w:pPr>
            <w:r>
              <w:rPr>
                <w:rFonts w:hint="eastAsia" w:ascii="宋体" w:hAnsi="宋体" w:cs="宋体"/>
                <w:color w:val="000000"/>
                <w:lang w:eastAsia="zh-CN" w:bidi="ar"/>
              </w:rPr>
              <w:t>5</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14DF3">
            <w:pPr>
              <w:textAlignment w:val="center"/>
              <w:rPr>
                <w:rFonts w:ascii="宋体" w:hAnsi="宋体" w:cs="宋体"/>
                <w:color w:val="000000"/>
                <w:lang w:eastAsia="zh-CN"/>
              </w:rPr>
            </w:pPr>
            <w:r>
              <w:rPr>
                <w:rFonts w:hint="eastAsia" w:ascii="宋体" w:hAnsi="宋体" w:cs="宋体"/>
                <w:color w:val="000000"/>
                <w:lang w:eastAsia="zh-CN" w:bidi="ar"/>
              </w:rPr>
              <w:t>广东永泉阀门科技有限公司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02769">
            <w:pPr>
              <w:jc w:val="center"/>
              <w:textAlignment w:val="center"/>
              <w:rPr>
                <w:rFonts w:ascii="宋体" w:hAnsi="宋体" w:cs="宋体"/>
                <w:color w:val="000000"/>
              </w:rPr>
            </w:pPr>
            <w:r>
              <w:rPr>
                <w:rFonts w:hint="eastAsia" w:ascii="宋体" w:hAnsi="宋体" w:cs="宋体"/>
                <w:color w:val="000000"/>
                <w:lang w:eastAsia="zh-CN" w:bidi="ar"/>
              </w:rPr>
              <w:t>永泉</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3AAA9A">
            <w:pPr>
              <w:jc w:val="center"/>
              <w:rPr>
                <w:rFonts w:ascii="宋体" w:hAnsi="宋体" w:cs="宋体"/>
                <w:color w:val="FF0000"/>
              </w:rPr>
            </w:pPr>
          </w:p>
        </w:tc>
      </w:tr>
      <w:tr w14:paraId="6DFD5316">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FBF3677">
            <w:pPr>
              <w:textAlignment w:val="center"/>
              <w:rPr>
                <w:rFonts w:ascii="宋体" w:hAnsi="宋体" w:cs="宋体"/>
                <w:b/>
                <w:bCs/>
                <w:color w:val="000000"/>
                <w:lang w:eastAsia="zh-CN"/>
              </w:rPr>
            </w:pPr>
            <w:r>
              <w:rPr>
                <w:rFonts w:hint="eastAsia" w:ascii="宋体" w:hAnsi="宋体" w:cs="宋体"/>
                <w:b/>
                <w:bCs/>
                <w:color w:val="000000"/>
                <w:lang w:eastAsia="zh-CN" w:bidi="ar"/>
              </w:rPr>
              <w:t>3. 消防水系统（包括室内消防栓箱、灭火器箱、灭火器、洒水喷头、消防水带等）</w:t>
            </w:r>
          </w:p>
        </w:tc>
      </w:tr>
      <w:tr w14:paraId="4126F772">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B8673">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288F8">
            <w:pPr>
              <w:textAlignment w:val="center"/>
              <w:rPr>
                <w:rFonts w:ascii="宋体" w:hAnsi="宋体" w:cs="宋体"/>
                <w:color w:val="000000"/>
                <w:lang w:eastAsia="zh-CN"/>
              </w:rPr>
            </w:pPr>
            <w:r>
              <w:rPr>
                <w:rFonts w:hint="eastAsia" w:ascii="宋体" w:hAnsi="宋体" w:cs="宋体"/>
                <w:color w:val="000000"/>
                <w:lang w:eastAsia="zh-CN" w:bidi="ar"/>
              </w:rPr>
              <w:t>胜捷消防科技集团有限公司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BAFAD">
            <w:pPr>
              <w:jc w:val="center"/>
              <w:textAlignment w:val="center"/>
              <w:rPr>
                <w:rFonts w:ascii="宋体" w:hAnsi="宋体" w:cs="宋体"/>
                <w:color w:val="000000"/>
              </w:rPr>
            </w:pPr>
            <w:r>
              <w:rPr>
                <w:rFonts w:hint="eastAsia" w:ascii="宋体" w:hAnsi="宋体" w:cs="宋体"/>
                <w:color w:val="000000"/>
                <w:lang w:eastAsia="zh-CN" w:bidi="ar"/>
              </w:rPr>
              <w:t>胜捷</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A79AC7">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31C5395E">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E4CD2">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06AD7">
            <w:pPr>
              <w:textAlignment w:val="center"/>
              <w:rPr>
                <w:rFonts w:ascii="宋体" w:hAnsi="宋体" w:cs="宋体"/>
                <w:color w:val="000000"/>
                <w:lang w:eastAsia="zh-CN"/>
              </w:rPr>
            </w:pPr>
            <w:r>
              <w:rPr>
                <w:rFonts w:hint="eastAsia" w:ascii="宋体" w:hAnsi="宋体" w:cs="宋体"/>
                <w:color w:val="000000"/>
                <w:lang w:eastAsia="zh-CN" w:bidi="ar"/>
              </w:rPr>
              <w:t>福建天广消防有限公司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19829">
            <w:pPr>
              <w:jc w:val="center"/>
              <w:textAlignment w:val="center"/>
              <w:rPr>
                <w:rFonts w:ascii="宋体" w:hAnsi="宋体" w:cs="宋体"/>
                <w:color w:val="000000"/>
              </w:rPr>
            </w:pPr>
            <w:r>
              <w:rPr>
                <w:rFonts w:hint="eastAsia" w:ascii="宋体" w:hAnsi="宋体" w:cs="宋体"/>
                <w:color w:val="000000"/>
                <w:lang w:eastAsia="zh-CN" w:bidi="ar"/>
              </w:rPr>
              <w:t>天广</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9B3CD1">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67CFE9CC">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1A1AC">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AA374">
            <w:pPr>
              <w:textAlignment w:val="center"/>
              <w:rPr>
                <w:rFonts w:ascii="宋体" w:hAnsi="宋体" w:cs="宋体"/>
                <w:color w:val="000000"/>
                <w:lang w:eastAsia="zh-CN"/>
              </w:rPr>
            </w:pPr>
            <w:r>
              <w:rPr>
                <w:rFonts w:hint="eastAsia" w:ascii="宋体" w:hAnsi="宋体" w:cs="宋体"/>
                <w:color w:val="000000"/>
                <w:lang w:eastAsia="zh-CN" w:bidi="ar"/>
              </w:rPr>
              <w:t>广东振兴消防设备有限公司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8896C">
            <w:pPr>
              <w:jc w:val="center"/>
              <w:textAlignment w:val="center"/>
              <w:rPr>
                <w:rFonts w:ascii="宋体" w:hAnsi="宋体" w:cs="宋体"/>
                <w:color w:val="000000"/>
              </w:rPr>
            </w:pPr>
            <w:r>
              <w:rPr>
                <w:rFonts w:hint="eastAsia" w:ascii="宋体" w:hAnsi="宋体" w:cs="宋体"/>
                <w:color w:val="000000"/>
                <w:lang w:eastAsia="zh-CN" w:bidi="ar"/>
              </w:rPr>
              <w:t>振兴</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0F95B2">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32774B3E">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11021">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F5583">
            <w:pPr>
              <w:textAlignment w:val="center"/>
              <w:rPr>
                <w:rFonts w:ascii="宋体" w:hAnsi="宋体" w:cs="宋体"/>
                <w:color w:val="000000"/>
                <w:lang w:eastAsia="zh-CN"/>
              </w:rPr>
            </w:pPr>
            <w:r>
              <w:rPr>
                <w:rFonts w:hint="eastAsia" w:ascii="宋体" w:hAnsi="宋体" w:cs="宋体"/>
                <w:color w:val="000000"/>
                <w:lang w:eastAsia="zh-CN" w:bidi="ar"/>
              </w:rPr>
              <w:t>萃联（中国）消防设备制造有限公司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6FD4F">
            <w:pPr>
              <w:jc w:val="center"/>
              <w:textAlignment w:val="center"/>
              <w:rPr>
                <w:rFonts w:ascii="宋体" w:hAnsi="宋体" w:cs="宋体"/>
                <w:color w:val="000000"/>
              </w:rPr>
            </w:pPr>
            <w:r>
              <w:rPr>
                <w:rFonts w:hint="eastAsia" w:ascii="宋体" w:hAnsi="宋体" w:cs="宋体"/>
                <w:color w:val="000000"/>
                <w:lang w:eastAsia="zh-CN" w:bidi="ar"/>
              </w:rPr>
              <w:t>川消</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F6BF52">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1F08EC23">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9D454">
            <w:pPr>
              <w:jc w:val="center"/>
              <w:textAlignment w:val="center"/>
              <w:rPr>
                <w:rFonts w:ascii="宋体" w:hAnsi="宋体" w:cs="宋体"/>
                <w:color w:val="000000"/>
              </w:rPr>
            </w:pPr>
            <w:r>
              <w:rPr>
                <w:rFonts w:hint="eastAsia" w:ascii="宋体" w:hAnsi="宋体" w:cs="宋体"/>
                <w:color w:val="000000"/>
                <w:lang w:eastAsia="zh-CN" w:bidi="ar"/>
              </w:rPr>
              <w:t>5</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36E62">
            <w:pPr>
              <w:textAlignment w:val="center"/>
              <w:rPr>
                <w:rFonts w:ascii="宋体" w:hAnsi="宋体" w:cs="宋体"/>
                <w:color w:val="000000"/>
                <w:lang w:eastAsia="zh-CN"/>
              </w:rPr>
            </w:pPr>
            <w:r>
              <w:rPr>
                <w:rFonts w:hint="eastAsia" w:ascii="宋体" w:hAnsi="宋体" w:cs="宋体"/>
                <w:color w:val="000000"/>
                <w:lang w:eastAsia="zh-CN" w:bidi="ar"/>
              </w:rPr>
              <w:t>广州市泰昌实业有限公司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4614B">
            <w:pPr>
              <w:jc w:val="center"/>
              <w:textAlignment w:val="center"/>
              <w:rPr>
                <w:rFonts w:ascii="宋体" w:hAnsi="宋体" w:cs="宋体"/>
                <w:color w:val="000000"/>
              </w:rPr>
            </w:pPr>
            <w:r>
              <w:rPr>
                <w:rFonts w:hint="eastAsia" w:ascii="宋体" w:hAnsi="宋体" w:cs="宋体"/>
                <w:color w:val="000000"/>
                <w:lang w:eastAsia="zh-CN" w:bidi="ar"/>
              </w:rPr>
              <w:t>泰昌</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FE5672">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70E47FC4">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2B8EFCB3">
            <w:pPr>
              <w:textAlignment w:val="center"/>
              <w:rPr>
                <w:rFonts w:ascii="宋体" w:hAnsi="宋体" w:cs="宋体"/>
                <w:b/>
                <w:bCs/>
                <w:color w:val="000000"/>
              </w:rPr>
            </w:pPr>
            <w:r>
              <w:rPr>
                <w:rFonts w:hint="eastAsia" w:ascii="宋体" w:hAnsi="宋体" w:cs="宋体"/>
                <w:b/>
                <w:bCs/>
                <w:color w:val="000000"/>
                <w:lang w:eastAsia="zh-CN" w:bidi="ar"/>
              </w:rPr>
              <w:t>4. 气体灭火系统</w:t>
            </w:r>
          </w:p>
        </w:tc>
      </w:tr>
      <w:tr w14:paraId="313874D4">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A3993C">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735547">
            <w:pPr>
              <w:textAlignment w:val="center"/>
              <w:rPr>
                <w:rFonts w:ascii="宋体" w:hAnsi="宋体" w:cs="宋体"/>
                <w:color w:val="000000"/>
                <w:lang w:eastAsia="zh-CN"/>
              </w:rPr>
            </w:pPr>
            <w:r>
              <w:rPr>
                <w:rFonts w:hint="eastAsia" w:ascii="宋体" w:hAnsi="宋体" w:cs="宋体"/>
                <w:color w:val="000000"/>
                <w:lang w:eastAsia="zh-CN" w:bidi="ar"/>
              </w:rPr>
              <w:t>胜捷消防科技集团有限公司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05676B">
            <w:pPr>
              <w:jc w:val="center"/>
              <w:textAlignment w:val="center"/>
              <w:rPr>
                <w:rFonts w:ascii="宋体" w:hAnsi="宋体" w:cs="宋体"/>
                <w:color w:val="000000"/>
              </w:rPr>
            </w:pPr>
            <w:r>
              <w:rPr>
                <w:rFonts w:hint="eastAsia" w:ascii="宋体" w:hAnsi="宋体" w:cs="宋体"/>
                <w:color w:val="000000"/>
                <w:lang w:eastAsia="zh-CN" w:bidi="ar"/>
              </w:rPr>
              <w:t>胜捷</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D2B8C8">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2AE596FA">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B611A1">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85C799">
            <w:pPr>
              <w:textAlignment w:val="center"/>
              <w:rPr>
                <w:rFonts w:ascii="宋体" w:hAnsi="宋体" w:cs="宋体"/>
                <w:color w:val="000000"/>
                <w:lang w:eastAsia="zh-CN"/>
              </w:rPr>
            </w:pPr>
            <w:r>
              <w:rPr>
                <w:rFonts w:hint="eastAsia" w:ascii="宋体" w:hAnsi="宋体" w:cs="宋体"/>
                <w:color w:val="000000"/>
                <w:lang w:eastAsia="zh-CN" w:bidi="ar"/>
              </w:rPr>
              <w:t>福建天广消防有限公司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F2E627">
            <w:pPr>
              <w:jc w:val="center"/>
              <w:textAlignment w:val="center"/>
              <w:rPr>
                <w:rFonts w:ascii="宋体" w:hAnsi="宋体" w:cs="宋体"/>
                <w:color w:val="000000"/>
              </w:rPr>
            </w:pPr>
            <w:r>
              <w:rPr>
                <w:rFonts w:hint="eastAsia" w:ascii="宋体" w:hAnsi="宋体" w:cs="宋体"/>
                <w:color w:val="000000"/>
                <w:lang w:eastAsia="zh-CN" w:bidi="ar"/>
              </w:rPr>
              <w:t>天广</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8A8657">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038861FF">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06EF9C">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6AEDF4">
            <w:pPr>
              <w:textAlignment w:val="center"/>
              <w:rPr>
                <w:rFonts w:ascii="宋体" w:hAnsi="宋体" w:cs="宋体"/>
                <w:color w:val="000000"/>
                <w:lang w:eastAsia="zh-CN"/>
              </w:rPr>
            </w:pPr>
            <w:r>
              <w:rPr>
                <w:rFonts w:hint="eastAsia" w:ascii="宋体" w:hAnsi="宋体" w:cs="宋体"/>
                <w:color w:val="000000"/>
                <w:lang w:eastAsia="zh-CN" w:bidi="ar"/>
              </w:rPr>
              <w:t>广东振兴消防设备有限公司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2A187D">
            <w:pPr>
              <w:jc w:val="center"/>
              <w:textAlignment w:val="center"/>
              <w:rPr>
                <w:rFonts w:ascii="宋体" w:hAnsi="宋体" w:cs="宋体"/>
                <w:color w:val="000000"/>
              </w:rPr>
            </w:pPr>
            <w:r>
              <w:rPr>
                <w:rFonts w:hint="eastAsia" w:ascii="宋体" w:hAnsi="宋体" w:cs="宋体"/>
                <w:color w:val="000000"/>
                <w:lang w:eastAsia="zh-CN" w:bidi="ar"/>
              </w:rPr>
              <w:t>振兴</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B5C875">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1FEBB737">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F3B727">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596DB5">
            <w:pPr>
              <w:textAlignment w:val="center"/>
              <w:rPr>
                <w:rFonts w:ascii="宋体" w:hAnsi="宋体" w:cs="宋体"/>
                <w:color w:val="000000"/>
                <w:lang w:eastAsia="zh-CN"/>
              </w:rPr>
            </w:pPr>
            <w:r>
              <w:rPr>
                <w:rFonts w:hint="eastAsia" w:ascii="宋体" w:hAnsi="宋体" w:cs="宋体"/>
                <w:color w:val="000000"/>
                <w:lang w:eastAsia="zh-CN" w:bidi="ar"/>
              </w:rPr>
              <w:t>上海金盾消防安全设备有限公司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77474F">
            <w:pPr>
              <w:jc w:val="center"/>
              <w:textAlignment w:val="center"/>
              <w:rPr>
                <w:rFonts w:ascii="宋体" w:hAnsi="宋体" w:cs="宋体"/>
                <w:color w:val="000000"/>
              </w:rPr>
            </w:pPr>
            <w:r>
              <w:rPr>
                <w:rFonts w:hint="eastAsia" w:ascii="宋体" w:hAnsi="宋体" w:cs="宋体"/>
                <w:color w:val="000000"/>
                <w:lang w:eastAsia="zh-CN" w:bidi="ar"/>
              </w:rPr>
              <w:t>上海金盾</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D771ED">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23DAAF83">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C57002">
            <w:pPr>
              <w:jc w:val="center"/>
              <w:textAlignment w:val="center"/>
              <w:rPr>
                <w:rFonts w:ascii="宋体" w:hAnsi="宋体" w:cs="宋体"/>
                <w:color w:val="000000"/>
              </w:rPr>
            </w:pPr>
            <w:r>
              <w:rPr>
                <w:rFonts w:hint="eastAsia" w:ascii="宋体" w:hAnsi="宋体" w:cs="宋体"/>
                <w:color w:val="000000"/>
                <w:lang w:eastAsia="zh-CN" w:bidi="ar"/>
              </w:rPr>
              <w:t>5</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618B70">
            <w:pPr>
              <w:textAlignment w:val="center"/>
              <w:rPr>
                <w:rFonts w:ascii="宋体" w:hAnsi="宋体" w:cs="宋体"/>
                <w:color w:val="000000"/>
                <w:lang w:eastAsia="zh-CN"/>
              </w:rPr>
            </w:pPr>
            <w:r>
              <w:rPr>
                <w:rFonts w:hint="eastAsia" w:ascii="宋体" w:hAnsi="宋体" w:cs="宋体"/>
                <w:color w:val="000000"/>
                <w:lang w:eastAsia="zh-CN" w:bidi="ar"/>
              </w:rPr>
              <w:t>萃联（中国）消防设备制造有限公司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8280EB">
            <w:pPr>
              <w:jc w:val="center"/>
              <w:textAlignment w:val="center"/>
              <w:rPr>
                <w:rFonts w:ascii="宋体" w:hAnsi="宋体" w:cs="宋体"/>
                <w:color w:val="000000"/>
              </w:rPr>
            </w:pPr>
            <w:r>
              <w:rPr>
                <w:rFonts w:hint="eastAsia" w:ascii="宋体" w:hAnsi="宋体" w:cs="宋体"/>
                <w:color w:val="000000"/>
                <w:lang w:eastAsia="zh-CN" w:bidi="ar"/>
              </w:rPr>
              <w:t>川消</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6A7AB4">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0E3CCF67">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EC9B1F5">
            <w:pPr>
              <w:textAlignment w:val="center"/>
              <w:rPr>
                <w:rFonts w:ascii="宋体" w:hAnsi="宋体" w:cs="宋体"/>
                <w:b/>
                <w:bCs/>
                <w:color w:val="000000"/>
              </w:rPr>
            </w:pPr>
            <w:r>
              <w:rPr>
                <w:rFonts w:hint="eastAsia" w:ascii="宋体" w:hAnsi="宋体" w:cs="宋体"/>
                <w:b/>
                <w:bCs/>
                <w:color w:val="000000"/>
                <w:lang w:eastAsia="zh-CN" w:bidi="ar"/>
              </w:rPr>
              <w:t>6. 卡箍</w:t>
            </w:r>
          </w:p>
        </w:tc>
      </w:tr>
      <w:tr w14:paraId="57F0A61E">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4464B5">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73BF2B">
            <w:pPr>
              <w:textAlignment w:val="center"/>
              <w:rPr>
                <w:rFonts w:ascii="宋体" w:hAnsi="宋体" w:cs="宋体"/>
                <w:color w:val="000000"/>
                <w:lang w:eastAsia="zh-CN"/>
              </w:rPr>
            </w:pPr>
            <w:r>
              <w:rPr>
                <w:rFonts w:hint="eastAsia" w:ascii="宋体" w:hAnsi="宋体" w:cs="宋体"/>
                <w:color w:val="000000"/>
                <w:lang w:eastAsia="zh-CN" w:bidi="ar"/>
              </w:rPr>
              <w:t>上海威逊机械连接件有限公司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890485">
            <w:pPr>
              <w:jc w:val="center"/>
              <w:textAlignment w:val="center"/>
              <w:rPr>
                <w:rFonts w:ascii="宋体" w:hAnsi="宋体" w:cs="宋体"/>
                <w:color w:val="000000"/>
              </w:rPr>
            </w:pPr>
            <w:r>
              <w:rPr>
                <w:rFonts w:hint="eastAsia" w:ascii="宋体" w:hAnsi="宋体" w:cs="宋体"/>
                <w:color w:val="000000"/>
                <w:lang w:eastAsia="zh-CN" w:bidi="ar"/>
              </w:rPr>
              <w:t>威逊</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0D0291">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09379694">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B81DB8">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EBBD67">
            <w:pPr>
              <w:textAlignment w:val="center"/>
              <w:rPr>
                <w:rFonts w:ascii="宋体" w:hAnsi="宋体" w:cs="宋体"/>
                <w:color w:val="000000"/>
                <w:lang w:eastAsia="zh-CN"/>
              </w:rPr>
            </w:pPr>
            <w:r>
              <w:rPr>
                <w:rFonts w:hint="eastAsia" w:ascii="宋体" w:hAnsi="宋体" w:cs="宋体"/>
                <w:color w:val="000000"/>
                <w:lang w:eastAsia="zh-CN" w:bidi="ar"/>
              </w:rPr>
              <w:t>广东永泉阀门科技有限公司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002FAA">
            <w:pPr>
              <w:jc w:val="center"/>
              <w:textAlignment w:val="center"/>
              <w:rPr>
                <w:rFonts w:ascii="宋体" w:hAnsi="宋体" w:cs="宋体"/>
                <w:color w:val="000000"/>
              </w:rPr>
            </w:pPr>
            <w:r>
              <w:rPr>
                <w:rFonts w:hint="eastAsia" w:ascii="宋体" w:hAnsi="宋体" w:cs="宋体"/>
                <w:color w:val="000000"/>
                <w:lang w:eastAsia="zh-CN" w:bidi="ar"/>
              </w:rPr>
              <w:t>永泉</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C12A4F">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51BDA8B2">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322C68">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729CF6">
            <w:pPr>
              <w:textAlignment w:val="center"/>
              <w:rPr>
                <w:rFonts w:ascii="宋体" w:hAnsi="宋体" w:cs="宋体"/>
                <w:color w:val="000000"/>
                <w:lang w:eastAsia="zh-CN"/>
              </w:rPr>
            </w:pPr>
            <w:r>
              <w:rPr>
                <w:rFonts w:hint="eastAsia" w:ascii="宋体" w:hAnsi="宋体" w:cs="宋体"/>
                <w:color w:val="000000"/>
                <w:lang w:eastAsia="zh-CN" w:bidi="ar"/>
              </w:rPr>
              <w:t>上海瑞孚管路系统有限公司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BA8B0B">
            <w:pPr>
              <w:jc w:val="center"/>
              <w:textAlignment w:val="center"/>
              <w:rPr>
                <w:rFonts w:ascii="宋体" w:hAnsi="宋体" w:cs="宋体"/>
                <w:color w:val="000000"/>
              </w:rPr>
            </w:pPr>
            <w:r>
              <w:rPr>
                <w:rFonts w:hint="eastAsia" w:ascii="宋体" w:hAnsi="宋体" w:cs="宋体"/>
                <w:color w:val="000000"/>
                <w:lang w:eastAsia="zh-CN" w:bidi="ar"/>
              </w:rPr>
              <w:t>瑞孚</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132850">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36BE422B">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B8242F">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57FFB4">
            <w:pPr>
              <w:textAlignment w:val="center"/>
              <w:rPr>
                <w:rFonts w:ascii="宋体" w:hAnsi="宋体" w:cs="宋体"/>
                <w:color w:val="000000"/>
                <w:lang w:eastAsia="zh-CN"/>
              </w:rPr>
            </w:pPr>
            <w:r>
              <w:rPr>
                <w:rFonts w:hint="eastAsia" w:ascii="宋体" w:hAnsi="宋体" w:cs="宋体"/>
                <w:color w:val="000000"/>
                <w:lang w:eastAsia="zh-CN" w:bidi="ar"/>
              </w:rPr>
              <w:t>潍坊大海绿兵船机械集团有限公司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35EA3D">
            <w:pPr>
              <w:jc w:val="center"/>
              <w:textAlignment w:val="center"/>
              <w:rPr>
                <w:rFonts w:ascii="宋体" w:hAnsi="宋体" w:cs="宋体"/>
                <w:color w:val="000000"/>
              </w:rPr>
            </w:pPr>
            <w:r>
              <w:rPr>
                <w:rFonts w:hint="eastAsia" w:ascii="宋体" w:hAnsi="宋体" w:cs="宋体"/>
                <w:color w:val="000000"/>
                <w:lang w:eastAsia="zh-CN" w:bidi="ar"/>
              </w:rPr>
              <w:t>绿兵船</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6C940F">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430E7BD2">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2C9FD1">
            <w:pPr>
              <w:jc w:val="center"/>
              <w:textAlignment w:val="center"/>
              <w:rPr>
                <w:rFonts w:ascii="宋体" w:hAnsi="宋体" w:cs="宋体"/>
                <w:color w:val="000000"/>
              </w:rPr>
            </w:pPr>
            <w:r>
              <w:rPr>
                <w:rFonts w:hint="eastAsia" w:ascii="宋体" w:hAnsi="宋体" w:cs="宋体"/>
                <w:color w:val="000000"/>
                <w:lang w:eastAsia="zh-CN" w:bidi="ar"/>
              </w:rPr>
              <w:t>5</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D86560">
            <w:pPr>
              <w:textAlignment w:val="center"/>
              <w:rPr>
                <w:rFonts w:ascii="宋体" w:hAnsi="宋体" w:cs="宋体"/>
                <w:color w:val="000000"/>
                <w:lang w:eastAsia="zh-CN"/>
              </w:rPr>
            </w:pPr>
            <w:r>
              <w:rPr>
                <w:rFonts w:hint="eastAsia" w:ascii="宋体" w:hAnsi="宋体" w:cs="宋体"/>
                <w:color w:val="000000"/>
                <w:lang w:eastAsia="zh-CN" w:bidi="ar"/>
              </w:rPr>
              <w:t>唯特利管道设备（大连）有限公司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592343">
            <w:pPr>
              <w:jc w:val="center"/>
              <w:textAlignment w:val="center"/>
              <w:rPr>
                <w:rFonts w:ascii="宋体" w:hAnsi="宋体" w:cs="宋体"/>
                <w:color w:val="000000"/>
              </w:rPr>
            </w:pPr>
            <w:r>
              <w:rPr>
                <w:rFonts w:hint="eastAsia" w:ascii="宋体" w:hAnsi="宋体" w:cs="宋体"/>
                <w:color w:val="000000"/>
                <w:lang w:eastAsia="zh-CN" w:bidi="ar"/>
              </w:rPr>
              <w:t>唯特利</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DC2E47">
            <w:pPr>
              <w:jc w:val="center"/>
              <w:rPr>
                <w:rFonts w:ascii="宋体" w:hAnsi="宋体" w:cs="宋体"/>
                <w:color w:val="FF0000"/>
              </w:rPr>
            </w:pPr>
          </w:p>
        </w:tc>
      </w:tr>
      <w:tr w14:paraId="65C3F996">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87F7098">
            <w:pPr>
              <w:textAlignment w:val="center"/>
              <w:rPr>
                <w:rFonts w:ascii="宋体" w:hAnsi="宋体" w:cs="宋体"/>
                <w:b/>
                <w:bCs/>
                <w:color w:val="000000"/>
              </w:rPr>
            </w:pPr>
            <w:r>
              <w:rPr>
                <w:rFonts w:hint="eastAsia" w:ascii="宋体" w:hAnsi="宋体" w:cs="宋体"/>
                <w:b/>
                <w:bCs/>
                <w:color w:val="000000"/>
                <w:lang w:eastAsia="zh-CN" w:bidi="ar"/>
              </w:rPr>
              <w:t>6. 消防电系统</w:t>
            </w:r>
          </w:p>
        </w:tc>
      </w:tr>
      <w:tr w14:paraId="13D72FEA">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8B91FFE">
            <w:pPr>
              <w:textAlignment w:val="center"/>
              <w:rPr>
                <w:rFonts w:ascii="宋体" w:hAnsi="宋体" w:cs="宋体"/>
                <w:b/>
                <w:bCs/>
                <w:color w:val="000000"/>
              </w:rPr>
            </w:pPr>
            <w:r>
              <w:rPr>
                <w:rFonts w:hint="eastAsia" w:ascii="宋体" w:hAnsi="宋体" w:cs="宋体"/>
                <w:b/>
                <w:bCs/>
                <w:color w:val="000000"/>
                <w:lang w:eastAsia="zh-CN" w:bidi="ar"/>
              </w:rPr>
              <w:t>火灾自动报警系统</w:t>
            </w:r>
          </w:p>
        </w:tc>
      </w:tr>
      <w:tr w14:paraId="4AED756A">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F3FF5">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AAEF3">
            <w:pPr>
              <w:textAlignment w:val="center"/>
              <w:rPr>
                <w:rFonts w:ascii="宋体" w:hAnsi="宋体" w:cs="宋体"/>
                <w:color w:val="000000"/>
                <w:lang w:eastAsia="zh-CN"/>
              </w:rPr>
            </w:pPr>
            <w:r>
              <w:rPr>
                <w:rFonts w:hint="eastAsia" w:ascii="宋体" w:hAnsi="宋体" w:cs="宋体"/>
                <w:color w:val="000000"/>
                <w:lang w:eastAsia="zh-CN" w:bidi="ar"/>
              </w:rPr>
              <w:t>广东青鸟电子设备有限公司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15131">
            <w:pPr>
              <w:jc w:val="center"/>
              <w:textAlignment w:val="center"/>
              <w:rPr>
                <w:rFonts w:ascii="宋体" w:hAnsi="宋体" w:cs="宋体"/>
                <w:color w:val="000000"/>
              </w:rPr>
            </w:pPr>
            <w:r>
              <w:rPr>
                <w:rFonts w:hint="eastAsia" w:ascii="宋体" w:hAnsi="宋体" w:cs="宋体"/>
                <w:color w:val="000000"/>
                <w:lang w:eastAsia="zh-CN" w:bidi="ar"/>
              </w:rPr>
              <w:t>青鸟消防</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A20235">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5E132454">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49B54">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D3591">
            <w:pPr>
              <w:textAlignment w:val="center"/>
              <w:rPr>
                <w:rFonts w:ascii="宋体" w:hAnsi="宋体" w:cs="宋体"/>
                <w:color w:val="000000"/>
                <w:lang w:eastAsia="zh-CN"/>
              </w:rPr>
            </w:pPr>
            <w:r>
              <w:rPr>
                <w:rFonts w:hint="eastAsia" w:ascii="宋体" w:hAnsi="宋体" w:cs="宋体"/>
                <w:color w:val="000000"/>
                <w:lang w:eastAsia="zh-CN" w:bidi="ar"/>
              </w:rPr>
              <w:t>深圳市赋安安全系统有限公司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81B67">
            <w:pPr>
              <w:jc w:val="center"/>
              <w:textAlignment w:val="center"/>
              <w:rPr>
                <w:rFonts w:ascii="宋体" w:hAnsi="宋体" w:cs="宋体"/>
                <w:color w:val="000000"/>
              </w:rPr>
            </w:pPr>
            <w:r>
              <w:rPr>
                <w:rFonts w:hint="eastAsia" w:ascii="宋体" w:hAnsi="宋体" w:cs="宋体"/>
                <w:color w:val="000000"/>
                <w:lang w:eastAsia="zh-CN" w:bidi="ar"/>
              </w:rPr>
              <w:t>赋安</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D84929">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753F26BE">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0F2DE">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DEF62">
            <w:pPr>
              <w:textAlignment w:val="center"/>
              <w:rPr>
                <w:rFonts w:ascii="宋体" w:hAnsi="宋体" w:cs="宋体"/>
                <w:color w:val="000000"/>
              </w:rPr>
            </w:pPr>
            <w:r>
              <w:rPr>
                <w:rFonts w:hint="eastAsia" w:ascii="宋体" w:hAnsi="宋体" w:cs="宋体"/>
                <w:color w:val="000000"/>
                <w:lang w:eastAsia="zh-CN" w:bidi="ar"/>
              </w:rPr>
              <w:t>深圳市泰和安科技有限公司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98FE7">
            <w:pPr>
              <w:jc w:val="center"/>
              <w:textAlignment w:val="center"/>
              <w:rPr>
                <w:rFonts w:ascii="宋体" w:hAnsi="宋体" w:cs="宋体"/>
                <w:color w:val="000000"/>
              </w:rPr>
            </w:pPr>
            <w:r>
              <w:rPr>
                <w:rFonts w:hint="eastAsia" w:ascii="宋体" w:hAnsi="宋体" w:cs="宋体"/>
                <w:color w:val="000000"/>
                <w:lang w:eastAsia="zh-CN" w:bidi="ar"/>
              </w:rPr>
              <w:t>泰和安</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AC8102">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5D8527E4">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16779">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AFAB3">
            <w:pPr>
              <w:textAlignment w:val="center"/>
              <w:rPr>
                <w:rFonts w:ascii="宋体" w:hAnsi="宋体" w:cs="宋体"/>
                <w:color w:val="000000"/>
                <w:lang w:eastAsia="zh-CN"/>
              </w:rPr>
            </w:pPr>
            <w:r>
              <w:rPr>
                <w:rFonts w:hint="eastAsia" w:ascii="宋体" w:hAnsi="宋体" w:cs="宋体"/>
                <w:color w:val="000000"/>
                <w:lang w:eastAsia="zh-CN" w:bidi="ar"/>
              </w:rPr>
              <w:t>深圳市高新投三江电子股份有限公司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446DB">
            <w:pPr>
              <w:jc w:val="center"/>
              <w:textAlignment w:val="center"/>
              <w:rPr>
                <w:rFonts w:ascii="宋体" w:hAnsi="宋体" w:cs="宋体"/>
                <w:color w:val="000000"/>
              </w:rPr>
            </w:pPr>
            <w:r>
              <w:rPr>
                <w:rFonts w:hint="eastAsia" w:ascii="宋体" w:hAnsi="宋体" w:cs="宋体"/>
                <w:color w:val="000000"/>
                <w:lang w:eastAsia="zh-CN" w:bidi="ar"/>
              </w:rPr>
              <w:t>高新投三江</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DECF8D">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0A333C66">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27DA3">
            <w:pPr>
              <w:jc w:val="center"/>
              <w:textAlignment w:val="center"/>
              <w:rPr>
                <w:rFonts w:ascii="宋体" w:hAnsi="宋体" w:cs="宋体"/>
                <w:color w:val="000000"/>
              </w:rPr>
            </w:pPr>
            <w:r>
              <w:rPr>
                <w:rFonts w:hint="eastAsia" w:ascii="宋体" w:hAnsi="宋体" w:cs="宋体"/>
                <w:color w:val="000000"/>
                <w:lang w:eastAsia="zh-CN" w:bidi="ar"/>
              </w:rPr>
              <w:t>5</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CC7D0">
            <w:pPr>
              <w:textAlignment w:val="center"/>
              <w:rPr>
                <w:rFonts w:ascii="宋体" w:hAnsi="宋体" w:cs="宋体"/>
                <w:color w:val="000000"/>
                <w:lang w:eastAsia="zh-CN"/>
              </w:rPr>
            </w:pPr>
            <w:r>
              <w:rPr>
                <w:rFonts w:hint="eastAsia" w:ascii="宋体" w:hAnsi="宋体" w:cs="宋体"/>
                <w:color w:val="000000"/>
                <w:lang w:eastAsia="zh-CN" w:bidi="ar"/>
              </w:rPr>
              <w:t>杭州海康威视数字技术股份有限公司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02706">
            <w:pPr>
              <w:jc w:val="center"/>
              <w:textAlignment w:val="center"/>
              <w:rPr>
                <w:rFonts w:ascii="宋体" w:hAnsi="宋体" w:cs="宋体"/>
                <w:color w:val="000000"/>
              </w:rPr>
            </w:pPr>
            <w:r>
              <w:rPr>
                <w:rFonts w:hint="eastAsia" w:ascii="宋体" w:hAnsi="宋体" w:cs="宋体"/>
                <w:color w:val="000000"/>
                <w:lang w:eastAsia="zh-CN" w:bidi="ar"/>
              </w:rPr>
              <w:t>海康威视</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9B0BA6">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4E5191D7">
        <w:tblPrEx>
          <w:tblCellMar>
            <w:top w:w="0" w:type="dxa"/>
            <w:left w:w="108" w:type="dxa"/>
            <w:bottom w:w="0" w:type="dxa"/>
            <w:right w:w="108" w:type="dxa"/>
          </w:tblCellMar>
        </w:tblPrEx>
        <w:trPr>
          <w:trHeight w:val="300"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D92FA53">
            <w:pPr>
              <w:textAlignment w:val="center"/>
              <w:rPr>
                <w:rFonts w:ascii="宋体" w:hAnsi="宋体" w:cs="宋体"/>
                <w:b/>
                <w:bCs/>
                <w:color w:val="000000"/>
              </w:rPr>
            </w:pPr>
            <w:r>
              <w:rPr>
                <w:rFonts w:hint="eastAsia" w:ascii="宋体" w:hAnsi="宋体" w:cs="宋体"/>
                <w:b/>
                <w:bCs/>
                <w:color w:val="000000"/>
                <w:lang w:eastAsia="zh-CN" w:bidi="ar"/>
              </w:rPr>
              <w:t>（四）通风空调</w:t>
            </w:r>
          </w:p>
        </w:tc>
      </w:tr>
      <w:tr w14:paraId="60D75A8D">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38AB090D">
            <w:pPr>
              <w:textAlignment w:val="center"/>
              <w:rPr>
                <w:rFonts w:ascii="宋体" w:hAnsi="宋体" w:cs="宋体"/>
                <w:b/>
                <w:bCs/>
                <w:color w:val="000000"/>
              </w:rPr>
            </w:pPr>
            <w:r>
              <w:rPr>
                <w:rFonts w:hint="eastAsia" w:ascii="宋体" w:hAnsi="宋体" w:cs="宋体"/>
                <w:b/>
                <w:bCs/>
                <w:color w:val="000000"/>
                <w:lang w:eastAsia="zh-CN" w:bidi="ar"/>
              </w:rPr>
              <w:t>1. 分体空调</w:t>
            </w:r>
          </w:p>
        </w:tc>
      </w:tr>
      <w:tr w14:paraId="6462C0AE">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91DD88">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857997">
            <w:pPr>
              <w:textAlignment w:val="center"/>
              <w:rPr>
                <w:rFonts w:ascii="宋体" w:hAnsi="宋体" w:cs="宋体"/>
                <w:color w:val="000000"/>
                <w:lang w:eastAsia="zh-CN"/>
              </w:rPr>
            </w:pPr>
            <w:r>
              <w:rPr>
                <w:rFonts w:hint="eastAsia" w:ascii="宋体" w:hAnsi="宋体" w:cs="宋体"/>
                <w:color w:val="000000"/>
                <w:lang w:eastAsia="zh-CN" w:bidi="ar"/>
              </w:rPr>
              <w:t>大金（中国）投资有限公司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D69631">
            <w:pPr>
              <w:jc w:val="center"/>
              <w:textAlignment w:val="center"/>
              <w:rPr>
                <w:rFonts w:ascii="宋体" w:hAnsi="宋体" w:cs="宋体"/>
                <w:color w:val="000000"/>
              </w:rPr>
            </w:pPr>
            <w:r>
              <w:rPr>
                <w:rFonts w:hint="eastAsia" w:ascii="宋体" w:hAnsi="宋体" w:cs="宋体"/>
                <w:color w:val="000000"/>
                <w:lang w:eastAsia="zh-CN" w:bidi="ar"/>
              </w:rPr>
              <w:t>大金空调</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AEAEF3">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253876C1">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7E3867">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3B5C74">
            <w:pPr>
              <w:textAlignment w:val="center"/>
              <w:rPr>
                <w:rFonts w:ascii="宋体" w:hAnsi="宋体" w:cs="宋体"/>
                <w:color w:val="000000"/>
                <w:lang w:eastAsia="zh-CN"/>
              </w:rPr>
            </w:pPr>
            <w:r>
              <w:rPr>
                <w:rFonts w:hint="eastAsia" w:ascii="宋体" w:hAnsi="宋体" w:cs="宋体"/>
                <w:color w:val="000000"/>
                <w:lang w:eastAsia="zh-CN" w:bidi="ar"/>
              </w:rPr>
              <w:t>松下电气设备（中国）有限公司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845D65">
            <w:pPr>
              <w:jc w:val="center"/>
              <w:textAlignment w:val="center"/>
              <w:rPr>
                <w:rFonts w:ascii="宋体" w:hAnsi="宋体" w:cs="宋体"/>
                <w:color w:val="000000"/>
              </w:rPr>
            </w:pPr>
            <w:r>
              <w:rPr>
                <w:rFonts w:hint="eastAsia" w:ascii="宋体" w:hAnsi="宋体" w:cs="宋体"/>
                <w:color w:val="000000"/>
                <w:lang w:eastAsia="zh-CN" w:bidi="ar"/>
              </w:rPr>
              <w:t>松下/Panasonic</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0268F0">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09C0C31E">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C9941A">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81A3A4">
            <w:pPr>
              <w:textAlignment w:val="center"/>
              <w:rPr>
                <w:rFonts w:ascii="宋体" w:hAnsi="宋体" w:cs="宋体"/>
                <w:color w:val="000000"/>
                <w:lang w:eastAsia="zh-CN"/>
              </w:rPr>
            </w:pPr>
            <w:r>
              <w:rPr>
                <w:rFonts w:hint="eastAsia" w:ascii="宋体" w:hAnsi="宋体" w:cs="宋体"/>
                <w:color w:val="000000"/>
                <w:lang w:eastAsia="zh-CN" w:bidi="ar"/>
              </w:rPr>
              <w:t>珠海格力电器股份有限公司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DC7CDF">
            <w:pPr>
              <w:jc w:val="center"/>
              <w:textAlignment w:val="center"/>
              <w:rPr>
                <w:rFonts w:ascii="宋体" w:hAnsi="宋体" w:cs="宋体"/>
                <w:color w:val="000000"/>
              </w:rPr>
            </w:pPr>
            <w:r>
              <w:rPr>
                <w:rFonts w:hint="eastAsia" w:ascii="宋体" w:hAnsi="宋体" w:cs="宋体"/>
                <w:color w:val="000000"/>
                <w:lang w:eastAsia="zh-CN" w:bidi="ar"/>
              </w:rPr>
              <w:t>格力GREE</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16D309">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0676360A">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4DE7D4">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AC39E1">
            <w:pPr>
              <w:textAlignment w:val="center"/>
              <w:rPr>
                <w:rFonts w:ascii="宋体" w:hAnsi="宋体" w:cs="宋体"/>
                <w:color w:val="000000"/>
                <w:lang w:eastAsia="zh-CN"/>
              </w:rPr>
            </w:pPr>
            <w:r>
              <w:rPr>
                <w:rFonts w:hint="eastAsia" w:ascii="宋体" w:hAnsi="宋体" w:cs="宋体"/>
                <w:color w:val="000000"/>
                <w:lang w:eastAsia="zh-CN" w:bidi="ar"/>
              </w:rPr>
              <w:t>广东美的制冷设备有限公司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B30572">
            <w:pPr>
              <w:jc w:val="center"/>
              <w:textAlignment w:val="center"/>
              <w:rPr>
                <w:rFonts w:ascii="宋体" w:hAnsi="宋体" w:cs="宋体"/>
                <w:color w:val="000000"/>
              </w:rPr>
            </w:pPr>
            <w:r>
              <w:rPr>
                <w:rFonts w:hint="eastAsia" w:ascii="宋体" w:hAnsi="宋体" w:cs="宋体"/>
                <w:color w:val="000000"/>
                <w:lang w:eastAsia="zh-CN" w:bidi="ar"/>
              </w:rPr>
              <w:t>美的Midea</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D02AE1">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1DE2E1F9">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2439BF">
            <w:pPr>
              <w:jc w:val="center"/>
              <w:textAlignment w:val="center"/>
              <w:rPr>
                <w:rFonts w:ascii="宋体" w:hAnsi="宋体" w:cs="宋体"/>
                <w:color w:val="000000"/>
              </w:rPr>
            </w:pPr>
            <w:r>
              <w:rPr>
                <w:rFonts w:hint="eastAsia" w:ascii="宋体" w:hAnsi="宋体" w:cs="宋体"/>
                <w:color w:val="000000"/>
                <w:lang w:eastAsia="zh-CN" w:bidi="ar"/>
              </w:rPr>
              <w:t>5</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829A52">
            <w:pPr>
              <w:textAlignment w:val="center"/>
              <w:rPr>
                <w:rFonts w:ascii="宋体" w:hAnsi="宋体" w:cs="宋体"/>
                <w:color w:val="000000"/>
                <w:lang w:eastAsia="zh-CN"/>
              </w:rPr>
            </w:pPr>
            <w:r>
              <w:rPr>
                <w:rFonts w:hint="eastAsia" w:ascii="宋体" w:hAnsi="宋体" w:cs="宋体"/>
                <w:color w:val="000000"/>
                <w:lang w:eastAsia="zh-CN" w:bidi="ar"/>
              </w:rPr>
              <w:t>青岛海尔空调器有限总公司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BC4547">
            <w:pPr>
              <w:jc w:val="center"/>
              <w:textAlignment w:val="center"/>
              <w:rPr>
                <w:rFonts w:ascii="宋体" w:hAnsi="宋体" w:cs="宋体"/>
                <w:color w:val="000000"/>
              </w:rPr>
            </w:pPr>
            <w:r>
              <w:rPr>
                <w:rFonts w:hint="eastAsia" w:ascii="宋体" w:hAnsi="宋体" w:cs="宋体"/>
                <w:color w:val="000000"/>
                <w:lang w:eastAsia="zh-CN" w:bidi="ar"/>
              </w:rPr>
              <w:t>海尔</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C5F5D1">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326FE8A2">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22F66ED0">
            <w:pPr>
              <w:textAlignment w:val="center"/>
              <w:rPr>
                <w:rFonts w:ascii="宋体" w:hAnsi="宋体" w:cs="宋体"/>
                <w:b/>
                <w:bCs/>
                <w:color w:val="000000"/>
                <w:lang w:eastAsia="zh-CN"/>
              </w:rPr>
            </w:pPr>
            <w:r>
              <w:rPr>
                <w:rFonts w:hint="eastAsia" w:ascii="宋体" w:hAnsi="宋体" w:cs="宋体"/>
                <w:b/>
                <w:bCs/>
                <w:color w:val="000000"/>
                <w:lang w:eastAsia="zh-CN" w:bidi="ar"/>
              </w:rPr>
              <w:t>2. 风机（通风机、消防排烟风机）</w:t>
            </w:r>
          </w:p>
        </w:tc>
      </w:tr>
      <w:tr w14:paraId="49CC6E80">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FF7690">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22B163">
            <w:pPr>
              <w:textAlignment w:val="center"/>
              <w:rPr>
                <w:rFonts w:ascii="宋体" w:hAnsi="宋体" w:cs="宋体"/>
                <w:color w:val="000000"/>
                <w:lang w:eastAsia="zh-CN"/>
              </w:rPr>
            </w:pPr>
            <w:r>
              <w:rPr>
                <w:rFonts w:hint="eastAsia" w:ascii="宋体" w:hAnsi="宋体" w:cs="宋体"/>
                <w:color w:val="000000"/>
                <w:lang w:eastAsia="zh-CN" w:bidi="ar"/>
              </w:rPr>
              <w:t>广东正野风机有限公司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1D9320">
            <w:pPr>
              <w:jc w:val="center"/>
              <w:textAlignment w:val="center"/>
              <w:rPr>
                <w:rFonts w:ascii="宋体" w:hAnsi="宋体" w:cs="宋体"/>
                <w:color w:val="000000"/>
              </w:rPr>
            </w:pPr>
            <w:r>
              <w:rPr>
                <w:rFonts w:hint="eastAsia" w:ascii="宋体" w:hAnsi="宋体" w:cs="宋体"/>
                <w:color w:val="000000"/>
                <w:lang w:eastAsia="zh-CN" w:bidi="ar"/>
              </w:rPr>
              <w:t>正野</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C0298B">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37645BBE">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9D6E67">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824B40">
            <w:pPr>
              <w:textAlignment w:val="center"/>
              <w:rPr>
                <w:rFonts w:ascii="宋体" w:hAnsi="宋体" w:cs="宋体"/>
                <w:color w:val="000000"/>
                <w:lang w:eastAsia="zh-CN"/>
              </w:rPr>
            </w:pPr>
            <w:r>
              <w:rPr>
                <w:rFonts w:hint="eastAsia" w:ascii="宋体" w:hAnsi="宋体" w:cs="宋体"/>
                <w:color w:val="000000"/>
                <w:lang w:eastAsia="zh-CN" w:bidi="ar"/>
              </w:rPr>
              <w:t>广州市泰昌实业有限公司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CDCE16">
            <w:pPr>
              <w:jc w:val="center"/>
              <w:textAlignment w:val="center"/>
              <w:rPr>
                <w:rFonts w:ascii="宋体" w:hAnsi="宋体" w:cs="宋体"/>
                <w:color w:val="000000"/>
              </w:rPr>
            </w:pPr>
            <w:r>
              <w:rPr>
                <w:rFonts w:hint="eastAsia" w:ascii="宋体" w:hAnsi="宋体" w:cs="宋体"/>
                <w:color w:val="000000"/>
                <w:lang w:eastAsia="zh-CN" w:bidi="ar"/>
              </w:rPr>
              <w:t>泰昌</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A09D8B">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5A114727">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16A76D">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DA82C2">
            <w:pPr>
              <w:textAlignment w:val="center"/>
              <w:rPr>
                <w:rFonts w:ascii="宋体" w:hAnsi="宋体" w:cs="宋体"/>
                <w:color w:val="000000"/>
                <w:lang w:eastAsia="zh-CN"/>
              </w:rPr>
            </w:pPr>
            <w:r>
              <w:rPr>
                <w:rFonts w:hint="eastAsia" w:ascii="宋体" w:hAnsi="宋体" w:cs="宋体"/>
                <w:color w:val="000000"/>
                <w:lang w:eastAsia="zh-CN" w:bidi="ar"/>
              </w:rPr>
              <w:t>南方风机股份有限公司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C92E99">
            <w:pPr>
              <w:jc w:val="center"/>
              <w:textAlignment w:val="center"/>
              <w:rPr>
                <w:rFonts w:ascii="宋体" w:hAnsi="宋体" w:cs="宋体"/>
                <w:color w:val="000000"/>
              </w:rPr>
            </w:pPr>
            <w:r>
              <w:rPr>
                <w:rFonts w:hint="eastAsia" w:ascii="宋体" w:hAnsi="宋体" w:cs="宋体"/>
                <w:color w:val="000000"/>
                <w:lang w:eastAsia="zh-CN" w:bidi="ar"/>
              </w:rPr>
              <w:t>南风</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CD46C2">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775F4D7F">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110D55">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4DDA2C">
            <w:pPr>
              <w:textAlignment w:val="center"/>
              <w:rPr>
                <w:rFonts w:ascii="宋体" w:hAnsi="宋体" w:cs="宋体"/>
                <w:color w:val="000000"/>
                <w:lang w:eastAsia="zh-CN"/>
              </w:rPr>
            </w:pPr>
            <w:r>
              <w:rPr>
                <w:rFonts w:hint="eastAsia" w:ascii="宋体" w:hAnsi="宋体" w:cs="宋体"/>
                <w:color w:val="000000"/>
                <w:lang w:eastAsia="zh-CN" w:bidi="ar"/>
              </w:rPr>
              <w:t>东莞市飞达集团有限公司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9B9C3F">
            <w:pPr>
              <w:jc w:val="center"/>
              <w:textAlignment w:val="center"/>
              <w:rPr>
                <w:rFonts w:ascii="宋体" w:hAnsi="宋体" w:cs="宋体"/>
                <w:color w:val="000000"/>
              </w:rPr>
            </w:pPr>
            <w:r>
              <w:rPr>
                <w:rFonts w:hint="eastAsia" w:ascii="宋体" w:hAnsi="宋体" w:cs="宋体"/>
                <w:color w:val="000000"/>
                <w:lang w:eastAsia="zh-CN" w:bidi="ar"/>
              </w:rPr>
              <w:t>飞达</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5108B0">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6C0942CA">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191447">
            <w:pPr>
              <w:jc w:val="center"/>
              <w:textAlignment w:val="center"/>
              <w:rPr>
                <w:rFonts w:ascii="宋体" w:hAnsi="宋体" w:cs="宋体"/>
                <w:color w:val="000000"/>
              </w:rPr>
            </w:pPr>
            <w:r>
              <w:rPr>
                <w:rFonts w:hint="eastAsia" w:ascii="宋体" w:hAnsi="宋体" w:cs="宋体"/>
                <w:color w:val="000000"/>
                <w:lang w:eastAsia="zh-CN" w:bidi="ar"/>
              </w:rPr>
              <w:t>5</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990B65">
            <w:pPr>
              <w:textAlignment w:val="center"/>
              <w:rPr>
                <w:rFonts w:ascii="宋体" w:hAnsi="宋体" w:cs="宋体"/>
                <w:color w:val="000000"/>
                <w:lang w:eastAsia="zh-CN"/>
              </w:rPr>
            </w:pPr>
            <w:r>
              <w:rPr>
                <w:rFonts w:hint="eastAsia" w:ascii="宋体" w:hAnsi="宋体" w:cs="宋体"/>
                <w:color w:val="000000"/>
                <w:lang w:eastAsia="zh-CN" w:bidi="ar"/>
              </w:rPr>
              <w:t>广东科风实业有限公司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05E688">
            <w:pPr>
              <w:jc w:val="center"/>
              <w:textAlignment w:val="center"/>
              <w:rPr>
                <w:rFonts w:ascii="宋体" w:hAnsi="宋体" w:cs="宋体"/>
                <w:color w:val="000000"/>
              </w:rPr>
            </w:pPr>
            <w:r>
              <w:rPr>
                <w:rFonts w:hint="eastAsia" w:ascii="宋体" w:hAnsi="宋体" w:cs="宋体"/>
                <w:color w:val="000000"/>
                <w:lang w:eastAsia="zh-CN" w:bidi="ar"/>
              </w:rPr>
              <w:t>科风</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43C99B">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4E275BF8">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DE4B078">
            <w:pPr>
              <w:textAlignment w:val="center"/>
              <w:rPr>
                <w:rFonts w:ascii="宋体" w:hAnsi="宋体" w:cs="宋体"/>
                <w:b/>
                <w:bCs/>
                <w:color w:val="000000"/>
                <w:lang w:eastAsia="zh-CN"/>
              </w:rPr>
            </w:pPr>
            <w:r>
              <w:rPr>
                <w:rFonts w:hint="eastAsia" w:ascii="宋体" w:hAnsi="宋体" w:cs="宋体"/>
                <w:b/>
                <w:bCs/>
                <w:color w:val="000000"/>
                <w:lang w:eastAsia="zh-CN" w:bidi="ar"/>
              </w:rPr>
              <w:t>3. 防火阀、排烟阀、风量调节阀、风口、消声器、静压箱</w:t>
            </w:r>
          </w:p>
        </w:tc>
      </w:tr>
      <w:tr w14:paraId="6BEA1EA7">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D8E96">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E17CD">
            <w:pPr>
              <w:textAlignment w:val="center"/>
              <w:rPr>
                <w:rFonts w:ascii="宋体" w:hAnsi="宋体" w:cs="宋体"/>
                <w:color w:val="000000"/>
                <w:lang w:eastAsia="zh-CN"/>
              </w:rPr>
            </w:pPr>
            <w:r>
              <w:rPr>
                <w:rFonts w:hint="eastAsia" w:ascii="宋体" w:hAnsi="宋体" w:cs="宋体"/>
                <w:color w:val="000000"/>
                <w:lang w:eastAsia="zh-CN" w:bidi="ar"/>
              </w:rPr>
              <w:t>广东正野风机有限公司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5AC21">
            <w:pPr>
              <w:jc w:val="center"/>
              <w:textAlignment w:val="center"/>
              <w:rPr>
                <w:rFonts w:ascii="宋体" w:hAnsi="宋体" w:cs="宋体"/>
                <w:color w:val="000000"/>
              </w:rPr>
            </w:pPr>
            <w:r>
              <w:rPr>
                <w:rFonts w:hint="eastAsia" w:ascii="宋体" w:hAnsi="宋体" w:cs="宋体"/>
                <w:color w:val="000000"/>
                <w:lang w:eastAsia="zh-CN" w:bidi="ar"/>
              </w:rPr>
              <w:t>正野</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A71DE0">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371BEBCE">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0BCF2">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AF7D8">
            <w:pPr>
              <w:textAlignment w:val="center"/>
              <w:rPr>
                <w:rFonts w:ascii="宋体" w:hAnsi="宋体" w:cs="宋体"/>
                <w:color w:val="000000"/>
                <w:lang w:eastAsia="zh-CN"/>
              </w:rPr>
            </w:pPr>
            <w:r>
              <w:rPr>
                <w:rFonts w:hint="eastAsia" w:ascii="宋体" w:hAnsi="宋体" w:cs="宋体"/>
                <w:color w:val="000000"/>
                <w:lang w:eastAsia="zh-CN" w:bidi="ar"/>
              </w:rPr>
              <w:t>东莞市飞达集团有限公司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1C3FF">
            <w:pPr>
              <w:jc w:val="center"/>
              <w:textAlignment w:val="center"/>
              <w:rPr>
                <w:rFonts w:ascii="宋体" w:hAnsi="宋体" w:cs="宋体"/>
                <w:color w:val="000000"/>
              </w:rPr>
            </w:pPr>
            <w:r>
              <w:rPr>
                <w:rFonts w:hint="eastAsia" w:ascii="宋体" w:hAnsi="宋体" w:cs="宋体"/>
                <w:color w:val="000000"/>
                <w:lang w:eastAsia="zh-CN" w:bidi="ar"/>
              </w:rPr>
              <w:t>东莞飞达</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E9724A">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25AA0EFA">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68530">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DCD56">
            <w:pPr>
              <w:textAlignment w:val="center"/>
              <w:rPr>
                <w:rFonts w:ascii="宋体" w:hAnsi="宋体" w:cs="宋体"/>
                <w:color w:val="000000"/>
                <w:lang w:eastAsia="zh-CN"/>
              </w:rPr>
            </w:pPr>
            <w:r>
              <w:rPr>
                <w:rFonts w:hint="eastAsia" w:ascii="宋体" w:hAnsi="宋体" w:cs="宋体"/>
                <w:color w:val="000000"/>
                <w:lang w:eastAsia="zh-CN" w:bidi="ar"/>
              </w:rPr>
              <w:t>广州市泰昌实业有限公司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AB717">
            <w:pPr>
              <w:jc w:val="center"/>
              <w:textAlignment w:val="center"/>
              <w:rPr>
                <w:rFonts w:ascii="宋体" w:hAnsi="宋体" w:cs="宋体"/>
                <w:color w:val="000000"/>
              </w:rPr>
            </w:pPr>
            <w:r>
              <w:rPr>
                <w:rFonts w:hint="eastAsia" w:ascii="宋体" w:hAnsi="宋体" w:cs="宋体"/>
                <w:color w:val="000000"/>
                <w:lang w:eastAsia="zh-CN" w:bidi="ar"/>
              </w:rPr>
              <w:t>泰昌</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A0B06C">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4E8FCF30">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4851C">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B1478">
            <w:pPr>
              <w:textAlignment w:val="center"/>
              <w:rPr>
                <w:rFonts w:ascii="宋体" w:hAnsi="宋体" w:cs="宋体"/>
                <w:color w:val="000000"/>
                <w:lang w:eastAsia="zh-CN"/>
              </w:rPr>
            </w:pPr>
            <w:r>
              <w:rPr>
                <w:rFonts w:hint="eastAsia" w:ascii="宋体" w:hAnsi="宋体" w:cs="宋体"/>
                <w:color w:val="000000"/>
                <w:lang w:eastAsia="zh-CN" w:bidi="ar"/>
              </w:rPr>
              <w:t>南方风机股份有限公司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71D1C">
            <w:pPr>
              <w:jc w:val="center"/>
              <w:textAlignment w:val="center"/>
              <w:rPr>
                <w:rFonts w:ascii="宋体" w:hAnsi="宋体" w:cs="宋体"/>
                <w:color w:val="000000"/>
              </w:rPr>
            </w:pPr>
            <w:r>
              <w:rPr>
                <w:rFonts w:hint="eastAsia" w:ascii="宋体" w:hAnsi="宋体" w:cs="宋体"/>
                <w:color w:val="000000"/>
                <w:lang w:eastAsia="zh-CN" w:bidi="ar"/>
              </w:rPr>
              <w:t>南风</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0D6E54">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660048CD">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B555D">
            <w:pPr>
              <w:jc w:val="center"/>
              <w:textAlignment w:val="center"/>
              <w:rPr>
                <w:rFonts w:ascii="宋体" w:hAnsi="宋体" w:cs="宋体"/>
                <w:color w:val="000000"/>
              </w:rPr>
            </w:pPr>
            <w:r>
              <w:rPr>
                <w:rFonts w:hint="eastAsia" w:ascii="宋体" w:hAnsi="宋体" w:cs="宋体"/>
                <w:color w:val="000000"/>
                <w:lang w:eastAsia="zh-CN" w:bidi="ar"/>
              </w:rPr>
              <w:t>5</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3FE4D">
            <w:pPr>
              <w:textAlignment w:val="center"/>
              <w:rPr>
                <w:rFonts w:ascii="宋体" w:hAnsi="宋体" w:cs="宋体"/>
                <w:color w:val="000000"/>
                <w:lang w:eastAsia="zh-CN"/>
              </w:rPr>
            </w:pPr>
            <w:r>
              <w:rPr>
                <w:rFonts w:hint="eastAsia" w:ascii="宋体" w:hAnsi="宋体" w:cs="宋体"/>
                <w:color w:val="000000"/>
                <w:lang w:eastAsia="zh-CN" w:bidi="ar"/>
              </w:rPr>
              <w:t>广东科风实业有限公司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11828">
            <w:pPr>
              <w:jc w:val="center"/>
              <w:textAlignment w:val="center"/>
              <w:rPr>
                <w:rFonts w:ascii="宋体" w:hAnsi="宋体" w:cs="宋体"/>
                <w:color w:val="000000"/>
              </w:rPr>
            </w:pPr>
            <w:r>
              <w:rPr>
                <w:rFonts w:hint="eastAsia" w:ascii="宋体" w:hAnsi="宋体" w:cs="宋体"/>
                <w:color w:val="000000"/>
                <w:lang w:eastAsia="zh-CN" w:bidi="ar"/>
              </w:rPr>
              <w:t>科风</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AF2097">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7CEF8524">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8D4C272">
            <w:pPr>
              <w:textAlignment w:val="center"/>
              <w:rPr>
                <w:rFonts w:ascii="宋体" w:hAnsi="宋体" w:cs="宋体"/>
                <w:b/>
                <w:bCs/>
                <w:color w:val="000000"/>
              </w:rPr>
            </w:pPr>
            <w:r>
              <w:rPr>
                <w:rFonts w:hint="eastAsia" w:ascii="宋体" w:hAnsi="宋体" w:cs="宋体"/>
                <w:b/>
                <w:bCs/>
                <w:color w:val="000000"/>
                <w:lang w:eastAsia="zh-CN" w:bidi="ar"/>
              </w:rPr>
              <w:t>4. 排气扇</w:t>
            </w:r>
          </w:p>
        </w:tc>
      </w:tr>
      <w:tr w14:paraId="0F08666A">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2A88D">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1EBCA">
            <w:pPr>
              <w:textAlignment w:val="center"/>
              <w:rPr>
                <w:rFonts w:ascii="宋体" w:hAnsi="宋体" w:cs="宋体"/>
                <w:color w:val="000000"/>
                <w:lang w:eastAsia="zh-CN"/>
              </w:rPr>
            </w:pPr>
            <w:r>
              <w:rPr>
                <w:rFonts w:hint="eastAsia" w:ascii="宋体" w:hAnsi="宋体" w:cs="宋体"/>
                <w:color w:val="000000"/>
                <w:lang w:eastAsia="zh-CN" w:bidi="ar"/>
              </w:rPr>
              <w:t>广东正野风机有限公司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341DA">
            <w:pPr>
              <w:jc w:val="center"/>
              <w:textAlignment w:val="center"/>
              <w:rPr>
                <w:rFonts w:ascii="宋体" w:hAnsi="宋体" w:cs="宋体"/>
                <w:color w:val="000000"/>
              </w:rPr>
            </w:pPr>
            <w:r>
              <w:rPr>
                <w:rFonts w:hint="eastAsia" w:ascii="宋体" w:hAnsi="宋体" w:cs="宋体"/>
                <w:color w:val="000000"/>
                <w:lang w:eastAsia="zh-CN" w:bidi="ar"/>
              </w:rPr>
              <w:t>正野</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93F8A1">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3DA8E6CB">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8D2A4">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E07EE">
            <w:pPr>
              <w:textAlignment w:val="center"/>
              <w:rPr>
                <w:rFonts w:ascii="宋体" w:hAnsi="宋体" w:cs="宋体"/>
                <w:color w:val="000000"/>
                <w:lang w:eastAsia="zh-CN"/>
              </w:rPr>
            </w:pPr>
            <w:r>
              <w:rPr>
                <w:rFonts w:hint="eastAsia" w:ascii="宋体" w:hAnsi="宋体" w:cs="宋体"/>
                <w:color w:val="000000"/>
                <w:lang w:eastAsia="zh-CN" w:bidi="ar"/>
              </w:rPr>
              <w:t>松下电气设备（中国）有限公司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CF18C">
            <w:pPr>
              <w:jc w:val="center"/>
              <w:textAlignment w:val="center"/>
              <w:rPr>
                <w:rFonts w:ascii="宋体" w:hAnsi="宋体" w:cs="宋体"/>
                <w:color w:val="000000"/>
              </w:rPr>
            </w:pPr>
            <w:r>
              <w:rPr>
                <w:rFonts w:hint="eastAsia" w:ascii="宋体" w:hAnsi="宋体" w:cs="宋体"/>
                <w:color w:val="000000"/>
                <w:lang w:eastAsia="zh-CN" w:bidi="ar"/>
              </w:rPr>
              <w:t>松下/Panasonic</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14359F">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2DD9926D">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5C41E">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2ADE6">
            <w:pPr>
              <w:textAlignment w:val="center"/>
              <w:rPr>
                <w:rFonts w:ascii="宋体" w:hAnsi="宋体" w:cs="宋体"/>
                <w:color w:val="000000"/>
                <w:lang w:eastAsia="zh-CN"/>
              </w:rPr>
            </w:pPr>
            <w:r>
              <w:rPr>
                <w:rFonts w:hint="eastAsia" w:ascii="宋体" w:hAnsi="宋体" w:cs="宋体"/>
                <w:color w:val="000000"/>
                <w:lang w:eastAsia="zh-CN" w:bidi="ar"/>
              </w:rPr>
              <w:t>佛山市南海九洲普惠风机有限公司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B85D1">
            <w:pPr>
              <w:jc w:val="center"/>
              <w:textAlignment w:val="center"/>
              <w:rPr>
                <w:rFonts w:ascii="宋体" w:hAnsi="宋体" w:cs="宋体"/>
                <w:color w:val="000000"/>
              </w:rPr>
            </w:pPr>
            <w:r>
              <w:rPr>
                <w:rFonts w:hint="eastAsia" w:ascii="宋体" w:hAnsi="宋体" w:cs="宋体"/>
                <w:color w:val="000000"/>
                <w:lang w:eastAsia="zh-CN" w:bidi="ar"/>
              </w:rPr>
              <w:t>九洲普惠</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C6932B">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57386A57">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44F47">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434F5">
            <w:pPr>
              <w:textAlignment w:val="center"/>
              <w:rPr>
                <w:rFonts w:ascii="宋体" w:hAnsi="宋体" w:cs="宋体"/>
                <w:color w:val="000000"/>
                <w:lang w:eastAsia="zh-CN"/>
              </w:rPr>
            </w:pPr>
            <w:r>
              <w:rPr>
                <w:rFonts w:hint="eastAsia" w:ascii="宋体" w:hAnsi="宋体" w:cs="宋体"/>
                <w:color w:val="000000"/>
                <w:lang w:eastAsia="zh-CN" w:bidi="ar"/>
              </w:rPr>
              <w:t>江门市金羚排气扇制造有限公司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7A094">
            <w:pPr>
              <w:jc w:val="center"/>
              <w:textAlignment w:val="center"/>
              <w:rPr>
                <w:rFonts w:ascii="宋体" w:hAnsi="宋体" w:cs="宋体"/>
                <w:color w:val="000000"/>
              </w:rPr>
            </w:pPr>
            <w:r>
              <w:rPr>
                <w:rFonts w:hint="eastAsia" w:ascii="宋体" w:hAnsi="宋体" w:cs="宋体"/>
                <w:color w:val="000000"/>
                <w:lang w:eastAsia="zh-CN" w:bidi="ar"/>
              </w:rPr>
              <w:t>金羚</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BAFFD0">
            <w:pPr>
              <w:jc w:val="center"/>
              <w:rPr>
                <w:rFonts w:ascii="宋体" w:hAnsi="宋体" w:cs="宋体"/>
                <w:color w:val="FF0000"/>
              </w:rPr>
            </w:pPr>
          </w:p>
        </w:tc>
      </w:tr>
      <w:tr w14:paraId="00BF3C3D">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0233A">
            <w:pPr>
              <w:jc w:val="center"/>
              <w:textAlignment w:val="center"/>
              <w:rPr>
                <w:rFonts w:ascii="宋体" w:hAnsi="宋体" w:cs="宋体"/>
                <w:color w:val="000000"/>
              </w:rPr>
            </w:pPr>
            <w:r>
              <w:rPr>
                <w:rFonts w:hint="eastAsia" w:ascii="宋体" w:hAnsi="宋体" w:cs="宋体"/>
                <w:color w:val="000000"/>
                <w:lang w:eastAsia="zh-CN" w:bidi="ar"/>
              </w:rPr>
              <w:t>5</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49648">
            <w:pPr>
              <w:textAlignment w:val="center"/>
              <w:rPr>
                <w:rFonts w:ascii="宋体" w:hAnsi="宋体" w:cs="宋体"/>
                <w:color w:val="000000"/>
                <w:lang w:eastAsia="zh-CN"/>
              </w:rPr>
            </w:pPr>
            <w:r>
              <w:rPr>
                <w:rFonts w:hint="eastAsia" w:ascii="宋体" w:hAnsi="宋体" w:cs="宋体"/>
                <w:color w:val="000000"/>
                <w:lang w:eastAsia="zh-CN" w:bidi="ar"/>
              </w:rPr>
              <w:t>广东绿岛风空气系统股份有限公司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FE269">
            <w:pPr>
              <w:jc w:val="center"/>
              <w:textAlignment w:val="center"/>
              <w:rPr>
                <w:rFonts w:ascii="宋体" w:hAnsi="宋体" w:cs="宋体"/>
                <w:color w:val="000000"/>
              </w:rPr>
            </w:pPr>
            <w:r>
              <w:rPr>
                <w:rFonts w:hint="eastAsia" w:ascii="宋体" w:hAnsi="宋体" w:cs="宋体"/>
                <w:color w:val="000000"/>
                <w:lang w:eastAsia="zh-CN" w:bidi="ar"/>
              </w:rPr>
              <w:t>绿岛风</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F4D34F">
            <w:pPr>
              <w:jc w:val="center"/>
              <w:rPr>
                <w:rFonts w:ascii="宋体" w:hAnsi="宋体" w:cs="宋体"/>
                <w:color w:val="FF0000"/>
              </w:rPr>
            </w:pPr>
          </w:p>
        </w:tc>
      </w:tr>
      <w:tr w14:paraId="0272B544">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8ACE8E6">
            <w:pPr>
              <w:textAlignment w:val="center"/>
              <w:rPr>
                <w:rFonts w:ascii="宋体" w:hAnsi="宋体" w:cs="宋体"/>
                <w:b/>
                <w:bCs/>
                <w:color w:val="000000"/>
              </w:rPr>
            </w:pPr>
            <w:r>
              <w:rPr>
                <w:rFonts w:hint="eastAsia" w:ascii="宋体" w:hAnsi="宋体" w:cs="宋体"/>
                <w:b/>
                <w:bCs/>
                <w:color w:val="000000"/>
                <w:lang w:eastAsia="zh-CN" w:bidi="ar"/>
              </w:rPr>
              <w:t>5. 保温材料</w:t>
            </w:r>
          </w:p>
        </w:tc>
      </w:tr>
      <w:tr w14:paraId="050D22D9">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3DBF7718">
            <w:pPr>
              <w:textAlignment w:val="center"/>
              <w:rPr>
                <w:rFonts w:ascii="宋体" w:hAnsi="宋体" w:cs="宋体"/>
                <w:b/>
                <w:bCs/>
                <w:color w:val="000000"/>
              </w:rPr>
            </w:pPr>
            <w:r>
              <w:rPr>
                <w:rFonts w:hint="eastAsia" w:ascii="宋体" w:hAnsi="宋体" w:cs="宋体"/>
                <w:b/>
                <w:bCs/>
                <w:color w:val="000000"/>
                <w:lang w:eastAsia="zh-CN" w:bidi="ar"/>
              </w:rPr>
              <w:t>（1）橡塑保温材料</w:t>
            </w:r>
          </w:p>
        </w:tc>
      </w:tr>
      <w:tr w14:paraId="2A55C0AA">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6D9FBA">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AB5402">
            <w:pPr>
              <w:textAlignment w:val="center"/>
              <w:rPr>
                <w:rFonts w:ascii="宋体" w:hAnsi="宋体" w:cs="宋体"/>
                <w:color w:val="000000"/>
                <w:lang w:eastAsia="zh-CN"/>
              </w:rPr>
            </w:pPr>
            <w:r>
              <w:rPr>
                <w:rFonts w:hint="eastAsia" w:ascii="宋体" w:hAnsi="宋体" w:cs="宋体"/>
                <w:color w:val="000000"/>
                <w:lang w:eastAsia="zh-CN" w:bidi="ar"/>
              </w:rPr>
              <w:t>阿乐斯绝热材料（广州）有限公司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67B24D">
            <w:pPr>
              <w:jc w:val="center"/>
              <w:textAlignment w:val="center"/>
              <w:rPr>
                <w:rFonts w:ascii="宋体" w:hAnsi="宋体" w:cs="宋体"/>
                <w:color w:val="000000"/>
              </w:rPr>
            </w:pPr>
            <w:r>
              <w:rPr>
                <w:rFonts w:hint="eastAsia" w:ascii="宋体" w:hAnsi="宋体" w:cs="宋体"/>
                <w:color w:val="000000"/>
                <w:lang w:eastAsia="zh-CN" w:bidi="ar"/>
              </w:rPr>
              <w:t>阿乐斯</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CF7F7D">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6913025C">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858DFD">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2D8EDD">
            <w:pPr>
              <w:textAlignment w:val="center"/>
              <w:rPr>
                <w:rFonts w:ascii="宋体" w:hAnsi="宋体" w:cs="宋体"/>
                <w:color w:val="000000"/>
                <w:lang w:eastAsia="zh-CN"/>
              </w:rPr>
            </w:pPr>
            <w:r>
              <w:rPr>
                <w:rFonts w:hint="eastAsia" w:ascii="宋体" w:hAnsi="宋体" w:cs="宋体"/>
                <w:color w:val="000000"/>
                <w:lang w:eastAsia="zh-CN" w:bidi="ar"/>
              </w:rPr>
              <w:t>广州市广华科技有限公司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3ED0B9">
            <w:pPr>
              <w:jc w:val="center"/>
              <w:textAlignment w:val="center"/>
              <w:rPr>
                <w:rFonts w:ascii="宋体" w:hAnsi="宋体" w:cs="宋体"/>
                <w:color w:val="000000"/>
              </w:rPr>
            </w:pPr>
            <w:r>
              <w:rPr>
                <w:rFonts w:hint="eastAsia" w:ascii="宋体" w:hAnsi="宋体" w:cs="宋体"/>
                <w:color w:val="000000"/>
                <w:lang w:eastAsia="zh-CN" w:bidi="ar"/>
              </w:rPr>
              <w:t>广华</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BDFC3E">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73B3758D">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C3009B">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EA7EE6">
            <w:pPr>
              <w:textAlignment w:val="center"/>
              <w:rPr>
                <w:rFonts w:ascii="宋体" w:hAnsi="宋体" w:cs="宋体"/>
                <w:color w:val="000000"/>
                <w:lang w:eastAsia="zh-CN"/>
              </w:rPr>
            </w:pPr>
            <w:r>
              <w:rPr>
                <w:rFonts w:hint="eastAsia" w:ascii="宋体" w:hAnsi="宋体" w:cs="宋体"/>
                <w:color w:val="000000"/>
                <w:lang w:eastAsia="zh-CN" w:bidi="ar"/>
              </w:rPr>
              <w:t>神州节能科技集团有限公司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C46A07">
            <w:pPr>
              <w:jc w:val="center"/>
              <w:textAlignment w:val="center"/>
              <w:rPr>
                <w:rFonts w:ascii="宋体" w:hAnsi="宋体" w:cs="宋体"/>
                <w:color w:val="000000"/>
              </w:rPr>
            </w:pPr>
            <w:r>
              <w:rPr>
                <w:rFonts w:hint="eastAsia" w:ascii="宋体" w:hAnsi="宋体" w:cs="宋体"/>
                <w:color w:val="000000"/>
                <w:lang w:eastAsia="zh-CN" w:bidi="ar"/>
              </w:rPr>
              <w:t>绿都</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83A6C1">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4487BA25">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CA3FBC">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17568E">
            <w:pPr>
              <w:textAlignment w:val="center"/>
              <w:rPr>
                <w:rFonts w:ascii="宋体" w:hAnsi="宋体" w:cs="宋体"/>
                <w:color w:val="000000"/>
                <w:lang w:eastAsia="zh-CN"/>
              </w:rPr>
            </w:pPr>
            <w:r>
              <w:rPr>
                <w:rFonts w:hint="eastAsia" w:ascii="宋体" w:hAnsi="宋体" w:cs="宋体"/>
                <w:color w:val="000000"/>
                <w:lang w:eastAsia="zh-CN" w:bidi="ar"/>
              </w:rPr>
              <w:t>金福莱斯（上海）隔热材料有限公司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723464">
            <w:pPr>
              <w:jc w:val="center"/>
              <w:textAlignment w:val="center"/>
              <w:rPr>
                <w:rFonts w:ascii="宋体" w:hAnsi="宋体" w:cs="宋体"/>
                <w:color w:val="000000"/>
              </w:rPr>
            </w:pPr>
            <w:r>
              <w:rPr>
                <w:rFonts w:hint="eastAsia" w:ascii="宋体" w:hAnsi="宋体" w:cs="宋体"/>
                <w:color w:val="000000"/>
                <w:lang w:eastAsia="zh-CN" w:bidi="ar"/>
              </w:rPr>
              <w:t>金福莱斯</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CC4AF7">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450D9417">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035516">
            <w:pPr>
              <w:jc w:val="center"/>
              <w:textAlignment w:val="center"/>
              <w:rPr>
                <w:rFonts w:ascii="宋体" w:hAnsi="宋体" w:cs="宋体"/>
                <w:color w:val="000000"/>
              </w:rPr>
            </w:pPr>
            <w:r>
              <w:rPr>
                <w:rFonts w:hint="eastAsia" w:ascii="宋体" w:hAnsi="宋体" w:cs="宋体"/>
                <w:color w:val="000000"/>
                <w:lang w:eastAsia="zh-CN" w:bidi="ar"/>
              </w:rPr>
              <w:t>5</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13627D">
            <w:pPr>
              <w:textAlignment w:val="center"/>
              <w:rPr>
                <w:rFonts w:ascii="宋体" w:hAnsi="宋体" w:cs="宋体"/>
                <w:color w:val="000000"/>
                <w:lang w:eastAsia="zh-CN"/>
              </w:rPr>
            </w:pPr>
            <w:r>
              <w:rPr>
                <w:rFonts w:hint="eastAsia" w:ascii="宋体" w:hAnsi="宋体" w:cs="宋体"/>
                <w:color w:val="000000"/>
                <w:lang w:eastAsia="zh-CN" w:bidi="ar"/>
              </w:rPr>
              <w:t>赢胜节能集团股份有限公司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21D1B4">
            <w:pPr>
              <w:jc w:val="center"/>
              <w:textAlignment w:val="center"/>
              <w:rPr>
                <w:rFonts w:ascii="宋体" w:hAnsi="宋体" w:cs="宋体"/>
                <w:color w:val="000000"/>
              </w:rPr>
            </w:pPr>
            <w:r>
              <w:rPr>
                <w:rFonts w:hint="eastAsia" w:ascii="宋体" w:hAnsi="宋体" w:cs="宋体"/>
                <w:color w:val="000000"/>
                <w:lang w:eastAsia="zh-CN" w:bidi="ar"/>
              </w:rPr>
              <w:t>赢胜</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E6E3C1">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339DFED9">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2D84BAA8">
            <w:pPr>
              <w:textAlignment w:val="center"/>
              <w:rPr>
                <w:rFonts w:ascii="宋体" w:hAnsi="宋体" w:cs="宋体"/>
                <w:b/>
                <w:bCs/>
                <w:color w:val="000000"/>
                <w:lang w:eastAsia="zh-CN"/>
              </w:rPr>
            </w:pPr>
            <w:r>
              <w:rPr>
                <w:rFonts w:hint="eastAsia" w:ascii="宋体" w:hAnsi="宋体" w:cs="宋体"/>
                <w:b/>
                <w:bCs/>
                <w:color w:val="000000"/>
                <w:lang w:eastAsia="zh-CN" w:bidi="ar"/>
              </w:rPr>
              <w:t>（五）智能化材料设备</w:t>
            </w:r>
          </w:p>
        </w:tc>
      </w:tr>
      <w:tr w14:paraId="78614517">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442B75BA">
            <w:pPr>
              <w:textAlignment w:val="center"/>
              <w:rPr>
                <w:rFonts w:ascii="宋体" w:hAnsi="宋体" w:cs="宋体"/>
                <w:b/>
                <w:bCs/>
                <w:color w:val="000000"/>
              </w:rPr>
            </w:pPr>
            <w:r>
              <w:rPr>
                <w:rFonts w:hint="eastAsia" w:ascii="宋体" w:hAnsi="宋体" w:cs="宋体"/>
                <w:b/>
                <w:bCs/>
                <w:color w:val="000000"/>
                <w:lang w:eastAsia="zh-CN" w:bidi="ar"/>
              </w:rPr>
              <w:t>1. 综合布线系统</w:t>
            </w:r>
          </w:p>
        </w:tc>
      </w:tr>
      <w:tr w14:paraId="7F5EC7DE">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6220CF">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EE4C3F">
            <w:pPr>
              <w:textAlignment w:val="center"/>
              <w:rPr>
                <w:rFonts w:ascii="宋体" w:hAnsi="宋体" w:cs="宋体"/>
                <w:color w:val="000000"/>
                <w:lang w:eastAsia="zh-CN"/>
              </w:rPr>
            </w:pPr>
            <w:r>
              <w:rPr>
                <w:rFonts w:hint="eastAsia" w:ascii="宋体" w:hAnsi="宋体" w:cs="宋体"/>
                <w:color w:val="000000"/>
                <w:lang w:eastAsia="zh-CN" w:bidi="ar"/>
              </w:rPr>
              <w:t>广州宇洪科技股份有限公司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7E8264">
            <w:pPr>
              <w:jc w:val="center"/>
              <w:textAlignment w:val="center"/>
              <w:rPr>
                <w:rFonts w:ascii="宋体" w:hAnsi="宋体" w:cs="宋体"/>
                <w:color w:val="000000"/>
              </w:rPr>
            </w:pPr>
            <w:r>
              <w:rPr>
                <w:rFonts w:hint="eastAsia" w:ascii="宋体" w:hAnsi="宋体" w:cs="宋体"/>
                <w:color w:val="000000"/>
                <w:lang w:eastAsia="zh-CN" w:bidi="ar"/>
              </w:rPr>
              <w:t>宇洪科技</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61B3AD">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790D1D6A">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8A69B4">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CB864E">
            <w:pPr>
              <w:textAlignment w:val="center"/>
              <w:rPr>
                <w:rFonts w:ascii="宋体" w:hAnsi="宋体" w:cs="宋体"/>
                <w:color w:val="000000"/>
                <w:lang w:eastAsia="zh-CN"/>
              </w:rPr>
            </w:pPr>
            <w:r>
              <w:rPr>
                <w:rFonts w:hint="eastAsia" w:ascii="宋体" w:hAnsi="宋体" w:cs="宋体"/>
                <w:color w:val="000000"/>
                <w:lang w:eastAsia="zh-CN" w:bidi="ar"/>
              </w:rPr>
              <w:t>德特威勒（苏州）信息技术科技有限公司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94C25C">
            <w:pPr>
              <w:jc w:val="center"/>
              <w:textAlignment w:val="center"/>
              <w:rPr>
                <w:rFonts w:ascii="宋体" w:hAnsi="宋体" w:cs="宋体"/>
                <w:color w:val="000000"/>
              </w:rPr>
            </w:pPr>
            <w:r>
              <w:rPr>
                <w:rFonts w:hint="eastAsia" w:ascii="宋体" w:hAnsi="宋体" w:cs="宋体"/>
                <w:color w:val="000000"/>
                <w:lang w:eastAsia="zh-CN" w:bidi="ar"/>
              </w:rPr>
              <w:t>德特威勒Datwyler</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C20BC6">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00983ADB">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DFE02D">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A0A33A">
            <w:pPr>
              <w:textAlignment w:val="center"/>
              <w:rPr>
                <w:rFonts w:ascii="宋体" w:hAnsi="宋体" w:cs="宋体"/>
                <w:color w:val="000000"/>
                <w:lang w:eastAsia="zh-CN"/>
              </w:rPr>
            </w:pPr>
            <w:r>
              <w:rPr>
                <w:rFonts w:hint="eastAsia" w:ascii="宋体" w:hAnsi="宋体" w:cs="宋体"/>
                <w:color w:val="000000"/>
                <w:lang w:eastAsia="zh-CN" w:bidi="ar"/>
              </w:rPr>
              <w:t>上海天诚通信技术股份有限公司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30E7F9">
            <w:pPr>
              <w:jc w:val="center"/>
              <w:textAlignment w:val="center"/>
              <w:rPr>
                <w:rFonts w:ascii="宋体" w:hAnsi="宋体" w:cs="宋体"/>
                <w:color w:val="000000"/>
              </w:rPr>
            </w:pPr>
            <w:r>
              <w:rPr>
                <w:rFonts w:hint="eastAsia" w:ascii="宋体" w:hAnsi="宋体" w:cs="宋体"/>
                <w:color w:val="000000"/>
                <w:lang w:eastAsia="zh-CN" w:bidi="ar"/>
              </w:rPr>
              <w:t>天诚TC</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910929">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4E4DFFBD">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815CDE">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F7EE3F">
            <w:pPr>
              <w:textAlignment w:val="center"/>
              <w:rPr>
                <w:rFonts w:ascii="宋体" w:hAnsi="宋体" w:cs="宋体"/>
                <w:color w:val="000000"/>
                <w:lang w:eastAsia="zh-CN"/>
              </w:rPr>
            </w:pPr>
            <w:r>
              <w:rPr>
                <w:rFonts w:hint="eastAsia" w:ascii="宋体" w:hAnsi="宋体" w:cs="宋体"/>
                <w:color w:val="000000"/>
                <w:lang w:eastAsia="zh-CN" w:bidi="ar"/>
              </w:rPr>
              <w:t>杭州海康威视数字技术股份有限公司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FAF98D">
            <w:pPr>
              <w:jc w:val="center"/>
              <w:textAlignment w:val="center"/>
              <w:rPr>
                <w:rFonts w:ascii="宋体" w:hAnsi="宋体" w:cs="宋体"/>
                <w:color w:val="000000"/>
              </w:rPr>
            </w:pPr>
            <w:r>
              <w:rPr>
                <w:rFonts w:hint="eastAsia" w:ascii="宋体" w:hAnsi="宋体" w:cs="宋体"/>
                <w:color w:val="000000"/>
                <w:lang w:eastAsia="zh-CN" w:bidi="ar"/>
              </w:rPr>
              <w:t>海康威视</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56C6DA">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717074A1">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8BA9FA">
            <w:pPr>
              <w:jc w:val="center"/>
              <w:textAlignment w:val="center"/>
              <w:rPr>
                <w:rFonts w:ascii="宋体" w:hAnsi="宋体" w:cs="宋体"/>
                <w:color w:val="000000"/>
              </w:rPr>
            </w:pPr>
            <w:r>
              <w:rPr>
                <w:rFonts w:hint="eastAsia" w:ascii="宋体" w:hAnsi="宋体" w:cs="宋体"/>
                <w:color w:val="000000"/>
                <w:lang w:eastAsia="zh-CN" w:bidi="ar"/>
              </w:rPr>
              <w:t>5</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CF889D">
            <w:pPr>
              <w:textAlignment w:val="center"/>
              <w:rPr>
                <w:rFonts w:ascii="宋体" w:hAnsi="宋体" w:cs="宋体"/>
                <w:color w:val="000000"/>
                <w:lang w:eastAsia="zh-CN"/>
              </w:rPr>
            </w:pPr>
            <w:r>
              <w:rPr>
                <w:rFonts w:hint="eastAsia" w:ascii="宋体" w:hAnsi="宋体" w:cs="宋体"/>
                <w:color w:val="000000"/>
                <w:lang w:eastAsia="zh-CN" w:bidi="ar"/>
              </w:rPr>
              <w:t>广东南缆电缆有限公司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4F15C5">
            <w:pPr>
              <w:jc w:val="center"/>
              <w:textAlignment w:val="center"/>
              <w:rPr>
                <w:rFonts w:ascii="宋体" w:hAnsi="宋体" w:cs="宋体"/>
                <w:color w:val="000000"/>
              </w:rPr>
            </w:pPr>
            <w:r>
              <w:rPr>
                <w:rFonts w:hint="eastAsia" w:ascii="宋体" w:hAnsi="宋体" w:cs="宋体"/>
                <w:color w:val="000000"/>
                <w:lang w:eastAsia="zh-CN" w:bidi="ar"/>
              </w:rPr>
              <w:t>南电</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A0CF14">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1459D3FE">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04551FDC">
            <w:pPr>
              <w:textAlignment w:val="center"/>
              <w:rPr>
                <w:rFonts w:ascii="宋体" w:hAnsi="宋体" w:cs="宋体"/>
                <w:b/>
                <w:bCs/>
                <w:color w:val="000000"/>
              </w:rPr>
            </w:pPr>
            <w:r>
              <w:rPr>
                <w:rFonts w:hint="eastAsia" w:ascii="宋体" w:hAnsi="宋体" w:cs="宋体"/>
                <w:b/>
                <w:bCs/>
                <w:color w:val="000000"/>
                <w:lang w:eastAsia="zh-CN" w:bidi="ar"/>
              </w:rPr>
              <w:t>2. 弱电线缆</w:t>
            </w:r>
          </w:p>
        </w:tc>
      </w:tr>
      <w:tr w14:paraId="639A5A59">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F173E0">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EB5786">
            <w:pPr>
              <w:textAlignment w:val="center"/>
              <w:rPr>
                <w:rFonts w:ascii="宋体" w:hAnsi="宋体" w:cs="宋体"/>
                <w:color w:val="000000"/>
                <w:lang w:eastAsia="zh-CN"/>
              </w:rPr>
            </w:pPr>
            <w:r>
              <w:rPr>
                <w:rFonts w:hint="eastAsia" w:ascii="宋体" w:hAnsi="宋体" w:cs="宋体"/>
                <w:color w:val="000000"/>
                <w:lang w:eastAsia="zh-CN" w:bidi="ar"/>
              </w:rPr>
              <w:t>广州宇洪科技股份有限公司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469D87">
            <w:pPr>
              <w:jc w:val="center"/>
              <w:textAlignment w:val="center"/>
              <w:rPr>
                <w:rFonts w:ascii="宋体" w:hAnsi="宋体" w:cs="宋体"/>
                <w:color w:val="000000"/>
              </w:rPr>
            </w:pPr>
            <w:r>
              <w:rPr>
                <w:rFonts w:hint="eastAsia" w:ascii="宋体" w:hAnsi="宋体" w:cs="宋体"/>
                <w:color w:val="000000"/>
                <w:lang w:eastAsia="zh-CN" w:bidi="ar"/>
              </w:rPr>
              <w:t>宇洪科技</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B9A3CF">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4C87CDDB">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5F9850">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4F3192">
            <w:pPr>
              <w:textAlignment w:val="center"/>
              <w:rPr>
                <w:rFonts w:ascii="宋体" w:hAnsi="宋体" w:cs="宋体"/>
                <w:color w:val="000000"/>
                <w:lang w:eastAsia="zh-CN"/>
              </w:rPr>
            </w:pPr>
            <w:r>
              <w:rPr>
                <w:rFonts w:hint="eastAsia" w:ascii="宋体" w:hAnsi="宋体" w:cs="宋体"/>
                <w:color w:val="000000"/>
                <w:lang w:eastAsia="zh-CN" w:bidi="ar"/>
              </w:rPr>
              <w:t>江苏天诚智能集团股份有限公司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BFDEA6">
            <w:pPr>
              <w:jc w:val="center"/>
              <w:textAlignment w:val="center"/>
              <w:rPr>
                <w:rFonts w:ascii="宋体" w:hAnsi="宋体" w:cs="宋体"/>
                <w:color w:val="000000"/>
              </w:rPr>
            </w:pPr>
            <w:r>
              <w:rPr>
                <w:rFonts w:hint="eastAsia" w:ascii="宋体" w:hAnsi="宋体" w:cs="宋体"/>
                <w:color w:val="000000"/>
                <w:lang w:eastAsia="zh-CN" w:bidi="ar"/>
              </w:rPr>
              <w:t>天诚TC</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B0B15C">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6E5DCEFF">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69AC6D">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5072F8">
            <w:pPr>
              <w:textAlignment w:val="center"/>
              <w:rPr>
                <w:rFonts w:ascii="宋体" w:hAnsi="宋体" w:cs="宋体"/>
                <w:color w:val="000000"/>
                <w:lang w:eastAsia="zh-CN"/>
              </w:rPr>
            </w:pPr>
            <w:r>
              <w:rPr>
                <w:rFonts w:hint="eastAsia" w:ascii="宋体" w:hAnsi="宋体" w:cs="宋体"/>
                <w:color w:val="000000"/>
                <w:lang w:eastAsia="zh-CN" w:bidi="ar"/>
              </w:rPr>
              <w:t>广州南洋电缆集团有限公司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4D75F1">
            <w:pPr>
              <w:jc w:val="center"/>
              <w:textAlignment w:val="center"/>
              <w:rPr>
                <w:rFonts w:ascii="宋体" w:hAnsi="宋体" w:cs="宋体"/>
                <w:color w:val="000000"/>
              </w:rPr>
            </w:pPr>
            <w:r>
              <w:rPr>
                <w:rFonts w:hint="eastAsia" w:ascii="宋体" w:hAnsi="宋体" w:cs="宋体"/>
                <w:color w:val="000000"/>
                <w:lang w:eastAsia="zh-CN" w:bidi="ar"/>
              </w:rPr>
              <w:t>NAN南牌</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0B214D">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4D186F2D">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A1B8D2">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6D1DF9">
            <w:pPr>
              <w:textAlignment w:val="center"/>
              <w:rPr>
                <w:rFonts w:ascii="宋体" w:hAnsi="宋体" w:cs="宋体"/>
                <w:color w:val="000000"/>
                <w:lang w:eastAsia="zh-CN"/>
              </w:rPr>
            </w:pPr>
            <w:r>
              <w:rPr>
                <w:rFonts w:hint="eastAsia" w:ascii="宋体" w:hAnsi="宋体" w:cs="宋体"/>
                <w:color w:val="000000"/>
                <w:lang w:eastAsia="zh-CN" w:bidi="ar"/>
              </w:rPr>
              <w:t>广州番禺电缆集团有限公司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7EB22F">
            <w:pPr>
              <w:jc w:val="center"/>
              <w:textAlignment w:val="center"/>
              <w:rPr>
                <w:rFonts w:ascii="宋体" w:hAnsi="宋体" w:cs="宋体"/>
                <w:color w:val="000000"/>
              </w:rPr>
            </w:pPr>
            <w:r>
              <w:rPr>
                <w:rFonts w:hint="eastAsia" w:ascii="宋体" w:hAnsi="宋体" w:cs="宋体"/>
                <w:color w:val="000000"/>
                <w:lang w:eastAsia="zh-CN" w:bidi="ar"/>
              </w:rPr>
              <w:t>番电/乐光</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6419A0">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32EC8E3A">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D74B2D">
            <w:pPr>
              <w:jc w:val="center"/>
              <w:textAlignment w:val="center"/>
              <w:rPr>
                <w:rFonts w:ascii="宋体" w:hAnsi="宋体" w:cs="宋体"/>
                <w:color w:val="000000"/>
              </w:rPr>
            </w:pPr>
            <w:r>
              <w:rPr>
                <w:rFonts w:hint="eastAsia" w:ascii="宋体" w:hAnsi="宋体" w:cs="宋体"/>
                <w:color w:val="000000"/>
                <w:lang w:eastAsia="zh-CN" w:bidi="ar"/>
              </w:rPr>
              <w:t>5</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0183B3">
            <w:pPr>
              <w:textAlignment w:val="center"/>
              <w:rPr>
                <w:rFonts w:ascii="宋体" w:hAnsi="宋体" w:cs="宋体"/>
                <w:color w:val="000000"/>
                <w:lang w:eastAsia="zh-CN"/>
              </w:rPr>
            </w:pPr>
            <w:r>
              <w:rPr>
                <w:rFonts w:hint="eastAsia" w:ascii="宋体" w:hAnsi="宋体" w:cs="宋体"/>
                <w:color w:val="000000"/>
                <w:lang w:eastAsia="zh-CN" w:bidi="ar"/>
              </w:rPr>
              <w:t>广州市新兴电缆实业有限公司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5C9F48">
            <w:pPr>
              <w:jc w:val="center"/>
              <w:textAlignment w:val="center"/>
              <w:rPr>
                <w:rFonts w:ascii="宋体" w:hAnsi="宋体" w:cs="宋体"/>
                <w:color w:val="000000"/>
              </w:rPr>
            </w:pPr>
            <w:r>
              <w:rPr>
                <w:rFonts w:hint="eastAsia" w:ascii="宋体" w:hAnsi="宋体" w:cs="宋体"/>
                <w:color w:val="000000"/>
                <w:lang w:eastAsia="zh-CN" w:bidi="ar"/>
              </w:rPr>
              <w:t>新兴</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CD95CD">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6B3454A8">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795012A7">
            <w:pPr>
              <w:textAlignment w:val="center"/>
              <w:rPr>
                <w:rFonts w:ascii="宋体" w:hAnsi="宋体" w:cs="宋体"/>
                <w:b/>
                <w:bCs/>
                <w:color w:val="000000"/>
              </w:rPr>
            </w:pPr>
            <w:r>
              <w:rPr>
                <w:rFonts w:hint="eastAsia" w:ascii="宋体" w:hAnsi="宋体" w:cs="宋体"/>
                <w:b/>
                <w:bCs/>
                <w:color w:val="000000"/>
                <w:lang w:eastAsia="zh-CN" w:bidi="ar"/>
              </w:rPr>
              <w:t>3. 计算机网络系统</w:t>
            </w:r>
          </w:p>
        </w:tc>
      </w:tr>
      <w:tr w14:paraId="703BC170">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467C81ED">
            <w:pPr>
              <w:textAlignment w:val="center"/>
              <w:rPr>
                <w:rFonts w:ascii="宋体" w:hAnsi="宋体" w:cs="宋体"/>
                <w:b/>
                <w:bCs/>
                <w:color w:val="000000"/>
              </w:rPr>
            </w:pPr>
            <w:r>
              <w:rPr>
                <w:rFonts w:hint="eastAsia" w:ascii="宋体" w:hAnsi="宋体" w:cs="宋体"/>
                <w:b/>
                <w:bCs/>
                <w:color w:val="000000"/>
                <w:lang w:eastAsia="zh-CN" w:bidi="ar"/>
              </w:rPr>
              <w:t>（1）网络交换机</w:t>
            </w:r>
          </w:p>
        </w:tc>
      </w:tr>
      <w:tr w14:paraId="2EF0060A">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4BD917">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72B4AC">
            <w:pPr>
              <w:textAlignment w:val="center"/>
              <w:rPr>
                <w:rFonts w:ascii="宋体" w:hAnsi="宋体" w:cs="宋体"/>
                <w:color w:val="000000"/>
              </w:rPr>
            </w:pPr>
            <w:r>
              <w:rPr>
                <w:rFonts w:hint="eastAsia" w:ascii="宋体" w:hAnsi="宋体" w:cs="宋体"/>
                <w:color w:val="000000"/>
                <w:lang w:eastAsia="zh-CN" w:bidi="ar"/>
              </w:rPr>
              <w:t>华为技术有限公司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4E620D">
            <w:pPr>
              <w:jc w:val="center"/>
              <w:textAlignment w:val="center"/>
              <w:rPr>
                <w:rFonts w:ascii="宋体" w:hAnsi="宋体" w:cs="宋体"/>
                <w:color w:val="000000"/>
              </w:rPr>
            </w:pPr>
            <w:r>
              <w:rPr>
                <w:rFonts w:hint="eastAsia" w:ascii="宋体" w:hAnsi="宋体" w:cs="宋体"/>
                <w:color w:val="000000"/>
                <w:lang w:eastAsia="zh-CN" w:bidi="ar"/>
              </w:rPr>
              <w:t>华为</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D22C06">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3F3FC940">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BA6907">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167F56">
            <w:pPr>
              <w:textAlignment w:val="center"/>
              <w:rPr>
                <w:rFonts w:ascii="宋体" w:hAnsi="宋体" w:cs="宋体"/>
                <w:color w:val="000000"/>
              </w:rPr>
            </w:pPr>
            <w:r>
              <w:rPr>
                <w:rFonts w:hint="eastAsia" w:ascii="宋体" w:hAnsi="宋体" w:cs="宋体"/>
                <w:color w:val="000000"/>
                <w:lang w:eastAsia="zh-CN" w:bidi="ar"/>
              </w:rPr>
              <w:t>普联技术有限公司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A65F10">
            <w:pPr>
              <w:jc w:val="center"/>
              <w:textAlignment w:val="center"/>
              <w:rPr>
                <w:rFonts w:ascii="宋体" w:hAnsi="宋体" w:cs="宋体"/>
                <w:color w:val="000000"/>
              </w:rPr>
            </w:pPr>
            <w:r>
              <w:rPr>
                <w:rFonts w:hint="eastAsia" w:ascii="宋体" w:hAnsi="宋体" w:cs="宋体"/>
                <w:color w:val="000000"/>
                <w:lang w:eastAsia="zh-CN" w:bidi="ar"/>
              </w:rPr>
              <w:t>TP-LINK</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2A8383">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0FA30A15">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E96D2A">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653B75">
            <w:pPr>
              <w:textAlignment w:val="center"/>
              <w:rPr>
                <w:rFonts w:ascii="宋体" w:hAnsi="宋体" w:cs="宋体"/>
                <w:color w:val="000000"/>
              </w:rPr>
            </w:pPr>
            <w:r>
              <w:rPr>
                <w:rFonts w:hint="eastAsia" w:ascii="宋体" w:hAnsi="宋体" w:cs="宋体"/>
                <w:color w:val="000000"/>
                <w:lang w:eastAsia="zh-CN" w:bidi="ar"/>
              </w:rPr>
              <w:t>新华三技术有限公司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FAB90B">
            <w:pPr>
              <w:jc w:val="center"/>
              <w:textAlignment w:val="center"/>
              <w:rPr>
                <w:rFonts w:ascii="宋体" w:hAnsi="宋体" w:cs="宋体"/>
                <w:color w:val="000000"/>
              </w:rPr>
            </w:pPr>
            <w:r>
              <w:rPr>
                <w:rFonts w:hint="eastAsia" w:ascii="宋体" w:hAnsi="宋体" w:cs="宋体"/>
                <w:color w:val="000000"/>
                <w:lang w:eastAsia="zh-CN" w:bidi="ar"/>
              </w:rPr>
              <w:t>H3C</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5A4316">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51F4EE42">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864499">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6332F6">
            <w:pPr>
              <w:textAlignment w:val="center"/>
              <w:rPr>
                <w:rFonts w:ascii="宋体" w:hAnsi="宋体" w:cs="宋体"/>
                <w:color w:val="000000"/>
                <w:lang w:eastAsia="zh-CN"/>
              </w:rPr>
            </w:pPr>
            <w:r>
              <w:rPr>
                <w:rFonts w:hint="eastAsia" w:ascii="宋体" w:hAnsi="宋体" w:cs="宋体"/>
                <w:color w:val="000000"/>
                <w:lang w:eastAsia="zh-CN" w:bidi="ar"/>
              </w:rPr>
              <w:t>浙江大华技术股份有限公司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964E54">
            <w:pPr>
              <w:jc w:val="center"/>
              <w:textAlignment w:val="center"/>
              <w:rPr>
                <w:rFonts w:ascii="宋体" w:hAnsi="宋体" w:cs="宋体"/>
                <w:color w:val="000000"/>
              </w:rPr>
            </w:pPr>
            <w:r>
              <w:rPr>
                <w:rFonts w:hint="eastAsia" w:ascii="宋体" w:hAnsi="宋体" w:cs="宋体"/>
                <w:color w:val="000000"/>
                <w:lang w:eastAsia="zh-CN" w:bidi="ar"/>
              </w:rPr>
              <w:t>浙江大华</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BF29AB">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18C1B9F9">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5AF33C">
            <w:pPr>
              <w:jc w:val="center"/>
              <w:textAlignment w:val="center"/>
              <w:rPr>
                <w:rFonts w:ascii="宋体" w:hAnsi="宋体" w:cs="宋体"/>
                <w:color w:val="000000"/>
              </w:rPr>
            </w:pPr>
            <w:r>
              <w:rPr>
                <w:rFonts w:hint="eastAsia" w:ascii="宋体" w:hAnsi="宋体" w:cs="宋体"/>
                <w:color w:val="000000"/>
                <w:lang w:eastAsia="zh-CN" w:bidi="ar"/>
              </w:rPr>
              <w:t>5</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29E564">
            <w:pPr>
              <w:textAlignment w:val="center"/>
              <w:rPr>
                <w:rFonts w:ascii="宋体" w:hAnsi="宋体" w:cs="宋体"/>
                <w:color w:val="000000"/>
                <w:lang w:eastAsia="zh-CN"/>
              </w:rPr>
            </w:pPr>
            <w:r>
              <w:rPr>
                <w:rFonts w:hint="eastAsia" w:ascii="宋体" w:hAnsi="宋体" w:cs="宋体"/>
                <w:color w:val="000000"/>
                <w:lang w:eastAsia="zh-CN" w:bidi="ar"/>
              </w:rPr>
              <w:t>中兴通讯股份有限公司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72305F">
            <w:pPr>
              <w:jc w:val="center"/>
              <w:textAlignment w:val="center"/>
              <w:rPr>
                <w:rFonts w:ascii="宋体" w:hAnsi="宋体" w:cs="宋体"/>
                <w:color w:val="000000"/>
              </w:rPr>
            </w:pPr>
            <w:r>
              <w:rPr>
                <w:rFonts w:hint="eastAsia" w:ascii="宋体" w:hAnsi="宋体" w:cs="宋体"/>
                <w:color w:val="000000"/>
                <w:lang w:eastAsia="zh-CN" w:bidi="ar"/>
              </w:rPr>
              <w:t>中兴</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0E37A3">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53CAB776">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5556F5E9">
            <w:pPr>
              <w:textAlignment w:val="center"/>
              <w:rPr>
                <w:rFonts w:ascii="宋体" w:hAnsi="宋体" w:cs="宋体"/>
                <w:b/>
                <w:bCs/>
                <w:color w:val="000000"/>
              </w:rPr>
            </w:pPr>
            <w:r>
              <w:rPr>
                <w:rFonts w:hint="eastAsia" w:ascii="宋体" w:hAnsi="宋体" w:cs="宋体"/>
                <w:b/>
                <w:bCs/>
                <w:color w:val="000000"/>
                <w:lang w:eastAsia="zh-CN" w:bidi="ar"/>
              </w:rPr>
              <w:t>（2）网络安全系统</w:t>
            </w:r>
          </w:p>
        </w:tc>
      </w:tr>
      <w:tr w14:paraId="2EB77B80">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87BCC5">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935F7D">
            <w:pPr>
              <w:textAlignment w:val="center"/>
              <w:rPr>
                <w:rFonts w:ascii="宋体" w:hAnsi="宋体" w:cs="宋体"/>
                <w:color w:val="000000"/>
              </w:rPr>
            </w:pPr>
            <w:r>
              <w:rPr>
                <w:rFonts w:hint="eastAsia" w:ascii="宋体" w:hAnsi="宋体" w:cs="宋体"/>
                <w:color w:val="000000"/>
                <w:lang w:eastAsia="zh-CN" w:bidi="ar"/>
              </w:rPr>
              <w:t>华为技术有限公司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D59CB9">
            <w:pPr>
              <w:jc w:val="center"/>
              <w:textAlignment w:val="center"/>
              <w:rPr>
                <w:rFonts w:ascii="宋体" w:hAnsi="宋体" w:cs="宋体"/>
                <w:color w:val="000000"/>
              </w:rPr>
            </w:pPr>
            <w:r>
              <w:rPr>
                <w:rFonts w:hint="eastAsia" w:ascii="宋体" w:hAnsi="宋体" w:cs="宋体"/>
                <w:color w:val="000000"/>
                <w:lang w:eastAsia="zh-CN" w:bidi="ar"/>
              </w:rPr>
              <w:t>华为</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4832FF">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1C2B6D0B">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D7EBA6">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6305B7">
            <w:pPr>
              <w:textAlignment w:val="center"/>
              <w:rPr>
                <w:rFonts w:ascii="宋体" w:hAnsi="宋体" w:cs="宋体"/>
                <w:color w:val="000000"/>
              </w:rPr>
            </w:pPr>
            <w:r>
              <w:rPr>
                <w:rFonts w:hint="eastAsia" w:ascii="宋体" w:hAnsi="宋体" w:cs="宋体"/>
                <w:color w:val="000000"/>
                <w:lang w:eastAsia="zh-CN" w:bidi="ar"/>
              </w:rPr>
              <w:t>新华三技术有限公司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F843B9">
            <w:pPr>
              <w:jc w:val="center"/>
              <w:textAlignment w:val="center"/>
              <w:rPr>
                <w:rFonts w:ascii="宋体" w:hAnsi="宋体" w:cs="宋体"/>
                <w:color w:val="000000"/>
              </w:rPr>
            </w:pPr>
            <w:r>
              <w:rPr>
                <w:rFonts w:hint="eastAsia" w:ascii="宋体" w:hAnsi="宋体" w:cs="宋体"/>
                <w:color w:val="000000"/>
                <w:lang w:eastAsia="zh-CN" w:bidi="ar"/>
              </w:rPr>
              <w:t>H3C(新华三)</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CA2EA1">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33C86D06">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53FBE2">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E78BD5">
            <w:pPr>
              <w:textAlignment w:val="center"/>
              <w:rPr>
                <w:rFonts w:ascii="宋体" w:hAnsi="宋体" w:cs="宋体"/>
                <w:color w:val="000000"/>
                <w:lang w:eastAsia="zh-CN"/>
              </w:rPr>
            </w:pPr>
            <w:r>
              <w:rPr>
                <w:rFonts w:hint="eastAsia" w:ascii="宋体" w:hAnsi="宋体" w:cs="宋体"/>
                <w:color w:val="000000"/>
                <w:lang w:eastAsia="zh-CN" w:bidi="ar"/>
              </w:rPr>
              <w:t>杭州海康威视数字技术股份有限公司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6079F6">
            <w:pPr>
              <w:jc w:val="center"/>
              <w:textAlignment w:val="center"/>
              <w:rPr>
                <w:rFonts w:ascii="宋体" w:hAnsi="宋体" w:cs="宋体"/>
                <w:color w:val="000000"/>
              </w:rPr>
            </w:pPr>
            <w:r>
              <w:rPr>
                <w:rFonts w:hint="eastAsia" w:ascii="宋体" w:hAnsi="宋体" w:cs="宋体"/>
                <w:color w:val="000000"/>
                <w:lang w:eastAsia="zh-CN" w:bidi="ar"/>
              </w:rPr>
              <w:t>海康威视</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E0295D">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6F7C56A7">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E41BC2">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212559">
            <w:pPr>
              <w:textAlignment w:val="center"/>
              <w:rPr>
                <w:rFonts w:ascii="宋体" w:hAnsi="宋体" w:cs="宋体"/>
                <w:color w:val="000000"/>
                <w:lang w:eastAsia="zh-CN"/>
              </w:rPr>
            </w:pPr>
            <w:r>
              <w:rPr>
                <w:rFonts w:hint="eastAsia" w:ascii="宋体" w:hAnsi="宋体" w:cs="宋体"/>
                <w:color w:val="000000"/>
                <w:lang w:eastAsia="zh-CN" w:bidi="ar"/>
              </w:rPr>
              <w:t>浙江宇视科技有限公司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92D642">
            <w:pPr>
              <w:jc w:val="center"/>
              <w:textAlignment w:val="center"/>
              <w:rPr>
                <w:rFonts w:ascii="宋体" w:hAnsi="宋体" w:cs="宋体"/>
                <w:color w:val="000000"/>
              </w:rPr>
            </w:pPr>
            <w:r>
              <w:rPr>
                <w:rFonts w:hint="eastAsia" w:ascii="宋体" w:hAnsi="宋体" w:cs="宋体"/>
                <w:color w:val="000000"/>
                <w:lang w:eastAsia="zh-CN" w:bidi="ar"/>
              </w:rPr>
              <w:t>宇视科技UNV</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23D7B1">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12739859">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A212D5">
            <w:pPr>
              <w:jc w:val="center"/>
              <w:textAlignment w:val="center"/>
              <w:rPr>
                <w:rFonts w:ascii="宋体" w:hAnsi="宋体" w:cs="宋体"/>
                <w:color w:val="000000"/>
              </w:rPr>
            </w:pPr>
            <w:r>
              <w:rPr>
                <w:rFonts w:hint="eastAsia" w:ascii="宋体" w:hAnsi="宋体" w:cs="宋体"/>
                <w:color w:val="000000"/>
                <w:lang w:eastAsia="zh-CN" w:bidi="ar"/>
              </w:rPr>
              <w:t>5</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F0E6AF">
            <w:pPr>
              <w:textAlignment w:val="center"/>
              <w:rPr>
                <w:rFonts w:ascii="宋体" w:hAnsi="宋体" w:cs="宋体"/>
                <w:color w:val="000000"/>
              </w:rPr>
            </w:pPr>
            <w:r>
              <w:rPr>
                <w:rFonts w:hint="eastAsia" w:ascii="宋体" w:hAnsi="宋体" w:cs="宋体"/>
                <w:color w:val="000000"/>
                <w:lang w:eastAsia="zh-CN" w:bidi="ar"/>
              </w:rPr>
              <w:t>普联技术有限公司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1C6F15">
            <w:pPr>
              <w:jc w:val="center"/>
              <w:textAlignment w:val="center"/>
              <w:rPr>
                <w:rFonts w:ascii="宋体" w:hAnsi="宋体" w:cs="宋体"/>
                <w:color w:val="000000"/>
              </w:rPr>
            </w:pPr>
            <w:r>
              <w:rPr>
                <w:rFonts w:hint="eastAsia" w:ascii="宋体" w:hAnsi="宋体" w:cs="宋体"/>
                <w:color w:val="000000"/>
                <w:lang w:eastAsia="zh-CN" w:bidi="ar"/>
              </w:rPr>
              <w:t>TP-LINK</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3ADA78">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62B77B17">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371E67B5">
            <w:pPr>
              <w:textAlignment w:val="center"/>
              <w:rPr>
                <w:rFonts w:ascii="宋体" w:hAnsi="宋体" w:cs="宋体"/>
                <w:b/>
                <w:bCs/>
                <w:color w:val="000000"/>
              </w:rPr>
            </w:pPr>
            <w:r>
              <w:rPr>
                <w:rFonts w:hint="eastAsia" w:ascii="宋体" w:hAnsi="宋体" w:cs="宋体"/>
                <w:b/>
                <w:bCs/>
                <w:color w:val="000000"/>
                <w:lang w:eastAsia="zh-CN" w:bidi="ar"/>
              </w:rPr>
              <w:t>4. 综合安防系统</w:t>
            </w:r>
          </w:p>
        </w:tc>
      </w:tr>
      <w:tr w14:paraId="1D235DB1">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7C40DFC4">
            <w:pPr>
              <w:textAlignment w:val="center"/>
              <w:rPr>
                <w:rFonts w:ascii="宋体" w:hAnsi="宋体" w:cs="宋体"/>
                <w:b/>
                <w:bCs/>
                <w:color w:val="000000"/>
              </w:rPr>
            </w:pPr>
            <w:r>
              <w:rPr>
                <w:rFonts w:hint="eastAsia" w:ascii="宋体" w:hAnsi="宋体" w:cs="宋体"/>
                <w:b/>
                <w:bCs/>
                <w:color w:val="000000"/>
                <w:lang w:eastAsia="zh-CN" w:bidi="ar"/>
              </w:rPr>
              <w:t>（1）视频监控系统</w:t>
            </w:r>
          </w:p>
        </w:tc>
      </w:tr>
      <w:tr w14:paraId="6B62F606">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B208A8">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8EA50B">
            <w:pPr>
              <w:textAlignment w:val="center"/>
              <w:rPr>
                <w:rFonts w:ascii="宋体" w:hAnsi="宋体" w:cs="宋体"/>
                <w:color w:val="000000"/>
                <w:lang w:eastAsia="zh-CN"/>
              </w:rPr>
            </w:pPr>
            <w:r>
              <w:rPr>
                <w:rFonts w:hint="eastAsia" w:ascii="宋体" w:hAnsi="宋体" w:cs="宋体"/>
                <w:color w:val="000000"/>
                <w:lang w:eastAsia="zh-CN" w:bidi="ar"/>
              </w:rPr>
              <w:t>杭州海康威视数字技术股份有限公司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FCED76">
            <w:pPr>
              <w:jc w:val="center"/>
              <w:textAlignment w:val="center"/>
              <w:rPr>
                <w:rFonts w:ascii="宋体" w:hAnsi="宋体" w:cs="宋体"/>
                <w:color w:val="000000"/>
              </w:rPr>
            </w:pPr>
            <w:r>
              <w:rPr>
                <w:rFonts w:hint="eastAsia" w:ascii="宋体" w:hAnsi="宋体" w:cs="宋体"/>
                <w:color w:val="000000"/>
                <w:lang w:eastAsia="zh-CN" w:bidi="ar"/>
              </w:rPr>
              <w:t>海康威视</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04F215">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69FB6185">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512DD0">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558229">
            <w:pPr>
              <w:textAlignment w:val="center"/>
              <w:rPr>
                <w:rFonts w:ascii="宋体" w:hAnsi="宋体" w:cs="宋体"/>
                <w:color w:val="000000"/>
                <w:lang w:eastAsia="zh-CN"/>
              </w:rPr>
            </w:pPr>
            <w:r>
              <w:rPr>
                <w:rFonts w:hint="eastAsia" w:ascii="宋体" w:hAnsi="宋体" w:cs="宋体"/>
                <w:color w:val="000000"/>
                <w:lang w:eastAsia="zh-CN" w:bidi="ar"/>
              </w:rPr>
              <w:t>浙江宇视科技有限公司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BEF568">
            <w:pPr>
              <w:jc w:val="center"/>
              <w:textAlignment w:val="center"/>
              <w:rPr>
                <w:rFonts w:ascii="宋体" w:hAnsi="宋体" w:cs="宋体"/>
                <w:color w:val="000000"/>
              </w:rPr>
            </w:pPr>
            <w:r>
              <w:rPr>
                <w:rFonts w:hint="eastAsia" w:ascii="宋体" w:hAnsi="宋体" w:cs="宋体"/>
                <w:color w:val="000000"/>
                <w:lang w:eastAsia="zh-CN" w:bidi="ar"/>
              </w:rPr>
              <w:t>宇视科技</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770BF4">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74C0A11F">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75841E">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19EBC4">
            <w:pPr>
              <w:textAlignment w:val="center"/>
              <w:rPr>
                <w:rFonts w:ascii="宋体" w:hAnsi="宋体" w:cs="宋体"/>
                <w:color w:val="000000"/>
                <w:lang w:eastAsia="zh-CN"/>
              </w:rPr>
            </w:pPr>
            <w:r>
              <w:rPr>
                <w:rFonts w:hint="eastAsia" w:ascii="宋体" w:hAnsi="宋体" w:cs="宋体"/>
                <w:color w:val="000000"/>
                <w:lang w:eastAsia="zh-CN" w:bidi="ar"/>
              </w:rPr>
              <w:t>浙江大华技术股份有限公司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ADFE49">
            <w:pPr>
              <w:jc w:val="center"/>
              <w:textAlignment w:val="center"/>
              <w:rPr>
                <w:rFonts w:ascii="宋体" w:hAnsi="宋体" w:cs="宋体"/>
                <w:color w:val="000000"/>
              </w:rPr>
            </w:pPr>
            <w:r>
              <w:rPr>
                <w:rFonts w:hint="eastAsia" w:ascii="宋体" w:hAnsi="宋体" w:cs="宋体"/>
                <w:color w:val="000000"/>
                <w:lang w:eastAsia="zh-CN" w:bidi="ar"/>
              </w:rPr>
              <w:t>浙江大华</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3C612F">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39C43F29">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B4A091">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388D04">
            <w:pPr>
              <w:textAlignment w:val="center"/>
              <w:rPr>
                <w:rFonts w:ascii="宋体" w:hAnsi="宋体" w:cs="宋体"/>
                <w:color w:val="000000"/>
              </w:rPr>
            </w:pPr>
            <w:r>
              <w:rPr>
                <w:rFonts w:hint="eastAsia" w:ascii="宋体" w:hAnsi="宋体" w:cs="宋体"/>
                <w:color w:val="000000"/>
                <w:lang w:eastAsia="zh-CN" w:bidi="ar"/>
              </w:rPr>
              <w:t>华为技术有限公司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CF008A">
            <w:pPr>
              <w:jc w:val="center"/>
              <w:textAlignment w:val="center"/>
              <w:rPr>
                <w:rFonts w:ascii="宋体" w:hAnsi="宋体" w:cs="宋体"/>
                <w:color w:val="000000"/>
              </w:rPr>
            </w:pPr>
            <w:r>
              <w:rPr>
                <w:rFonts w:hint="eastAsia" w:ascii="宋体" w:hAnsi="宋体" w:cs="宋体"/>
                <w:color w:val="000000"/>
                <w:lang w:eastAsia="zh-CN" w:bidi="ar"/>
              </w:rPr>
              <w:t>华为</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F6685F">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3855083A">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073DE4">
            <w:pPr>
              <w:jc w:val="center"/>
              <w:textAlignment w:val="center"/>
              <w:rPr>
                <w:rFonts w:ascii="宋体" w:hAnsi="宋体" w:cs="宋体"/>
                <w:color w:val="000000"/>
              </w:rPr>
            </w:pPr>
            <w:r>
              <w:rPr>
                <w:rFonts w:hint="eastAsia" w:ascii="宋体" w:hAnsi="宋体" w:cs="宋体"/>
                <w:color w:val="000000"/>
                <w:lang w:eastAsia="zh-CN" w:bidi="ar"/>
              </w:rPr>
              <w:t>5</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39D48B">
            <w:pPr>
              <w:textAlignment w:val="center"/>
              <w:rPr>
                <w:rFonts w:ascii="宋体" w:hAnsi="宋体" w:cs="宋体"/>
                <w:color w:val="000000"/>
              </w:rPr>
            </w:pPr>
            <w:r>
              <w:rPr>
                <w:rFonts w:hint="eastAsia" w:ascii="宋体" w:hAnsi="宋体" w:cs="宋体"/>
                <w:color w:val="000000"/>
                <w:lang w:eastAsia="zh-CN" w:bidi="ar"/>
              </w:rPr>
              <w:t>普联技术有限公司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9E2B08">
            <w:pPr>
              <w:jc w:val="center"/>
              <w:textAlignment w:val="center"/>
              <w:rPr>
                <w:rFonts w:ascii="宋体" w:hAnsi="宋体" w:cs="宋体"/>
                <w:color w:val="000000"/>
              </w:rPr>
            </w:pPr>
            <w:r>
              <w:rPr>
                <w:rFonts w:hint="eastAsia" w:ascii="宋体" w:hAnsi="宋体" w:cs="宋体"/>
                <w:color w:val="000000"/>
                <w:lang w:eastAsia="zh-CN" w:bidi="ar"/>
              </w:rPr>
              <w:t>TP-LINK</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22E814">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260E1010">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74FE4C41">
            <w:pPr>
              <w:textAlignment w:val="center"/>
              <w:rPr>
                <w:rFonts w:ascii="宋体" w:hAnsi="宋体" w:cs="宋体"/>
                <w:b/>
                <w:bCs/>
                <w:color w:val="000000"/>
              </w:rPr>
            </w:pPr>
            <w:r>
              <w:rPr>
                <w:rFonts w:hint="eastAsia" w:ascii="宋体" w:hAnsi="宋体" w:cs="宋体"/>
                <w:b/>
                <w:bCs/>
                <w:color w:val="000000"/>
                <w:lang w:eastAsia="zh-CN" w:bidi="ar"/>
              </w:rPr>
              <w:t>5. 出入口管理系统</w:t>
            </w:r>
          </w:p>
        </w:tc>
      </w:tr>
      <w:tr w14:paraId="67367D83">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F281AB">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896378">
            <w:pPr>
              <w:textAlignment w:val="center"/>
              <w:rPr>
                <w:rFonts w:ascii="宋体" w:hAnsi="宋体" w:cs="宋体"/>
                <w:color w:val="000000"/>
                <w:lang w:eastAsia="zh-CN"/>
              </w:rPr>
            </w:pPr>
            <w:r>
              <w:rPr>
                <w:rFonts w:hint="eastAsia" w:ascii="宋体" w:hAnsi="宋体" w:cs="宋体"/>
                <w:color w:val="000000"/>
                <w:lang w:eastAsia="zh-CN" w:bidi="ar"/>
              </w:rPr>
              <w:t>浙江大华技术股份有限公司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956B85">
            <w:pPr>
              <w:jc w:val="center"/>
              <w:textAlignment w:val="center"/>
              <w:rPr>
                <w:rFonts w:ascii="宋体" w:hAnsi="宋体" w:cs="宋体"/>
                <w:color w:val="000000"/>
              </w:rPr>
            </w:pPr>
            <w:r>
              <w:rPr>
                <w:rFonts w:hint="eastAsia" w:ascii="宋体" w:hAnsi="宋体" w:cs="宋体"/>
                <w:color w:val="000000"/>
                <w:lang w:eastAsia="zh-CN" w:bidi="ar"/>
              </w:rPr>
              <w:t>浙江大华</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680338">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18BCA9B9">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D81ED7">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187C8F">
            <w:pPr>
              <w:textAlignment w:val="center"/>
              <w:rPr>
                <w:rFonts w:ascii="宋体" w:hAnsi="宋体" w:cs="宋体"/>
                <w:color w:val="000000"/>
                <w:lang w:eastAsia="zh-CN"/>
              </w:rPr>
            </w:pPr>
            <w:r>
              <w:rPr>
                <w:rFonts w:hint="eastAsia" w:ascii="宋体" w:hAnsi="宋体" w:cs="宋体"/>
                <w:color w:val="000000"/>
                <w:lang w:eastAsia="zh-CN" w:bidi="ar"/>
              </w:rPr>
              <w:t>杭州海康威视数字技术股份有限公司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E1CCB1">
            <w:pPr>
              <w:jc w:val="center"/>
              <w:textAlignment w:val="center"/>
              <w:rPr>
                <w:rFonts w:ascii="宋体" w:hAnsi="宋体" w:cs="宋体"/>
                <w:color w:val="000000"/>
              </w:rPr>
            </w:pPr>
            <w:r>
              <w:rPr>
                <w:rFonts w:hint="eastAsia" w:ascii="宋体" w:hAnsi="宋体" w:cs="宋体"/>
                <w:color w:val="000000"/>
                <w:lang w:eastAsia="zh-CN" w:bidi="ar"/>
              </w:rPr>
              <w:t>海康威视</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A7941D">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06AD3F78">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8AC17B">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8976DF">
            <w:pPr>
              <w:textAlignment w:val="center"/>
              <w:rPr>
                <w:rFonts w:ascii="宋体" w:hAnsi="宋体" w:cs="宋体"/>
                <w:color w:val="000000"/>
                <w:lang w:eastAsia="zh-CN"/>
              </w:rPr>
            </w:pPr>
            <w:r>
              <w:rPr>
                <w:rFonts w:hint="eastAsia" w:ascii="宋体" w:hAnsi="宋体" w:cs="宋体"/>
                <w:color w:val="000000"/>
                <w:lang w:eastAsia="zh-CN" w:bidi="ar"/>
              </w:rPr>
              <w:t>深圳市车安科技发展有限公司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440B69">
            <w:pPr>
              <w:jc w:val="center"/>
              <w:textAlignment w:val="center"/>
              <w:rPr>
                <w:rFonts w:ascii="宋体" w:hAnsi="宋体" w:cs="宋体"/>
                <w:color w:val="000000"/>
              </w:rPr>
            </w:pPr>
            <w:r>
              <w:rPr>
                <w:rFonts w:hint="eastAsia" w:ascii="宋体" w:hAnsi="宋体" w:cs="宋体"/>
                <w:color w:val="000000"/>
                <w:lang w:eastAsia="zh-CN" w:bidi="ar"/>
              </w:rPr>
              <w:t>车安</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A1472F">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665C15AE">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69EBE4">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346DD2">
            <w:pPr>
              <w:textAlignment w:val="center"/>
              <w:rPr>
                <w:rFonts w:ascii="宋体" w:hAnsi="宋体" w:cs="宋体"/>
                <w:color w:val="000000"/>
                <w:lang w:eastAsia="zh-CN"/>
              </w:rPr>
            </w:pPr>
            <w:r>
              <w:rPr>
                <w:rFonts w:hint="eastAsia" w:ascii="宋体" w:hAnsi="宋体" w:cs="宋体"/>
                <w:color w:val="000000"/>
                <w:lang w:eastAsia="zh-CN" w:bidi="ar"/>
              </w:rPr>
              <w:t>广东艾科智泊科技股份有限公司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CC564B">
            <w:pPr>
              <w:jc w:val="center"/>
              <w:textAlignment w:val="center"/>
              <w:rPr>
                <w:rFonts w:ascii="宋体" w:hAnsi="宋体" w:cs="宋体"/>
                <w:color w:val="000000"/>
              </w:rPr>
            </w:pPr>
            <w:r>
              <w:rPr>
                <w:rFonts w:hint="eastAsia" w:ascii="宋体" w:hAnsi="宋体" w:cs="宋体"/>
                <w:color w:val="000000"/>
                <w:lang w:eastAsia="zh-CN" w:bidi="ar"/>
              </w:rPr>
              <w:t>艾科智泊</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F219FB">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7623F692">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77E9D0">
            <w:pPr>
              <w:jc w:val="center"/>
              <w:textAlignment w:val="center"/>
              <w:rPr>
                <w:rFonts w:ascii="宋体" w:hAnsi="宋体" w:cs="宋体"/>
                <w:color w:val="000000"/>
              </w:rPr>
            </w:pPr>
            <w:r>
              <w:rPr>
                <w:rFonts w:hint="eastAsia" w:ascii="宋体" w:hAnsi="宋体" w:cs="宋体"/>
                <w:color w:val="000000"/>
                <w:lang w:eastAsia="zh-CN" w:bidi="ar"/>
              </w:rPr>
              <w:t>5</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64540B">
            <w:pPr>
              <w:textAlignment w:val="center"/>
              <w:rPr>
                <w:rFonts w:ascii="宋体" w:hAnsi="宋体" w:cs="宋体"/>
                <w:color w:val="000000"/>
              </w:rPr>
            </w:pPr>
            <w:r>
              <w:rPr>
                <w:rFonts w:hint="eastAsia" w:ascii="宋体" w:hAnsi="宋体" w:cs="宋体"/>
                <w:color w:val="000000"/>
                <w:lang w:eastAsia="zh-CN" w:bidi="ar"/>
              </w:rPr>
              <w:t>杭州立方控股股份有限公司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104024">
            <w:pPr>
              <w:jc w:val="center"/>
              <w:textAlignment w:val="center"/>
              <w:rPr>
                <w:rFonts w:ascii="宋体" w:hAnsi="宋体" w:cs="宋体"/>
                <w:color w:val="000000"/>
              </w:rPr>
            </w:pPr>
            <w:r>
              <w:rPr>
                <w:rFonts w:hint="eastAsia" w:ascii="宋体" w:hAnsi="宋体" w:cs="宋体"/>
                <w:color w:val="000000"/>
                <w:lang w:eastAsia="zh-CN" w:bidi="ar"/>
              </w:rPr>
              <w:t>立方</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3AC822">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7A8BF32D">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4A1EB3">
            <w:pPr>
              <w:jc w:val="center"/>
              <w:textAlignment w:val="center"/>
              <w:rPr>
                <w:rFonts w:ascii="宋体" w:hAnsi="宋体" w:cs="宋体"/>
                <w:color w:val="000000"/>
              </w:rPr>
            </w:pPr>
            <w:r>
              <w:rPr>
                <w:rFonts w:hint="eastAsia" w:ascii="宋体" w:hAnsi="宋体" w:cs="宋体"/>
                <w:color w:val="000000"/>
                <w:lang w:eastAsia="zh-CN" w:bidi="ar"/>
              </w:rPr>
              <w:t>6</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C373CC">
            <w:pPr>
              <w:textAlignment w:val="center"/>
              <w:rPr>
                <w:rFonts w:ascii="宋体" w:hAnsi="宋体" w:cs="宋体"/>
                <w:color w:val="000000"/>
                <w:lang w:eastAsia="zh-CN"/>
              </w:rPr>
            </w:pPr>
            <w:r>
              <w:rPr>
                <w:rFonts w:hint="eastAsia" w:ascii="宋体" w:hAnsi="宋体" w:cs="宋体"/>
                <w:color w:val="000000"/>
                <w:lang w:eastAsia="zh-CN" w:bidi="ar"/>
              </w:rPr>
              <w:t>深圳市捷顺科技实业股份有限公司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8AC0E2">
            <w:pPr>
              <w:jc w:val="center"/>
              <w:textAlignment w:val="center"/>
              <w:rPr>
                <w:rFonts w:ascii="宋体" w:hAnsi="宋体" w:cs="宋体"/>
                <w:color w:val="000000"/>
              </w:rPr>
            </w:pPr>
            <w:r>
              <w:rPr>
                <w:rFonts w:hint="eastAsia" w:ascii="宋体" w:hAnsi="宋体" w:cs="宋体"/>
                <w:color w:val="000000"/>
                <w:lang w:eastAsia="zh-CN" w:bidi="ar"/>
              </w:rPr>
              <w:t>捷顺</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E0FEE7">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5E7C2CB2">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545A3857">
            <w:pPr>
              <w:textAlignment w:val="center"/>
              <w:rPr>
                <w:rFonts w:ascii="宋体" w:hAnsi="宋体" w:cs="宋体"/>
                <w:b/>
                <w:bCs/>
                <w:color w:val="000000"/>
              </w:rPr>
            </w:pPr>
            <w:r>
              <w:rPr>
                <w:rFonts w:hint="eastAsia" w:ascii="宋体" w:hAnsi="宋体" w:cs="宋体"/>
                <w:b/>
                <w:bCs/>
                <w:color w:val="000000"/>
                <w:lang w:eastAsia="zh-CN" w:bidi="ar"/>
              </w:rPr>
              <w:t>6. 楼宇对讲系统</w:t>
            </w:r>
          </w:p>
        </w:tc>
      </w:tr>
      <w:tr w14:paraId="56A40EB4">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EE9BF8">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F9DC93">
            <w:pPr>
              <w:textAlignment w:val="center"/>
              <w:rPr>
                <w:rFonts w:ascii="宋体" w:hAnsi="宋体" w:cs="宋体"/>
                <w:color w:val="000000"/>
                <w:lang w:eastAsia="zh-CN"/>
              </w:rPr>
            </w:pPr>
            <w:r>
              <w:rPr>
                <w:rFonts w:hint="eastAsia" w:ascii="宋体" w:hAnsi="宋体" w:cs="宋体"/>
                <w:color w:val="000000"/>
                <w:lang w:eastAsia="zh-CN" w:bidi="ar"/>
              </w:rPr>
              <w:t>杭州海康威视数字技术股份有限公司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6BB5F5">
            <w:pPr>
              <w:jc w:val="center"/>
              <w:textAlignment w:val="center"/>
              <w:rPr>
                <w:rFonts w:ascii="宋体" w:hAnsi="宋体" w:cs="宋体"/>
                <w:color w:val="000000"/>
              </w:rPr>
            </w:pPr>
            <w:r>
              <w:rPr>
                <w:rFonts w:hint="eastAsia" w:ascii="宋体" w:hAnsi="宋体" w:cs="宋体"/>
                <w:color w:val="000000"/>
                <w:lang w:eastAsia="zh-CN" w:bidi="ar"/>
              </w:rPr>
              <w:t>海康威视</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CEB3D3">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2DA422D6">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C8434C">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67186B">
            <w:pPr>
              <w:textAlignment w:val="center"/>
              <w:rPr>
                <w:rFonts w:ascii="宋体" w:hAnsi="宋体" w:cs="宋体"/>
                <w:color w:val="000000"/>
                <w:lang w:eastAsia="zh-CN"/>
              </w:rPr>
            </w:pPr>
            <w:r>
              <w:rPr>
                <w:rFonts w:hint="eastAsia" w:ascii="宋体" w:hAnsi="宋体" w:cs="宋体"/>
                <w:color w:val="000000"/>
                <w:lang w:eastAsia="zh-CN" w:bidi="ar"/>
              </w:rPr>
              <w:t>浙江大华技术股份有限公司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1DA881">
            <w:pPr>
              <w:jc w:val="center"/>
              <w:textAlignment w:val="center"/>
              <w:rPr>
                <w:rFonts w:ascii="宋体" w:hAnsi="宋体" w:cs="宋体"/>
                <w:color w:val="000000"/>
              </w:rPr>
            </w:pPr>
            <w:r>
              <w:rPr>
                <w:rFonts w:hint="eastAsia" w:ascii="宋体" w:hAnsi="宋体" w:cs="宋体"/>
                <w:color w:val="000000"/>
                <w:lang w:eastAsia="zh-CN" w:bidi="ar"/>
              </w:rPr>
              <w:t>浙江大华</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2C8734">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201B3B80">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7C1C1F">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672E66">
            <w:pPr>
              <w:textAlignment w:val="center"/>
              <w:rPr>
                <w:rFonts w:ascii="宋体" w:hAnsi="宋体" w:cs="宋体"/>
                <w:color w:val="000000"/>
              </w:rPr>
            </w:pPr>
            <w:r>
              <w:rPr>
                <w:rFonts w:hint="eastAsia" w:ascii="宋体" w:hAnsi="宋体" w:cs="宋体"/>
                <w:color w:val="000000"/>
                <w:lang w:eastAsia="zh-CN" w:bidi="ar"/>
              </w:rPr>
              <w:t>福建省冠林科技有限公司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2D63E1">
            <w:pPr>
              <w:jc w:val="center"/>
              <w:textAlignment w:val="center"/>
              <w:rPr>
                <w:rFonts w:ascii="宋体" w:hAnsi="宋体" w:cs="宋体"/>
                <w:color w:val="000000"/>
              </w:rPr>
            </w:pPr>
            <w:r>
              <w:rPr>
                <w:rFonts w:hint="eastAsia" w:ascii="宋体" w:hAnsi="宋体" w:cs="宋体"/>
                <w:color w:val="000000"/>
                <w:lang w:eastAsia="zh-CN" w:bidi="ar"/>
              </w:rPr>
              <w:t>冠林</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9CBE3D">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01EF73E6">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9511F4">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368595">
            <w:pPr>
              <w:textAlignment w:val="center"/>
              <w:rPr>
                <w:rFonts w:ascii="宋体" w:hAnsi="宋体" w:cs="宋体"/>
                <w:color w:val="000000"/>
                <w:lang w:eastAsia="zh-CN"/>
              </w:rPr>
            </w:pPr>
            <w:r>
              <w:rPr>
                <w:rFonts w:hint="eastAsia" w:ascii="宋体" w:hAnsi="宋体" w:cs="宋体"/>
                <w:color w:val="000000"/>
                <w:lang w:eastAsia="zh-CN" w:bidi="ar"/>
              </w:rPr>
              <w:t>厦门立林科技有限公司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B69EB6">
            <w:pPr>
              <w:jc w:val="center"/>
              <w:textAlignment w:val="center"/>
              <w:rPr>
                <w:rFonts w:ascii="宋体" w:hAnsi="宋体" w:cs="宋体"/>
                <w:color w:val="000000"/>
              </w:rPr>
            </w:pPr>
            <w:r>
              <w:rPr>
                <w:rFonts w:hint="eastAsia" w:ascii="宋体" w:hAnsi="宋体" w:cs="宋体"/>
                <w:color w:val="000000"/>
                <w:lang w:eastAsia="zh-CN" w:bidi="ar"/>
              </w:rPr>
              <w:t>立林</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C3BFE3">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08EEDFF1">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6D1160">
            <w:pPr>
              <w:jc w:val="center"/>
              <w:textAlignment w:val="center"/>
              <w:rPr>
                <w:rFonts w:ascii="宋体" w:hAnsi="宋体" w:cs="宋体"/>
                <w:color w:val="000000"/>
              </w:rPr>
            </w:pPr>
            <w:r>
              <w:rPr>
                <w:rFonts w:hint="eastAsia" w:ascii="宋体" w:hAnsi="宋体" w:cs="宋体"/>
                <w:color w:val="000000"/>
                <w:lang w:eastAsia="zh-CN" w:bidi="ar"/>
              </w:rPr>
              <w:t>5</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A4FCB9">
            <w:pPr>
              <w:textAlignment w:val="center"/>
              <w:rPr>
                <w:rFonts w:ascii="宋体" w:hAnsi="宋体" w:cs="宋体"/>
                <w:color w:val="000000"/>
                <w:lang w:eastAsia="zh-CN"/>
              </w:rPr>
            </w:pPr>
            <w:r>
              <w:rPr>
                <w:rFonts w:hint="eastAsia" w:ascii="宋体" w:hAnsi="宋体" w:cs="宋体"/>
                <w:color w:val="000000"/>
                <w:lang w:eastAsia="zh-CN" w:bidi="ar"/>
              </w:rPr>
              <w:t>厦门狄耐克智能科技股份有限公司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5DD62F">
            <w:pPr>
              <w:jc w:val="center"/>
              <w:textAlignment w:val="center"/>
              <w:rPr>
                <w:rFonts w:ascii="宋体" w:hAnsi="宋体" w:cs="宋体"/>
                <w:color w:val="000000"/>
              </w:rPr>
            </w:pPr>
            <w:r>
              <w:rPr>
                <w:rFonts w:hint="eastAsia" w:ascii="宋体" w:hAnsi="宋体" w:cs="宋体"/>
                <w:color w:val="000000"/>
                <w:lang w:eastAsia="zh-CN" w:bidi="ar"/>
              </w:rPr>
              <w:t>狄耐克</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E9A866">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177DFDF0">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5B7096A7">
            <w:pPr>
              <w:textAlignment w:val="center"/>
              <w:rPr>
                <w:rFonts w:ascii="宋体" w:hAnsi="宋体" w:cs="宋体"/>
                <w:b/>
                <w:bCs/>
                <w:color w:val="000000"/>
              </w:rPr>
            </w:pPr>
            <w:r>
              <w:rPr>
                <w:rFonts w:hint="eastAsia" w:ascii="宋体" w:hAnsi="宋体" w:cs="宋体"/>
                <w:b/>
                <w:bCs/>
                <w:color w:val="000000"/>
                <w:lang w:eastAsia="zh-CN" w:bidi="ar"/>
              </w:rPr>
              <w:t>7. ups</w:t>
            </w:r>
          </w:p>
        </w:tc>
      </w:tr>
      <w:tr w14:paraId="26502C1E">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AFC150">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4022A2">
            <w:pPr>
              <w:textAlignment w:val="center"/>
              <w:rPr>
                <w:rFonts w:ascii="宋体" w:hAnsi="宋体" w:cs="宋体"/>
                <w:color w:val="000000"/>
              </w:rPr>
            </w:pPr>
            <w:r>
              <w:rPr>
                <w:rFonts w:hint="eastAsia" w:ascii="宋体" w:hAnsi="宋体" w:cs="宋体"/>
                <w:color w:val="000000"/>
                <w:lang w:eastAsia="zh-CN" w:bidi="ar"/>
              </w:rPr>
              <w:t>华为技术有限公司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D238E0">
            <w:pPr>
              <w:jc w:val="center"/>
              <w:textAlignment w:val="center"/>
              <w:rPr>
                <w:rFonts w:ascii="宋体" w:hAnsi="宋体" w:cs="宋体"/>
                <w:color w:val="000000"/>
              </w:rPr>
            </w:pPr>
            <w:r>
              <w:rPr>
                <w:rFonts w:hint="eastAsia" w:ascii="宋体" w:hAnsi="宋体" w:cs="宋体"/>
                <w:color w:val="000000"/>
                <w:lang w:eastAsia="zh-CN" w:bidi="ar"/>
              </w:rPr>
              <w:t>华为</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8B4A9E">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353D14F3">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C531AA">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D077CE">
            <w:pPr>
              <w:textAlignment w:val="center"/>
              <w:rPr>
                <w:rFonts w:ascii="宋体" w:hAnsi="宋体" w:cs="宋体"/>
                <w:color w:val="000000"/>
                <w:lang w:eastAsia="zh-CN"/>
              </w:rPr>
            </w:pPr>
            <w:r>
              <w:rPr>
                <w:rFonts w:hint="eastAsia" w:ascii="宋体" w:hAnsi="宋体" w:cs="宋体"/>
                <w:color w:val="000000"/>
                <w:lang w:eastAsia="zh-CN" w:bidi="ar"/>
              </w:rPr>
              <w:t>伊顿电源（上海）有限公司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587509">
            <w:pPr>
              <w:jc w:val="center"/>
              <w:textAlignment w:val="center"/>
              <w:rPr>
                <w:rFonts w:ascii="宋体" w:hAnsi="宋体" w:cs="宋体"/>
                <w:color w:val="000000"/>
              </w:rPr>
            </w:pPr>
            <w:r>
              <w:rPr>
                <w:rFonts w:hint="eastAsia" w:ascii="宋体" w:hAnsi="宋体" w:cs="宋体"/>
                <w:color w:val="000000"/>
                <w:lang w:eastAsia="zh-CN" w:bidi="ar"/>
              </w:rPr>
              <w:t>伊顿</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343C19">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35CAD434">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D395A4">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B83DAC">
            <w:pPr>
              <w:textAlignment w:val="center"/>
              <w:rPr>
                <w:rFonts w:ascii="宋体" w:hAnsi="宋体" w:cs="宋体"/>
                <w:color w:val="000000"/>
                <w:lang w:eastAsia="zh-CN"/>
              </w:rPr>
            </w:pPr>
            <w:r>
              <w:rPr>
                <w:rFonts w:hint="eastAsia" w:ascii="宋体" w:hAnsi="宋体" w:cs="宋体"/>
                <w:color w:val="000000"/>
                <w:lang w:eastAsia="zh-CN" w:bidi="ar"/>
              </w:rPr>
              <w:t>施耐德电气信息技术(中国)有限公司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BD3781">
            <w:pPr>
              <w:jc w:val="center"/>
              <w:textAlignment w:val="center"/>
              <w:rPr>
                <w:rFonts w:ascii="宋体" w:hAnsi="宋体" w:cs="宋体"/>
                <w:color w:val="000000"/>
              </w:rPr>
            </w:pPr>
            <w:r>
              <w:rPr>
                <w:rFonts w:hint="eastAsia" w:ascii="宋体" w:hAnsi="宋体" w:cs="宋体"/>
                <w:color w:val="000000"/>
                <w:lang w:eastAsia="zh-CN" w:bidi="ar"/>
              </w:rPr>
              <w:t>施耐德</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7152A2">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4B9E312B">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566693">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1F87D3">
            <w:pPr>
              <w:textAlignment w:val="center"/>
              <w:rPr>
                <w:rFonts w:ascii="宋体" w:hAnsi="宋体" w:cs="宋体"/>
                <w:color w:val="000000"/>
                <w:lang w:eastAsia="zh-CN"/>
              </w:rPr>
            </w:pPr>
            <w:r>
              <w:rPr>
                <w:rFonts w:hint="eastAsia" w:ascii="宋体" w:hAnsi="宋体" w:cs="宋体"/>
                <w:color w:val="000000"/>
                <w:lang w:eastAsia="zh-CN" w:bidi="ar"/>
              </w:rPr>
              <w:t>易事特集团股份有限公司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8D8CB2">
            <w:pPr>
              <w:jc w:val="center"/>
              <w:textAlignment w:val="center"/>
              <w:rPr>
                <w:rFonts w:ascii="宋体" w:hAnsi="宋体" w:cs="宋体"/>
                <w:color w:val="000000"/>
              </w:rPr>
            </w:pPr>
            <w:r>
              <w:rPr>
                <w:rFonts w:hint="eastAsia" w:ascii="宋体" w:hAnsi="宋体" w:cs="宋体"/>
                <w:color w:val="000000"/>
                <w:lang w:eastAsia="zh-CN" w:bidi="ar"/>
              </w:rPr>
              <w:t>EAST/易事特</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2497F0">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1811D2D2">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681E3E">
            <w:pPr>
              <w:jc w:val="center"/>
              <w:textAlignment w:val="center"/>
              <w:rPr>
                <w:rFonts w:ascii="宋体" w:hAnsi="宋体" w:cs="宋体"/>
                <w:color w:val="000000"/>
              </w:rPr>
            </w:pPr>
            <w:r>
              <w:rPr>
                <w:rFonts w:hint="eastAsia" w:ascii="宋体" w:hAnsi="宋体" w:cs="宋体"/>
                <w:color w:val="000000"/>
                <w:lang w:eastAsia="zh-CN" w:bidi="ar"/>
              </w:rPr>
              <w:t>5</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D0AFCD">
            <w:pPr>
              <w:textAlignment w:val="center"/>
              <w:rPr>
                <w:rFonts w:ascii="宋体" w:hAnsi="宋体" w:cs="宋体"/>
                <w:color w:val="000000"/>
                <w:lang w:eastAsia="zh-CN"/>
              </w:rPr>
            </w:pPr>
            <w:r>
              <w:rPr>
                <w:rFonts w:hint="eastAsia" w:ascii="宋体" w:hAnsi="宋体" w:cs="宋体"/>
                <w:color w:val="000000"/>
                <w:lang w:eastAsia="zh-CN" w:bidi="ar"/>
              </w:rPr>
              <w:t>深圳市英威腾电源有限公司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1BBB1B">
            <w:pPr>
              <w:jc w:val="center"/>
              <w:textAlignment w:val="center"/>
              <w:rPr>
                <w:rFonts w:ascii="宋体" w:hAnsi="宋体" w:cs="宋体"/>
                <w:color w:val="000000"/>
              </w:rPr>
            </w:pPr>
            <w:r>
              <w:rPr>
                <w:rFonts w:hint="eastAsia" w:ascii="宋体" w:hAnsi="宋体" w:cs="宋体"/>
                <w:color w:val="000000"/>
                <w:lang w:eastAsia="zh-CN" w:bidi="ar"/>
              </w:rPr>
              <w:t>英威腾(INVT)</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E2E44B">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49DEDD9D">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277AF86F">
            <w:pPr>
              <w:textAlignment w:val="center"/>
              <w:rPr>
                <w:rFonts w:ascii="宋体" w:hAnsi="宋体" w:cs="宋体"/>
                <w:b/>
                <w:bCs/>
                <w:color w:val="000000"/>
              </w:rPr>
            </w:pPr>
            <w:r>
              <w:rPr>
                <w:rFonts w:hint="eastAsia" w:ascii="宋体" w:hAnsi="宋体" w:cs="宋体"/>
                <w:b/>
                <w:bCs/>
                <w:color w:val="000000"/>
                <w:lang w:eastAsia="zh-CN" w:bidi="ar"/>
              </w:rPr>
              <w:t>四、室外工程材料</w:t>
            </w:r>
          </w:p>
        </w:tc>
      </w:tr>
      <w:tr w14:paraId="64133E8E">
        <w:tblPrEx>
          <w:tblCellMar>
            <w:top w:w="0" w:type="dxa"/>
            <w:left w:w="108" w:type="dxa"/>
            <w:bottom w:w="0" w:type="dxa"/>
            <w:right w:w="108" w:type="dxa"/>
          </w:tblCellMar>
        </w:tblPrEx>
        <w:trPr>
          <w:trHeight w:val="312" w:hRule="atLeast"/>
        </w:trPr>
        <w:tc>
          <w:tcPr>
            <w:tcW w:w="1002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0A3D8C8B">
            <w:pPr>
              <w:textAlignment w:val="center"/>
              <w:rPr>
                <w:rFonts w:ascii="宋体" w:hAnsi="宋体" w:cs="宋体"/>
                <w:b/>
                <w:bCs/>
                <w:color w:val="000000"/>
              </w:rPr>
            </w:pPr>
            <w:r>
              <w:rPr>
                <w:rFonts w:hint="eastAsia" w:ascii="宋体" w:hAnsi="宋体" w:cs="宋体"/>
                <w:b/>
                <w:bCs/>
                <w:color w:val="000000"/>
                <w:lang w:eastAsia="zh-CN" w:bidi="ar"/>
              </w:rPr>
              <w:t>（一）塑料检查井</w:t>
            </w:r>
          </w:p>
        </w:tc>
      </w:tr>
      <w:tr w14:paraId="12D3267F">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1F595B">
            <w:pPr>
              <w:jc w:val="center"/>
              <w:textAlignment w:val="center"/>
              <w:rPr>
                <w:rFonts w:ascii="宋体" w:hAnsi="宋体" w:cs="宋体"/>
                <w:color w:val="000000"/>
              </w:rPr>
            </w:pPr>
            <w:r>
              <w:rPr>
                <w:rFonts w:hint="eastAsia" w:ascii="宋体" w:hAnsi="宋体" w:cs="宋体"/>
                <w:color w:val="000000"/>
                <w:lang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49B37C">
            <w:pPr>
              <w:textAlignment w:val="center"/>
              <w:rPr>
                <w:rFonts w:ascii="宋体" w:hAnsi="宋体" w:cs="宋体"/>
                <w:color w:val="000000"/>
                <w:lang w:eastAsia="zh-CN"/>
              </w:rPr>
            </w:pPr>
            <w:r>
              <w:rPr>
                <w:rFonts w:hint="eastAsia" w:ascii="宋体" w:hAnsi="宋体" w:cs="宋体"/>
                <w:color w:val="000000"/>
                <w:lang w:eastAsia="zh-CN" w:bidi="ar"/>
              </w:rPr>
              <w:t>广东联塑科技实业有限公司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945093">
            <w:pPr>
              <w:jc w:val="center"/>
              <w:textAlignment w:val="center"/>
              <w:rPr>
                <w:rFonts w:ascii="宋体" w:hAnsi="宋体" w:cs="宋体"/>
                <w:color w:val="000000"/>
              </w:rPr>
            </w:pPr>
            <w:r>
              <w:rPr>
                <w:rFonts w:hint="eastAsia" w:ascii="宋体" w:hAnsi="宋体" w:cs="宋体"/>
                <w:color w:val="000000"/>
                <w:lang w:eastAsia="zh-CN" w:bidi="ar"/>
              </w:rPr>
              <w:t>联塑</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2C4104">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7A999107">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4EF086">
            <w:pPr>
              <w:jc w:val="center"/>
              <w:textAlignment w:val="center"/>
              <w:rPr>
                <w:rFonts w:ascii="宋体" w:hAnsi="宋体" w:cs="宋体"/>
                <w:color w:val="000000"/>
              </w:rPr>
            </w:pPr>
            <w:r>
              <w:rPr>
                <w:rFonts w:hint="eastAsia" w:ascii="宋体" w:hAnsi="宋体" w:cs="宋体"/>
                <w:color w:val="000000"/>
                <w:lang w:eastAsia="zh-CN" w:bidi="ar"/>
              </w:rPr>
              <w:t>2</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439EFC">
            <w:pPr>
              <w:textAlignment w:val="center"/>
              <w:rPr>
                <w:rFonts w:ascii="宋体" w:hAnsi="宋体" w:cs="宋体"/>
                <w:color w:val="000000"/>
                <w:lang w:eastAsia="zh-CN"/>
              </w:rPr>
            </w:pPr>
            <w:r>
              <w:rPr>
                <w:rFonts w:hint="eastAsia" w:ascii="宋体" w:hAnsi="宋体" w:cs="宋体"/>
                <w:color w:val="000000"/>
                <w:lang w:eastAsia="zh-CN" w:bidi="ar"/>
              </w:rPr>
              <w:t>顾地科技股份有限公司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3D5855">
            <w:pPr>
              <w:jc w:val="center"/>
              <w:textAlignment w:val="center"/>
              <w:rPr>
                <w:rFonts w:ascii="宋体" w:hAnsi="宋体" w:cs="宋体"/>
                <w:color w:val="000000"/>
              </w:rPr>
            </w:pPr>
            <w:r>
              <w:rPr>
                <w:rFonts w:hint="eastAsia" w:ascii="宋体" w:hAnsi="宋体" w:cs="宋体"/>
                <w:color w:val="000000"/>
                <w:lang w:eastAsia="zh-CN" w:bidi="ar"/>
              </w:rPr>
              <w:t>顾地</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2F4E86">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05CED1E1">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DE46CA">
            <w:pPr>
              <w:jc w:val="center"/>
              <w:textAlignment w:val="center"/>
              <w:rPr>
                <w:rFonts w:ascii="宋体" w:hAnsi="宋体" w:cs="宋体"/>
                <w:color w:val="000000"/>
              </w:rPr>
            </w:pPr>
            <w:r>
              <w:rPr>
                <w:rFonts w:hint="eastAsia" w:ascii="宋体" w:hAnsi="宋体" w:cs="宋体"/>
                <w:color w:val="000000"/>
                <w:lang w:eastAsia="zh-CN" w:bidi="ar"/>
              </w:rPr>
              <w:t>3</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593A85">
            <w:pPr>
              <w:textAlignment w:val="center"/>
              <w:rPr>
                <w:rFonts w:ascii="宋体" w:hAnsi="宋体" w:cs="宋体"/>
                <w:color w:val="000000"/>
                <w:lang w:eastAsia="zh-CN"/>
              </w:rPr>
            </w:pPr>
            <w:r>
              <w:rPr>
                <w:rFonts w:hint="eastAsia" w:ascii="宋体" w:hAnsi="宋体" w:cs="宋体"/>
                <w:color w:val="000000"/>
                <w:lang w:eastAsia="zh-CN" w:bidi="ar"/>
              </w:rPr>
              <w:t>广东雄塑科技集团股份有限公司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2258A4">
            <w:pPr>
              <w:jc w:val="center"/>
              <w:textAlignment w:val="center"/>
              <w:rPr>
                <w:rFonts w:ascii="宋体" w:hAnsi="宋体" w:cs="宋体"/>
                <w:color w:val="000000"/>
              </w:rPr>
            </w:pPr>
            <w:r>
              <w:rPr>
                <w:rFonts w:hint="eastAsia" w:ascii="宋体" w:hAnsi="宋体" w:cs="宋体"/>
                <w:color w:val="000000"/>
                <w:lang w:eastAsia="zh-CN" w:bidi="ar"/>
              </w:rPr>
              <w:t>雄塑</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723F3F">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294EABF1">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E9B9CF">
            <w:pPr>
              <w:jc w:val="center"/>
              <w:textAlignment w:val="center"/>
              <w:rPr>
                <w:rFonts w:ascii="宋体" w:hAnsi="宋体" w:cs="宋体"/>
                <w:color w:val="000000"/>
              </w:rPr>
            </w:pPr>
            <w:r>
              <w:rPr>
                <w:rFonts w:hint="eastAsia" w:ascii="宋体" w:hAnsi="宋体" w:cs="宋体"/>
                <w:color w:val="000000"/>
                <w:lang w:eastAsia="zh-CN" w:bidi="ar"/>
              </w:rPr>
              <w:t>4</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4394AE">
            <w:pPr>
              <w:textAlignment w:val="center"/>
              <w:rPr>
                <w:rFonts w:ascii="宋体" w:hAnsi="宋体" w:cs="宋体"/>
                <w:color w:val="000000"/>
              </w:rPr>
            </w:pPr>
            <w:r>
              <w:rPr>
                <w:rFonts w:hint="eastAsia" w:ascii="宋体" w:hAnsi="宋体" w:cs="宋体"/>
                <w:color w:val="000000"/>
                <w:lang w:eastAsia="zh-CN" w:bidi="ar"/>
              </w:rPr>
              <w:t>公元股份有限公司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DBC2FB">
            <w:pPr>
              <w:jc w:val="center"/>
              <w:textAlignment w:val="center"/>
              <w:rPr>
                <w:rFonts w:ascii="宋体" w:hAnsi="宋体" w:cs="宋体"/>
                <w:color w:val="000000"/>
              </w:rPr>
            </w:pPr>
            <w:r>
              <w:rPr>
                <w:rFonts w:hint="eastAsia" w:ascii="宋体" w:hAnsi="宋体" w:cs="宋体"/>
                <w:color w:val="000000"/>
                <w:lang w:eastAsia="zh-CN" w:bidi="ar"/>
              </w:rPr>
              <w:t>公元牌；永高牌</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B2F3D8">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r w14:paraId="673872FD">
        <w:tblPrEx>
          <w:tblCellMar>
            <w:top w:w="0" w:type="dxa"/>
            <w:left w:w="108" w:type="dxa"/>
            <w:bottom w:w="0" w:type="dxa"/>
            <w:right w:w="108" w:type="dxa"/>
          </w:tblCellMar>
        </w:tblPrEx>
        <w:trPr>
          <w:trHeight w:val="31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DD85A4">
            <w:pPr>
              <w:jc w:val="center"/>
              <w:textAlignment w:val="center"/>
              <w:rPr>
                <w:rFonts w:ascii="宋体" w:hAnsi="宋体" w:cs="宋体"/>
                <w:color w:val="000000"/>
              </w:rPr>
            </w:pPr>
            <w:r>
              <w:rPr>
                <w:rFonts w:hint="eastAsia" w:ascii="宋体" w:hAnsi="宋体" w:cs="宋体"/>
                <w:color w:val="000000"/>
                <w:lang w:eastAsia="zh-CN" w:bidi="ar"/>
              </w:rPr>
              <w:t>5</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A24109">
            <w:pPr>
              <w:textAlignment w:val="center"/>
              <w:rPr>
                <w:rFonts w:ascii="宋体" w:hAnsi="宋体" w:cs="宋体"/>
                <w:color w:val="000000"/>
                <w:lang w:eastAsia="zh-CN"/>
              </w:rPr>
            </w:pPr>
            <w:r>
              <w:rPr>
                <w:rFonts w:hint="eastAsia" w:ascii="宋体" w:hAnsi="宋体" w:cs="宋体"/>
                <w:color w:val="000000"/>
                <w:lang w:eastAsia="zh-CN" w:bidi="ar"/>
              </w:rPr>
              <w:t>杭州锦程实业有限公司</w:t>
            </w:r>
          </w:p>
        </w:tc>
        <w:tc>
          <w:tcPr>
            <w:tcW w:w="24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3BC42A">
            <w:pPr>
              <w:jc w:val="center"/>
              <w:textAlignment w:val="center"/>
              <w:rPr>
                <w:rFonts w:ascii="宋体" w:hAnsi="宋体" w:cs="宋体"/>
                <w:color w:val="000000"/>
              </w:rPr>
            </w:pPr>
            <w:r>
              <w:rPr>
                <w:rFonts w:hint="eastAsia" w:ascii="宋体" w:hAnsi="宋体" w:cs="宋体"/>
                <w:color w:val="000000"/>
                <w:lang w:eastAsia="zh-CN" w:bidi="ar"/>
              </w:rPr>
              <w:t>锦程</w:t>
            </w:r>
          </w:p>
        </w:tc>
        <w:tc>
          <w:tcPr>
            <w:tcW w:w="2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65602D">
            <w:pPr>
              <w:jc w:val="center"/>
              <w:textAlignment w:val="center"/>
              <w:rPr>
                <w:rFonts w:ascii="宋体" w:hAnsi="宋体" w:cs="宋体"/>
                <w:color w:val="FF0000"/>
              </w:rPr>
            </w:pPr>
            <w:r>
              <w:rPr>
                <w:rFonts w:hint="eastAsia" w:ascii="宋体" w:hAnsi="宋体" w:cs="宋体"/>
                <w:color w:val="FF0000"/>
                <w:lang w:eastAsia="zh-CN" w:bidi="ar"/>
              </w:rPr>
              <w:t xml:space="preserve">   </w:t>
            </w:r>
          </w:p>
        </w:tc>
      </w:tr>
    </w:tbl>
    <w:p w14:paraId="065E1D9E">
      <w:pPr>
        <w:rPr>
          <w:rFonts w:ascii="Arial" w:hAnsi="Arial" w:eastAsia="Arial" w:cs="Arial"/>
          <w:sz w:val="21"/>
          <w:szCs w:val="21"/>
        </w:rPr>
        <w:sectPr>
          <w:footerReference r:id="rId9" w:type="default"/>
          <w:pgSz w:w="11906" w:h="16839"/>
          <w:pgMar w:top="1076" w:right="1186" w:bottom="1156" w:left="1073" w:header="0" w:footer="994" w:gutter="0"/>
          <w:cols w:space="720" w:num="1"/>
        </w:sectPr>
      </w:pPr>
    </w:p>
    <w:p w14:paraId="23180719">
      <w:pPr>
        <w:pBdr>
          <w:top w:val="none" w:color="auto" w:sz="0" w:space="0"/>
          <w:left w:val="none" w:color="auto" w:sz="0" w:space="0"/>
          <w:bottom w:val="none" w:color="auto" w:sz="0" w:space="0"/>
          <w:right w:val="none" w:color="auto" w:sz="0" w:space="0"/>
          <w:between w:val="none" w:color="auto" w:sz="0" w:space="0"/>
        </w:pBdr>
        <w:spacing w:line="400" w:lineRule="exact"/>
        <w:rPr>
          <w:rFonts w:ascii="仿宋" w:hAnsi="仿宋" w:eastAsia="仿宋"/>
          <w:lang w:eastAsia="zh-CN"/>
        </w:rPr>
      </w:pPr>
    </w:p>
    <w:p w14:paraId="3BE09896">
      <w:pPr>
        <w:pBdr>
          <w:top w:val="none" w:color="auto" w:sz="0" w:space="0"/>
          <w:left w:val="none" w:color="auto" w:sz="0" w:space="0"/>
          <w:bottom w:val="none" w:color="auto" w:sz="0" w:space="0"/>
          <w:right w:val="none" w:color="auto" w:sz="0" w:space="0"/>
          <w:between w:val="none" w:color="auto" w:sz="0" w:space="0"/>
        </w:pBdr>
        <w:rPr>
          <w:rFonts w:ascii="仿宋" w:hAnsi="仿宋" w:eastAsia="仿宋" w:cs="仿宋"/>
          <w:b/>
          <w:bCs/>
          <w:lang w:eastAsia="zh-CN"/>
        </w:rPr>
      </w:pPr>
      <w:bookmarkStart w:id="1177" w:name="_Toc194073293"/>
      <w:r>
        <w:rPr>
          <w:rFonts w:hint="eastAsia" w:ascii="仿宋" w:hAnsi="仿宋" w:eastAsia="仿宋" w:cs="仿宋"/>
          <w:b/>
          <w:bCs/>
          <w:lang w:eastAsia="zh-CN" w:bidi="ar"/>
        </w:rPr>
        <w:t>附件八：工人工资支付分账管理协议书</w:t>
      </w:r>
      <w:bookmarkEnd w:id="1177"/>
    </w:p>
    <w:p w14:paraId="6967C6E2">
      <w:pPr>
        <w:jc w:val="center"/>
        <w:rPr>
          <w:lang w:eastAsia="zh-CN"/>
        </w:rPr>
      </w:pPr>
      <w:r>
        <w:rPr>
          <w:sz w:val="31"/>
          <w:lang w:eastAsia="zh-CN" w:bidi="ar"/>
        </w:rPr>
        <w:t>工人工资支付分账管理协议书</w:t>
      </w:r>
    </w:p>
    <w:p w14:paraId="6E617D17">
      <w:pPr>
        <w:rPr>
          <w:lang w:eastAsia="zh-CN"/>
        </w:rPr>
      </w:pPr>
      <w:r>
        <w:rPr>
          <w:rFonts w:hint="eastAsia" w:ascii="仿宋" w:hAnsi="仿宋" w:eastAsia="仿宋" w:cs="仿宋"/>
          <w:b/>
          <w:bCs/>
          <w:lang w:eastAsia="zh-CN" w:bidi="ar"/>
        </w:rPr>
        <w:t xml:space="preserve">发包人（甲方）： </w:t>
      </w:r>
    </w:p>
    <w:p w14:paraId="7A6D0D79">
      <w:pPr>
        <w:rPr>
          <w:lang w:eastAsia="zh-CN"/>
        </w:rPr>
      </w:pPr>
      <w:r>
        <w:rPr>
          <w:rFonts w:hint="eastAsia" w:ascii="仿宋" w:hAnsi="仿宋" w:eastAsia="仿宋" w:cs="仿宋"/>
          <w:b/>
          <w:bCs/>
          <w:lang w:eastAsia="zh-CN" w:bidi="ar"/>
        </w:rPr>
        <w:t xml:space="preserve">承包人（乙方）： </w:t>
      </w:r>
    </w:p>
    <w:p w14:paraId="77F79B72">
      <w:pPr>
        <w:ind w:firstLine="440" w:firstLineChars="200"/>
        <w:rPr>
          <w:rFonts w:ascii="仿宋" w:hAnsi="仿宋" w:eastAsia="仿宋" w:cs="仿宋"/>
          <w:sz w:val="22"/>
          <w:szCs w:val="22"/>
          <w:lang w:eastAsia="zh-CN" w:bidi="ar"/>
        </w:rPr>
      </w:pPr>
    </w:p>
    <w:p w14:paraId="5E1C4F26">
      <w:pPr>
        <w:ind w:firstLine="480" w:firstLineChars="200"/>
        <w:rPr>
          <w:rFonts w:ascii="仿宋" w:hAnsi="仿宋" w:eastAsia="仿宋" w:cs="仿宋"/>
          <w:lang w:eastAsia="zh-CN"/>
        </w:rPr>
      </w:pPr>
      <w:r>
        <w:rPr>
          <w:rFonts w:hint="eastAsia" w:ascii="仿宋" w:hAnsi="仿宋" w:eastAsia="仿宋" w:cs="仿宋"/>
          <w:lang w:eastAsia="zh-CN" w:bidi="ar"/>
        </w:rPr>
        <w:t>鉴于 年 月 日，发包人</w:t>
      </w:r>
      <w:r>
        <w:rPr>
          <w:rFonts w:hint="eastAsia" w:ascii="仿宋" w:hAnsi="仿宋" w:eastAsia="仿宋" w:cs="仿宋"/>
          <w:u w:val="single"/>
          <w:lang w:eastAsia="zh-CN" w:bidi="ar"/>
        </w:rPr>
        <w:t xml:space="preserve">         </w:t>
      </w:r>
      <w:r>
        <w:rPr>
          <w:rFonts w:hint="eastAsia" w:ascii="仿宋" w:hAnsi="仿宋" w:eastAsia="仿宋" w:cs="仿宋"/>
          <w:lang w:eastAsia="zh-CN" w:bidi="ar"/>
        </w:rPr>
        <w:t>（以下称甲方）、承包人</w:t>
      </w:r>
      <w:r>
        <w:rPr>
          <w:rFonts w:hint="eastAsia" w:ascii="仿宋" w:hAnsi="仿宋" w:eastAsia="仿宋" w:cs="仿宋"/>
          <w:u w:val="single"/>
          <w:lang w:eastAsia="zh-CN" w:bidi="ar"/>
        </w:rPr>
        <w:t xml:space="preserve">                  </w:t>
      </w:r>
    </w:p>
    <w:p w14:paraId="26B43ECD">
      <w:pPr>
        <w:rPr>
          <w:rFonts w:ascii="仿宋" w:hAnsi="仿宋" w:eastAsia="仿宋" w:cs="仿宋"/>
          <w:lang w:eastAsia="zh-CN"/>
        </w:rPr>
      </w:pPr>
      <w:r>
        <w:rPr>
          <w:rFonts w:hint="eastAsia" w:ascii="仿宋" w:hAnsi="仿宋" w:eastAsia="仿宋" w:cs="仿宋"/>
          <w:lang w:eastAsia="zh-CN" w:bidi="ar"/>
        </w:rPr>
        <w:t>（以下称乙方）双方就 （以下称本项目）签订《</w:t>
      </w:r>
      <w:r>
        <w:rPr>
          <w:rFonts w:hint="eastAsia" w:ascii="仿宋" w:hAnsi="仿宋" w:eastAsia="仿宋" w:cs="仿宋"/>
          <w:u w:val="single"/>
          <w:lang w:eastAsia="zh-CN" w:bidi="ar"/>
        </w:rPr>
        <w:t xml:space="preserve">                    </w:t>
      </w:r>
      <w:r>
        <w:rPr>
          <w:rFonts w:hint="eastAsia" w:ascii="仿宋" w:hAnsi="仿宋" w:eastAsia="仿宋" w:cs="仿宋"/>
          <w:lang w:eastAsia="zh-CN" w:bidi="ar"/>
        </w:rPr>
        <w:t>合同》（合同编号：</w:t>
      </w:r>
      <w:r>
        <w:rPr>
          <w:rFonts w:hint="eastAsia" w:ascii="仿宋" w:hAnsi="仿宋" w:eastAsia="仿宋" w:cs="仿宋"/>
          <w:u w:val="single"/>
          <w:lang w:eastAsia="zh-CN" w:bidi="ar"/>
        </w:rPr>
        <w:t xml:space="preserve">                </w:t>
      </w:r>
      <w:r>
        <w:rPr>
          <w:rFonts w:hint="eastAsia" w:ascii="仿宋" w:hAnsi="仿宋" w:eastAsia="仿宋" w:cs="仿宋"/>
          <w:lang w:eastAsia="zh-CN" w:bidi="ar"/>
        </w:rPr>
        <w:t xml:space="preserve">，以下称主合同）。 </w:t>
      </w:r>
    </w:p>
    <w:p w14:paraId="7B0734C7">
      <w:pPr>
        <w:ind w:firstLine="480" w:firstLineChars="200"/>
        <w:rPr>
          <w:rFonts w:ascii="仿宋" w:hAnsi="仿宋" w:eastAsia="仿宋" w:cs="仿宋"/>
          <w:lang w:eastAsia="zh-CN"/>
        </w:rPr>
      </w:pPr>
      <w:r>
        <w:rPr>
          <w:rFonts w:hint="eastAsia" w:ascii="仿宋" w:hAnsi="仿宋" w:eastAsia="仿宋" w:cs="仿宋"/>
          <w:lang w:eastAsia="zh-CN" w:bidi="ar"/>
        </w:rPr>
        <w:t xml:space="preserve">现根据《广州市住房和城乡建设局关于印发&lt;广州市建筑施工实名制管理办法&gt;的通知》 </w:t>
      </w:r>
    </w:p>
    <w:p w14:paraId="0B01768C">
      <w:pPr>
        <w:rPr>
          <w:rFonts w:ascii="仿宋" w:hAnsi="仿宋" w:eastAsia="仿宋" w:cs="仿宋"/>
          <w:lang w:eastAsia="zh-CN"/>
        </w:rPr>
      </w:pPr>
      <w:r>
        <w:rPr>
          <w:rFonts w:hint="eastAsia" w:ascii="仿宋" w:hAnsi="仿宋" w:eastAsia="仿宋" w:cs="仿宋"/>
          <w:lang w:eastAsia="zh-CN" w:bidi="ar"/>
        </w:rPr>
        <w:t xml:space="preserve">（穗建规字〔2020〕18 号）、《关于印发广州市建设领域工人工资支付分账管理实施细则 </w:t>
      </w:r>
    </w:p>
    <w:p w14:paraId="463571A6">
      <w:pPr>
        <w:rPr>
          <w:rFonts w:ascii="仿宋" w:hAnsi="仿宋" w:eastAsia="仿宋" w:cs="仿宋"/>
          <w:lang w:eastAsia="zh-CN"/>
        </w:rPr>
      </w:pPr>
      <w:r>
        <w:rPr>
          <w:rFonts w:hint="eastAsia" w:ascii="仿宋" w:hAnsi="仿宋" w:eastAsia="仿宋" w:cs="仿宋"/>
          <w:lang w:eastAsia="zh-CN" w:bidi="ar"/>
        </w:rPr>
        <w:t xml:space="preserve">的通知》（穗建规字〔2020〕37 号）等有关规定，双方就本项目工人工资支付分账管理事 </w:t>
      </w:r>
    </w:p>
    <w:p w14:paraId="4FE9502C">
      <w:pPr>
        <w:rPr>
          <w:rFonts w:ascii="仿宋" w:hAnsi="仿宋" w:eastAsia="仿宋" w:cs="仿宋"/>
          <w:lang w:eastAsia="zh-CN"/>
        </w:rPr>
      </w:pPr>
      <w:r>
        <w:rPr>
          <w:rFonts w:hint="eastAsia" w:ascii="仿宋" w:hAnsi="仿宋" w:eastAsia="仿宋" w:cs="仿宋"/>
          <w:lang w:eastAsia="zh-CN" w:bidi="ar"/>
        </w:rPr>
        <w:t xml:space="preserve">宜协商一致，达成如下协议，以资共同遵守。 </w:t>
      </w:r>
    </w:p>
    <w:p w14:paraId="7C16D7B2">
      <w:pPr>
        <w:rPr>
          <w:rFonts w:ascii="仿宋" w:hAnsi="仿宋" w:eastAsia="仿宋" w:cs="仿宋"/>
          <w:lang w:eastAsia="zh-CN"/>
        </w:rPr>
      </w:pPr>
      <w:r>
        <w:rPr>
          <w:rFonts w:hint="eastAsia" w:ascii="仿宋" w:hAnsi="仿宋" w:eastAsia="仿宋" w:cs="仿宋"/>
          <w:lang w:eastAsia="zh-CN" w:bidi="ar"/>
        </w:rPr>
        <w:t xml:space="preserve">第一条 甲方负责监督乙方的工人工资支付情况，协调本项目的工人工资支付事宜。乙 </w:t>
      </w:r>
    </w:p>
    <w:p w14:paraId="78A45CFB">
      <w:pPr>
        <w:rPr>
          <w:rFonts w:ascii="仿宋" w:hAnsi="仿宋" w:eastAsia="仿宋" w:cs="仿宋"/>
          <w:lang w:eastAsia="zh-CN"/>
        </w:rPr>
      </w:pPr>
      <w:r>
        <w:rPr>
          <w:rFonts w:hint="eastAsia" w:ascii="仿宋" w:hAnsi="仿宋" w:eastAsia="仿宋" w:cs="仿宋"/>
          <w:lang w:eastAsia="zh-CN" w:bidi="ar"/>
        </w:rPr>
        <w:t xml:space="preserve">方服从甲方有关工人工资支付的监督管理，若乙方拖欠或克扣工人工资造成群体性事件或 </w:t>
      </w:r>
    </w:p>
    <w:p w14:paraId="7A33F70E">
      <w:pPr>
        <w:rPr>
          <w:rFonts w:ascii="仿宋" w:hAnsi="仿宋" w:eastAsia="仿宋" w:cs="仿宋"/>
          <w:lang w:eastAsia="zh-CN"/>
        </w:rPr>
      </w:pPr>
      <w:r>
        <w:rPr>
          <w:rFonts w:hint="eastAsia" w:ascii="仿宋" w:hAnsi="仿宋" w:eastAsia="仿宋" w:cs="仿宋"/>
          <w:lang w:eastAsia="zh-CN" w:bidi="ar"/>
        </w:rPr>
        <w:t xml:space="preserve">不良影响的，甲方有权降低乙方诚信评分，将乙方列入黑名单，拒绝乙方参与甲方后续工+程投标。 </w:t>
      </w:r>
    </w:p>
    <w:p w14:paraId="541DA5C0">
      <w:pPr>
        <w:rPr>
          <w:rFonts w:ascii="仿宋" w:hAnsi="仿宋" w:eastAsia="仿宋" w:cs="仿宋"/>
          <w:lang w:eastAsia="zh-CN"/>
        </w:rPr>
      </w:pPr>
      <w:r>
        <w:rPr>
          <w:rFonts w:hint="eastAsia" w:ascii="仿宋" w:hAnsi="仿宋" w:eastAsia="仿宋" w:cs="仿宋"/>
          <w:lang w:eastAsia="zh-CN" w:bidi="ar"/>
        </w:rPr>
        <w:t xml:space="preserve">第二条 乙方须对本项目工程款中的工人工资开立工人工资支付专用账户，严禁挪作他 </w:t>
      </w:r>
    </w:p>
    <w:p w14:paraId="73AAE367">
      <w:pPr>
        <w:rPr>
          <w:rFonts w:ascii="仿宋" w:hAnsi="仿宋" w:eastAsia="仿宋" w:cs="仿宋"/>
          <w:lang w:eastAsia="zh-CN"/>
        </w:rPr>
      </w:pPr>
      <w:r>
        <w:rPr>
          <w:rFonts w:hint="eastAsia" w:ascii="仿宋" w:hAnsi="仿宋" w:eastAsia="仿宋" w:cs="仿宋"/>
          <w:lang w:eastAsia="zh-CN" w:bidi="ar"/>
        </w:rPr>
        <w:t xml:space="preserve">用，确保专款专用。 </w:t>
      </w:r>
    </w:p>
    <w:p w14:paraId="2E673529">
      <w:pPr>
        <w:rPr>
          <w:rFonts w:ascii="仿宋" w:hAnsi="仿宋" w:eastAsia="仿宋" w:cs="仿宋"/>
          <w:lang w:eastAsia="zh-CN"/>
        </w:rPr>
      </w:pPr>
      <w:r>
        <w:rPr>
          <w:rFonts w:hint="eastAsia" w:ascii="仿宋" w:hAnsi="仿宋" w:eastAsia="仿宋" w:cs="仿宋"/>
          <w:lang w:eastAsia="zh-CN" w:bidi="ar"/>
        </w:rPr>
        <w:t xml:space="preserve">乙方办理工人工资支付专用账户撤销手续的，应在本项目完工且乙方已结清工人工资 </w:t>
      </w:r>
    </w:p>
    <w:p w14:paraId="58404F93">
      <w:pPr>
        <w:rPr>
          <w:rFonts w:ascii="仿宋" w:hAnsi="仿宋" w:eastAsia="仿宋" w:cs="仿宋"/>
          <w:lang w:eastAsia="zh-CN"/>
        </w:rPr>
      </w:pPr>
      <w:r>
        <w:rPr>
          <w:rFonts w:hint="eastAsia" w:ascii="仿宋" w:hAnsi="仿宋" w:eastAsia="仿宋" w:cs="仿宋"/>
          <w:lang w:eastAsia="zh-CN" w:bidi="ar"/>
        </w:rPr>
        <w:t xml:space="preserve">后，取得甲方书面同意。 </w:t>
      </w:r>
    </w:p>
    <w:p w14:paraId="2B275B49">
      <w:pPr>
        <w:rPr>
          <w:rFonts w:ascii="仿宋" w:hAnsi="仿宋" w:eastAsia="仿宋" w:cs="仿宋"/>
          <w:lang w:eastAsia="zh-CN"/>
        </w:rPr>
      </w:pPr>
      <w:r>
        <w:rPr>
          <w:rFonts w:hint="eastAsia" w:ascii="仿宋" w:hAnsi="仿宋" w:eastAsia="仿宋" w:cs="仿宋"/>
          <w:lang w:eastAsia="zh-CN" w:bidi="ar"/>
        </w:rPr>
        <w:t xml:space="preserve">第三条 乙方按照主合同约定申请工程款时，每一期工程款都必须按照规定比例将工程 </w:t>
      </w:r>
    </w:p>
    <w:p w14:paraId="6B5A54E7">
      <w:pPr>
        <w:rPr>
          <w:rFonts w:ascii="仿宋" w:hAnsi="仿宋" w:eastAsia="仿宋" w:cs="仿宋"/>
          <w:lang w:eastAsia="zh-CN"/>
        </w:rPr>
      </w:pPr>
      <w:r>
        <w:rPr>
          <w:rFonts w:hint="eastAsia" w:ascii="仿宋" w:hAnsi="仿宋" w:eastAsia="仿宋" w:cs="仿宋"/>
          <w:lang w:eastAsia="zh-CN" w:bidi="ar"/>
        </w:rPr>
        <w:t xml:space="preserve">款项中的工人工资单列，并提供工人工资专用账户相关资料。以便甲方进行分账支付。如 </w:t>
      </w:r>
    </w:p>
    <w:p w14:paraId="45008407">
      <w:pPr>
        <w:rPr>
          <w:rFonts w:ascii="仿宋" w:hAnsi="仿宋" w:eastAsia="仿宋" w:cs="仿宋"/>
          <w:lang w:eastAsia="zh-CN"/>
        </w:rPr>
      </w:pPr>
      <w:r>
        <w:rPr>
          <w:rFonts w:hint="eastAsia" w:ascii="仿宋" w:hAnsi="仿宋" w:eastAsia="仿宋" w:cs="仿宋"/>
          <w:lang w:eastAsia="zh-CN" w:bidi="ar"/>
        </w:rPr>
        <w:t xml:space="preserve">因乙方错误提供工人工资单列金额而导致相关工人工资无法支付的，由乙方承担由此引起的一切法律责任。 </w:t>
      </w:r>
    </w:p>
    <w:p w14:paraId="7DEF3E93">
      <w:pPr>
        <w:rPr>
          <w:rFonts w:ascii="仿宋" w:hAnsi="仿宋" w:eastAsia="仿宋" w:cs="仿宋"/>
          <w:lang w:eastAsia="zh-CN"/>
        </w:rPr>
      </w:pPr>
      <w:r>
        <w:rPr>
          <w:rFonts w:hint="eastAsia" w:ascii="仿宋" w:hAnsi="仿宋" w:eastAsia="仿宋" w:cs="仿宋"/>
          <w:lang w:eastAsia="zh-CN" w:bidi="ar"/>
        </w:rPr>
        <w:t xml:space="preserve">工人工资款比例按照主合同第一部分协议书第五条合同价款中单列的人工费金额除以 </w:t>
      </w:r>
    </w:p>
    <w:p w14:paraId="1693306B">
      <w:pPr>
        <w:rPr>
          <w:rFonts w:ascii="仿宋" w:hAnsi="仿宋" w:eastAsia="仿宋" w:cs="仿宋"/>
          <w:lang w:eastAsia="zh-CN"/>
        </w:rPr>
      </w:pPr>
      <w:r>
        <w:rPr>
          <w:rFonts w:hint="eastAsia" w:ascii="仿宋" w:hAnsi="仿宋" w:eastAsia="仿宋" w:cs="仿宋"/>
          <w:lang w:eastAsia="zh-CN" w:bidi="ar"/>
        </w:rPr>
        <w:t>合同总价计算，暂定为</w:t>
      </w:r>
      <w:r>
        <w:rPr>
          <w:rFonts w:hint="eastAsia" w:ascii="仿宋" w:hAnsi="仿宋" w:eastAsia="仿宋" w:cs="仿宋"/>
          <w:u w:val="single"/>
          <w:lang w:eastAsia="zh-CN" w:bidi="ar"/>
        </w:rPr>
        <w:t xml:space="preserve">   </w:t>
      </w:r>
      <w:r>
        <w:rPr>
          <w:rFonts w:hint="eastAsia" w:ascii="仿宋" w:hAnsi="仿宋" w:eastAsia="仿宋" w:cs="仿宋"/>
          <w:lang w:eastAsia="zh-CN" w:bidi="ar"/>
        </w:rPr>
        <w:t xml:space="preserve">%，由甲方按照主合同约定每一期足额支付至第二条所述乙方工人工资专用账户，且工人工资款金额最终以有权结算终审部门审定为准。 </w:t>
      </w:r>
    </w:p>
    <w:p w14:paraId="67555F49">
      <w:pPr>
        <w:rPr>
          <w:rFonts w:ascii="仿宋" w:hAnsi="仿宋" w:eastAsia="仿宋" w:cs="仿宋"/>
          <w:lang w:eastAsia="zh-CN"/>
        </w:rPr>
      </w:pPr>
      <w:r>
        <w:rPr>
          <w:rFonts w:hint="eastAsia" w:ascii="仿宋" w:hAnsi="仿宋" w:eastAsia="仿宋" w:cs="仿宋"/>
          <w:lang w:eastAsia="zh-CN" w:bidi="ar"/>
        </w:rPr>
        <w:t xml:space="preserve">第四条 乙方须建立工人考勤、工资结算和支付等管理台账，并于每次申请工程款时向 </w:t>
      </w:r>
    </w:p>
    <w:p w14:paraId="75272793">
      <w:pPr>
        <w:rPr>
          <w:rFonts w:ascii="仿宋" w:hAnsi="仿宋" w:eastAsia="仿宋" w:cs="仿宋"/>
          <w:lang w:eastAsia="zh-CN"/>
        </w:rPr>
      </w:pPr>
      <w:r>
        <w:rPr>
          <w:rFonts w:hint="eastAsia" w:ascii="仿宋" w:hAnsi="仿宋" w:eastAsia="仿宋" w:cs="仿宋"/>
          <w:lang w:eastAsia="zh-CN" w:bidi="ar"/>
        </w:rPr>
        <w:t>甲方报备。</w:t>
      </w:r>
    </w:p>
    <w:p w14:paraId="7C415518">
      <w:pPr>
        <w:rPr>
          <w:rFonts w:ascii="仿宋" w:hAnsi="仿宋" w:eastAsia="仿宋" w:cs="仿宋"/>
          <w:lang w:eastAsia="zh-CN"/>
        </w:rPr>
      </w:pPr>
      <w:r>
        <w:rPr>
          <w:rFonts w:hint="eastAsia" w:ascii="仿宋" w:hAnsi="仿宋" w:eastAsia="仿宋" w:cs="仿宋"/>
          <w:lang w:eastAsia="zh-CN" w:bidi="ar"/>
        </w:rPr>
        <w:t>第五条 本协议是</w:t>
      </w:r>
      <w:r>
        <w:rPr>
          <w:rFonts w:hint="eastAsia" w:ascii="仿宋" w:hAnsi="仿宋" w:eastAsia="仿宋" w:cs="仿宋"/>
          <w:u w:val="single"/>
          <w:lang w:eastAsia="zh-CN" w:bidi="ar"/>
        </w:rPr>
        <w:t xml:space="preserve">                 </w:t>
      </w:r>
      <w:r>
        <w:rPr>
          <w:rFonts w:hint="eastAsia" w:ascii="仿宋" w:hAnsi="仿宋" w:eastAsia="仿宋" w:cs="仿宋"/>
          <w:lang w:eastAsia="zh-CN" w:bidi="ar"/>
        </w:rPr>
        <w:t>合同的附件，与主合同效力等同，自双方法定代表人（或委托代理人）签字</w:t>
      </w:r>
      <w:r>
        <w:rPr>
          <w:rFonts w:hint="eastAsia" w:ascii="仿宋" w:hAnsi="仿宋" w:eastAsia="仿宋" w:cs="仿宋"/>
          <w:lang w:eastAsia="zh-CN"/>
        </w:rPr>
        <w:t>或盖章，</w:t>
      </w:r>
      <w:r>
        <w:rPr>
          <w:rFonts w:hint="eastAsia" w:ascii="仿宋" w:hAnsi="仿宋" w:eastAsia="仿宋" w:cs="仿宋"/>
          <w:lang w:eastAsia="zh-CN" w:bidi="ar"/>
        </w:rPr>
        <w:t xml:space="preserve">并加盖公章之日起生效。 </w:t>
      </w:r>
    </w:p>
    <w:p w14:paraId="1E85DAFF">
      <w:pPr>
        <w:rPr>
          <w:rFonts w:ascii="仿宋" w:hAnsi="仿宋" w:eastAsia="仿宋" w:cs="仿宋"/>
          <w:lang w:eastAsia="zh-CN"/>
        </w:rPr>
      </w:pPr>
      <w:r>
        <w:rPr>
          <w:rFonts w:hint="eastAsia" w:ascii="仿宋" w:hAnsi="仿宋" w:eastAsia="仿宋" w:cs="仿宋"/>
          <w:lang w:eastAsia="zh-CN" w:bidi="ar"/>
        </w:rPr>
        <w:t>第六条 本协议一式拾份，具有同等法律效力，其中发包人、承包人各执伍份。</w:t>
      </w:r>
    </w:p>
    <w:p w14:paraId="25C2E7E1">
      <w:pPr>
        <w:pStyle w:val="41"/>
        <w:spacing w:after="156"/>
        <w:ind w:firstLine="480"/>
      </w:pPr>
    </w:p>
    <w:p w14:paraId="4D0A6CD5">
      <w:pPr>
        <w:pStyle w:val="41"/>
        <w:spacing w:after="156"/>
        <w:ind w:firstLine="0" w:firstLineChars="0"/>
        <w:rPr>
          <w:rFonts w:ascii="仿宋" w:hAnsi="仿宋" w:eastAsia="仿宋" w:cs="仿宋"/>
        </w:rPr>
      </w:pPr>
      <w:r>
        <w:rPr>
          <w:rFonts w:hint="eastAsia" w:ascii="仿宋" w:hAnsi="仿宋" w:eastAsia="仿宋" w:cs="仿宋"/>
        </w:rPr>
        <w:t>发 包 人：（盖章）                    承 包 人（</w:t>
      </w:r>
      <w:r>
        <w:rPr>
          <w:rFonts w:hint="eastAsia" w:ascii="仿宋" w:hAnsi="仿宋" w:eastAsia="仿宋" w:cs="仿宋"/>
          <w:szCs w:val="24"/>
          <w:lang w:bidi="ar"/>
        </w:rPr>
        <w:t>联合体牵头人</w:t>
      </w:r>
      <w:r>
        <w:rPr>
          <w:rFonts w:hint="eastAsia" w:ascii="仿宋" w:hAnsi="仿宋" w:eastAsia="仿宋" w:cs="仿宋"/>
        </w:rPr>
        <w:t xml:space="preserve">）：（盖章） </w:t>
      </w:r>
    </w:p>
    <w:p w14:paraId="5E183E63">
      <w:pPr>
        <w:pStyle w:val="41"/>
        <w:spacing w:after="156"/>
        <w:ind w:firstLine="0" w:firstLineChars="0"/>
        <w:rPr>
          <w:rFonts w:hint="eastAsia" w:ascii="仿宋" w:hAnsi="仿宋" w:eastAsia="仿宋" w:cs="仿宋"/>
          <w:sz w:val="22"/>
          <w:szCs w:val="22"/>
          <w:lang w:bidi="ar"/>
        </w:rPr>
      </w:pPr>
      <w:r>
        <w:rPr>
          <w:rFonts w:hint="eastAsia" w:ascii="仿宋" w:hAnsi="仿宋" w:eastAsia="仿宋" w:cs="仿宋"/>
          <w:sz w:val="22"/>
          <w:szCs w:val="22"/>
          <w:lang w:bidi="ar"/>
        </w:rPr>
        <w:t>法定代表人（或委托代理人）：              法定代表人（或委托代理人）：</w:t>
      </w:r>
    </w:p>
    <w:p w14:paraId="37AD7CDC">
      <w:pPr>
        <w:rPr>
          <w:rFonts w:ascii="仿宋" w:hAnsi="仿宋" w:eastAsia="仿宋" w:cs="仿宋"/>
          <w:lang w:eastAsia="zh-CN" w:bidi="ar"/>
        </w:rPr>
      </w:pPr>
      <w:r>
        <w:rPr>
          <w:rFonts w:hint="eastAsia" w:ascii="仿宋" w:hAnsi="仿宋" w:eastAsia="仿宋" w:cs="仿宋"/>
          <w:lang w:eastAsia="zh-CN" w:bidi="ar"/>
        </w:rPr>
        <w:t>承包人（联合体成员方）</w:t>
      </w:r>
      <w:r>
        <w:rPr>
          <w:rFonts w:ascii="仿宋" w:hAnsi="仿宋" w:eastAsia="仿宋" w:cs="仿宋"/>
          <w:lang w:eastAsia="zh-CN" w:bidi="ar"/>
        </w:rPr>
        <w:t xml:space="preserve">：（盖章） </w:t>
      </w:r>
    </w:p>
    <w:p w14:paraId="1ABE46B0">
      <w:pPr>
        <w:rPr>
          <w:lang w:eastAsia="zh-CN"/>
        </w:rPr>
      </w:pPr>
      <w:r>
        <w:rPr>
          <w:rFonts w:hint="eastAsia" w:ascii="仿宋" w:hAnsi="仿宋" w:eastAsia="仿宋" w:cs="仿宋"/>
          <w:lang w:eastAsia="zh-CN" w:bidi="ar"/>
        </w:rPr>
        <w:t xml:space="preserve">       </w:t>
      </w:r>
    </w:p>
    <w:p w14:paraId="5EFE1A00">
      <w:pPr>
        <w:pStyle w:val="41"/>
        <w:spacing w:after="156"/>
        <w:ind w:firstLine="0" w:firstLineChars="0"/>
        <w:rPr>
          <w:rFonts w:ascii="仿宋" w:hAnsi="仿宋" w:eastAsia="仿宋" w:cs="仿宋"/>
          <w:sz w:val="22"/>
          <w:szCs w:val="22"/>
          <w:lang w:bidi="ar"/>
        </w:rPr>
      </w:pPr>
      <w:r>
        <w:rPr>
          <w:rFonts w:hint="eastAsia" w:ascii="仿宋" w:hAnsi="仿宋" w:eastAsia="仿宋" w:cs="仿宋"/>
          <w:sz w:val="22"/>
          <w:szCs w:val="22"/>
          <w:lang w:bidi="ar"/>
        </w:rPr>
        <w:t xml:space="preserve">法定代表人（或委托代理人）：             </w:t>
      </w:r>
    </w:p>
    <w:p w14:paraId="6CB295F2">
      <w:pPr>
        <w:spacing w:line="360" w:lineRule="auto"/>
        <w:rPr>
          <w:rFonts w:ascii="仿宋" w:hAnsi="仿宋" w:eastAsia="仿宋" w:cs="仿宋"/>
          <w:b/>
          <w:bCs/>
          <w:lang w:eastAsia="zh-CN" w:bidi="ar"/>
        </w:rPr>
      </w:pPr>
    </w:p>
    <w:p w14:paraId="0E0E7CB5">
      <w:pPr>
        <w:spacing w:line="360" w:lineRule="auto"/>
        <w:outlineLvl w:val="1"/>
        <w:rPr>
          <w:rFonts w:ascii="仿宋" w:hAnsi="仿宋" w:eastAsia="仿宋" w:cs="仿宋"/>
          <w:b/>
          <w:bCs/>
          <w:lang w:eastAsia="zh-CN" w:bidi="ar"/>
        </w:rPr>
      </w:pPr>
      <w:bookmarkStart w:id="1178" w:name="_Toc30498"/>
      <w:bookmarkStart w:id="1179" w:name="_Toc30794"/>
      <w:r>
        <w:rPr>
          <w:rFonts w:hint="eastAsia" w:ascii="仿宋" w:hAnsi="仿宋" w:eastAsia="仿宋" w:cs="仿宋"/>
          <w:b/>
          <w:bCs/>
          <w:lang w:eastAsia="zh-CN" w:bidi="ar"/>
        </w:rPr>
        <w:t>附件九</w:t>
      </w:r>
      <w:r>
        <w:rPr>
          <w:rFonts w:ascii="仿宋" w:hAnsi="仿宋" w:eastAsia="仿宋" w:cs="仿宋"/>
          <w:b/>
          <w:bCs/>
          <w:lang w:eastAsia="zh-CN" w:bidi="ar"/>
        </w:rPr>
        <w:t>：</w:t>
      </w:r>
      <w:r>
        <w:rPr>
          <w:rFonts w:hint="eastAsia" w:ascii="仿宋" w:hAnsi="仿宋" w:eastAsia="仿宋" w:cs="仿宋"/>
          <w:b/>
          <w:bCs/>
          <w:lang w:eastAsia="zh-CN" w:bidi="ar"/>
        </w:rPr>
        <w:t>安全生产协议</w:t>
      </w:r>
      <w:bookmarkEnd w:id="1178"/>
      <w:bookmarkEnd w:id="1179"/>
    </w:p>
    <w:p w14:paraId="4B9E9C5E">
      <w:pPr>
        <w:kinsoku w:val="0"/>
        <w:autoSpaceDE w:val="0"/>
        <w:autoSpaceDN w:val="0"/>
        <w:adjustRightInd w:val="0"/>
        <w:snapToGrid w:val="0"/>
        <w:ind w:firstLine="1096" w:firstLineChars="300"/>
        <w:jc w:val="center"/>
        <w:rPr>
          <w:rFonts w:ascii="仿宋" w:hAnsi="仿宋" w:eastAsia="仿宋" w:cs="宋体"/>
          <w:spacing w:val="2"/>
          <w:sz w:val="36"/>
          <w:szCs w:val="36"/>
          <w:lang w:eastAsia="zh-CN" w:bidi="ar-SA"/>
        </w:rPr>
      </w:pPr>
      <w:r>
        <w:rPr>
          <w:rFonts w:hint="eastAsia" w:ascii="仿宋" w:hAnsi="仿宋" w:eastAsia="仿宋" w:cs="宋体"/>
          <w:b/>
          <w:bCs/>
          <w:spacing w:val="2"/>
          <w:sz w:val="36"/>
          <w:szCs w:val="36"/>
          <w:lang w:eastAsia="zh-CN" w:bidi="ar-SA"/>
        </w:rPr>
        <w:t>安全生产协议</w:t>
      </w:r>
    </w:p>
    <w:p w14:paraId="5EDC27A3">
      <w:pPr>
        <w:tabs>
          <w:tab w:val="left" w:pos="288"/>
        </w:tabs>
        <w:kinsoku w:val="0"/>
        <w:autoSpaceDE w:val="0"/>
        <w:autoSpaceDN w:val="0"/>
        <w:adjustRightInd w:val="0"/>
        <w:snapToGrid w:val="0"/>
        <w:spacing w:before="78" w:line="360" w:lineRule="auto"/>
        <w:ind w:firstLine="480" w:firstLineChars="200"/>
        <w:rPr>
          <w:rFonts w:ascii="仿宋" w:hAnsi="仿宋" w:eastAsia="仿宋" w:cs="宋体"/>
          <w:lang w:eastAsia="zh-CN" w:bidi="ar-SA"/>
        </w:rPr>
      </w:pPr>
      <w:r>
        <w:rPr>
          <w:rFonts w:ascii="仿宋" w:hAnsi="仿宋" w:eastAsia="仿宋" w:cs="宋体"/>
          <w:lang w:eastAsia="zh-CN" w:bidi="ar-SA"/>
        </w:rPr>
        <w:t>为在</w:t>
      </w:r>
      <w:r>
        <w:rPr>
          <w:rFonts w:hint="eastAsia" w:ascii="仿宋" w:hAnsi="仿宋" w:eastAsia="仿宋" w:cs="宋体"/>
          <w:lang w:eastAsia="zh-CN" w:bidi="ar-SA"/>
        </w:rPr>
        <w:t>天河区凌塘村城中村改造项目-首开区复建安置房及配套设施工程设计施工总承包</w:t>
      </w:r>
      <w:r>
        <w:rPr>
          <w:rFonts w:ascii="仿宋" w:hAnsi="仿宋" w:eastAsia="仿宋" w:cs="宋体"/>
          <w:spacing w:val="-1"/>
          <w:lang w:eastAsia="zh-CN" w:bidi="ar-SA"/>
        </w:rPr>
        <w:t>（下称</w:t>
      </w:r>
      <w:r>
        <w:rPr>
          <w:rFonts w:ascii="仿宋" w:hAnsi="仿宋" w:eastAsia="仿宋" w:cs="宋体"/>
          <w:spacing w:val="-3"/>
          <w:lang w:eastAsia="zh-CN" w:bidi="ar-SA"/>
        </w:rPr>
        <w:t>“本项目”）的实施过程中创造安全，高效的施工环境，切实搞好本项</w:t>
      </w:r>
      <w:r>
        <w:rPr>
          <w:rFonts w:ascii="仿宋" w:hAnsi="仿宋" w:eastAsia="仿宋" w:cs="宋体"/>
          <w:spacing w:val="-4"/>
          <w:lang w:eastAsia="zh-CN" w:bidi="ar-SA"/>
        </w:rPr>
        <w:t>目的安全管</w:t>
      </w:r>
      <w:r>
        <w:rPr>
          <w:rFonts w:ascii="仿宋" w:hAnsi="仿宋" w:eastAsia="仿宋" w:cs="宋体"/>
          <w:spacing w:val="1"/>
          <w:lang w:eastAsia="zh-CN" w:bidi="ar-SA"/>
        </w:rPr>
        <w:t>理工作，本项目</w:t>
      </w:r>
      <w:r>
        <w:rPr>
          <w:rFonts w:hint="eastAsia" w:ascii="仿宋" w:hAnsi="仿宋" w:eastAsia="仿宋" w:cs="宋体"/>
          <w:spacing w:val="1"/>
          <w:lang w:eastAsia="zh-CN" w:bidi="ar-SA"/>
        </w:rPr>
        <w:t>广州天华科韵城市更新有限公司</w:t>
      </w:r>
      <w:r>
        <w:rPr>
          <w:rFonts w:ascii="仿宋" w:hAnsi="仿宋" w:eastAsia="仿宋" w:cs="宋体"/>
          <w:spacing w:val="1"/>
          <w:lang w:eastAsia="zh-CN" w:bidi="ar-SA"/>
        </w:rPr>
        <w:t>（</w:t>
      </w:r>
      <w:r>
        <w:rPr>
          <w:rFonts w:ascii="仿宋" w:hAnsi="仿宋" w:eastAsia="仿宋" w:cs="宋体"/>
          <w:lang w:eastAsia="zh-CN" w:bidi="ar-SA"/>
        </w:rPr>
        <w:t>以下简称“发包人”）与</w:t>
      </w:r>
      <w:r>
        <w:rPr>
          <w:rFonts w:hint="eastAsia" w:ascii="仿宋" w:hAnsi="仿宋" w:eastAsia="仿宋" w:cs="宋体"/>
          <w:lang w:eastAsia="zh-CN" w:bidi="ar-SA"/>
        </w:rPr>
        <w:t xml:space="preserve">        </w:t>
      </w:r>
      <w:r>
        <w:rPr>
          <w:rFonts w:ascii="仿宋" w:hAnsi="仿宋" w:eastAsia="仿宋" w:cs="宋体"/>
          <w:spacing w:val="-106"/>
          <w:lang w:eastAsia="zh-CN" w:bidi="ar-SA"/>
        </w:rPr>
        <w:t xml:space="preserve"> </w:t>
      </w:r>
      <w:r>
        <w:rPr>
          <w:rFonts w:hint="eastAsia" w:ascii="仿宋" w:hAnsi="仿宋" w:eastAsia="仿宋" w:cs="宋体"/>
          <w:spacing w:val="-106"/>
          <w:lang w:eastAsia="zh-CN" w:bidi="ar-SA"/>
        </w:rPr>
        <w:t xml:space="preserve"> </w:t>
      </w:r>
      <w:r>
        <w:rPr>
          <w:rFonts w:hint="eastAsia" w:ascii="仿宋" w:hAnsi="仿宋" w:eastAsia="仿宋" w:cs="宋体"/>
          <w:spacing w:val="-110"/>
          <w:u w:val="single"/>
          <w:lang w:eastAsia="zh-CN" w:bidi="ar-SA"/>
        </w:rPr>
        <w:t xml:space="preserve">                                                                                                                                           </w:t>
      </w:r>
      <w:r>
        <w:rPr>
          <w:rFonts w:ascii="仿宋" w:hAnsi="仿宋" w:eastAsia="仿宋" w:cs="宋体"/>
          <w:spacing w:val="3"/>
          <w:lang w:eastAsia="zh-CN" w:bidi="ar-SA"/>
        </w:rPr>
        <w:t>（以下简称“承包人）特此签订安全生产协</w:t>
      </w:r>
      <w:r>
        <w:rPr>
          <w:rFonts w:ascii="仿宋" w:hAnsi="仿宋" w:eastAsia="仿宋" w:cs="宋体"/>
          <w:spacing w:val="-17"/>
          <w:lang w:eastAsia="zh-CN" w:bidi="ar-SA"/>
        </w:rPr>
        <w:t>议：</w:t>
      </w:r>
    </w:p>
    <w:p w14:paraId="78EAE33E">
      <w:pPr>
        <w:spacing w:line="360" w:lineRule="auto"/>
        <w:ind w:firstLine="482" w:firstLineChars="200"/>
        <w:rPr>
          <w:rFonts w:ascii="仿宋" w:hAnsi="仿宋" w:eastAsia="仿宋"/>
          <w:b/>
          <w:bCs/>
          <w:lang w:eastAsia="zh-CN" w:bidi="ar-SA"/>
        </w:rPr>
      </w:pPr>
      <w:r>
        <w:rPr>
          <w:rFonts w:hint="eastAsia" w:ascii="仿宋" w:hAnsi="仿宋" w:eastAsia="仿宋"/>
          <w:b/>
          <w:bCs/>
          <w:lang w:eastAsia="zh-CN" w:bidi="ar-SA"/>
        </w:rPr>
        <w:t>一、发包人单位职责</w:t>
      </w:r>
    </w:p>
    <w:p w14:paraId="3D689A44">
      <w:pPr>
        <w:kinsoku w:val="0"/>
        <w:autoSpaceDE w:val="0"/>
        <w:autoSpaceDN w:val="0"/>
        <w:adjustRightInd w:val="0"/>
        <w:snapToGrid w:val="0"/>
        <w:spacing w:line="360" w:lineRule="auto"/>
        <w:ind w:firstLine="476" w:firstLineChars="200"/>
        <w:rPr>
          <w:rFonts w:ascii="仿宋" w:hAnsi="仿宋" w:eastAsia="仿宋" w:cs="宋体"/>
          <w:lang w:eastAsia="zh-CN" w:bidi="ar-SA"/>
        </w:rPr>
      </w:pPr>
      <w:r>
        <w:rPr>
          <w:rFonts w:hint="eastAsia" w:ascii="仿宋" w:hAnsi="仿宋" w:eastAsia="仿宋" w:cs="宋体"/>
          <w:spacing w:val="-1"/>
          <w:lang w:eastAsia="zh-CN" w:bidi="ar-SA"/>
        </w:rPr>
        <w:t>1．严格遵守国家有关安全生产的法律法规，认真执</w:t>
      </w:r>
      <w:r>
        <w:rPr>
          <w:rFonts w:hint="eastAsia" w:ascii="仿宋" w:hAnsi="仿宋" w:eastAsia="仿宋" w:cs="宋体"/>
          <w:lang w:eastAsia="zh-CN" w:bidi="ar-SA"/>
        </w:rPr>
        <w:t>行服务合同中的有关安全要求。</w:t>
      </w:r>
    </w:p>
    <w:p w14:paraId="44725029">
      <w:pPr>
        <w:kinsoku w:val="0"/>
        <w:autoSpaceDE w:val="0"/>
        <w:autoSpaceDN w:val="0"/>
        <w:adjustRightInd w:val="0"/>
        <w:snapToGrid w:val="0"/>
        <w:spacing w:line="360" w:lineRule="auto"/>
        <w:ind w:firstLine="480" w:firstLineChars="200"/>
        <w:rPr>
          <w:rFonts w:ascii="仿宋" w:hAnsi="仿宋" w:eastAsia="仿宋" w:cs="宋体"/>
          <w:lang w:eastAsia="zh-CN" w:bidi="ar-SA"/>
        </w:rPr>
      </w:pPr>
      <w:r>
        <w:rPr>
          <w:rFonts w:hint="eastAsia" w:ascii="仿宋" w:hAnsi="仿宋" w:eastAsia="仿宋" w:cs="宋体"/>
          <w:lang w:eastAsia="zh-CN" w:bidi="ar-SA"/>
        </w:rPr>
        <w:t>2．按照“安全第一、预防为主”和坚持“管生产必须管安全”的原则进行安全生产管理，做到生产与安全工作同时计划、布置、检查、总结和评比。</w:t>
      </w:r>
    </w:p>
    <w:p w14:paraId="6892EC6C">
      <w:pPr>
        <w:kinsoku w:val="0"/>
        <w:autoSpaceDE w:val="0"/>
        <w:autoSpaceDN w:val="0"/>
        <w:adjustRightInd w:val="0"/>
        <w:snapToGrid w:val="0"/>
        <w:spacing w:line="360" w:lineRule="auto"/>
        <w:ind w:firstLine="480" w:firstLineChars="200"/>
        <w:rPr>
          <w:rFonts w:ascii="仿宋" w:hAnsi="仿宋" w:eastAsia="仿宋" w:cs="宋体"/>
          <w:lang w:eastAsia="zh-CN" w:bidi="ar-SA"/>
        </w:rPr>
      </w:pPr>
      <w:r>
        <w:rPr>
          <w:rFonts w:hint="eastAsia" w:ascii="仿宋" w:hAnsi="仿宋" w:eastAsia="仿宋" w:cs="宋体"/>
          <w:lang w:eastAsia="zh-CN" w:bidi="ar-SA"/>
        </w:rPr>
        <w:t>3．召开安全生产专题会，及时传达中央及地方有关安全生产的精神。</w:t>
      </w:r>
    </w:p>
    <w:p w14:paraId="2418645F">
      <w:pPr>
        <w:kinsoku w:val="0"/>
        <w:autoSpaceDE w:val="0"/>
        <w:autoSpaceDN w:val="0"/>
        <w:adjustRightInd w:val="0"/>
        <w:snapToGrid w:val="0"/>
        <w:spacing w:line="360" w:lineRule="auto"/>
        <w:ind w:firstLine="480" w:firstLineChars="200"/>
        <w:rPr>
          <w:rFonts w:ascii="仿宋" w:hAnsi="仿宋" w:eastAsia="仿宋" w:cs="宋体"/>
          <w:lang w:eastAsia="zh-CN" w:bidi="ar-SA"/>
        </w:rPr>
      </w:pPr>
      <w:r>
        <w:rPr>
          <w:rFonts w:hint="eastAsia" w:ascii="仿宋" w:hAnsi="仿宋" w:eastAsia="仿宋" w:cs="宋体"/>
          <w:lang w:eastAsia="zh-CN" w:bidi="ar-SA"/>
        </w:rPr>
        <w:t>4．定期组织对承包人维护现场安全生产检查，监督承包人及时处理发现的各种</w:t>
      </w:r>
      <w:r>
        <w:rPr>
          <w:rFonts w:hint="eastAsia" w:ascii="仿宋" w:hAnsi="仿宋" w:eastAsia="仿宋" w:cs="宋体"/>
          <w:spacing w:val="-8"/>
          <w:lang w:eastAsia="zh-CN" w:bidi="ar-SA"/>
        </w:rPr>
        <w:t>安全隐患。</w:t>
      </w:r>
    </w:p>
    <w:p w14:paraId="16F627C2">
      <w:pPr>
        <w:spacing w:line="360" w:lineRule="auto"/>
        <w:ind w:firstLine="482" w:firstLineChars="200"/>
        <w:rPr>
          <w:rFonts w:ascii="仿宋" w:hAnsi="仿宋" w:eastAsia="仿宋"/>
          <w:b/>
          <w:bCs/>
          <w:lang w:eastAsia="zh-CN" w:bidi="ar-SA"/>
        </w:rPr>
      </w:pPr>
      <w:r>
        <w:rPr>
          <w:rFonts w:hint="eastAsia" w:ascii="仿宋" w:hAnsi="仿宋" w:eastAsia="仿宋"/>
          <w:b/>
          <w:bCs/>
          <w:lang w:eastAsia="zh-CN" w:bidi="ar-SA"/>
        </w:rPr>
        <w:t>二、承包人职责</w:t>
      </w:r>
    </w:p>
    <w:p w14:paraId="575E81CD">
      <w:pPr>
        <w:kinsoku w:val="0"/>
        <w:adjustRightInd w:val="0"/>
        <w:snapToGrid w:val="0"/>
        <w:spacing w:line="360" w:lineRule="auto"/>
        <w:ind w:firstLine="476" w:firstLineChars="200"/>
        <w:rPr>
          <w:rFonts w:ascii="仿宋" w:hAnsi="仿宋" w:eastAsia="仿宋" w:cs="宋体"/>
          <w:spacing w:val="-1"/>
          <w:lang w:eastAsia="zh-CN" w:bidi="ar-SA"/>
        </w:rPr>
      </w:pPr>
      <w:r>
        <w:rPr>
          <w:rFonts w:hint="eastAsia" w:ascii="仿宋" w:hAnsi="仿宋" w:eastAsia="仿宋" w:cs="宋体"/>
          <w:spacing w:val="-1"/>
          <w:lang w:eastAsia="zh-CN" w:bidi="ar-SA"/>
        </w:rPr>
        <w:t>1．严格遵守国家有关安全生产的法律法规和广州市有关安全生产的规定，认真执行工程承包合同中的有关安全要求。</w:t>
      </w:r>
    </w:p>
    <w:p w14:paraId="50B17DAE">
      <w:pPr>
        <w:kinsoku w:val="0"/>
        <w:autoSpaceDE w:val="0"/>
        <w:autoSpaceDN w:val="0"/>
        <w:adjustRightInd w:val="0"/>
        <w:snapToGrid w:val="0"/>
        <w:spacing w:line="360" w:lineRule="auto"/>
        <w:ind w:firstLine="476" w:firstLineChars="200"/>
        <w:rPr>
          <w:rFonts w:ascii="仿宋" w:hAnsi="仿宋" w:eastAsia="仿宋" w:cs="宋体"/>
          <w:spacing w:val="-1"/>
          <w:lang w:eastAsia="zh-CN" w:bidi="ar-SA"/>
        </w:rPr>
      </w:pPr>
      <w:r>
        <w:rPr>
          <w:rFonts w:hint="eastAsia" w:ascii="仿宋" w:hAnsi="仿宋" w:eastAsia="仿宋" w:cs="宋体"/>
          <w:spacing w:val="-1"/>
          <w:lang w:eastAsia="zh-CN" w:bidi="ar-SA"/>
        </w:rPr>
        <w:t>2．坚持“安全第一、预防为主”和“管生产必须管安全”，加强安全生产宣传教育，增强全员安全生产意识，建立健全各项安全生产的管理机构和安全生产管理制度，配备专职及兼职安全检查人员，有组织有领导地开展安全生产活动。 做到生产与安全工作同时计划、布置、检查、总结和评比。</w:t>
      </w:r>
    </w:p>
    <w:p w14:paraId="2E293EDC">
      <w:pPr>
        <w:kinsoku w:val="0"/>
        <w:autoSpaceDE w:val="0"/>
        <w:autoSpaceDN w:val="0"/>
        <w:adjustRightInd w:val="0"/>
        <w:snapToGrid w:val="0"/>
        <w:spacing w:line="360" w:lineRule="auto"/>
        <w:ind w:firstLine="476" w:firstLineChars="200"/>
        <w:rPr>
          <w:rFonts w:ascii="仿宋" w:hAnsi="仿宋" w:eastAsia="仿宋" w:cs="宋体"/>
          <w:spacing w:val="-1"/>
          <w:lang w:eastAsia="zh-CN" w:bidi="ar-SA"/>
        </w:rPr>
      </w:pPr>
      <w:r>
        <w:rPr>
          <w:rFonts w:hint="eastAsia" w:ascii="仿宋" w:hAnsi="仿宋" w:eastAsia="仿宋" w:cs="宋体"/>
          <w:spacing w:val="-1"/>
          <w:lang w:eastAsia="zh-CN" w:bidi="ar-SA"/>
        </w:rPr>
        <w:t>3．建立健全安全生产责任制。从派往项目实施的项目负责人到生产工人（包括临时雇请的民工）的安全生产管理系统必须做到纵向到底，一环不漏；各职能部门、人员的安全生产责任制做到横向到边，人人有责。项目负责人是安全生产的第一责任人。现场设置的安全机构，应按规定配备安全员，专职负责所有员工的安全和治安保卫工作及预防事故的发生。安全机构人员有权按有关规定发布指令，并采取保护性措施防止事故发生。</w:t>
      </w:r>
    </w:p>
    <w:p w14:paraId="39AB99CF">
      <w:pPr>
        <w:kinsoku w:val="0"/>
        <w:autoSpaceDE w:val="0"/>
        <w:autoSpaceDN w:val="0"/>
        <w:adjustRightInd w:val="0"/>
        <w:snapToGrid w:val="0"/>
        <w:spacing w:line="360" w:lineRule="auto"/>
        <w:ind w:firstLine="476" w:firstLineChars="200"/>
        <w:rPr>
          <w:rFonts w:ascii="仿宋" w:hAnsi="仿宋" w:eastAsia="仿宋" w:cs="宋体"/>
          <w:spacing w:val="-1"/>
          <w:lang w:eastAsia="zh-CN" w:bidi="ar-SA"/>
        </w:rPr>
      </w:pPr>
      <w:r>
        <w:rPr>
          <w:rFonts w:hint="eastAsia" w:ascii="仿宋" w:hAnsi="仿宋" w:eastAsia="仿宋" w:cs="宋体"/>
          <w:spacing w:val="-1"/>
          <w:lang w:eastAsia="zh-CN" w:bidi="ar-SA"/>
        </w:rPr>
        <w:t>4．承包人在任何时候都应采取各种合理的预防措施，防止其员工发生任何违法、违禁、暴力或妨碍治安的行为。</w:t>
      </w:r>
    </w:p>
    <w:p w14:paraId="0ABBA215">
      <w:pPr>
        <w:kinsoku w:val="0"/>
        <w:autoSpaceDE w:val="0"/>
        <w:autoSpaceDN w:val="0"/>
        <w:adjustRightInd w:val="0"/>
        <w:snapToGrid w:val="0"/>
        <w:spacing w:line="360" w:lineRule="auto"/>
        <w:ind w:firstLine="476" w:firstLineChars="200"/>
        <w:rPr>
          <w:rFonts w:ascii="仿宋" w:hAnsi="仿宋" w:eastAsia="仿宋" w:cs="宋体"/>
          <w:spacing w:val="-1"/>
          <w:lang w:eastAsia="zh-CN" w:bidi="ar-SA"/>
        </w:rPr>
      </w:pPr>
      <w:r>
        <w:rPr>
          <w:rFonts w:hint="eastAsia" w:ascii="仿宋" w:hAnsi="仿宋" w:eastAsia="仿宋" w:cs="宋体"/>
          <w:spacing w:val="-1"/>
          <w:lang w:eastAsia="zh-CN" w:bidi="ar-SA"/>
        </w:rPr>
        <w:t>5．承包人必须具有劳动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维护现场如 出现特种作业无证操作现象时，项目负责人必须承担管理责任。</w:t>
      </w:r>
    </w:p>
    <w:p w14:paraId="7188962D">
      <w:pPr>
        <w:kinsoku w:val="0"/>
        <w:autoSpaceDE w:val="0"/>
        <w:autoSpaceDN w:val="0"/>
        <w:adjustRightInd w:val="0"/>
        <w:snapToGrid w:val="0"/>
        <w:spacing w:line="360" w:lineRule="auto"/>
        <w:ind w:firstLine="476" w:firstLineChars="200"/>
        <w:rPr>
          <w:rFonts w:ascii="仿宋" w:hAnsi="仿宋" w:eastAsia="仿宋" w:cs="宋体"/>
          <w:spacing w:val="-1"/>
          <w:lang w:eastAsia="zh-CN" w:bidi="ar-SA"/>
        </w:rPr>
      </w:pPr>
      <w:r>
        <w:rPr>
          <w:rFonts w:hint="eastAsia" w:ascii="仿宋" w:hAnsi="仿宋" w:eastAsia="仿宋" w:cs="宋体"/>
          <w:spacing w:val="-1"/>
          <w:lang w:eastAsia="zh-CN" w:bidi="ar-SA"/>
        </w:rPr>
        <w:t>6．对于易燃易爆的材料除应专门妥善保管之外，还应配备有足够的消防设施，所有维护人员都应熟悉消防设备的性能和使用方法；承包人不得将任何种类的爆炸物给予、易货或以其他方式转让给任何其他人，或允许、容忍上述同样行为。</w:t>
      </w:r>
    </w:p>
    <w:p w14:paraId="74F8684D">
      <w:pPr>
        <w:kinsoku w:val="0"/>
        <w:autoSpaceDE w:val="0"/>
        <w:autoSpaceDN w:val="0"/>
        <w:adjustRightInd w:val="0"/>
        <w:snapToGrid w:val="0"/>
        <w:spacing w:line="360" w:lineRule="auto"/>
        <w:ind w:firstLine="476" w:firstLineChars="200"/>
        <w:rPr>
          <w:rFonts w:ascii="仿宋" w:hAnsi="仿宋" w:eastAsia="仿宋" w:cs="宋体"/>
          <w:spacing w:val="-1"/>
          <w:lang w:eastAsia="zh-CN" w:bidi="ar-SA"/>
        </w:rPr>
      </w:pPr>
      <w:r>
        <w:rPr>
          <w:rFonts w:hint="eastAsia" w:ascii="仿宋" w:hAnsi="仿宋" w:eastAsia="仿宋" w:cs="宋体"/>
          <w:spacing w:val="-1"/>
          <w:lang w:eastAsia="zh-CN" w:bidi="ar-SA"/>
        </w:rPr>
        <w:t>7．操作人员上岗，必须按规定穿戴防护用品。维护负责人和安全检查员应随时检查劳动防护用品的穿戴情况，不按规定穿戴防护用品人员不得上岗。</w:t>
      </w:r>
    </w:p>
    <w:p w14:paraId="070595D3">
      <w:pPr>
        <w:kinsoku w:val="0"/>
        <w:autoSpaceDE w:val="0"/>
        <w:autoSpaceDN w:val="0"/>
        <w:adjustRightInd w:val="0"/>
        <w:snapToGrid w:val="0"/>
        <w:spacing w:line="360" w:lineRule="auto"/>
        <w:ind w:firstLine="476" w:firstLineChars="200"/>
        <w:rPr>
          <w:rFonts w:ascii="仿宋" w:hAnsi="仿宋" w:eastAsia="仿宋" w:cs="宋体"/>
          <w:spacing w:val="-1"/>
          <w:lang w:eastAsia="zh-CN" w:bidi="ar-SA"/>
        </w:rPr>
      </w:pPr>
      <w:r>
        <w:rPr>
          <w:rFonts w:hint="eastAsia" w:ascii="仿宋" w:hAnsi="仿宋" w:eastAsia="仿宋" w:cs="宋体"/>
          <w:spacing w:val="-1"/>
          <w:lang w:eastAsia="zh-CN" w:bidi="ar-SA"/>
        </w:rPr>
        <w:t>8．所有施工机具设备和高空作业的设备均应定期检查，并有安全员的签字记录，保证其经常处于完好状态；不合格的机具、设备和劳动保护用品严禁使用。</w:t>
      </w:r>
    </w:p>
    <w:p w14:paraId="76D4D0BF">
      <w:pPr>
        <w:kinsoku w:val="0"/>
        <w:autoSpaceDE w:val="0"/>
        <w:autoSpaceDN w:val="0"/>
        <w:adjustRightInd w:val="0"/>
        <w:snapToGrid w:val="0"/>
        <w:spacing w:line="360" w:lineRule="auto"/>
        <w:ind w:firstLine="476" w:firstLineChars="200"/>
        <w:rPr>
          <w:rFonts w:ascii="仿宋" w:hAnsi="仿宋" w:eastAsia="仿宋" w:cs="宋体"/>
          <w:spacing w:val="-1"/>
          <w:lang w:eastAsia="zh-CN" w:bidi="ar-SA"/>
        </w:rPr>
      </w:pPr>
      <w:r>
        <w:rPr>
          <w:rFonts w:hint="eastAsia" w:ascii="仿宋" w:hAnsi="仿宋" w:eastAsia="仿宋" w:cs="宋体"/>
          <w:spacing w:val="-1"/>
          <w:lang w:eastAsia="zh-CN" w:bidi="ar-SA"/>
        </w:rPr>
        <w:t>9．维护中采用新技术、新工艺、新设备、新材料时，必须制定相应的安全技术措施，维护现场必须具有相关的安全标志牌。</w:t>
      </w:r>
    </w:p>
    <w:p w14:paraId="626D962C">
      <w:pPr>
        <w:kinsoku w:val="0"/>
        <w:autoSpaceDE w:val="0"/>
        <w:autoSpaceDN w:val="0"/>
        <w:adjustRightInd w:val="0"/>
        <w:snapToGrid w:val="0"/>
        <w:spacing w:line="360" w:lineRule="auto"/>
        <w:ind w:firstLine="476" w:firstLineChars="200"/>
        <w:rPr>
          <w:rFonts w:ascii="仿宋" w:hAnsi="仿宋" w:eastAsia="仿宋" w:cs="宋体"/>
          <w:spacing w:val="-1"/>
          <w:lang w:eastAsia="zh-CN" w:bidi="ar-SA"/>
        </w:rPr>
      </w:pPr>
      <w:r>
        <w:rPr>
          <w:rFonts w:hint="eastAsia" w:ascii="仿宋" w:hAnsi="仿宋" w:eastAsia="仿宋" w:cs="宋体"/>
          <w:spacing w:val="-1"/>
          <w:lang w:eastAsia="zh-CN" w:bidi="ar-SA"/>
        </w:rPr>
        <w:t>10．承包人必须按照本维护项目特点，组织制定本工程实施中的生产安全事故应急求援预案；如果发生安全事故，应按照《生产安全事故报告和调查处理条例》 以及其它有关规定，及时上报有关部门，并坚持“四不放过”的原则，严肃处理相关责任人。</w:t>
      </w:r>
    </w:p>
    <w:p w14:paraId="45BB44A3">
      <w:pPr>
        <w:ind w:firstLine="482" w:firstLineChars="200"/>
        <w:rPr>
          <w:rFonts w:ascii="仿宋" w:hAnsi="仿宋" w:eastAsia="仿宋"/>
          <w:b/>
          <w:bCs/>
          <w:lang w:eastAsia="zh-CN" w:bidi="ar-SA"/>
        </w:rPr>
      </w:pPr>
      <w:r>
        <w:rPr>
          <w:rFonts w:hint="eastAsia" w:ascii="仿宋" w:hAnsi="仿宋" w:eastAsia="仿宋"/>
          <w:b/>
          <w:bCs/>
          <w:lang w:eastAsia="zh-CN" w:bidi="ar-SA"/>
        </w:rPr>
        <w:t>三、违约责任</w:t>
      </w:r>
    </w:p>
    <w:p w14:paraId="503ECCA4">
      <w:pPr>
        <w:kinsoku w:val="0"/>
        <w:autoSpaceDE w:val="0"/>
        <w:autoSpaceDN w:val="0"/>
        <w:adjustRightInd w:val="0"/>
        <w:snapToGrid w:val="0"/>
        <w:spacing w:before="138" w:line="312" w:lineRule="auto"/>
        <w:ind w:left="37" w:right="11" w:firstLine="472"/>
        <w:rPr>
          <w:rFonts w:ascii="仿宋" w:hAnsi="仿宋" w:eastAsia="仿宋" w:cs="宋体"/>
          <w:lang w:eastAsia="zh-CN" w:bidi="ar-SA"/>
        </w:rPr>
      </w:pPr>
      <w:r>
        <w:rPr>
          <w:rFonts w:hint="eastAsia" w:ascii="仿宋" w:hAnsi="仿宋" w:eastAsia="仿宋" w:cs="宋体"/>
          <w:spacing w:val="-3"/>
          <w:lang w:eastAsia="zh-CN" w:bidi="ar-SA"/>
        </w:rPr>
        <w:t>如发包人或承包人因管理不到位或法定安全责任不落</w:t>
      </w:r>
      <w:r>
        <w:rPr>
          <w:rFonts w:hint="eastAsia" w:ascii="仿宋" w:hAnsi="仿宋" w:eastAsia="仿宋" w:cs="宋体"/>
          <w:spacing w:val="-4"/>
          <w:lang w:eastAsia="zh-CN" w:bidi="ar-SA"/>
        </w:rPr>
        <w:t>实造成安全事故，将依法追</w:t>
      </w:r>
      <w:r>
        <w:rPr>
          <w:rFonts w:hint="eastAsia" w:ascii="仿宋" w:hAnsi="仿宋" w:eastAsia="仿宋" w:cs="宋体"/>
          <w:spacing w:val="-11"/>
          <w:lang w:eastAsia="zh-CN" w:bidi="ar-SA"/>
        </w:rPr>
        <w:t>究责任。</w:t>
      </w:r>
    </w:p>
    <w:p w14:paraId="3A8A21B3">
      <w:pPr>
        <w:kinsoku w:val="0"/>
        <w:autoSpaceDE w:val="0"/>
        <w:autoSpaceDN w:val="0"/>
        <w:adjustRightInd w:val="0"/>
        <w:snapToGrid w:val="0"/>
        <w:spacing w:before="36" w:line="312" w:lineRule="auto"/>
        <w:ind w:left="24" w:right="11" w:firstLine="481"/>
        <w:rPr>
          <w:rFonts w:ascii="仿宋" w:hAnsi="仿宋" w:eastAsia="仿宋" w:cs="宋体"/>
          <w:spacing w:val="-2"/>
          <w:lang w:eastAsia="zh-CN" w:bidi="ar-SA"/>
        </w:rPr>
      </w:pPr>
      <w:r>
        <w:rPr>
          <w:rFonts w:hint="eastAsia" w:ascii="仿宋" w:hAnsi="仿宋" w:eastAsia="仿宋" w:cs="宋体"/>
          <w:spacing w:val="-3"/>
          <w:lang w:eastAsia="zh-CN" w:bidi="ar-SA"/>
        </w:rPr>
        <w:t>本安全协议书作为主合同的附件，与主合同具有同等法</w:t>
      </w:r>
      <w:r>
        <w:rPr>
          <w:rFonts w:hint="eastAsia" w:ascii="仿宋" w:hAnsi="仿宋" w:eastAsia="仿宋" w:cs="宋体"/>
          <w:spacing w:val="-4"/>
          <w:lang w:eastAsia="zh-CN" w:bidi="ar-SA"/>
        </w:rPr>
        <w:t>律效力。由双方法定</w:t>
      </w:r>
      <w:r>
        <w:rPr>
          <w:rFonts w:hint="eastAsia" w:ascii="仿宋" w:hAnsi="仿宋" w:eastAsia="仿宋" w:cs="宋体"/>
          <w:spacing w:val="-1"/>
          <w:lang w:eastAsia="zh-CN" w:bidi="ar-SA"/>
        </w:rPr>
        <w:t>代表人或其委托代理人签署并加盖公章后生效，全部</w:t>
      </w:r>
      <w:r>
        <w:rPr>
          <w:rFonts w:hint="eastAsia" w:ascii="仿宋" w:hAnsi="仿宋" w:eastAsia="仿宋" w:cs="宋体"/>
          <w:spacing w:val="-2"/>
          <w:lang w:eastAsia="zh-CN" w:bidi="ar-SA"/>
        </w:rPr>
        <w:t>工程竣工验收后失效。</w:t>
      </w:r>
    </w:p>
    <w:p w14:paraId="1EE6CB6C">
      <w:pPr>
        <w:kinsoku w:val="0"/>
        <w:autoSpaceDE w:val="0"/>
        <w:autoSpaceDN w:val="0"/>
        <w:adjustRightInd w:val="0"/>
        <w:snapToGrid w:val="0"/>
        <w:spacing w:line="360" w:lineRule="auto"/>
        <w:ind w:firstLine="470" w:firstLineChars="200"/>
        <w:jc w:val="both"/>
        <w:rPr>
          <w:rFonts w:ascii="仿宋" w:hAnsi="仿宋" w:eastAsia="仿宋" w:cs="宋体"/>
          <w:lang w:eastAsia="zh-CN" w:bidi="ar-SA"/>
        </w:rPr>
      </w:pPr>
      <w:r>
        <w:rPr>
          <w:rFonts w:hint="eastAsia" w:ascii="仿宋" w:hAnsi="仿宋" w:eastAsia="仿宋" w:cs="宋体"/>
          <w:b/>
          <w:bCs/>
          <w:spacing w:val="-3"/>
          <w:lang w:eastAsia="zh-CN" w:bidi="ar-SA"/>
        </w:rPr>
        <w:t>四、</w:t>
      </w:r>
      <w:r>
        <w:rPr>
          <w:rFonts w:hint="eastAsia" w:ascii="仿宋" w:hAnsi="仿宋" w:eastAsia="仿宋" w:cs="宋体"/>
          <w:spacing w:val="-3"/>
          <w:lang w:eastAsia="zh-CN" w:bidi="ar-SA"/>
        </w:rPr>
        <w:t>本安全协议书份数及甲乙所持有的份数均与主合同一致。</w:t>
      </w:r>
      <w:r>
        <w:rPr>
          <w:rFonts w:hint="eastAsia" w:ascii="仿宋" w:hAnsi="仿宋" w:eastAsia="仿宋" w:cs="宋体"/>
          <w:spacing w:val="10"/>
          <w:lang w:eastAsia="zh-CN" w:bidi="ar-SA"/>
        </w:rPr>
        <w:t xml:space="preserve"> </w:t>
      </w:r>
    </w:p>
    <w:p w14:paraId="0E4E9F38">
      <w:pPr>
        <w:kinsoku w:val="0"/>
        <w:autoSpaceDE w:val="0"/>
        <w:autoSpaceDN w:val="0"/>
        <w:adjustRightInd w:val="0"/>
        <w:snapToGrid w:val="0"/>
        <w:spacing w:line="360" w:lineRule="auto"/>
        <w:jc w:val="center"/>
        <w:rPr>
          <w:rFonts w:ascii="仿宋" w:hAnsi="仿宋" w:eastAsia="仿宋" w:cs="宋体"/>
          <w:lang w:eastAsia="zh-CN" w:bidi="ar-SA"/>
        </w:rPr>
      </w:pPr>
    </w:p>
    <w:p w14:paraId="094D6C43">
      <w:pPr>
        <w:kinsoku w:val="0"/>
        <w:autoSpaceDE w:val="0"/>
        <w:autoSpaceDN w:val="0"/>
        <w:adjustRightInd w:val="0"/>
        <w:snapToGrid w:val="0"/>
        <w:spacing w:before="2" w:line="525" w:lineRule="auto"/>
        <w:ind w:left="508" w:right="1512" w:hanging="103"/>
        <w:rPr>
          <w:rFonts w:ascii="仿宋" w:hAnsi="仿宋" w:eastAsia="仿宋" w:cs="宋体"/>
          <w:lang w:eastAsia="zh-CN" w:bidi="ar-SA"/>
        </w:rPr>
      </w:pPr>
      <w:r>
        <w:rPr>
          <w:rFonts w:hint="eastAsia" w:ascii="仿宋" w:hAnsi="仿宋" w:eastAsia="仿宋" w:cs="宋体"/>
          <w:spacing w:val="-4"/>
          <w:lang w:eastAsia="zh-CN" w:bidi="ar-SA"/>
        </w:rPr>
        <w:t>（以下无内容）</w:t>
      </w:r>
    </w:p>
    <w:p w14:paraId="3F58ED1E">
      <w:pPr>
        <w:kinsoku w:val="0"/>
        <w:autoSpaceDE w:val="0"/>
        <w:autoSpaceDN w:val="0"/>
        <w:adjustRightInd w:val="0"/>
        <w:snapToGrid w:val="0"/>
        <w:jc w:val="both"/>
        <w:rPr>
          <w:rFonts w:ascii="仿宋" w:hAnsi="仿宋" w:eastAsia="仿宋" w:cs="宋体"/>
          <w:b/>
          <w:bCs/>
          <w:spacing w:val="2"/>
          <w:lang w:eastAsia="zh-CN" w:bidi="ar-SA"/>
        </w:rPr>
      </w:pPr>
    </w:p>
    <w:p w14:paraId="237625AE">
      <w:pPr>
        <w:kinsoku w:val="0"/>
        <w:autoSpaceDE w:val="0"/>
        <w:autoSpaceDN w:val="0"/>
        <w:adjustRightInd w:val="0"/>
        <w:snapToGrid w:val="0"/>
        <w:spacing w:line="560" w:lineRule="exact"/>
        <w:rPr>
          <w:rFonts w:ascii="仿宋" w:hAnsi="仿宋" w:eastAsia="仿宋" w:cs="宋体"/>
          <w:lang w:eastAsia="zh-CN" w:bidi="ar-SA"/>
        </w:rPr>
      </w:pPr>
      <w:r>
        <w:rPr>
          <w:rFonts w:hint="eastAsia" w:ascii="仿宋" w:hAnsi="仿宋" w:eastAsia="仿宋" w:cs="宋体"/>
          <w:kern w:val="2"/>
          <w:lang w:eastAsia="zh-CN" w:bidi="ar-SA"/>
        </w:rPr>
        <w:t xml:space="preserve">发包人（盖章）：                        </w:t>
      </w:r>
      <w:r>
        <w:rPr>
          <w:rFonts w:hint="eastAsia" w:ascii="仿宋" w:hAnsi="仿宋" w:eastAsia="仿宋" w:cs="宋体"/>
          <w:lang w:eastAsia="zh-CN" w:bidi="ar-SA"/>
        </w:rPr>
        <w:t xml:space="preserve">承包人（盖章）： </w:t>
      </w:r>
    </w:p>
    <w:p w14:paraId="758B5CE5">
      <w:pPr>
        <w:kinsoku w:val="0"/>
        <w:autoSpaceDE w:val="0"/>
        <w:autoSpaceDN w:val="0"/>
        <w:adjustRightInd w:val="0"/>
        <w:snapToGrid w:val="0"/>
        <w:spacing w:line="560" w:lineRule="exact"/>
        <w:rPr>
          <w:rFonts w:ascii="仿宋" w:hAnsi="仿宋" w:eastAsia="仿宋" w:cs="宋体"/>
          <w:lang w:eastAsia="zh-CN" w:bidi="ar-SA"/>
        </w:rPr>
      </w:pPr>
      <w:r>
        <w:rPr>
          <w:rFonts w:hint="eastAsia" w:ascii="仿宋" w:hAnsi="仿宋" w:eastAsia="仿宋" w:cs="宋体"/>
          <w:kern w:val="2"/>
          <w:lang w:eastAsia="zh-CN" w:bidi="ar-SA"/>
        </w:rPr>
        <w:t xml:space="preserve">法定代表人                              </w:t>
      </w:r>
      <w:r>
        <w:rPr>
          <w:rFonts w:hint="eastAsia" w:ascii="仿宋" w:hAnsi="仿宋" w:eastAsia="仿宋" w:cs="宋体"/>
          <w:lang w:eastAsia="zh-CN" w:bidi="ar-SA"/>
        </w:rPr>
        <w:t>法定代表人</w:t>
      </w:r>
    </w:p>
    <w:p w14:paraId="68C17DD3">
      <w:pPr>
        <w:kinsoku w:val="0"/>
        <w:autoSpaceDE w:val="0"/>
        <w:autoSpaceDN w:val="0"/>
        <w:adjustRightInd w:val="0"/>
        <w:snapToGrid w:val="0"/>
        <w:spacing w:line="560" w:lineRule="exact"/>
        <w:rPr>
          <w:rFonts w:ascii="仿宋" w:hAnsi="仿宋" w:eastAsia="仿宋" w:cs="宋体"/>
          <w:lang w:eastAsia="zh-CN" w:bidi="ar-SA"/>
        </w:rPr>
      </w:pPr>
      <w:r>
        <w:rPr>
          <w:rFonts w:hint="eastAsia" w:ascii="仿宋" w:hAnsi="仿宋" w:eastAsia="仿宋" w:cs="宋体"/>
          <w:kern w:val="2"/>
          <w:lang w:eastAsia="zh-CN" w:bidi="ar-SA"/>
        </w:rPr>
        <w:t xml:space="preserve">或                                   </w:t>
      </w:r>
      <w:r>
        <w:rPr>
          <w:rFonts w:hint="eastAsia" w:ascii="仿宋" w:hAnsi="仿宋" w:eastAsia="仿宋" w:cs="宋体"/>
          <w:kern w:val="2"/>
          <w:lang w:val="en-US" w:eastAsia="zh-CN" w:bidi="ar-SA"/>
        </w:rPr>
        <w:t xml:space="preserve">  </w:t>
      </w:r>
      <w:r>
        <w:rPr>
          <w:rFonts w:hint="eastAsia" w:ascii="仿宋" w:hAnsi="仿宋" w:eastAsia="仿宋" w:cs="宋体"/>
          <w:kern w:val="2"/>
          <w:lang w:eastAsia="zh-CN" w:bidi="ar-SA"/>
        </w:rPr>
        <w:t xml:space="preserve"> </w:t>
      </w:r>
      <w:r>
        <w:rPr>
          <w:rFonts w:hint="eastAsia" w:ascii="仿宋" w:hAnsi="仿宋" w:eastAsia="仿宋" w:cs="宋体"/>
          <w:lang w:eastAsia="zh-CN" w:bidi="ar-SA"/>
        </w:rPr>
        <w:t>或</w:t>
      </w:r>
    </w:p>
    <w:p w14:paraId="58243BFF">
      <w:pPr>
        <w:kinsoku w:val="0"/>
        <w:autoSpaceDE w:val="0"/>
        <w:autoSpaceDN w:val="0"/>
        <w:adjustRightInd w:val="0"/>
        <w:snapToGrid w:val="0"/>
        <w:spacing w:line="560" w:lineRule="exact"/>
        <w:rPr>
          <w:rFonts w:ascii="仿宋" w:hAnsi="仿宋" w:eastAsia="仿宋" w:cs="宋体"/>
          <w:lang w:eastAsia="zh-CN" w:bidi="ar-SA"/>
        </w:rPr>
      </w:pPr>
      <w:r>
        <w:rPr>
          <w:rFonts w:hint="eastAsia" w:ascii="仿宋" w:hAnsi="仿宋" w:eastAsia="仿宋" w:cs="宋体"/>
          <w:kern w:val="2"/>
          <w:lang w:eastAsia="zh-CN" w:bidi="ar-SA"/>
        </w:rPr>
        <w:t xml:space="preserve">委托代理人：                          </w:t>
      </w:r>
      <w:r>
        <w:rPr>
          <w:rFonts w:hint="eastAsia" w:ascii="仿宋" w:hAnsi="仿宋" w:eastAsia="仿宋" w:cs="宋体"/>
          <w:kern w:val="2"/>
          <w:lang w:val="en-US" w:eastAsia="zh-CN" w:bidi="ar-SA"/>
        </w:rPr>
        <w:t xml:space="preserve">  </w:t>
      </w:r>
      <w:r>
        <w:rPr>
          <w:rFonts w:hint="eastAsia" w:ascii="仿宋" w:hAnsi="仿宋" w:eastAsia="仿宋" w:cs="宋体"/>
          <w:lang w:eastAsia="zh-CN" w:bidi="ar-SA"/>
        </w:rPr>
        <w:t>委托代理人：</w:t>
      </w:r>
    </w:p>
    <w:p w14:paraId="16350581">
      <w:pPr>
        <w:widowControl w:val="0"/>
        <w:adjustRightInd w:val="0"/>
        <w:snapToGrid w:val="0"/>
        <w:spacing w:line="360" w:lineRule="auto"/>
        <w:rPr>
          <w:rFonts w:ascii="仿宋" w:hAnsi="仿宋" w:eastAsia="仿宋" w:cs="宋体"/>
          <w:kern w:val="2"/>
          <w:lang w:eastAsia="zh-CN" w:bidi="ar-SA"/>
        </w:rPr>
      </w:pPr>
    </w:p>
    <w:p w14:paraId="3A68C919">
      <w:pPr>
        <w:spacing w:line="360" w:lineRule="auto"/>
        <w:jc w:val="center"/>
        <w:outlineLvl w:val="1"/>
        <w:rPr>
          <w:rFonts w:ascii="仿宋" w:hAnsi="仿宋" w:eastAsia="仿宋" w:cs="仿宋"/>
          <w:b/>
          <w:bCs/>
          <w:lang w:eastAsia="zh-CN" w:bidi="ar"/>
        </w:rPr>
      </w:pPr>
      <w:bookmarkStart w:id="1180" w:name="_Toc25143"/>
      <w:bookmarkStart w:id="1181" w:name="_Toc21762"/>
      <w:r>
        <w:rPr>
          <w:rFonts w:hint="eastAsia" w:ascii="仿宋" w:hAnsi="仿宋" w:eastAsia="仿宋" w:cs="仿宋"/>
          <w:b/>
          <w:bCs/>
          <w:lang w:eastAsia="zh-CN"/>
        </w:rPr>
        <w:br w:type="page"/>
      </w:r>
      <w:bookmarkEnd w:id="1180"/>
      <w:bookmarkEnd w:id="1181"/>
      <w:bookmarkStart w:id="1182" w:name="_Toc12794"/>
      <w:bookmarkStart w:id="1183" w:name="_Toc194073296"/>
      <w:bookmarkStart w:id="1184" w:name="_Toc3299"/>
      <w:r>
        <w:rPr>
          <w:rFonts w:ascii="仿宋" w:hAnsi="仿宋" w:eastAsia="仿宋" w:cs="仿宋"/>
          <w:b/>
          <w:bCs/>
          <w:lang w:eastAsia="zh-CN" w:bidi="ar"/>
        </w:rPr>
        <w:t>履约保函（格式仅供参考）</w:t>
      </w:r>
      <w:bookmarkEnd w:id="1182"/>
      <w:bookmarkEnd w:id="1183"/>
      <w:bookmarkEnd w:id="1184"/>
    </w:p>
    <w:p w14:paraId="1E5C2AD8">
      <w:pPr>
        <w:pStyle w:val="38"/>
        <w:spacing w:beforeAutospacing="0" w:after="0" w:afterAutospacing="0" w:line="324" w:lineRule="atLeast"/>
        <w:rPr>
          <w:rFonts w:ascii="-webkit-standard" w:hAnsi="-webkit-standard" w:eastAsia="-webkit-standard" w:cs="-webkit-standard"/>
          <w:sz w:val="27"/>
          <w:szCs w:val="27"/>
          <w:lang w:eastAsia="zh-CN"/>
        </w:rPr>
      </w:pPr>
    </w:p>
    <w:p w14:paraId="635CF8CA">
      <w:pPr>
        <w:pStyle w:val="38"/>
        <w:spacing w:beforeAutospacing="0" w:after="0" w:afterAutospacing="0" w:line="324" w:lineRule="atLeast"/>
        <w:rPr>
          <w:rFonts w:ascii="-webkit-standard" w:hAnsi="-webkit-standard" w:eastAsia="-webkit-standard" w:cs="-webkit-standard"/>
          <w:lang w:eastAsia="zh-CN"/>
        </w:rPr>
      </w:pPr>
      <w:r>
        <w:rPr>
          <w:rFonts w:hint="eastAsia"/>
          <w:lang w:eastAsia="zh-CN"/>
        </w:rPr>
        <w:t>致：</w:t>
      </w:r>
      <w:r>
        <w:rPr>
          <w:rStyle w:val="138"/>
          <w:u w:val="single"/>
          <w:lang w:eastAsia="zh-CN"/>
        </w:rPr>
        <w:t xml:space="preserve">           </w:t>
      </w:r>
      <w:r>
        <w:rPr>
          <w:rFonts w:hint="eastAsia"/>
          <w:u w:val="single"/>
          <w:lang w:eastAsia="zh-CN"/>
        </w:rPr>
        <w:t>（发包人全称）</w:t>
      </w:r>
      <w:r>
        <w:rPr>
          <w:rFonts w:hint="eastAsia"/>
          <w:lang w:eastAsia="zh-CN"/>
        </w:rPr>
        <w:t>（下称发包人）</w:t>
      </w:r>
    </w:p>
    <w:p w14:paraId="4530A504">
      <w:pPr>
        <w:pStyle w:val="38"/>
        <w:spacing w:beforeAutospacing="0" w:after="0" w:afterAutospacing="0" w:line="324" w:lineRule="atLeast"/>
        <w:ind w:firstLine="480" w:firstLineChars="200"/>
        <w:rPr>
          <w:lang w:eastAsia="zh-CN"/>
        </w:rPr>
      </w:pPr>
      <w:r>
        <w:rPr>
          <w:rFonts w:hint="eastAsia"/>
          <w:lang w:eastAsia="zh-CN"/>
        </w:rPr>
        <w:t>鉴于</w:t>
      </w:r>
      <w:r>
        <w:rPr>
          <w:rStyle w:val="138"/>
          <w:u w:val="single"/>
          <w:lang w:eastAsia="zh-CN"/>
        </w:rPr>
        <w:t xml:space="preserve">     </w:t>
      </w:r>
      <w:r>
        <w:rPr>
          <w:rFonts w:hint="eastAsia"/>
          <w:u w:val="single"/>
          <w:lang w:eastAsia="zh-CN"/>
        </w:rPr>
        <w:t>（承包人全称）</w:t>
      </w:r>
      <w:r>
        <w:rPr>
          <w:rFonts w:hint="eastAsia"/>
          <w:lang w:eastAsia="zh-CN"/>
        </w:rPr>
        <w:t>（下称：承包人）已收到</w:t>
      </w:r>
      <w:r>
        <w:rPr>
          <w:rStyle w:val="138"/>
          <w:u w:val="single"/>
          <w:lang w:eastAsia="zh-CN"/>
        </w:rPr>
        <w:t xml:space="preserve">      </w:t>
      </w:r>
      <w:r>
        <w:rPr>
          <w:rFonts w:hint="eastAsia"/>
          <w:u w:val="single"/>
          <w:lang w:eastAsia="zh-CN"/>
        </w:rPr>
        <w:t>（工程名称）</w:t>
      </w:r>
      <w:r>
        <w:rPr>
          <w:rFonts w:hint="eastAsia"/>
          <w:lang w:eastAsia="zh-CN"/>
        </w:rPr>
        <w:t>的中标通知书，并保证按招标文件的要求履行、实施、完成并保修合同工程的义务和责任；发包人在招标文件中要求承包人在收到中标通知书后、签订施工合同前，应通过合同约定的银行提交合同指定的承包人履行本项目施工合同全部义务和责任的相应担保金额的银行保函，我方愿意为承包人担保，以担保金额人民币(大写)</w:t>
      </w:r>
      <w:r>
        <w:rPr>
          <w:rStyle w:val="138"/>
          <w:u w:val="single"/>
          <w:lang w:eastAsia="zh-CN"/>
        </w:rPr>
        <w:t xml:space="preserve">           </w:t>
      </w:r>
      <w:r>
        <w:rPr>
          <w:rFonts w:hint="eastAsia"/>
          <w:lang w:eastAsia="zh-CN"/>
        </w:rPr>
        <w:t>元(¥</w:t>
      </w:r>
      <w:r>
        <w:rPr>
          <w:rStyle w:val="138"/>
          <w:u w:val="single"/>
          <w:lang w:eastAsia="zh-CN"/>
        </w:rPr>
        <w:t xml:space="preserve">          </w:t>
      </w:r>
      <w:r>
        <w:rPr>
          <w:rFonts w:hint="eastAsia"/>
          <w:u w:val="single"/>
          <w:lang w:eastAsia="zh-CN"/>
        </w:rPr>
        <w:t>元</w:t>
      </w:r>
      <w:r>
        <w:rPr>
          <w:rFonts w:hint="eastAsia"/>
          <w:lang w:eastAsia="zh-CN"/>
        </w:rPr>
        <w:t>)向发包人提供不可撤销的担保。</w:t>
      </w:r>
    </w:p>
    <w:p w14:paraId="07269B4D">
      <w:pPr>
        <w:pStyle w:val="38"/>
        <w:spacing w:beforeAutospacing="0" w:after="0" w:afterAutospacing="0" w:line="324" w:lineRule="atLeast"/>
        <w:ind w:firstLine="480" w:firstLineChars="200"/>
        <w:rPr>
          <w:lang w:eastAsia="zh-CN"/>
        </w:rPr>
      </w:pPr>
      <w:r>
        <w:rPr>
          <w:rFonts w:hint="eastAsia"/>
          <w:lang w:eastAsia="zh-CN"/>
        </w:rPr>
        <w:t>本行作为保证人并代表承包人向你方承担支付人民币</w:t>
      </w:r>
      <w:r>
        <w:rPr>
          <w:rStyle w:val="138"/>
          <w:u w:val="single"/>
          <w:lang w:eastAsia="zh-CN"/>
        </w:rPr>
        <w:t xml:space="preserve">         </w:t>
      </w:r>
      <w:r>
        <w:rPr>
          <w:rFonts w:hint="eastAsia"/>
          <w:u w:val="single"/>
          <w:lang w:eastAsia="zh-CN"/>
        </w:rPr>
        <w:t>元</w:t>
      </w:r>
      <w:r>
        <w:rPr>
          <w:rFonts w:hint="eastAsia"/>
          <w:lang w:eastAsia="zh-CN"/>
        </w:rPr>
        <w:t>（￥：</w:t>
      </w:r>
      <w:r>
        <w:rPr>
          <w:rStyle w:val="138"/>
          <w:u w:val="single"/>
          <w:lang w:eastAsia="zh-CN"/>
        </w:rPr>
        <w:t xml:space="preserve">      </w:t>
      </w:r>
      <w:r>
        <w:rPr>
          <w:rFonts w:hint="eastAsia"/>
          <w:u w:val="single"/>
          <w:lang w:eastAsia="zh-CN"/>
        </w:rPr>
        <w:t>元</w:t>
      </w:r>
      <w:r>
        <w:rPr>
          <w:rFonts w:hint="eastAsia"/>
          <w:lang w:eastAsia="zh-CN"/>
        </w:rPr>
        <w:t>）的责任，在收到你方书面付款要求后，并不要求你方出具证明或说明理由，即在上述担保金范围内向你方支付。但本保函的担保金额应不超出你方与承包人签署且正在履行的施工合同总金额的</w:t>
      </w:r>
      <w:r>
        <w:rPr>
          <w:rFonts w:hint="eastAsia"/>
          <w:u w:val="single"/>
          <w:lang w:eastAsia="zh-CN"/>
        </w:rPr>
        <w:t>10%</w:t>
      </w:r>
      <w:r>
        <w:rPr>
          <w:rFonts w:hint="eastAsia"/>
          <w:lang w:eastAsia="zh-CN"/>
        </w:rPr>
        <w:t>。</w:t>
      </w:r>
    </w:p>
    <w:p w14:paraId="11F55AC4">
      <w:pPr>
        <w:pStyle w:val="38"/>
        <w:spacing w:beforeAutospacing="0" w:after="0" w:afterAutospacing="0" w:line="324" w:lineRule="atLeast"/>
        <w:ind w:firstLine="480" w:firstLineChars="200"/>
        <w:rPr>
          <w:rFonts w:ascii="-webkit-standard" w:hAnsi="-webkit-standard" w:eastAsia="-webkit-standard" w:cs="-webkit-standard"/>
          <w:lang w:eastAsia="zh-CN"/>
        </w:rPr>
      </w:pPr>
      <w:r>
        <w:rPr>
          <w:rFonts w:hint="eastAsia"/>
          <w:lang w:eastAsia="zh-CN"/>
        </w:rPr>
        <w:t>本行放弃你方应先向承包人索赔上述金额然后再向本行提出要求的权力。</w:t>
      </w:r>
    </w:p>
    <w:p w14:paraId="4A4F86CA">
      <w:pPr>
        <w:pStyle w:val="38"/>
        <w:spacing w:beforeAutospacing="0" w:after="0" w:afterAutospacing="0" w:line="324" w:lineRule="atLeast"/>
        <w:ind w:firstLine="480" w:firstLineChars="200"/>
        <w:rPr>
          <w:rFonts w:ascii="-webkit-standard" w:hAnsi="-webkit-standard" w:eastAsia="-webkit-standard" w:cs="-webkit-standard"/>
          <w:lang w:eastAsia="zh-CN"/>
        </w:rPr>
      </w:pPr>
      <w:r>
        <w:rPr>
          <w:rFonts w:hint="eastAsia"/>
          <w:lang w:eastAsia="zh-CN"/>
        </w:rPr>
        <w:t>本行还同意，在你方和承包人之间的合同条件发生补充或修改后，本行所承担保函的责任不变，有关补充或修改亦无须通知本行。</w:t>
      </w:r>
    </w:p>
    <w:p w14:paraId="5930A76C">
      <w:pPr>
        <w:pStyle w:val="38"/>
        <w:spacing w:beforeAutospacing="0" w:after="0" w:afterAutospacing="0" w:line="324" w:lineRule="atLeast"/>
        <w:ind w:firstLine="345"/>
        <w:rPr>
          <w:rFonts w:ascii="-webkit-standard" w:hAnsi="-webkit-standard" w:eastAsia="-webkit-standard" w:cs="-webkit-standard"/>
          <w:lang w:eastAsia="zh-CN"/>
        </w:rPr>
      </w:pPr>
      <w:r>
        <w:rPr>
          <w:rFonts w:hint="eastAsia"/>
          <w:lang w:eastAsia="zh-CN"/>
        </w:rPr>
        <w:t>本保函自签发之日起生效，至担保金额支付完毕，或在缺陷责任期结束后的二十八天起失效。</w:t>
      </w:r>
    </w:p>
    <w:p w14:paraId="1D9212DB">
      <w:pPr>
        <w:pStyle w:val="38"/>
        <w:spacing w:beforeAutospacing="0" w:after="0" w:afterAutospacing="0" w:line="27" w:lineRule="atLeast"/>
        <w:ind w:firstLine="345"/>
        <w:rPr>
          <w:lang w:eastAsia="zh-CN"/>
        </w:rPr>
      </w:pPr>
    </w:p>
    <w:p w14:paraId="5873E1B5">
      <w:pPr>
        <w:rPr>
          <w:lang w:eastAsia="zh-CN"/>
        </w:rPr>
      </w:pPr>
    </w:p>
    <w:p w14:paraId="3FB19C53">
      <w:pPr>
        <w:pStyle w:val="38"/>
        <w:spacing w:beforeAutospacing="0" w:after="0" w:afterAutospacing="0" w:line="27" w:lineRule="atLeast"/>
        <w:ind w:firstLine="345"/>
        <w:rPr>
          <w:lang w:eastAsia="zh-CN"/>
        </w:rPr>
      </w:pPr>
    </w:p>
    <w:p w14:paraId="1B8623B0">
      <w:pPr>
        <w:pStyle w:val="38"/>
        <w:spacing w:beforeAutospacing="0" w:after="0" w:afterAutospacing="0" w:line="324" w:lineRule="atLeast"/>
        <w:rPr>
          <w:lang w:eastAsia="zh-CN"/>
        </w:rPr>
      </w:pPr>
      <w:r>
        <w:rPr>
          <w:rFonts w:hint="eastAsia"/>
          <w:lang w:eastAsia="zh-CN"/>
        </w:rPr>
        <w:t xml:space="preserve">                                 担保人盖章：</w:t>
      </w:r>
    </w:p>
    <w:p w14:paraId="52984F4B">
      <w:pPr>
        <w:pStyle w:val="38"/>
        <w:spacing w:line="324" w:lineRule="atLeast"/>
        <w:ind w:firstLine="480" w:firstLineChars="200"/>
        <w:rPr>
          <w:lang w:eastAsia="zh-CN"/>
        </w:rPr>
      </w:pPr>
      <w:r>
        <w:rPr>
          <w:rFonts w:hint="eastAsia"/>
          <w:lang w:eastAsia="zh-CN"/>
        </w:rPr>
        <w:t xml:space="preserve">             法定代表人或其授权的代理人：(签字签章)</w:t>
      </w:r>
    </w:p>
    <w:p w14:paraId="334979AA">
      <w:pPr>
        <w:pStyle w:val="38"/>
        <w:spacing w:line="324" w:lineRule="atLeast"/>
        <w:ind w:firstLine="480" w:firstLineChars="200"/>
        <w:rPr>
          <w:lang w:eastAsia="zh-CN"/>
        </w:rPr>
      </w:pPr>
      <w:r>
        <w:rPr>
          <w:rFonts w:hint="eastAsia"/>
          <w:lang w:eastAsia="zh-CN"/>
        </w:rPr>
        <w:t xml:space="preserve">                                     地址： </w:t>
      </w:r>
    </w:p>
    <w:p w14:paraId="56725F8C">
      <w:pPr>
        <w:pStyle w:val="38"/>
        <w:spacing w:line="324" w:lineRule="atLeast"/>
        <w:ind w:firstLine="480" w:firstLineChars="200"/>
      </w:pPr>
      <w:r>
        <w:rPr>
          <w:rFonts w:hint="eastAsia"/>
          <w:lang w:eastAsia="zh-CN"/>
        </w:rPr>
        <w:t xml:space="preserve">                                     </w:t>
      </w:r>
      <w:r>
        <w:rPr>
          <w:rFonts w:hint="eastAsia"/>
        </w:rPr>
        <w:t>日期：       年     月    日</w:t>
      </w:r>
    </w:p>
    <w:p w14:paraId="03977B57">
      <w:pPr>
        <w:spacing w:line="400" w:lineRule="exact"/>
        <w:ind w:firstLine="482" w:firstLineChars="200"/>
        <w:rPr>
          <w:rFonts w:ascii="仿宋" w:hAnsi="仿宋" w:eastAsia="仿宋" w:cs="仿宋"/>
          <w:b/>
          <w:bCs/>
          <w:lang w:eastAsia="zh-CN"/>
        </w:rPr>
      </w:pPr>
    </w:p>
    <w:p w14:paraId="3685880D">
      <w:pPr>
        <w:pStyle w:val="17"/>
        <w:rPr>
          <w:lang w:eastAsia="zh-CN" w:bidi="en-US"/>
        </w:rPr>
      </w:pPr>
    </w:p>
    <w:p w14:paraId="0A0F48AE">
      <w:pPr>
        <w:pStyle w:val="17"/>
        <w:rPr>
          <w:lang w:eastAsia="zh-CN" w:bidi="en-US"/>
        </w:rPr>
      </w:pPr>
    </w:p>
    <w:p w14:paraId="3E21ABC8">
      <w:pPr>
        <w:pStyle w:val="17"/>
        <w:rPr>
          <w:lang w:eastAsia="zh-CN" w:bidi="en-US"/>
        </w:rPr>
      </w:pPr>
    </w:p>
    <w:p w14:paraId="2573AE39">
      <w:pPr>
        <w:pStyle w:val="17"/>
        <w:rPr>
          <w:lang w:eastAsia="zh-CN" w:bidi="en-US"/>
        </w:rPr>
      </w:pPr>
    </w:p>
    <w:p w14:paraId="21C72D1C">
      <w:pPr>
        <w:pStyle w:val="17"/>
        <w:rPr>
          <w:lang w:eastAsia="zh-CN" w:bidi="en-US"/>
        </w:rPr>
      </w:pPr>
    </w:p>
    <w:p w14:paraId="64654595">
      <w:pPr>
        <w:pStyle w:val="17"/>
        <w:rPr>
          <w:lang w:eastAsia="zh-CN" w:bidi="en-US"/>
        </w:rPr>
      </w:pPr>
    </w:p>
    <w:sectPr>
      <w:footerReference r:id="rId10" w:type="default"/>
      <w:pgSz w:w="11906" w:h="16838"/>
      <w:pgMar w:top="1440" w:right="1304" w:bottom="1440" w:left="119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00"/>
    <w:family w:val="roman"/>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00"/>
    <w:family w:val="roman"/>
    <w:pitch w:val="default"/>
    <w:sig w:usb0="00000000" w:usb1="00000000" w:usb2="00000000" w:usb3="00000000" w:csb0="00040001" w:csb1="00000000"/>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200247B" w:usb2="00000009" w:usb3="00000000" w:csb0="200001FF" w:csb1="00000000"/>
  </w:font>
  <w:font w:name="CG Times">
    <w:altName w:val="Times New Roman"/>
    <w:panose1 w:val="00000000000000000000"/>
    <w:charset w:val="00"/>
    <w:family w:val="roman"/>
    <w:pitch w:val="default"/>
    <w:sig w:usb0="00000000" w:usb1="00000000" w:usb2="00000000" w:usb3="00000000" w:csb0="00000093" w:csb1="00000000"/>
  </w:font>
  <w:font w:name="Times">
    <w:altName w:val="Times New Roman"/>
    <w:panose1 w:val="02020603050405020304"/>
    <w:charset w:val="00"/>
    <w:family w:val="roman"/>
    <w:pitch w:val="default"/>
    <w:sig w:usb0="00000000" w:usb1="00000000" w:usb2="00000009" w:usb3="00000000" w:csb0="000001FF" w:csb1="00000000"/>
  </w:font>
  <w:font w:name="等线">
    <w:panose1 w:val="02010600030101010101"/>
    <w:charset w:val="86"/>
    <w:family w:val="auto"/>
    <w:pitch w:val="default"/>
    <w:sig w:usb0="A00002BF" w:usb1="38CF7CFA" w:usb2="00000016" w:usb3="00000000" w:csb0="0004000F" w:csb1="00000000"/>
  </w:font>
  <w:font w:name="Arial Unicode MS">
    <w:altName w:val="宋体"/>
    <w:panose1 w:val="020B0604020202020204"/>
    <w:charset w:val="86"/>
    <w:family w:val="roman"/>
    <w:pitch w:val="default"/>
    <w:sig w:usb0="00000000" w:usb1="00000000" w:usb2="0000003F" w:usb3="00000000" w:csb0="603F01FF" w:csb1="FFFF0000"/>
  </w:font>
  <w:font w:name="华文中宋">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Segoe UI Symbol">
    <w:panose1 w:val="020B0502040204020203"/>
    <w:charset w:val="00"/>
    <w:family w:val="swiss"/>
    <w:pitch w:val="default"/>
    <w:sig w:usb0="800001E3" w:usb1="1200FFEF" w:usb2="00040000" w:usb3="04000000" w:csb0="00000001" w:csb1="40000000"/>
  </w:font>
  <w:font w:name="华文楷体">
    <w:panose1 w:val="02010600040101010101"/>
    <w:charset w:val="86"/>
    <w:family w:val="auto"/>
    <w:pitch w:val="default"/>
    <w:sig w:usb0="00000287" w:usb1="080F0000" w:usb2="00000000" w:usb3="00000000" w:csb0="0004009F" w:csb1="DFD70000"/>
  </w:font>
  <w:font w:name="-webkit-standard">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2D8E0A">
    <w:pPr>
      <w:pStyle w:val="27"/>
      <w:jc w:val="center"/>
    </w:pPr>
    <w:r>
      <mc:AlternateContent>
        <mc:Choice Requires="wps">
          <w:drawing>
            <wp:anchor distT="0" distB="0" distL="114300" distR="114300" simplePos="0" relativeHeight="2518886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53"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2700">
                        <a:noFill/>
                      </a:ln>
                    </wps:spPr>
                    <wps:txbx>
                      <w:txbxContent>
                        <w:p w14:paraId="5E8DB4B6">
                          <w:pPr>
                            <w:pStyle w:val="27"/>
                          </w:pPr>
                          <w:r>
                            <w:fldChar w:fldCharType="begin"/>
                          </w:r>
                          <w:r>
                            <w:instrText xml:space="preserve"> PAGE  \* MERGEFORMAT </w:instrText>
                          </w:r>
                          <w:r>
                            <w:fldChar w:fldCharType="separate"/>
                          </w:r>
                          <w:r>
                            <w:t>1</w:t>
                          </w:r>
                          <w:r>
                            <w:fldChar w:fldCharType="end"/>
                          </w:r>
                        </w:p>
                      </w:txbxContent>
                    </wps:txbx>
                    <wps:bodyPr rot="0" vert="horz" wrap="none" lIns="0" tIns="0" rIns="0" bIns="0" anchor="t" anchorCtr="0">
                      <a:spAutoFit/>
                    </wps:bodyPr>
                  </wps:wsp>
                </a:graphicData>
              </a:graphic>
            </wp:anchor>
          </w:drawing>
        </mc:Choice>
        <mc:Fallback>
          <w:pict>
            <v:shape id="文本框 19" o:spid="_x0000_s1026" o:spt="202" type="#_x0000_t202" style="position:absolute;left:0pt;margin-top:0pt;height:144pt;width:144pt;mso-position-horizontal:center;mso-position-horizontal-relative:margin;mso-wrap-style:none;z-index:251888640;mso-width-relative:page;mso-height-relative:page;" filled="f" stroked="f" coordsize="21600,21600" o:gfxdata="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yJ92v0wAAAAUBAAAP&#10;AAAAAAAAAAEAIAAAACIAAABkcnMvZG93bnJldi54bWxQSwECFAAUAAAACACHTuJA0v/KneQBAADH&#10;AwAADgAAAAAAAAABACAAAAAiAQAAZHJzL2Uyb0RvYy54bWxQSwUGAAAAAAYABgBZAQAAeAUAAAAA&#10;">
              <v:fill on="f" focussize="0,0"/>
              <v:stroke on="f" weight="1pt"/>
              <v:imagedata o:title=""/>
              <o:lock v:ext="edit" aspectratio="f"/>
              <v:textbox inset="0mm,0mm,0mm,0mm" style="mso-fit-shape-to-text:t;">
                <w:txbxContent>
                  <w:p w14:paraId="5E8DB4B6">
                    <w:pPr>
                      <w:pStyle w:val="27"/>
                    </w:pPr>
                    <w:r>
                      <w:fldChar w:fldCharType="begin"/>
                    </w:r>
                    <w:r>
                      <w:instrText xml:space="preserve"> PAGE  \* MERGEFORMAT </w:instrText>
                    </w:r>
                    <w:r>
                      <w:fldChar w:fldCharType="separate"/>
                    </w:r>
                    <w:r>
                      <w:t>1</w:t>
                    </w:r>
                    <w:r>
                      <w:fldChar w:fldCharType="end"/>
                    </w:r>
                  </w:p>
                </w:txbxContent>
              </v:textbox>
            </v:shape>
          </w:pict>
        </mc:Fallback>
      </mc:AlternateContent>
    </w:r>
  </w:p>
  <w:p w14:paraId="7D232714">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1BBC7A">
    <w:pPr>
      <w:pStyle w:val="27"/>
      <w:jc w:val="center"/>
    </w:pPr>
    <w:r>
      <mc:AlternateContent>
        <mc:Choice Requires="wps">
          <w:drawing>
            <wp:anchor distT="0" distB="0" distL="114300" distR="114300" simplePos="0" relativeHeight="2518896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55"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2700">
                        <a:noFill/>
                      </a:ln>
                    </wps:spPr>
                    <wps:txbx>
                      <w:txbxContent>
                        <w:p w14:paraId="640BA14D">
                          <w:pPr>
                            <w:pStyle w:val="27"/>
                            <w:jc w:val="center"/>
                          </w:pPr>
                          <w:r>
                            <w:fldChar w:fldCharType="begin"/>
                          </w:r>
                          <w:r>
                            <w:instrText xml:space="preserve"> PAGE   \* MERGEFORMAT </w:instrText>
                          </w:r>
                          <w:r>
                            <w:fldChar w:fldCharType="separate"/>
                          </w:r>
                          <w:r>
                            <w:rPr>
                              <w:lang w:val="zh-CN"/>
                            </w:rPr>
                            <w:t>3</w:t>
                          </w:r>
                          <w:r>
                            <w:fldChar w:fldCharType="end"/>
                          </w:r>
                        </w:p>
                      </w:txbxContent>
                    </wps:txbx>
                    <wps:bodyPr rot="0" vert="horz" wrap="none" lIns="0" tIns="0" rIns="0" bIns="0" anchor="t" anchorCtr="0">
                      <a:spAutoFit/>
                    </wps:bodyPr>
                  </wps:wsp>
                </a:graphicData>
              </a:graphic>
            </wp:anchor>
          </w:drawing>
        </mc:Choice>
        <mc:Fallback>
          <w:pict>
            <v:shape id="文本框 21" o:spid="_x0000_s1026" o:spt="202" type="#_x0000_t202" style="position:absolute;left:0pt;margin-top:0pt;height:144pt;width:144pt;mso-position-horizontal:center;mso-position-horizontal-relative:margin;mso-wrap-style:none;z-index:251889664;mso-width-relative:page;mso-height-relative:page;" filled="f" stroked="f" coordsize="21600,21600" o:gfxdata="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yJ92v0wAAAAUBAAAP&#10;AAAAAAAAAAEAIAAAACIAAABkcnMvZG93bnJldi54bWxQSwECFAAUAAAACACHTuJAM62STeQBAADH&#10;AwAADgAAAAAAAAABACAAAAAiAQAAZHJzL2Uyb0RvYy54bWxQSwUGAAAAAAYABgBZAQAAeAUAAAAA&#10;">
              <v:fill on="f" focussize="0,0"/>
              <v:stroke on="f" weight="1pt"/>
              <v:imagedata o:title=""/>
              <o:lock v:ext="edit" aspectratio="f"/>
              <v:textbox inset="0mm,0mm,0mm,0mm" style="mso-fit-shape-to-text:t;">
                <w:txbxContent>
                  <w:p w14:paraId="640BA14D">
                    <w:pPr>
                      <w:pStyle w:val="27"/>
                      <w:jc w:val="center"/>
                    </w:pPr>
                    <w:r>
                      <w:fldChar w:fldCharType="begin"/>
                    </w:r>
                    <w:r>
                      <w:instrText xml:space="preserve"> PAGE   \* MERGEFORMAT </w:instrText>
                    </w:r>
                    <w:r>
                      <w:fldChar w:fldCharType="separate"/>
                    </w:r>
                    <w:r>
                      <w:rPr>
                        <w:lang w:val="zh-CN"/>
                      </w:rPr>
                      <w:t>3</w:t>
                    </w:r>
                    <w:r>
                      <w:fldChar w:fldCharType="end"/>
                    </w:r>
                  </w:p>
                </w:txbxContent>
              </v:textbox>
            </v:shape>
          </w:pict>
        </mc:Fallback>
      </mc:AlternateContent>
    </w:r>
  </w:p>
  <w:p w14:paraId="4D5D39B3">
    <w:pPr>
      <w:pStyle w:val="2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E50BBC">
    <w:pPr>
      <w:pStyle w:val="27"/>
      <w:jc w:val="center"/>
      <w:rPr>
        <w:lang w:eastAsia="zh-CN"/>
      </w:rPr>
    </w:pPr>
    <w:r>
      <mc:AlternateContent>
        <mc:Choice Requires="wps">
          <w:drawing>
            <wp:anchor distT="0" distB="0" distL="114300" distR="114300" simplePos="0" relativeHeight="2518906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54"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2700">
                        <a:noFill/>
                      </a:ln>
                    </wps:spPr>
                    <wps:txbx>
                      <w:txbxContent>
                        <w:p w14:paraId="493BB8AA">
                          <w:pPr>
                            <w:pStyle w:val="27"/>
                          </w:pPr>
                          <w:r>
                            <w:fldChar w:fldCharType="begin"/>
                          </w:r>
                          <w:r>
                            <w:instrText xml:space="preserve"> PAGE  \* MERGEFORMAT </w:instrText>
                          </w:r>
                          <w:r>
                            <w:fldChar w:fldCharType="separate"/>
                          </w:r>
                          <w:r>
                            <w:t>1</w:t>
                          </w:r>
                          <w:r>
                            <w:fldChar w:fldCharType="end"/>
                          </w:r>
                        </w:p>
                      </w:txbxContent>
                    </wps:txbx>
                    <wps:bodyPr rot="0" vert="horz" wrap="none" lIns="0" tIns="0" rIns="0" bIns="0" anchor="t" anchorCtr="0">
                      <a:spAutoFit/>
                    </wps:bodyPr>
                  </wps:wsp>
                </a:graphicData>
              </a:graphic>
            </wp:anchor>
          </w:drawing>
        </mc:Choice>
        <mc:Fallback>
          <w:pict>
            <v:shape id="文本框 22" o:spid="_x0000_s1026" o:spt="202" type="#_x0000_t202" style="position:absolute;left:0pt;margin-top:0pt;height:144pt;width:144pt;mso-position-horizontal:center;mso-position-horizontal-relative:margin;mso-wrap-style:none;z-index:251890688;mso-width-relative:page;mso-height-relative:page;" filled="f" stroked="f" coordsize="21600,21600" o:gfxdata="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yJ92v0wAAAAUBAAAP&#10;AAAAAAAAAAEAIAAAACIAAABkcnMvZG93bnJldi54bWxQSwECFAAUAAAACACHTuJAHpfck+QBAADH&#10;AwAADgAAAAAAAAABACAAAAAiAQAAZHJzL2Uyb0RvYy54bWxQSwUGAAAAAAYABgBZAQAAeAUAAAAA&#10;">
              <v:fill on="f" focussize="0,0"/>
              <v:stroke on="f" weight="1pt"/>
              <v:imagedata o:title=""/>
              <o:lock v:ext="edit" aspectratio="f"/>
              <v:textbox inset="0mm,0mm,0mm,0mm" style="mso-fit-shape-to-text:t;">
                <w:txbxContent>
                  <w:p w14:paraId="493BB8AA">
                    <w:pPr>
                      <w:pStyle w:val="27"/>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1</w:t>
    </w:r>
  </w:p>
  <w:p w14:paraId="67D5C6AA">
    <w:pPr>
      <w:pStyle w:val="27"/>
      <w:jc w:val="center"/>
      <w:rPr>
        <w:lang w:eastAsia="zh-C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247856">
    <w:pPr>
      <w:pStyle w:val="27"/>
      <w:jc w:val="center"/>
      <w:rPr>
        <w:rFonts w:ascii="仿宋" w:hAnsi="仿宋" w:eastAsia="仿宋"/>
      </w:rPr>
    </w:pPr>
    <w:r>
      <mc:AlternateContent>
        <mc:Choice Requires="wps">
          <w:drawing>
            <wp:anchor distT="0" distB="0" distL="114300" distR="114300" simplePos="0" relativeHeight="2518917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6"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2700">
                        <a:noFill/>
                      </a:ln>
                    </wps:spPr>
                    <wps:txbx>
                      <w:txbxContent>
                        <w:p w14:paraId="225FDAF1">
                          <w:pPr>
                            <w:pStyle w:val="27"/>
                            <w:jc w:val="center"/>
                          </w:pPr>
                          <w:r>
                            <w:rPr>
                              <w:rFonts w:ascii="仿宋" w:hAnsi="仿宋" w:eastAsia="仿宋"/>
                            </w:rPr>
                            <w:fldChar w:fldCharType="begin"/>
                          </w:r>
                          <w:r>
                            <w:rPr>
                              <w:rFonts w:ascii="仿宋" w:hAnsi="仿宋" w:eastAsia="仿宋"/>
                            </w:rPr>
                            <w:instrText xml:space="preserve"> PAGE   \* MERGEFORMAT </w:instrText>
                          </w:r>
                          <w:r>
                            <w:rPr>
                              <w:rFonts w:ascii="仿宋" w:hAnsi="仿宋" w:eastAsia="仿宋"/>
                            </w:rPr>
                            <w:fldChar w:fldCharType="separate"/>
                          </w:r>
                          <w:r>
                            <w:rPr>
                              <w:rFonts w:ascii="仿宋" w:hAnsi="仿宋" w:eastAsia="仿宋"/>
                              <w:lang w:val="zh-CN"/>
                            </w:rPr>
                            <w:t>16</w:t>
                          </w:r>
                          <w:r>
                            <w:rPr>
                              <w:rFonts w:ascii="仿宋" w:hAnsi="仿宋" w:eastAsia="仿宋"/>
                            </w:rPr>
                            <w:fldChar w:fldCharType="end"/>
                          </w:r>
                        </w:p>
                      </w:txbxContent>
                    </wps:txbx>
                    <wps:bodyPr rot="0" vert="horz" wrap="none" lIns="0" tIns="0" rIns="0" bIns="0" anchor="t" anchorCtr="0">
                      <a:spAutoFit/>
                    </wps:bodyPr>
                  </wps:wsp>
                </a:graphicData>
              </a:graphic>
            </wp:anchor>
          </w:drawing>
        </mc:Choice>
        <mc:Fallback>
          <w:pict>
            <v:shape id="文本框 23" o:spid="_x0000_s1026" o:spt="202" type="#_x0000_t202" style="position:absolute;left:0pt;margin-top:0pt;height:144pt;width:144pt;mso-position-horizontal:center;mso-position-horizontal-relative:margin;mso-wrap-style:none;z-index:251891712;mso-width-relative:page;mso-height-relative:page;" filled="f" stroked="f" coordsize="21600,21600" o:gfxdata="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yJ92v0wAAAAUBAAAP&#10;AAAAAAAAAAEAIAAAACIAAABkcnMvZG93bnJldi54bWxQSwECFAAUAAAACACHTuJAmgbIEOQBAADH&#10;AwAADgAAAAAAAAABACAAAAAiAQAAZHJzL2Uyb0RvYy54bWxQSwUGAAAAAAYABgBZAQAAeAUAAAAA&#10;">
              <v:fill on="f" focussize="0,0"/>
              <v:stroke on="f" weight="1pt"/>
              <v:imagedata o:title=""/>
              <o:lock v:ext="edit" aspectratio="f"/>
              <v:textbox inset="0mm,0mm,0mm,0mm" style="mso-fit-shape-to-text:t;">
                <w:txbxContent>
                  <w:p w14:paraId="225FDAF1">
                    <w:pPr>
                      <w:pStyle w:val="27"/>
                      <w:jc w:val="center"/>
                    </w:pPr>
                    <w:r>
                      <w:rPr>
                        <w:rFonts w:ascii="仿宋" w:hAnsi="仿宋" w:eastAsia="仿宋"/>
                      </w:rPr>
                      <w:fldChar w:fldCharType="begin"/>
                    </w:r>
                    <w:r>
                      <w:rPr>
                        <w:rFonts w:ascii="仿宋" w:hAnsi="仿宋" w:eastAsia="仿宋"/>
                      </w:rPr>
                      <w:instrText xml:space="preserve"> PAGE   \* MERGEFORMAT </w:instrText>
                    </w:r>
                    <w:r>
                      <w:rPr>
                        <w:rFonts w:ascii="仿宋" w:hAnsi="仿宋" w:eastAsia="仿宋"/>
                      </w:rPr>
                      <w:fldChar w:fldCharType="separate"/>
                    </w:r>
                    <w:r>
                      <w:rPr>
                        <w:rFonts w:ascii="仿宋" w:hAnsi="仿宋" w:eastAsia="仿宋"/>
                        <w:lang w:val="zh-CN"/>
                      </w:rPr>
                      <w:t>16</w:t>
                    </w:r>
                    <w:r>
                      <w:rPr>
                        <w:rFonts w:ascii="仿宋" w:hAnsi="仿宋" w:eastAsia="仿宋"/>
                      </w:rPr>
                      <w:fldChar w:fldCharType="end"/>
                    </w:r>
                  </w:p>
                </w:txbxContent>
              </v:textbox>
            </v:shape>
          </w:pict>
        </mc:Fallback>
      </mc:AlternateContent>
    </w:r>
  </w:p>
  <w:p w14:paraId="24C5BD3E">
    <w:pPr>
      <w:pStyle w:val="2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35C93D">
    <w:pPr>
      <w:pStyle w:val="27"/>
      <w:jc w:val="center"/>
    </w:pPr>
    <w:r>
      <w:fldChar w:fldCharType="begin"/>
    </w:r>
    <w:r>
      <w:instrText xml:space="preserve"> PAGE   \* MERGEFORMAT </w:instrText>
    </w:r>
    <w:r>
      <w:fldChar w:fldCharType="separate"/>
    </w:r>
    <w:r>
      <w:rPr>
        <w:lang w:val="zh-CN"/>
      </w:rPr>
      <w:t>1</w:t>
    </w:r>
    <w:r>
      <w:fldChar w:fldCharType="end"/>
    </w:r>
  </w:p>
  <w:p w14:paraId="4FFBFCF6">
    <w:pPr>
      <w:pStyle w:val="2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61DC6F">
    <w:pPr>
      <w:pStyle w:val="27"/>
    </w:pPr>
    <w:r>
      <mc:AlternateContent>
        <mc:Choice Requires="wps">
          <w:drawing>
            <wp:anchor distT="0" distB="0" distL="114300" distR="114300" simplePos="0" relativeHeight="2518937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57"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2700">
                        <a:noFill/>
                      </a:ln>
                    </wps:spPr>
                    <wps:txbx>
                      <w:txbxContent>
                        <w:p w14:paraId="634D4223">
                          <w:pPr>
                            <w:pStyle w:val="27"/>
                          </w:pPr>
                          <w:r>
                            <w:fldChar w:fldCharType="begin"/>
                          </w:r>
                          <w:r>
                            <w:instrText xml:space="preserve"> PAGE  \* MERGEFORMAT </w:instrText>
                          </w:r>
                          <w:r>
                            <w:fldChar w:fldCharType="separate"/>
                          </w:r>
                          <w:r>
                            <w:t>221</w:t>
                          </w:r>
                          <w:r>
                            <w:fldChar w:fldCharType="end"/>
                          </w:r>
                        </w:p>
                      </w:txbxContent>
                    </wps:txbx>
                    <wps:bodyPr rot="0" vert="horz" wrap="none" lIns="0" tIns="0" rIns="0" bIns="0" anchor="t" anchorCtr="0">
                      <a:spAutoFit/>
                    </wps:bodyPr>
                  </wps:wsp>
                </a:graphicData>
              </a:graphic>
            </wp:anchor>
          </w:drawing>
        </mc:Choice>
        <mc:Fallback>
          <w:pict>
            <v:shape id="文本框 32" o:spid="_x0000_s1026" o:spt="202" type="#_x0000_t202" style="position:absolute;left:0pt;margin-top:0pt;height:144pt;width:144pt;mso-position-horizontal:center;mso-position-horizontal-relative:margin;mso-wrap-style:none;z-index:251893760;mso-width-relative:page;mso-height-relative:page;" filled="f" stroked="f" coordsize="21600,21600" o:gfxdata="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cifdr9MAAAAFAQAA&#10;DwAAAAAAAAABACAAAAAiAAAAZHJzL2Rvd25yZXYueG1sUEsBAhQAFAAAAAgAh07iQEK0V1TlAQAA&#10;xwMAAA4AAAAAAAAAAQAgAAAAIgEAAGRycy9lMm9Eb2MueG1sUEsFBgAAAAAGAAYAWQEAAHkFAAAA&#10;AA==&#10;">
              <v:fill on="f" focussize="0,0"/>
              <v:stroke on="f" weight="1pt"/>
              <v:imagedata o:title=""/>
              <o:lock v:ext="edit" aspectratio="f"/>
              <v:textbox inset="0mm,0mm,0mm,0mm" style="mso-fit-shape-to-text:t;">
                <w:txbxContent>
                  <w:p w14:paraId="634D4223">
                    <w:pPr>
                      <w:pStyle w:val="27"/>
                    </w:pPr>
                    <w:r>
                      <w:fldChar w:fldCharType="begin"/>
                    </w:r>
                    <w:r>
                      <w:instrText xml:space="preserve"> PAGE  \* MERGEFORMAT </w:instrText>
                    </w:r>
                    <w:r>
                      <w:fldChar w:fldCharType="separate"/>
                    </w:r>
                    <w:r>
                      <w:t>221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361D85">
    <w:pPr>
      <w:spacing w:line="176" w:lineRule="auto"/>
      <w:ind w:left="4593"/>
      <w:rPr>
        <w:rFonts w:eastAsia="Times New Roman"/>
        <w:sz w:val="18"/>
        <w:szCs w:val="18"/>
      </w:rPr>
    </w:pPr>
    <w:r>
      <w:rPr>
        <w:sz w:val="18"/>
      </w:rPr>
      <mc:AlternateContent>
        <mc:Choice Requires="wps">
          <w:drawing>
            <wp:anchor distT="0" distB="0" distL="114300" distR="114300" simplePos="0" relativeHeight="2518927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6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2700">
                        <a:noFill/>
                      </a:ln>
                    </wps:spPr>
                    <wps:txbx>
                      <w:txbxContent>
                        <w:p w14:paraId="125BE50C">
                          <w:pPr>
                            <w:pStyle w:val="27"/>
                          </w:pPr>
                          <w:r>
                            <w:fldChar w:fldCharType="begin"/>
                          </w:r>
                          <w:r>
                            <w:instrText xml:space="preserve"> PAGE  \* MERGEFORMAT </w:instrText>
                          </w:r>
                          <w:r>
                            <w:fldChar w:fldCharType="separate"/>
                          </w:r>
                          <w:r>
                            <w:t>232</w:t>
                          </w:r>
                          <w:r>
                            <w:fldChar w:fldCharType="end"/>
                          </w:r>
                        </w:p>
                      </w:txbxContent>
                    </wps:txbx>
                    <wps:bodyPr rot="0" vert="horz" wrap="none" lIns="0" tIns="0" rIns="0" bIns="0" anchor="t" anchorCtr="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892736;mso-width-relative:page;mso-height-relative:page;" filled="f" stroked="f" coordsize="21600,21600" o:gfxdata="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HIn3a/TAAAABQEAAA8A&#10;AAAAAAAAAQAgAAAAIgAAAGRycy9kb3ducmV2LnhtbFBLAQIUABQAAAAIAIdO4kDx3Q6n4wEAAMYD&#10;AAAOAAAAAAAAAAEAIAAAACIBAABkcnMvZTJvRG9jLnhtbFBLBQYAAAAABgAGAFkBAAB3BQAAAAA=&#10;">
              <v:fill on="f" focussize="0,0"/>
              <v:stroke on="f" weight="1pt"/>
              <v:imagedata o:title=""/>
              <o:lock v:ext="edit" aspectratio="f"/>
              <v:textbox inset="0mm,0mm,0mm,0mm" style="mso-fit-shape-to-text:t;">
                <w:txbxContent>
                  <w:p w14:paraId="125BE50C">
                    <w:pPr>
                      <w:pStyle w:val="27"/>
                    </w:pPr>
                    <w:r>
                      <w:fldChar w:fldCharType="begin"/>
                    </w:r>
                    <w:r>
                      <w:instrText xml:space="preserve"> PAGE  \* MERGEFORMAT </w:instrText>
                    </w:r>
                    <w:r>
                      <w:fldChar w:fldCharType="separate"/>
                    </w:r>
                    <w:r>
                      <w:t>232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00E185">
    <w:pPr>
      <w:pStyle w:val="28"/>
      <w:widowControl w:val="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5DD494"/>
    <w:multiLevelType w:val="singleLevel"/>
    <w:tmpl w:val="885DD494"/>
    <w:lvl w:ilvl="0" w:tentative="0">
      <w:start w:val="1"/>
      <w:numFmt w:val="decimal"/>
      <w:suff w:val="nothing"/>
      <w:lvlText w:val="（%1）"/>
      <w:lvlJc w:val="left"/>
    </w:lvl>
  </w:abstractNum>
  <w:abstractNum w:abstractNumId="1">
    <w:nsid w:val="01E967D5"/>
    <w:multiLevelType w:val="multilevel"/>
    <w:tmpl w:val="01E967D5"/>
    <w:lvl w:ilvl="0" w:tentative="0">
      <w:start w:val="1"/>
      <w:numFmt w:val="chineseCountingThousand"/>
      <w:pStyle w:val="185"/>
      <w:lvlText w:val="%1、"/>
      <w:lvlJc w:val="left"/>
      <w:pPr>
        <w:ind w:left="0" w:firstLine="40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24012D0"/>
    <w:multiLevelType w:val="multilevel"/>
    <w:tmpl w:val="024012D0"/>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3">
    <w:nsid w:val="06626AA8"/>
    <w:multiLevelType w:val="singleLevel"/>
    <w:tmpl w:val="06626AA8"/>
    <w:lvl w:ilvl="0" w:tentative="0">
      <w:start w:val="1"/>
      <w:numFmt w:val="lowerLetter"/>
      <w:suff w:val="nothing"/>
      <w:lvlText w:val="%1、"/>
      <w:lvlJc w:val="left"/>
    </w:lvl>
  </w:abstractNum>
  <w:abstractNum w:abstractNumId="4">
    <w:nsid w:val="09581BC7"/>
    <w:multiLevelType w:val="multilevel"/>
    <w:tmpl w:val="09581BC7"/>
    <w:lvl w:ilvl="0" w:tentative="0">
      <w:start w:val="1"/>
      <w:numFmt w:val="decimalEnclosedCircle"/>
      <w:lvlText w:val="%1"/>
      <w:lvlJc w:val="left"/>
      <w:pPr>
        <w:ind w:left="1070" w:hanging="360"/>
      </w:pPr>
      <w:rPr>
        <w:rFonts w:hint="default" w:cs="仿宋"/>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5">
    <w:nsid w:val="0C1C34D2"/>
    <w:multiLevelType w:val="multilevel"/>
    <w:tmpl w:val="0C1C34D2"/>
    <w:lvl w:ilvl="0" w:tentative="0">
      <w:start w:val="1"/>
      <w:numFmt w:val="decimal"/>
      <w:lvlText w:val="（%1）"/>
      <w:lvlJc w:val="left"/>
      <w:pPr>
        <w:tabs>
          <w:tab w:val="left" w:pos="1560"/>
        </w:tabs>
        <w:ind w:left="1560" w:hanging="1080"/>
      </w:pPr>
      <w:rPr>
        <w:rFonts w:hint="eastAsia"/>
      </w:rPr>
    </w:lvl>
    <w:lvl w:ilvl="1" w:tentative="0">
      <w:start w:val="1"/>
      <w:numFmt w:val="decimal"/>
      <w:lvlText w:val="（%2）"/>
      <w:lvlJc w:val="left"/>
      <w:pPr>
        <w:tabs>
          <w:tab w:val="left" w:pos="1620"/>
        </w:tabs>
        <w:ind w:left="1620" w:hanging="7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0D0B1A88"/>
    <w:multiLevelType w:val="multilevel"/>
    <w:tmpl w:val="0D0B1A88"/>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7">
    <w:nsid w:val="0E3E05E7"/>
    <w:multiLevelType w:val="multilevel"/>
    <w:tmpl w:val="0E3E05E7"/>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12F0B1FA"/>
    <w:multiLevelType w:val="singleLevel"/>
    <w:tmpl w:val="12F0B1FA"/>
    <w:lvl w:ilvl="0" w:tentative="0">
      <w:start w:val="1"/>
      <w:numFmt w:val="decimal"/>
      <w:suff w:val="nothing"/>
      <w:lvlText w:val="（%1）"/>
      <w:lvlJc w:val="left"/>
    </w:lvl>
  </w:abstractNum>
  <w:abstractNum w:abstractNumId="9">
    <w:nsid w:val="1773C05F"/>
    <w:multiLevelType w:val="singleLevel"/>
    <w:tmpl w:val="1773C05F"/>
    <w:lvl w:ilvl="0" w:tentative="0">
      <w:start w:val="1"/>
      <w:numFmt w:val="lowerLetter"/>
      <w:suff w:val="nothing"/>
      <w:lvlText w:val="%1、"/>
      <w:lvlJc w:val="left"/>
    </w:lvl>
  </w:abstractNum>
  <w:abstractNum w:abstractNumId="10">
    <w:nsid w:val="1E153F58"/>
    <w:multiLevelType w:val="multilevel"/>
    <w:tmpl w:val="1E153F58"/>
    <w:lvl w:ilvl="0" w:tentative="0">
      <w:start w:val="1"/>
      <w:numFmt w:val="decimal"/>
      <w:lvlText w:val="（%1）"/>
      <w:lvlJc w:val="left"/>
      <w:pPr>
        <w:tabs>
          <w:tab w:val="left" w:pos="2609"/>
        </w:tabs>
        <w:ind w:left="2609"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
    <w:nsid w:val="253A68C1"/>
    <w:multiLevelType w:val="multilevel"/>
    <w:tmpl w:val="253A68C1"/>
    <w:lvl w:ilvl="0" w:tentative="0">
      <w:start w:val="1"/>
      <w:numFmt w:val="decimal"/>
      <w:lvlText w:val="（%1）"/>
      <w:lvlJc w:val="left"/>
      <w:pPr>
        <w:tabs>
          <w:tab w:val="left" w:pos="1440"/>
        </w:tabs>
        <w:ind w:left="1440" w:hanging="96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
    <w:nsid w:val="25D80AF4"/>
    <w:multiLevelType w:val="multilevel"/>
    <w:tmpl w:val="25D80AF4"/>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3">
    <w:nsid w:val="266F2840"/>
    <w:multiLevelType w:val="multilevel"/>
    <w:tmpl w:val="266F2840"/>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
    <w:nsid w:val="283C4915"/>
    <w:multiLevelType w:val="singleLevel"/>
    <w:tmpl w:val="283C4915"/>
    <w:lvl w:ilvl="0" w:tentative="0">
      <w:start w:val="1"/>
      <w:numFmt w:val="decimal"/>
      <w:suff w:val="space"/>
      <w:lvlText w:val="（%1）"/>
      <w:lvlJc w:val="left"/>
    </w:lvl>
  </w:abstractNum>
  <w:abstractNum w:abstractNumId="15">
    <w:nsid w:val="28D9536E"/>
    <w:multiLevelType w:val="multilevel"/>
    <w:tmpl w:val="28D9536E"/>
    <w:lvl w:ilvl="0" w:tentative="0">
      <w:start w:val="1"/>
      <w:numFmt w:val="upperLetter"/>
      <w:pStyle w:val="190"/>
      <w:lvlText w:val="(%1)"/>
      <w:lvlJc w:val="left"/>
      <w:pPr>
        <w:tabs>
          <w:tab w:val="left" w:pos="624"/>
        </w:tabs>
        <w:ind w:left="624" w:hanging="624"/>
      </w:pPr>
    </w:lvl>
    <w:lvl w:ilvl="1" w:tentative="0">
      <w:start w:val="1"/>
      <w:numFmt w:val="upperLetter"/>
      <w:pStyle w:val="202"/>
      <w:lvlText w:val="(%2)"/>
      <w:lvlJc w:val="left"/>
      <w:pPr>
        <w:tabs>
          <w:tab w:val="left" w:pos="1417"/>
        </w:tabs>
        <w:ind w:left="1417" w:hanging="793"/>
      </w:pPr>
    </w:lvl>
    <w:lvl w:ilvl="2" w:tentative="0">
      <w:start w:val="1"/>
      <w:numFmt w:val="upperLetter"/>
      <w:pStyle w:val="207"/>
      <w:lvlText w:val="(%3)"/>
      <w:lvlJc w:val="left"/>
      <w:pPr>
        <w:tabs>
          <w:tab w:val="left" w:pos="1928"/>
        </w:tabs>
        <w:ind w:left="1928" w:hanging="511"/>
      </w:pPr>
    </w:lvl>
    <w:lvl w:ilvl="3" w:tentative="0">
      <w:start w:val="1"/>
      <w:numFmt w:val="lowerLetter"/>
      <w:lvlText w:val="(%4)"/>
      <w:lvlJc w:val="left"/>
      <w:pPr>
        <w:tabs>
          <w:tab w:val="left" w:pos="1928"/>
        </w:tabs>
        <w:ind w:left="1928" w:hanging="511"/>
      </w:pPr>
    </w:lvl>
    <w:lvl w:ilvl="4" w:tentative="0">
      <w:start w:val="1"/>
      <w:numFmt w:val="lowerRoman"/>
      <w:lvlText w:val="(%5)"/>
      <w:lvlJc w:val="left"/>
      <w:pPr>
        <w:tabs>
          <w:tab w:val="left" w:pos="2438"/>
        </w:tabs>
        <w:ind w:left="2438" w:hanging="510"/>
      </w:pPr>
    </w:lvl>
    <w:lvl w:ilvl="5" w:tentative="0">
      <w:start w:val="1"/>
      <w:numFmt w:val="decimal"/>
      <w:lvlText w:val="(%6)"/>
      <w:lvlJc w:val="left"/>
      <w:pPr>
        <w:tabs>
          <w:tab w:val="left" w:pos="2948"/>
        </w:tabs>
        <w:ind w:left="2948" w:hanging="510"/>
      </w:pPr>
    </w:lvl>
    <w:lvl w:ilvl="6" w:tentative="0">
      <w:start w:val="1"/>
      <w:numFmt w:val="none"/>
      <w:suff w:val="nothing"/>
      <w:lvlText w:val=""/>
      <w:lvlJc w:val="left"/>
      <w:pPr>
        <w:ind w:left="0" w:firstLine="0"/>
      </w:pPr>
    </w:lvl>
    <w:lvl w:ilvl="7" w:tentative="0">
      <w:start w:val="1"/>
      <w:numFmt w:val="none"/>
      <w:suff w:val="nothing"/>
      <w:lvlText w:val=""/>
      <w:lvlJc w:val="left"/>
      <w:pPr>
        <w:ind w:left="0" w:firstLine="0"/>
      </w:pPr>
    </w:lvl>
    <w:lvl w:ilvl="8" w:tentative="0">
      <w:start w:val="1"/>
      <w:numFmt w:val="decimal"/>
      <w:lvlRestart w:val="0"/>
      <w:lvlText w:val="SCHEDULE %9"/>
      <w:lvlJc w:val="left"/>
      <w:pPr>
        <w:tabs>
          <w:tab w:val="left" w:pos="0"/>
        </w:tabs>
        <w:ind w:left="0" w:firstLine="0"/>
      </w:pPr>
    </w:lvl>
  </w:abstractNum>
  <w:abstractNum w:abstractNumId="16">
    <w:nsid w:val="297241D1"/>
    <w:multiLevelType w:val="multilevel"/>
    <w:tmpl w:val="297241D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7">
    <w:nsid w:val="2DC80B06"/>
    <w:multiLevelType w:val="multilevel"/>
    <w:tmpl w:val="2DC80B06"/>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18">
    <w:nsid w:val="2DC97F1B"/>
    <w:multiLevelType w:val="singleLevel"/>
    <w:tmpl w:val="2DC97F1B"/>
    <w:lvl w:ilvl="0" w:tentative="0">
      <w:start w:val="1"/>
      <w:numFmt w:val="lowerLetter"/>
      <w:suff w:val="nothing"/>
      <w:lvlText w:val="%1、"/>
      <w:lvlJc w:val="left"/>
    </w:lvl>
  </w:abstractNum>
  <w:abstractNum w:abstractNumId="19">
    <w:nsid w:val="301F5202"/>
    <w:multiLevelType w:val="multilevel"/>
    <w:tmpl w:val="301F5202"/>
    <w:lvl w:ilvl="0" w:tentative="0">
      <w:start w:val="1"/>
      <w:numFmt w:val="decimal"/>
      <w:lvlText w:val="第%1条"/>
      <w:lvlJc w:val="left"/>
      <w:pPr>
        <w:ind w:left="851" w:firstLine="0"/>
      </w:pPr>
    </w:lvl>
    <w:lvl w:ilvl="1" w:tentative="0">
      <w:start w:val="1"/>
      <w:numFmt w:val="decimal"/>
      <w:pStyle w:val="161"/>
      <w:lvlText w:val="%1.%2"/>
      <w:lvlJc w:val="left"/>
      <w:pPr>
        <w:ind w:left="991" w:hanging="567"/>
      </w:pPr>
    </w:lvl>
    <w:lvl w:ilvl="2" w:tentative="0">
      <w:start w:val="1"/>
      <w:numFmt w:val="decimal"/>
      <w:pStyle w:val="200"/>
      <w:lvlText w:val="%1.%2.%3"/>
      <w:lvlJc w:val="left"/>
      <w:pPr>
        <w:ind w:left="2835" w:hanging="567"/>
      </w:pPr>
    </w:lvl>
    <w:lvl w:ilvl="3" w:tentative="0">
      <w:start w:val="1"/>
      <w:numFmt w:val="decimal"/>
      <w:lvlText w:val="%1.%2.%3.%4"/>
      <w:lvlJc w:val="left"/>
      <w:pPr>
        <w:ind w:left="1983" w:hanging="708"/>
      </w:pPr>
    </w:lvl>
    <w:lvl w:ilvl="4" w:tentative="0">
      <w:start w:val="1"/>
      <w:numFmt w:val="decimal"/>
      <w:lvlText w:val="%1.%2.%3.%4.%5"/>
      <w:lvlJc w:val="left"/>
      <w:pPr>
        <w:ind w:left="2550" w:hanging="850"/>
      </w:pPr>
    </w:lvl>
    <w:lvl w:ilvl="5" w:tentative="0">
      <w:start w:val="1"/>
      <w:numFmt w:val="decimal"/>
      <w:lvlText w:val="%1.%2.%3.%4.%5.%6"/>
      <w:lvlJc w:val="left"/>
      <w:pPr>
        <w:ind w:left="3259" w:hanging="1134"/>
      </w:pPr>
    </w:lvl>
    <w:lvl w:ilvl="6" w:tentative="0">
      <w:start w:val="1"/>
      <w:numFmt w:val="decimal"/>
      <w:lvlText w:val="%1.%2.%3.%4.%5.%6.%7"/>
      <w:lvlJc w:val="left"/>
      <w:pPr>
        <w:ind w:left="3826" w:hanging="1276"/>
      </w:pPr>
    </w:lvl>
    <w:lvl w:ilvl="7" w:tentative="0">
      <w:start w:val="1"/>
      <w:numFmt w:val="decimal"/>
      <w:lvlText w:val="%1.%2.%3.%4.%5.%6.%7.%8"/>
      <w:lvlJc w:val="left"/>
      <w:pPr>
        <w:ind w:left="4393" w:hanging="1418"/>
      </w:pPr>
    </w:lvl>
    <w:lvl w:ilvl="8" w:tentative="0">
      <w:start w:val="1"/>
      <w:numFmt w:val="decimal"/>
      <w:lvlText w:val="%1.%2.%3.%4.%5.%6.%7.%8.%9"/>
      <w:lvlJc w:val="left"/>
      <w:pPr>
        <w:ind w:left="5101" w:hanging="1700"/>
      </w:pPr>
    </w:lvl>
  </w:abstractNum>
  <w:abstractNum w:abstractNumId="20">
    <w:nsid w:val="36B74DA9"/>
    <w:multiLevelType w:val="multilevel"/>
    <w:tmpl w:val="36B74DA9"/>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1">
    <w:nsid w:val="36BA4641"/>
    <w:multiLevelType w:val="multilevel"/>
    <w:tmpl w:val="36BA464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2">
    <w:nsid w:val="3AA800C6"/>
    <w:multiLevelType w:val="multilevel"/>
    <w:tmpl w:val="3AA800C6"/>
    <w:lvl w:ilvl="0" w:tentative="0">
      <w:start w:val="1"/>
      <w:numFmt w:val="decimal"/>
      <w:pStyle w:val="196"/>
      <w:lvlText w:val="第%1条"/>
      <w:lvlJc w:val="left"/>
      <w:pPr>
        <w:ind w:left="0" w:firstLine="0"/>
      </w:pPr>
    </w:lvl>
    <w:lvl w:ilvl="1" w:tentative="0">
      <w:start w:val="1"/>
      <w:numFmt w:val="decimal"/>
      <w:lvlText w:val="%1.%2"/>
      <w:lvlJc w:val="left"/>
      <w:pPr>
        <w:ind w:left="0" w:firstLine="0"/>
      </w:pPr>
    </w:lvl>
    <w:lvl w:ilvl="2" w:tentative="0">
      <w:start w:val="1"/>
      <w:numFmt w:val="decimal"/>
      <w:lvlText w:val="%1.%2.%3"/>
      <w:lvlJc w:val="left"/>
      <w:pPr>
        <w:ind w:left="0" w:firstLine="0"/>
      </w:pPr>
      <w:rPr>
        <w:rFonts w:hint="eastAsia" w:ascii="仿宋_GB2312" w:eastAsia="仿宋_GB2312"/>
      </w:rPr>
    </w:lvl>
    <w:lvl w:ilvl="3" w:tentative="0">
      <w:start w:val="1"/>
      <w:numFmt w:val="decimal"/>
      <w:lvlText w:val="%1.%2.%3.%4"/>
      <w:lvlJc w:val="left"/>
      <w:pPr>
        <w:ind w:left="0" w:firstLine="0"/>
      </w:pPr>
    </w:lvl>
    <w:lvl w:ilvl="4" w:tentative="0">
      <w:start w:val="1"/>
      <w:numFmt w:val="decimal"/>
      <w:lvlText w:val="%1.%2.%3.%4.%5"/>
      <w:lvlJc w:val="left"/>
      <w:pPr>
        <w:ind w:left="0" w:firstLine="0"/>
      </w:pPr>
    </w:lvl>
    <w:lvl w:ilvl="5" w:tentative="0">
      <w:start w:val="1"/>
      <w:numFmt w:val="decimal"/>
      <w:pStyle w:val="201"/>
      <w:lvlText w:val="%1.%2.%3.%4.%5.%6"/>
      <w:lvlJc w:val="left"/>
      <w:pPr>
        <w:ind w:left="0" w:firstLine="0"/>
      </w:pPr>
    </w:lvl>
    <w:lvl w:ilvl="6" w:tentative="0">
      <w:start w:val="1"/>
      <w:numFmt w:val="decimal"/>
      <w:lvlText w:val="%1.%2.%3.%4.%5.%6.%7"/>
      <w:lvlJc w:val="left"/>
      <w:pPr>
        <w:ind w:left="0" w:firstLine="0"/>
      </w:pPr>
    </w:lvl>
    <w:lvl w:ilvl="7" w:tentative="0">
      <w:start w:val="1"/>
      <w:numFmt w:val="decimal"/>
      <w:lvlText w:val="%1.%2.%3.%4.%5.%6.%7.%8"/>
      <w:lvlJc w:val="left"/>
      <w:pPr>
        <w:ind w:left="0" w:firstLine="0"/>
      </w:pPr>
    </w:lvl>
    <w:lvl w:ilvl="8" w:tentative="0">
      <w:start w:val="1"/>
      <w:numFmt w:val="decimal"/>
      <w:lvlText w:val="%1.%2.%3.%4.%5.%6.%7.%8.%9"/>
      <w:lvlJc w:val="left"/>
      <w:pPr>
        <w:ind w:left="0" w:firstLine="0"/>
      </w:pPr>
    </w:lvl>
  </w:abstractNum>
  <w:abstractNum w:abstractNumId="23">
    <w:nsid w:val="3B2E0A0E"/>
    <w:multiLevelType w:val="multilevel"/>
    <w:tmpl w:val="3B2E0A0E"/>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620"/>
        </w:tabs>
        <w:ind w:left="1620" w:hanging="720"/>
      </w:pPr>
      <w:rPr>
        <w:rFonts w:ascii="宋体"/>
        <w:color w:val="auto"/>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4">
    <w:nsid w:val="4056568E"/>
    <w:multiLevelType w:val="multilevel"/>
    <w:tmpl w:val="4056568E"/>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25">
    <w:nsid w:val="42637A74"/>
    <w:multiLevelType w:val="singleLevel"/>
    <w:tmpl w:val="42637A74"/>
    <w:lvl w:ilvl="0" w:tentative="0">
      <w:start w:val="1"/>
      <w:numFmt w:val="decimal"/>
      <w:suff w:val="space"/>
      <w:lvlText w:val="(%1)"/>
      <w:lvlJc w:val="left"/>
      <w:pPr>
        <w:ind w:left="480" w:firstLine="0"/>
      </w:pPr>
    </w:lvl>
  </w:abstractNum>
  <w:abstractNum w:abstractNumId="26">
    <w:nsid w:val="468D5600"/>
    <w:multiLevelType w:val="singleLevel"/>
    <w:tmpl w:val="468D5600"/>
    <w:lvl w:ilvl="0" w:tentative="0">
      <w:start w:val="1"/>
      <w:numFmt w:val="decimal"/>
      <w:suff w:val="nothing"/>
      <w:lvlText w:val="%1）"/>
      <w:lvlJc w:val="left"/>
    </w:lvl>
  </w:abstractNum>
  <w:abstractNum w:abstractNumId="27">
    <w:nsid w:val="46D47E00"/>
    <w:multiLevelType w:val="multilevel"/>
    <w:tmpl w:val="46D47E00"/>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8">
    <w:nsid w:val="4D5A4498"/>
    <w:multiLevelType w:val="multilevel"/>
    <w:tmpl w:val="4D5A4498"/>
    <w:lvl w:ilvl="0" w:tentative="0">
      <w:start w:val="1"/>
      <w:numFmt w:val="decimal"/>
      <w:lvlText w:val="%1．"/>
      <w:lvlJc w:val="left"/>
      <w:pPr>
        <w:tabs>
          <w:tab w:val="left" w:pos="840"/>
        </w:tabs>
        <w:ind w:left="840" w:hanging="360"/>
      </w:pPr>
    </w:lvl>
    <w:lvl w:ilvl="1" w:tentative="0">
      <w:start w:val="1"/>
      <w:numFmt w:val="lowerLetter"/>
      <w:lvlText w:val="%2)"/>
      <w:lvlJc w:val="left"/>
      <w:pPr>
        <w:tabs>
          <w:tab w:val="left" w:pos="1320"/>
        </w:tabs>
        <w:ind w:left="1320" w:hanging="4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9">
    <w:nsid w:val="57D559DE"/>
    <w:multiLevelType w:val="multilevel"/>
    <w:tmpl w:val="57D559DE"/>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0">
    <w:nsid w:val="5A360EEB"/>
    <w:multiLevelType w:val="multilevel"/>
    <w:tmpl w:val="5A360EEB"/>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1">
    <w:nsid w:val="5B691D0A"/>
    <w:multiLevelType w:val="multilevel"/>
    <w:tmpl w:val="5B691D0A"/>
    <w:lvl w:ilvl="0" w:tentative="0">
      <w:start w:val="1"/>
      <w:numFmt w:val="decimal"/>
      <w:lvlText w:val="（%1）"/>
      <w:lvlJc w:val="left"/>
      <w:pPr>
        <w:tabs>
          <w:tab w:val="left" w:pos="1560"/>
        </w:tabs>
        <w:ind w:left="1560" w:hanging="1080"/>
      </w:pPr>
      <w:rPr>
        <w:rFonts w:hint="eastAsia"/>
      </w:rPr>
    </w:lvl>
    <w:lvl w:ilvl="1" w:tentative="0">
      <w:start w:val="4"/>
      <w:numFmt w:val="decimal"/>
      <w:lvlText w:val="(%2)"/>
      <w:lvlJc w:val="left"/>
      <w:pPr>
        <w:tabs>
          <w:tab w:val="left" w:pos="1410"/>
        </w:tabs>
        <w:ind w:left="1410" w:hanging="51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2">
    <w:nsid w:val="5EEA705D"/>
    <w:multiLevelType w:val="multilevel"/>
    <w:tmpl w:val="5EEA705D"/>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3">
    <w:nsid w:val="61BD6C99"/>
    <w:multiLevelType w:val="multilevel"/>
    <w:tmpl w:val="61BD6C99"/>
    <w:lvl w:ilvl="0" w:tentative="0">
      <w:start w:val="1"/>
      <w:numFmt w:val="lowerRoman"/>
      <w:pStyle w:val="199"/>
      <w:lvlText w:val="(%1)"/>
      <w:lvlJc w:val="left"/>
      <w:pPr>
        <w:ind w:left="1560" w:hanging="7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34">
    <w:nsid w:val="62256771"/>
    <w:multiLevelType w:val="multilevel"/>
    <w:tmpl w:val="6225677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5">
    <w:nsid w:val="62687BB6"/>
    <w:multiLevelType w:val="multilevel"/>
    <w:tmpl w:val="62687BB6"/>
    <w:lvl w:ilvl="0" w:tentative="0">
      <w:start w:val="1"/>
      <w:numFmt w:val="decimal"/>
      <w:pStyle w:val="210"/>
      <w:lvlText w:val="附件%1"/>
      <w:lvlJc w:val="left"/>
      <w:pPr>
        <w:ind w:left="3681" w:hanging="420"/>
      </w:pPr>
      <w:rPr>
        <w:sz w:val="30"/>
        <w:szCs w:val="30"/>
      </w:rPr>
    </w:lvl>
    <w:lvl w:ilvl="1" w:tentative="0">
      <w:start w:val="1"/>
      <w:numFmt w:val="lowerLetter"/>
      <w:lvlText w:val="%2)"/>
      <w:lvlJc w:val="left"/>
      <w:pPr>
        <w:ind w:left="983" w:hanging="420"/>
      </w:pPr>
    </w:lvl>
    <w:lvl w:ilvl="2" w:tentative="0">
      <w:start w:val="1"/>
      <w:numFmt w:val="lowerRoman"/>
      <w:lvlText w:val="%3."/>
      <w:lvlJc w:val="right"/>
      <w:pPr>
        <w:ind w:left="1403" w:hanging="420"/>
      </w:pPr>
    </w:lvl>
    <w:lvl w:ilvl="3" w:tentative="0">
      <w:start w:val="1"/>
      <w:numFmt w:val="decimal"/>
      <w:lvlText w:val="%4."/>
      <w:lvlJc w:val="left"/>
      <w:pPr>
        <w:ind w:left="1823" w:hanging="420"/>
      </w:pPr>
    </w:lvl>
    <w:lvl w:ilvl="4" w:tentative="0">
      <w:start w:val="1"/>
      <w:numFmt w:val="lowerLetter"/>
      <w:lvlText w:val="%5)"/>
      <w:lvlJc w:val="left"/>
      <w:pPr>
        <w:ind w:left="2243" w:hanging="420"/>
      </w:pPr>
    </w:lvl>
    <w:lvl w:ilvl="5" w:tentative="0">
      <w:start w:val="1"/>
      <w:numFmt w:val="lowerRoman"/>
      <w:lvlText w:val="%6."/>
      <w:lvlJc w:val="right"/>
      <w:pPr>
        <w:ind w:left="2663" w:hanging="420"/>
      </w:pPr>
    </w:lvl>
    <w:lvl w:ilvl="6" w:tentative="0">
      <w:start w:val="1"/>
      <w:numFmt w:val="decimal"/>
      <w:lvlText w:val="%7."/>
      <w:lvlJc w:val="left"/>
      <w:pPr>
        <w:ind w:left="3083" w:hanging="420"/>
      </w:pPr>
    </w:lvl>
    <w:lvl w:ilvl="7" w:tentative="0">
      <w:start w:val="1"/>
      <w:numFmt w:val="lowerLetter"/>
      <w:lvlText w:val="%8)"/>
      <w:lvlJc w:val="left"/>
      <w:pPr>
        <w:ind w:left="3503" w:hanging="420"/>
      </w:pPr>
    </w:lvl>
    <w:lvl w:ilvl="8" w:tentative="0">
      <w:start w:val="1"/>
      <w:numFmt w:val="lowerRoman"/>
      <w:lvlText w:val="%9."/>
      <w:lvlJc w:val="right"/>
      <w:pPr>
        <w:ind w:left="3923" w:hanging="420"/>
      </w:pPr>
    </w:lvl>
  </w:abstractNum>
  <w:abstractNum w:abstractNumId="36">
    <w:nsid w:val="64624B5C"/>
    <w:multiLevelType w:val="multilevel"/>
    <w:tmpl w:val="64624B5C"/>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37">
    <w:nsid w:val="64DF7DF1"/>
    <w:multiLevelType w:val="multilevel"/>
    <w:tmpl w:val="64DF7DF1"/>
    <w:lvl w:ilvl="0" w:tentative="0">
      <w:start w:val="1"/>
      <w:numFmt w:val="decimal"/>
      <w:lvlText w:val="（%1）"/>
      <w:lvlJc w:val="left"/>
      <w:pPr>
        <w:tabs>
          <w:tab w:val="left" w:pos="960"/>
        </w:tabs>
        <w:ind w:left="960" w:hanging="480"/>
      </w:pPr>
      <w:rPr>
        <w:rFonts w:hint="eastAsia"/>
        <w:lang w:val="en-US"/>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8">
    <w:nsid w:val="6A8425B5"/>
    <w:multiLevelType w:val="multilevel"/>
    <w:tmpl w:val="6A8425B5"/>
    <w:lvl w:ilvl="0" w:tentative="0">
      <w:start w:val="1"/>
      <w:numFmt w:val="decimal"/>
      <w:lvlText w:val="7.3.%1"/>
      <w:lvlJc w:val="left"/>
      <w:pPr>
        <w:ind w:left="2340" w:hanging="420"/>
      </w:pPr>
      <w:rPr>
        <w:rFonts w:hint="eastAsia"/>
      </w:rPr>
    </w:lvl>
    <w:lvl w:ilvl="1" w:tentative="0">
      <w:start w:val="1"/>
      <w:numFmt w:val="lowerLetter"/>
      <w:lvlText w:val="%2)"/>
      <w:lvlJc w:val="left"/>
      <w:pPr>
        <w:ind w:left="2760" w:hanging="420"/>
      </w:pPr>
    </w:lvl>
    <w:lvl w:ilvl="2" w:tentative="0">
      <w:start w:val="1"/>
      <w:numFmt w:val="lowerRoman"/>
      <w:lvlText w:val="%3."/>
      <w:lvlJc w:val="right"/>
      <w:pPr>
        <w:ind w:left="3180" w:hanging="420"/>
      </w:pPr>
    </w:lvl>
    <w:lvl w:ilvl="3" w:tentative="0">
      <w:start w:val="1"/>
      <w:numFmt w:val="decimal"/>
      <w:lvlText w:val="%4."/>
      <w:lvlJc w:val="left"/>
      <w:pPr>
        <w:ind w:left="3600" w:hanging="420"/>
      </w:pPr>
    </w:lvl>
    <w:lvl w:ilvl="4" w:tentative="0">
      <w:start w:val="1"/>
      <w:numFmt w:val="lowerLetter"/>
      <w:lvlText w:val="%5)"/>
      <w:lvlJc w:val="left"/>
      <w:pPr>
        <w:ind w:left="4020" w:hanging="420"/>
      </w:pPr>
    </w:lvl>
    <w:lvl w:ilvl="5" w:tentative="0">
      <w:start w:val="1"/>
      <w:numFmt w:val="lowerRoman"/>
      <w:lvlText w:val="%6."/>
      <w:lvlJc w:val="right"/>
      <w:pPr>
        <w:ind w:left="4440" w:hanging="420"/>
      </w:pPr>
    </w:lvl>
    <w:lvl w:ilvl="6" w:tentative="0">
      <w:start w:val="1"/>
      <w:numFmt w:val="decimal"/>
      <w:lvlText w:val="%7."/>
      <w:lvlJc w:val="left"/>
      <w:pPr>
        <w:ind w:left="4860" w:hanging="420"/>
      </w:pPr>
    </w:lvl>
    <w:lvl w:ilvl="7" w:tentative="0">
      <w:start w:val="1"/>
      <w:numFmt w:val="lowerLetter"/>
      <w:lvlText w:val="%8)"/>
      <w:lvlJc w:val="left"/>
      <w:pPr>
        <w:ind w:left="5280" w:hanging="420"/>
      </w:pPr>
    </w:lvl>
    <w:lvl w:ilvl="8" w:tentative="0">
      <w:start w:val="1"/>
      <w:numFmt w:val="lowerRoman"/>
      <w:lvlText w:val="%9."/>
      <w:lvlJc w:val="right"/>
      <w:pPr>
        <w:ind w:left="5700" w:hanging="420"/>
      </w:pPr>
    </w:lvl>
  </w:abstractNum>
  <w:abstractNum w:abstractNumId="39">
    <w:nsid w:val="6C1074F8"/>
    <w:multiLevelType w:val="multilevel"/>
    <w:tmpl w:val="6C1074F8"/>
    <w:lvl w:ilvl="0" w:tentative="0">
      <w:start w:val="1"/>
      <w:numFmt w:val="decimal"/>
      <w:lvlText w:val="（%1）"/>
      <w:lvlJc w:val="left"/>
      <w:pPr>
        <w:tabs>
          <w:tab w:val="left" w:pos="1110"/>
        </w:tabs>
        <w:ind w:left="1110" w:hanging="510"/>
      </w:pPr>
      <w:rPr>
        <w:rFonts w:hint="eastAsia"/>
        <w:color w:val="auto"/>
      </w:rPr>
    </w:lvl>
    <w:lvl w:ilvl="1" w:tentative="0">
      <w:start w:val="1"/>
      <w:numFmt w:val="decimal"/>
      <w:lvlText w:val="(%2)"/>
      <w:lvlJc w:val="left"/>
      <w:pPr>
        <w:tabs>
          <w:tab w:val="left" w:pos="1410"/>
        </w:tabs>
        <w:ind w:left="1410" w:hanging="390"/>
      </w:pPr>
    </w:lvl>
    <w:lvl w:ilvl="2" w:tentative="0">
      <w:start w:val="1"/>
      <w:numFmt w:val="decimal"/>
      <w:lvlText w:val="%3."/>
      <w:lvlJc w:val="left"/>
      <w:pPr>
        <w:tabs>
          <w:tab w:val="left" w:pos="2280"/>
        </w:tabs>
        <w:ind w:left="2280" w:hanging="360"/>
      </w:pPr>
    </w:lvl>
    <w:lvl w:ilvl="3" w:tentative="0">
      <w:start w:val="1"/>
      <w:numFmt w:val="decimal"/>
      <w:lvlText w:val="%4."/>
      <w:lvlJc w:val="left"/>
      <w:pPr>
        <w:tabs>
          <w:tab w:val="left" w:pos="3000"/>
        </w:tabs>
        <w:ind w:left="3000" w:hanging="360"/>
      </w:pPr>
    </w:lvl>
    <w:lvl w:ilvl="4" w:tentative="0">
      <w:start w:val="1"/>
      <w:numFmt w:val="decimal"/>
      <w:lvlText w:val="%5."/>
      <w:lvlJc w:val="left"/>
      <w:pPr>
        <w:tabs>
          <w:tab w:val="left" w:pos="3720"/>
        </w:tabs>
        <w:ind w:left="3720" w:hanging="360"/>
      </w:pPr>
    </w:lvl>
    <w:lvl w:ilvl="5" w:tentative="0">
      <w:start w:val="1"/>
      <w:numFmt w:val="decimal"/>
      <w:lvlText w:val="%6."/>
      <w:lvlJc w:val="left"/>
      <w:pPr>
        <w:tabs>
          <w:tab w:val="left" w:pos="4440"/>
        </w:tabs>
        <w:ind w:left="4440" w:hanging="360"/>
      </w:pPr>
    </w:lvl>
    <w:lvl w:ilvl="6" w:tentative="0">
      <w:start w:val="1"/>
      <w:numFmt w:val="decimal"/>
      <w:lvlText w:val="%7."/>
      <w:lvlJc w:val="left"/>
      <w:pPr>
        <w:tabs>
          <w:tab w:val="left" w:pos="5160"/>
        </w:tabs>
        <w:ind w:left="5160" w:hanging="360"/>
      </w:pPr>
    </w:lvl>
    <w:lvl w:ilvl="7" w:tentative="0">
      <w:start w:val="1"/>
      <w:numFmt w:val="decimal"/>
      <w:lvlText w:val="%8."/>
      <w:lvlJc w:val="left"/>
      <w:pPr>
        <w:tabs>
          <w:tab w:val="left" w:pos="5880"/>
        </w:tabs>
        <w:ind w:left="5880" w:hanging="360"/>
      </w:pPr>
    </w:lvl>
    <w:lvl w:ilvl="8" w:tentative="0">
      <w:start w:val="1"/>
      <w:numFmt w:val="decimal"/>
      <w:lvlText w:val="%9."/>
      <w:lvlJc w:val="left"/>
      <w:pPr>
        <w:tabs>
          <w:tab w:val="left" w:pos="6600"/>
        </w:tabs>
        <w:ind w:left="6600" w:hanging="360"/>
      </w:pPr>
    </w:lvl>
  </w:abstractNum>
  <w:abstractNum w:abstractNumId="40">
    <w:nsid w:val="6C4A1042"/>
    <w:multiLevelType w:val="multilevel"/>
    <w:tmpl w:val="6C4A1042"/>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41">
    <w:nsid w:val="6E87019F"/>
    <w:multiLevelType w:val="multilevel"/>
    <w:tmpl w:val="6E87019F"/>
    <w:lvl w:ilvl="0" w:tentative="0">
      <w:start w:val="1"/>
      <w:numFmt w:val="chineseCountingThousand"/>
      <w:pStyle w:val="162"/>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42">
    <w:nsid w:val="72DF347D"/>
    <w:multiLevelType w:val="multilevel"/>
    <w:tmpl w:val="72DF347D"/>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pStyle w:val="192"/>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113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3">
    <w:nsid w:val="73A55E2C"/>
    <w:multiLevelType w:val="multilevel"/>
    <w:tmpl w:val="73A55E2C"/>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4">
    <w:nsid w:val="7543651A"/>
    <w:multiLevelType w:val="multilevel"/>
    <w:tmpl w:val="7543651A"/>
    <w:lvl w:ilvl="0" w:tentative="0">
      <w:start w:val="1"/>
      <w:numFmt w:val="lowerLetter"/>
      <w:pStyle w:val="194"/>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5">
    <w:nsid w:val="774C6470"/>
    <w:multiLevelType w:val="multilevel"/>
    <w:tmpl w:val="774C6470"/>
    <w:lvl w:ilvl="0" w:tentative="0">
      <w:start w:val="1"/>
      <w:numFmt w:val="decimal"/>
      <w:lvlText w:val="（%1）"/>
      <w:lvlJc w:val="left"/>
      <w:pPr>
        <w:tabs>
          <w:tab w:val="left" w:pos="1560"/>
        </w:tabs>
        <w:ind w:left="1560" w:hanging="108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6">
    <w:nsid w:val="7BE858F9"/>
    <w:multiLevelType w:val="multilevel"/>
    <w:tmpl w:val="7BE858F9"/>
    <w:lvl w:ilvl="0" w:tentative="0">
      <w:start w:val="1"/>
      <w:numFmt w:val="decimal"/>
      <w:lvlText w:val="（%1）"/>
      <w:lvlJc w:val="left"/>
      <w:pPr>
        <w:ind w:left="2340" w:hanging="720"/>
      </w:pPr>
      <w:rPr>
        <w:rFonts w:hint="default" w:cs="仿宋"/>
      </w:rPr>
    </w:lvl>
    <w:lvl w:ilvl="1" w:tentative="0">
      <w:start w:val="1"/>
      <w:numFmt w:val="lowerLetter"/>
      <w:lvlText w:val="%2)"/>
      <w:lvlJc w:val="left"/>
      <w:pPr>
        <w:ind w:left="2460" w:hanging="420"/>
      </w:pPr>
    </w:lvl>
    <w:lvl w:ilvl="2" w:tentative="0">
      <w:start w:val="1"/>
      <w:numFmt w:val="lowerRoman"/>
      <w:lvlText w:val="%3."/>
      <w:lvlJc w:val="right"/>
      <w:pPr>
        <w:ind w:left="2880" w:hanging="420"/>
      </w:pPr>
    </w:lvl>
    <w:lvl w:ilvl="3" w:tentative="0">
      <w:start w:val="1"/>
      <w:numFmt w:val="decimal"/>
      <w:lvlText w:val="%4."/>
      <w:lvlJc w:val="left"/>
      <w:pPr>
        <w:ind w:left="3300" w:hanging="420"/>
      </w:pPr>
    </w:lvl>
    <w:lvl w:ilvl="4" w:tentative="0">
      <w:start w:val="1"/>
      <w:numFmt w:val="lowerLetter"/>
      <w:lvlText w:val="%5)"/>
      <w:lvlJc w:val="left"/>
      <w:pPr>
        <w:ind w:left="3720" w:hanging="420"/>
      </w:pPr>
    </w:lvl>
    <w:lvl w:ilvl="5" w:tentative="0">
      <w:start w:val="1"/>
      <w:numFmt w:val="lowerRoman"/>
      <w:lvlText w:val="%6."/>
      <w:lvlJc w:val="right"/>
      <w:pPr>
        <w:ind w:left="4140" w:hanging="420"/>
      </w:pPr>
    </w:lvl>
    <w:lvl w:ilvl="6" w:tentative="0">
      <w:start w:val="1"/>
      <w:numFmt w:val="decimal"/>
      <w:lvlText w:val="%7."/>
      <w:lvlJc w:val="left"/>
      <w:pPr>
        <w:ind w:left="4560" w:hanging="420"/>
      </w:pPr>
    </w:lvl>
    <w:lvl w:ilvl="7" w:tentative="0">
      <w:start w:val="1"/>
      <w:numFmt w:val="lowerLetter"/>
      <w:lvlText w:val="%8)"/>
      <w:lvlJc w:val="left"/>
      <w:pPr>
        <w:ind w:left="4980" w:hanging="420"/>
      </w:pPr>
    </w:lvl>
    <w:lvl w:ilvl="8" w:tentative="0">
      <w:start w:val="1"/>
      <w:numFmt w:val="lowerRoman"/>
      <w:lvlText w:val="%9."/>
      <w:lvlJc w:val="right"/>
      <w:pPr>
        <w:ind w:left="5400" w:hanging="420"/>
      </w:pPr>
    </w:lvl>
  </w:abstractNum>
  <w:abstractNum w:abstractNumId="47">
    <w:nsid w:val="7E43197E"/>
    <w:multiLevelType w:val="multilevel"/>
    <w:tmpl w:val="7E43197E"/>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9"/>
  </w:num>
  <w:num w:numId="2">
    <w:abstractNumId w:val="41"/>
  </w:num>
  <w:num w:numId="3">
    <w:abstractNumId w:val="1"/>
  </w:num>
  <w:num w:numId="4">
    <w:abstractNumId w:val="15"/>
  </w:num>
  <w:num w:numId="5">
    <w:abstractNumId w:val="42"/>
  </w:num>
  <w:num w:numId="6">
    <w:abstractNumId w:val="44"/>
  </w:num>
  <w:num w:numId="7">
    <w:abstractNumId w:val="22"/>
  </w:num>
  <w:num w:numId="8">
    <w:abstractNumId w:val="33"/>
  </w:num>
  <w:num w:numId="9">
    <w:abstractNumId w:val="35"/>
  </w:num>
  <w:num w:numId="10">
    <w:abstractNumId w:val="14"/>
  </w:num>
  <w:num w:numId="11">
    <w:abstractNumId w:val="38"/>
  </w:num>
  <w:num w:numId="12">
    <w:abstractNumId w:val="39"/>
  </w:num>
  <w:num w:numId="13">
    <w:abstractNumId w:val="11"/>
  </w:num>
  <w:num w:numId="14">
    <w:abstractNumId w:val="23"/>
  </w:num>
  <w:num w:numId="15">
    <w:abstractNumId w:val="34"/>
  </w:num>
  <w:num w:numId="16">
    <w:abstractNumId w:val="10"/>
  </w:num>
  <w:num w:numId="17">
    <w:abstractNumId w:val="13"/>
  </w:num>
  <w:num w:numId="18">
    <w:abstractNumId w:val="5"/>
  </w:num>
  <w:num w:numId="19">
    <w:abstractNumId w:val="2"/>
  </w:num>
  <w:num w:numId="20">
    <w:abstractNumId w:val="32"/>
  </w:num>
  <w:num w:numId="21">
    <w:abstractNumId w:val="27"/>
  </w:num>
  <w:num w:numId="22">
    <w:abstractNumId w:val="36"/>
  </w:num>
  <w:num w:numId="23">
    <w:abstractNumId w:val="24"/>
  </w:num>
  <w:num w:numId="24">
    <w:abstractNumId w:val="17"/>
  </w:num>
  <w:num w:numId="25">
    <w:abstractNumId w:val="40"/>
  </w:num>
  <w:num w:numId="26">
    <w:abstractNumId w:val="21"/>
  </w:num>
  <w:num w:numId="27">
    <w:abstractNumId w:val="7"/>
  </w:num>
  <w:num w:numId="28">
    <w:abstractNumId w:val="12"/>
  </w:num>
  <w:num w:numId="29">
    <w:abstractNumId w:val="20"/>
  </w:num>
  <w:num w:numId="30">
    <w:abstractNumId w:val="43"/>
  </w:num>
  <w:num w:numId="31">
    <w:abstractNumId w:val="47"/>
  </w:num>
  <w:num w:numId="32">
    <w:abstractNumId w:val="16"/>
  </w:num>
  <w:num w:numId="33">
    <w:abstractNumId w:val="45"/>
  </w:num>
  <w:num w:numId="34">
    <w:abstractNumId w:val="31"/>
  </w:num>
  <w:num w:numId="35">
    <w:abstractNumId w:val="29"/>
  </w:num>
  <w:num w:numId="36">
    <w:abstractNumId w:val="30"/>
  </w:num>
  <w:num w:numId="37">
    <w:abstractNumId w:val="37"/>
  </w:num>
  <w:num w:numId="38">
    <w:abstractNumId w:val="46"/>
  </w:num>
  <w:num w:numId="39">
    <w:abstractNumId w:val="25"/>
  </w:num>
  <w:num w:numId="40">
    <w:abstractNumId w:val="4"/>
  </w:num>
  <w:num w:numId="41">
    <w:abstractNumId w:val="3"/>
  </w:num>
  <w:num w:numId="42">
    <w:abstractNumId w:val="18"/>
  </w:num>
  <w:num w:numId="43">
    <w:abstractNumId w:val="9"/>
  </w:num>
  <w:num w:numId="44">
    <w:abstractNumId w:val="8"/>
  </w:num>
  <w:num w:numId="45">
    <w:abstractNumId w:val="0"/>
  </w:num>
  <w:num w:numId="46">
    <w:abstractNumId w:val="26"/>
  </w:num>
  <w:num w:numId="47">
    <w:abstractNumId w:val="6"/>
  </w:num>
  <w:num w:numId="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trackRevisions w:val="1"/>
  <w:documentProtection w:enforcement="0"/>
  <w:defaultTabStop w:val="0"/>
  <w:drawingGridHorizontalSpacing w:val="120"/>
  <w:drawingGridVerticalSpacing w:val="156"/>
  <w:noPunctuationKerning w:val="1"/>
  <w:characterSpacingControl w:val="compressPunctuation"/>
  <w:endnotePr>
    <w:numFmt w:val="decimal"/>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135"/>
    <w:rsid w:val="00001A21"/>
    <w:rsid w:val="000167EB"/>
    <w:rsid w:val="00020669"/>
    <w:rsid w:val="00022886"/>
    <w:rsid w:val="00027017"/>
    <w:rsid w:val="000276B3"/>
    <w:rsid w:val="00031887"/>
    <w:rsid w:val="00033A3A"/>
    <w:rsid w:val="00046E93"/>
    <w:rsid w:val="0006289C"/>
    <w:rsid w:val="00062DFA"/>
    <w:rsid w:val="00070105"/>
    <w:rsid w:val="00070F7D"/>
    <w:rsid w:val="00072F62"/>
    <w:rsid w:val="00074161"/>
    <w:rsid w:val="00092509"/>
    <w:rsid w:val="00095CCB"/>
    <w:rsid w:val="00095F95"/>
    <w:rsid w:val="000A159A"/>
    <w:rsid w:val="000A1B41"/>
    <w:rsid w:val="000C3EAC"/>
    <w:rsid w:val="000C7416"/>
    <w:rsid w:val="000D2F3B"/>
    <w:rsid w:val="000E6D31"/>
    <w:rsid w:val="000F02C4"/>
    <w:rsid w:val="000F2706"/>
    <w:rsid w:val="001012C1"/>
    <w:rsid w:val="00107C4B"/>
    <w:rsid w:val="0011590C"/>
    <w:rsid w:val="00115C6A"/>
    <w:rsid w:val="00125064"/>
    <w:rsid w:val="00132C42"/>
    <w:rsid w:val="0014753E"/>
    <w:rsid w:val="00150432"/>
    <w:rsid w:val="00156980"/>
    <w:rsid w:val="00156CB3"/>
    <w:rsid w:val="0015721C"/>
    <w:rsid w:val="00172A27"/>
    <w:rsid w:val="00182B33"/>
    <w:rsid w:val="0019381C"/>
    <w:rsid w:val="0019387C"/>
    <w:rsid w:val="00193C7D"/>
    <w:rsid w:val="001A1138"/>
    <w:rsid w:val="001A22A4"/>
    <w:rsid w:val="001A6DB2"/>
    <w:rsid w:val="001B1724"/>
    <w:rsid w:val="001B57D2"/>
    <w:rsid w:val="001C47BD"/>
    <w:rsid w:val="001D451C"/>
    <w:rsid w:val="001E40E6"/>
    <w:rsid w:val="0020227A"/>
    <w:rsid w:val="00207503"/>
    <w:rsid w:val="00212F6D"/>
    <w:rsid w:val="002310DD"/>
    <w:rsid w:val="00246257"/>
    <w:rsid w:val="00250985"/>
    <w:rsid w:val="002514C1"/>
    <w:rsid w:val="00260A9C"/>
    <w:rsid w:val="00260E4A"/>
    <w:rsid w:val="00261599"/>
    <w:rsid w:val="00264EB9"/>
    <w:rsid w:val="002717A7"/>
    <w:rsid w:val="00277AEF"/>
    <w:rsid w:val="00280CF0"/>
    <w:rsid w:val="00282A88"/>
    <w:rsid w:val="00287F0D"/>
    <w:rsid w:val="002A1359"/>
    <w:rsid w:val="002A3AFC"/>
    <w:rsid w:val="002B5843"/>
    <w:rsid w:val="002C035E"/>
    <w:rsid w:val="002D2420"/>
    <w:rsid w:val="002F32F5"/>
    <w:rsid w:val="002F4127"/>
    <w:rsid w:val="003158DD"/>
    <w:rsid w:val="00316780"/>
    <w:rsid w:val="00316AE9"/>
    <w:rsid w:val="00325295"/>
    <w:rsid w:val="003306C9"/>
    <w:rsid w:val="003310EF"/>
    <w:rsid w:val="00344D82"/>
    <w:rsid w:val="00356BF5"/>
    <w:rsid w:val="003574F1"/>
    <w:rsid w:val="00364802"/>
    <w:rsid w:val="00364A1E"/>
    <w:rsid w:val="0037509D"/>
    <w:rsid w:val="003752C8"/>
    <w:rsid w:val="00376001"/>
    <w:rsid w:val="003771CC"/>
    <w:rsid w:val="00380471"/>
    <w:rsid w:val="00387027"/>
    <w:rsid w:val="00390BF8"/>
    <w:rsid w:val="003A0914"/>
    <w:rsid w:val="003A6B66"/>
    <w:rsid w:val="003A7503"/>
    <w:rsid w:val="003B3738"/>
    <w:rsid w:val="003B44CD"/>
    <w:rsid w:val="003B6A54"/>
    <w:rsid w:val="003C75B4"/>
    <w:rsid w:val="003D2280"/>
    <w:rsid w:val="003E14F7"/>
    <w:rsid w:val="003F6630"/>
    <w:rsid w:val="003F7C67"/>
    <w:rsid w:val="00401551"/>
    <w:rsid w:val="004176ED"/>
    <w:rsid w:val="00417847"/>
    <w:rsid w:val="00422CB6"/>
    <w:rsid w:val="004250A7"/>
    <w:rsid w:val="004302AE"/>
    <w:rsid w:val="0043292E"/>
    <w:rsid w:val="004479E5"/>
    <w:rsid w:val="004500BE"/>
    <w:rsid w:val="00453806"/>
    <w:rsid w:val="00457546"/>
    <w:rsid w:val="004606A4"/>
    <w:rsid w:val="00461BD5"/>
    <w:rsid w:val="00467002"/>
    <w:rsid w:val="004672DD"/>
    <w:rsid w:val="0047170E"/>
    <w:rsid w:val="004876CB"/>
    <w:rsid w:val="004A732A"/>
    <w:rsid w:val="004B7FFA"/>
    <w:rsid w:val="004C41BE"/>
    <w:rsid w:val="004D41B6"/>
    <w:rsid w:val="004D6CAB"/>
    <w:rsid w:val="004F6A4C"/>
    <w:rsid w:val="004F77FF"/>
    <w:rsid w:val="00501EE6"/>
    <w:rsid w:val="00517071"/>
    <w:rsid w:val="005250BC"/>
    <w:rsid w:val="00570CD1"/>
    <w:rsid w:val="005825C2"/>
    <w:rsid w:val="00590B48"/>
    <w:rsid w:val="00593627"/>
    <w:rsid w:val="005C6040"/>
    <w:rsid w:val="005C7749"/>
    <w:rsid w:val="005D6C61"/>
    <w:rsid w:val="005D721E"/>
    <w:rsid w:val="005F16CF"/>
    <w:rsid w:val="005F1CD5"/>
    <w:rsid w:val="005F233D"/>
    <w:rsid w:val="00622CF0"/>
    <w:rsid w:val="0062629A"/>
    <w:rsid w:val="006277D7"/>
    <w:rsid w:val="00627E6B"/>
    <w:rsid w:val="00655C75"/>
    <w:rsid w:val="00667722"/>
    <w:rsid w:val="0069611D"/>
    <w:rsid w:val="0069799E"/>
    <w:rsid w:val="006B65D3"/>
    <w:rsid w:val="006C2150"/>
    <w:rsid w:val="006C34B0"/>
    <w:rsid w:val="006C4B5F"/>
    <w:rsid w:val="006D370A"/>
    <w:rsid w:val="006D7280"/>
    <w:rsid w:val="006E2D31"/>
    <w:rsid w:val="006F08BC"/>
    <w:rsid w:val="00703E1A"/>
    <w:rsid w:val="0071493C"/>
    <w:rsid w:val="00720413"/>
    <w:rsid w:val="00721D16"/>
    <w:rsid w:val="00727B3C"/>
    <w:rsid w:val="00737E1A"/>
    <w:rsid w:val="0074155C"/>
    <w:rsid w:val="00753FBA"/>
    <w:rsid w:val="00756C24"/>
    <w:rsid w:val="007607A8"/>
    <w:rsid w:val="007749DD"/>
    <w:rsid w:val="00775366"/>
    <w:rsid w:val="00776026"/>
    <w:rsid w:val="007915B4"/>
    <w:rsid w:val="007943F4"/>
    <w:rsid w:val="007A4CBC"/>
    <w:rsid w:val="007B3D61"/>
    <w:rsid w:val="007C57D3"/>
    <w:rsid w:val="007C76C4"/>
    <w:rsid w:val="007D4D1A"/>
    <w:rsid w:val="007D53B8"/>
    <w:rsid w:val="007E2689"/>
    <w:rsid w:val="007E6498"/>
    <w:rsid w:val="007F187A"/>
    <w:rsid w:val="007F255A"/>
    <w:rsid w:val="007F4725"/>
    <w:rsid w:val="0080045F"/>
    <w:rsid w:val="00805FEB"/>
    <w:rsid w:val="00807537"/>
    <w:rsid w:val="00822961"/>
    <w:rsid w:val="00825EB0"/>
    <w:rsid w:val="00827053"/>
    <w:rsid w:val="00835C6C"/>
    <w:rsid w:val="00837C33"/>
    <w:rsid w:val="00846896"/>
    <w:rsid w:val="0087167F"/>
    <w:rsid w:val="00881328"/>
    <w:rsid w:val="00895660"/>
    <w:rsid w:val="008967B4"/>
    <w:rsid w:val="008A343E"/>
    <w:rsid w:val="008B3426"/>
    <w:rsid w:val="008B6049"/>
    <w:rsid w:val="008D6DB6"/>
    <w:rsid w:val="008E5E14"/>
    <w:rsid w:val="008E6997"/>
    <w:rsid w:val="008F1DEB"/>
    <w:rsid w:val="009040F1"/>
    <w:rsid w:val="0091098A"/>
    <w:rsid w:val="00914BE4"/>
    <w:rsid w:val="00914CF4"/>
    <w:rsid w:val="00915760"/>
    <w:rsid w:val="00927C2A"/>
    <w:rsid w:val="00930AED"/>
    <w:rsid w:val="00931E13"/>
    <w:rsid w:val="009709DC"/>
    <w:rsid w:val="00975308"/>
    <w:rsid w:val="009755D5"/>
    <w:rsid w:val="009952EC"/>
    <w:rsid w:val="009A7161"/>
    <w:rsid w:val="009B2AC8"/>
    <w:rsid w:val="009D0916"/>
    <w:rsid w:val="009D35E3"/>
    <w:rsid w:val="009E7100"/>
    <w:rsid w:val="009F31DB"/>
    <w:rsid w:val="009F3D12"/>
    <w:rsid w:val="009F41BB"/>
    <w:rsid w:val="00A04863"/>
    <w:rsid w:val="00A126BB"/>
    <w:rsid w:val="00A14C9B"/>
    <w:rsid w:val="00A221E6"/>
    <w:rsid w:val="00A244FC"/>
    <w:rsid w:val="00A35C86"/>
    <w:rsid w:val="00A44ADC"/>
    <w:rsid w:val="00A54179"/>
    <w:rsid w:val="00A55021"/>
    <w:rsid w:val="00A63DDE"/>
    <w:rsid w:val="00A63E97"/>
    <w:rsid w:val="00A65FA9"/>
    <w:rsid w:val="00A84663"/>
    <w:rsid w:val="00A860BB"/>
    <w:rsid w:val="00A8691A"/>
    <w:rsid w:val="00A900B0"/>
    <w:rsid w:val="00A92380"/>
    <w:rsid w:val="00AA037A"/>
    <w:rsid w:val="00AB73D2"/>
    <w:rsid w:val="00AC3B6F"/>
    <w:rsid w:val="00AC4ABE"/>
    <w:rsid w:val="00AC70CB"/>
    <w:rsid w:val="00AF4DC8"/>
    <w:rsid w:val="00B05005"/>
    <w:rsid w:val="00B11784"/>
    <w:rsid w:val="00B21FE2"/>
    <w:rsid w:val="00B278B8"/>
    <w:rsid w:val="00B377AB"/>
    <w:rsid w:val="00B50C53"/>
    <w:rsid w:val="00B52ADB"/>
    <w:rsid w:val="00B62099"/>
    <w:rsid w:val="00B62E4D"/>
    <w:rsid w:val="00B65277"/>
    <w:rsid w:val="00B727C9"/>
    <w:rsid w:val="00B8754C"/>
    <w:rsid w:val="00B950A7"/>
    <w:rsid w:val="00B95D5B"/>
    <w:rsid w:val="00BA1D8A"/>
    <w:rsid w:val="00BB1CC8"/>
    <w:rsid w:val="00BC6A7B"/>
    <w:rsid w:val="00BD06A6"/>
    <w:rsid w:val="00BD0D70"/>
    <w:rsid w:val="00BE239C"/>
    <w:rsid w:val="00BE7179"/>
    <w:rsid w:val="00C01147"/>
    <w:rsid w:val="00C0534E"/>
    <w:rsid w:val="00C07A00"/>
    <w:rsid w:val="00C2782C"/>
    <w:rsid w:val="00C31A0E"/>
    <w:rsid w:val="00C332F6"/>
    <w:rsid w:val="00C459C2"/>
    <w:rsid w:val="00C47253"/>
    <w:rsid w:val="00C504BA"/>
    <w:rsid w:val="00C50D4E"/>
    <w:rsid w:val="00C558C0"/>
    <w:rsid w:val="00C55BA1"/>
    <w:rsid w:val="00C5659B"/>
    <w:rsid w:val="00C6415D"/>
    <w:rsid w:val="00C750B9"/>
    <w:rsid w:val="00C75847"/>
    <w:rsid w:val="00C9531C"/>
    <w:rsid w:val="00CA0BEC"/>
    <w:rsid w:val="00CA0FB3"/>
    <w:rsid w:val="00CA18B4"/>
    <w:rsid w:val="00CA3F43"/>
    <w:rsid w:val="00CA640C"/>
    <w:rsid w:val="00CB1A7B"/>
    <w:rsid w:val="00CB1EB4"/>
    <w:rsid w:val="00CC21DA"/>
    <w:rsid w:val="00CC62E0"/>
    <w:rsid w:val="00CE299F"/>
    <w:rsid w:val="00CE3A13"/>
    <w:rsid w:val="00CE5EB7"/>
    <w:rsid w:val="00CE6814"/>
    <w:rsid w:val="00CF7192"/>
    <w:rsid w:val="00CF7FF4"/>
    <w:rsid w:val="00D046D9"/>
    <w:rsid w:val="00D05895"/>
    <w:rsid w:val="00D13850"/>
    <w:rsid w:val="00D32AC5"/>
    <w:rsid w:val="00D64CF7"/>
    <w:rsid w:val="00D72EA8"/>
    <w:rsid w:val="00D743D4"/>
    <w:rsid w:val="00D74AEA"/>
    <w:rsid w:val="00D74B64"/>
    <w:rsid w:val="00D77606"/>
    <w:rsid w:val="00D8600A"/>
    <w:rsid w:val="00D93B75"/>
    <w:rsid w:val="00D95FC4"/>
    <w:rsid w:val="00DC4F69"/>
    <w:rsid w:val="00DC5AC9"/>
    <w:rsid w:val="00DD2914"/>
    <w:rsid w:val="00DE7CC0"/>
    <w:rsid w:val="00E01CA2"/>
    <w:rsid w:val="00E050A2"/>
    <w:rsid w:val="00E12983"/>
    <w:rsid w:val="00E12A27"/>
    <w:rsid w:val="00E14A4A"/>
    <w:rsid w:val="00E150C4"/>
    <w:rsid w:val="00E36269"/>
    <w:rsid w:val="00E40158"/>
    <w:rsid w:val="00E46191"/>
    <w:rsid w:val="00E47618"/>
    <w:rsid w:val="00E57D8E"/>
    <w:rsid w:val="00E87BB2"/>
    <w:rsid w:val="00E91EA0"/>
    <w:rsid w:val="00EA5D33"/>
    <w:rsid w:val="00EA6646"/>
    <w:rsid w:val="00EA71F9"/>
    <w:rsid w:val="00EA7287"/>
    <w:rsid w:val="00EB65F9"/>
    <w:rsid w:val="00EC261A"/>
    <w:rsid w:val="00EC2773"/>
    <w:rsid w:val="00EC456C"/>
    <w:rsid w:val="00F00395"/>
    <w:rsid w:val="00F05893"/>
    <w:rsid w:val="00F11F01"/>
    <w:rsid w:val="00F22019"/>
    <w:rsid w:val="00F22ADB"/>
    <w:rsid w:val="00F27A62"/>
    <w:rsid w:val="00F34064"/>
    <w:rsid w:val="00F45DF3"/>
    <w:rsid w:val="00F56FC8"/>
    <w:rsid w:val="00F62253"/>
    <w:rsid w:val="00F705B3"/>
    <w:rsid w:val="00F75EF5"/>
    <w:rsid w:val="00F808B8"/>
    <w:rsid w:val="00F97BF4"/>
    <w:rsid w:val="00FA4F54"/>
    <w:rsid w:val="00FA5598"/>
    <w:rsid w:val="00FB1F31"/>
    <w:rsid w:val="00FB5CE1"/>
    <w:rsid w:val="00FC58D5"/>
    <w:rsid w:val="00FD2CC8"/>
    <w:rsid w:val="00FD6A9E"/>
    <w:rsid w:val="010158D6"/>
    <w:rsid w:val="010B4162"/>
    <w:rsid w:val="010C624C"/>
    <w:rsid w:val="010F7A73"/>
    <w:rsid w:val="01192C1F"/>
    <w:rsid w:val="013304EB"/>
    <w:rsid w:val="013637D1"/>
    <w:rsid w:val="013B2B96"/>
    <w:rsid w:val="016A7B06"/>
    <w:rsid w:val="017E34AF"/>
    <w:rsid w:val="01800398"/>
    <w:rsid w:val="01816391"/>
    <w:rsid w:val="018E0C32"/>
    <w:rsid w:val="019D55FE"/>
    <w:rsid w:val="01A64C3F"/>
    <w:rsid w:val="01A7105E"/>
    <w:rsid w:val="01B12E58"/>
    <w:rsid w:val="01B20015"/>
    <w:rsid w:val="01B36BD0"/>
    <w:rsid w:val="01B82438"/>
    <w:rsid w:val="01E943A0"/>
    <w:rsid w:val="01EB45BC"/>
    <w:rsid w:val="01F609A9"/>
    <w:rsid w:val="01F9035B"/>
    <w:rsid w:val="02283016"/>
    <w:rsid w:val="02361513"/>
    <w:rsid w:val="023615AF"/>
    <w:rsid w:val="023C4E17"/>
    <w:rsid w:val="02555ED9"/>
    <w:rsid w:val="025E4698"/>
    <w:rsid w:val="026779BA"/>
    <w:rsid w:val="026A5E14"/>
    <w:rsid w:val="026E2AF7"/>
    <w:rsid w:val="027018DE"/>
    <w:rsid w:val="027520D7"/>
    <w:rsid w:val="02855E9C"/>
    <w:rsid w:val="028B17D6"/>
    <w:rsid w:val="029600E7"/>
    <w:rsid w:val="029C3B08"/>
    <w:rsid w:val="02A544AC"/>
    <w:rsid w:val="02AE2989"/>
    <w:rsid w:val="02B0568A"/>
    <w:rsid w:val="02B17E86"/>
    <w:rsid w:val="02BD75DA"/>
    <w:rsid w:val="02C72207"/>
    <w:rsid w:val="02C80459"/>
    <w:rsid w:val="02CE0A54"/>
    <w:rsid w:val="02DC181A"/>
    <w:rsid w:val="02E01C47"/>
    <w:rsid w:val="02EB4148"/>
    <w:rsid w:val="02EE59E6"/>
    <w:rsid w:val="030E4811"/>
    <w:rsid w:val="033E696D"/>
    <w:rsid w:val="03522419"/>
    <w:rsid w:val="03557185"/>
    <w:rsid w:val="03590DAD"/>
    <w:rsid w:val="036A59B4"/>
    <w:rsid w:val="036A7762"/>
    <w:rsid w:val="0371088F"/>
    <w:rsid w:val="038D3451"/>
    <w:rsid w:val="03906A9D"/>
    <w:rsid w:val="03A34AF6"/>
    <w:rsid w:val="03A72A6A"/>
    <w:rsid w:val="03A82039"/>
    <w:rsid w:val="03C531FF"/>
    <w:rsid w:val="03C84489"/>
    <w:rsid w:val="03EC381E"/>
    <w:rsid w:val="03EE2141"/>
    <w:rsid w:val="040B68C0"/>
    <w:rsid w:val="04357D70"/>
    <w:rsid w:val="0454113D"/>
    <w:rsid w:val="04581CB1"/>
    <w:rsid w:val="04583A5F"/>
    <w:rsid w:val="047B4A99"/>
    <w:rsid w:val="047F3CB9"/>
    <w:rsid w:val="04860E14"/>
    <w:rsid w:val="04940161"/>
    <w:rsid w:val="049D5915"/>
    <w:rsid w:val="04A9250C"/>
    <w:rsid w:val="04AA6F8A"/>
    <w:rsid w:val="04B55716"/>
    <w:rsid w:val="04B907F2"/>
    <w:rsid w:val="04CE0953"/>
    <w:rsid w:val="04EC1239"/>
    <w:rsid w:val="050339CA"/>
    <w:rsid w:val="05050FB1"/>
    <w:rsid w:val="05145BD8"/>
    <w:rsid w:val="051A6F66"/>
    <w:rsid w:val="05212B27"/>
    <w:rsid w:val="0526590B"/>
    <w:rsid w:val="05290F57"/>
    <w:rsid w:val="05362FEB"/>
    <w:rsid w:val="054D502E"/>
    <w:rsid w:val="05551D4C"/>
    <w:rsid w:val="05573D16"/>
    <w:rsid w:val="05597EF0"/>
    <w:rsid w:val="05631B60"/>
    <w:rsid w:val="05645E6F"/>
    <w:rsid w:val="056A5A14"/>
    <w:rsid w:val="056B1570"/>
    <w:rsid w:val="056B77C2"/>
    <w:rsid w:val="056D353A"/>
    <w:rsid w:val="057C552B"/>
    <w:rsid w:val="05A52CD4"/>
    <w:rsid w:val="05B66C8F"/>
    <w:rsid w:val="05B747B5"/>
    <w:rsid w:val="05CD222A"/>
    <w:rsid w:val="05F96B7B"/>
    <w:rsid w:val="05FD2B10"/>
    <w:rsid w:val="06023C82"/>
    <w:rsid w:val="06060191"/>
    <w:rsid w:val="060E6ACB"/>
    <w:rsid w:val="061D25B1"/>
    <w:rsid w:val="06551F4C"/>
    <w:rsid w:val="06570D1B"/>
    <w:rsid w:val="06590B36"/>
    <w:rsid w:val="06736EC4"/>
    <w:rsid w:val="06782196"/>
    <w:rsid w:val="068B011B"/>
    <w:rsid w:val="068E00BE"/>
    <w:rsid w:val="068E19BA"/>
    <w:rsid w:val="06A51D7F"/>
    <w:rsid w:val="06A56A3C"/>
    <w:rsid w:val="06AB59AA"/>
    <w:rsid w:val="06BE6EC7"/>
    <w:rsid w:val="06C929F2"/>
    <w:rsid w:val="06D04DD8"/>
    <w:rsid w:val="06D51397"/>
    <w:rsid w:val="06DA075B"/>
    <w:rsid w:val="06FE0DA6"/>
    <w:rsid w:val="07043A2A"/>
    <w:rsid w:val="070A53AE"/>
    <w:rsid w:val="070D6D82"/>
    <w:rsid w:val="07126147"/>
    <w:rsid w:val="071A324D"/>
    <w:rsid w:val="07247686"/>
    <w:rsid w:val="072B545A"/>
    <w:rsid w:val="073B0D7B"/>
    <w:rsid w:val="073E53B7"/>
    <w:rsid w:val="07492BCD"/>
    <w:rsid w:val="07550A1B"/>
    <w:rsid w:val="075C1AB8"/>
    <w:rsid w:val="076A5F83"/>
    <w:rsid w:val="077010BF"/>
    <w:rsid w:val="07746E01"/>
    <w:rsid w:val="077B2508"/>
    <w:rsid w:val="07911761"/>
    <w:rsid w:val="07B022CE"/>
    <w:rsid w:val="07B47801"/>
    <w:rsid w:val="07BE1BFC"/>
    <w:rsid w:val="07D74BDE"/>
    <w:rsid w:val="07E04497"/>
    <w:rsid w:val="07EB590C"/>
    <w:rsid w:val="08071A24"/>
    <w:rsid w:val="0808579C"/>
    <w:rsid w:val="080A1514"/>
    <w:rsid w:val="080F6B2A"/>
    <w:rsid w:val="08337128"/>
    <w:rsid w:val="083921F2"/>
    <w:rsid w:val="083A40D3"/>
    <w:rsid w:val="0843241C"/>
    <w:rsid w:val="08460DF3"/>
    <w:rsid w:val="08503293"/>
    <w:rsid w:val="0854453D"/>
    <w:rsid w:val="085A5FF7"/>
    <w:rsid w:val="085A6175"/>
    <w:rsid w:val="0878022B"/>
    <w:rsid w:val="087E15BA"/>
    <w:rsid w:val="088D2C15"/>
    <w:rsid w:val="088F5575"/>
    <w:rsid w:val="089975F3"/>
    <w:rsid w:val="089E05B5"/>
    <w:rsid w:val="08A7755E"/>
    <w:rsid w:val="08CB39D1"/>
    <w:rsid w:val="08CE2541"/>
    <w:rsid w:val="08D613F6"/>
    <w:rsid w:val="08DB0AA7"/>
    <w:rsid w:val="09067F2D"/>
    <w:rsid w:val="090C4E18"/>
    <w:rsid w:val="09183B67"/>
    <w:rsid w:val="09206F6E"/>
    <w:rsid w:val="09273BB1"/>
    <w:rsid w:val="09282182"/>
    <w:rsid w:val="092E1232"/>
    <w:rsid w:val="09421D3D"/>
    <w:rsid w:val="09435467"/>
    <w:rsid w:val="09436A8B"/>
    <w:rsid w:val="0949606C"/>
    <w:rsid w:val="095E1B17"/>
    <w:rsid w:val="095F188F"/>
    <w:rsid w:val="096E5EC8"/>
    <w:rsid w:val="098841DF"/>
    <w:rsid w:val="099866AB"/>
    <w:rsid w:val="09A1734B"/>
    <w:rsid w:val="09A60DC8"/>
    <w:rsid w:val="09AB63DF"/>
    <w:rsid w:val="09B27835"/>
    <w:rsid w:val="09D264A7"/>
    <w:rsid w:val="09D90117"/>
    <w:rsid w:val="09DF1AA8"/>
    <w:rsid w:val="09EA20D0"/>
    <w:rsid w:val="09F26D9C"/>
    <w:rsid w:val="0A1151F2"/>
    <w:rsid w:val="0A1D552E"/>
    <w:rsid w:val="0A3A6D8B"/>
    <w:rsid w:val="0A3B19BB"/>
    <w:rsid w:val="0A3B3C06"/>
    <w:rsid w:val="0A4B265A"/>
    <w:rsid w:val="0A6749FB"/>
    <w:rsid w:val="0A6842D0"/>
    <w:rsid w:val="0A753BCD"/>
    <w:rsid w:val="0A79472F"/>
    <w:rsid w:val="0A88590B"/>
    <w:rsid w:val="0A8A2498"/>
    <w:rsid w:val="0A982E07"/>
    <w:rsid w:val="0AA5395E"/>
    <w:rsid w:val="0AA96DC2"/>
    <w:rsid w:val="0AE56520"/>
    <w:rsid w:val="0AFC1E5E"/>
    <w:rsid w:val="0B0509A6"/>
    <w:rsid w:val="0B0755F7"/>
    <w:rsid w:val="0B297F03"/>
    <w:rsid w:val="0B315A61"/>
    <w:rsid w:val="0B462863"/>
    <w:rsid w:val="0B5A7049"/>
    <w:rsid w:val="0B671121"/>
    <w:rsid w:val="0B6C7DF0"/>
    <w:rsid w:val="0B790C6E"/>
    <w:rsid w:val="0B7C13D0"/>
    <w:rsid w:val="0B966BBB"/>
    <w:rsid w:val="0B9E7886"/>
    <w:rsid w:val="0BBD429F"/>
    <w:rsid w:val="0BD7170D"/>
    <w:rsid w:val="0BD75BB1"/>
    <w:rsid w:val="0BE61950"/>
    <w:rsid w:val="0BE856C8"/>
    <w:rsid w:val="0BF10133"/>
    <w:rsid w:val="0BF47FB3"/>
    <w:rsid w:val="0BF8532D"/>
    <w:rsid w:val="0BFC5617"/>
    <w:rsid w:val="0BFF2A12"/>
    <w:rsid w:val="0C012C2E"/>
    <w:rsid w:val="0C067638"/>
    <w:rsid w:val="0C122745"/>
    <w:rsid w:val="0C1948E3"/>
    <w:rsid w:val="0C1C1816"/>
    <w:rsid w:val="0C284179"/>
    <w:rsid w:val="0C330C9F"/>
    <w:rsid w:val="0C4072B2"/>
    <w:rsid w:val="0C4A1EDF"/>
    <w:rsid w:val="0C624352"/>
    <w:rsid w:val="0C6C00A7"/>
    <w:rsid w:val="0C6F5DE9"/>
    <w:rsid w:val="0C721779"/>
    <w:rsid w:val="0C74328C"/>
    <w:rsid w:val="0C796C68"/>
    <w:rsid w:val="0C7C5CF7"/>
    <w:rsid w:val="0C825B1D"/>
    <w:rsid w:val="0C967428"/>
    <w:rsid w:val="0C9D7527"/>
    <w:rsid w:val="0CA75583"/>
    <w:rsid w:val="0CB70ECC"/>
    <w:rsid w:val="0CC9374C"/>
    <w:rsid w:val="0CCF0636"/>
    <w:rsid w:val="0CD43E9E"/>
    <w:rsid w:val="0D1150F2"/>
    <w:rsid w:val="0D145236"/>
    <w:rsid w:val="0D187607"/>
    <w:rsid w:val="0D197B03"/>
    <w:rsid w:val="0D3120EE"/>
    <w:rsid w:val="0D3F756A"/>
    <w:rsid w:val="0D444E00"/>
    <w:rsid w:val="0D4728C2"/>
    <w:rsid w:val="0D58062B"/>
    <w:rsid w:val="0D5D4CBE"/>
    <w:rsid w:val="0D6B4A79"/>
    <w:rsid w:val="0D701E19"/>
    <w:rsid w:val="0D874FF2"/>
    <w:rsid w:val="0D887498"/>
    <w:rsid w:val="0D933D59"/>
    <w:rsid w:val="0DA41F3F"/>
    <w:rsid w:val="0DB53CD0"/>
    <w:rsid w:val="0DD57ECE"/>
    <w:rsid w:val="0DEB5944"/>
    <w:rsid w:val="0E042561"/>
    <w:rsid w:val="0E16243F"/>
    <w:rsid w:val="0E1A3B33"/>
    <w:rsid w:val="0E211365"/>
    <w:rsid w:val="0E232FCF"/>
    <w:rsid w:val="0E366818"/>
    <w:rsid w:val="0E372937"/>
    <w:rsid w:val="0E4A564D"/>
    <w:rsid w:val="0E4D75F0"/>
    <w:rsid w:val="0E5B0E35"/>
    <w:rsid w:val="0E5E7EC3"/>
    <w:rsid w:val="0E6322C8"/>
    <w:rsid w:val="0E6B438E"/>
    <w:rsid w:val="0E6C3E8B"/>
    <w:rsid w:val="0E7A6682"/>
    <w:rsid w:val="0E7B4CD2"/>
    <w:rsid w:val="0E833DCE"/>
    <w:rsid w:val="0E8C4A31"/>
    <w:rsid w:val="0EC95C85"/>
    <w:rsid w:val="0ECF491D"/>
    <w:rsid w:val="0ED85EC8"/>
    <w:rsid w:val="0F022F45"/>
    <w:rsid w:val="0F064CBD"/>
    <w:rsid w:val="0F1862C4"/>
    <w:rsid w:val="0F1B7B63"/>
    <w:rsid w:val="0F384BB8"/>
    <w:rsid w:val="0F4A5329"/>
    <w:rsid w:val="0F600B0B"/>
    <w:rsid w:val="0F6529EE"/>
    <w:rsid w:val="0F6C03BE"/>
    <w:rsid w:val="0F7572E0"/>
    <w:rsid w:val="0F784FB5"/>
    <w:rsid w:val="0F917E25"/>
    <w:rsid w:val="0FAE6C29"/>
    <w:rsid w:val="0FB8535D"/>
    <w:rsid w:val="0FBD6E6C"/>
    <w:rsid w:val="0FBF4992"/>
    <w:rsid w:val="0FC25C6E"/>
    <w:rsid w:val="0FCA4F92"/>
    <w:rsid w:val="0FD04DF1"/>
    <w:rsid w:val="0FD63C58"/>
    <w:rsid w:val="0FD9426E"/>
    <w:rsid w:val="0FDD306A"/>
    <w:rsid w:val="0FF314D7"/>
    <w:rsid w:val="0FFA1E6E"/>
    <w:rsid w:val="0FFF32A2"/>
    <w:rsid w:val="100106CE"/>
    <w:rsid w:val="10196798"/>
    <w:rsid w:val="101F782A"/>
    <w:rsid w:val="10255641"/>
    <w:rsid w:val="10257A2B"/>
    <w:rsid w:val="10277DDC"/>
    <w:rsid w:val="102B2027"/>
    <w:rsid w:val="10352EA6"/>
    <w:rsid w:val="103709CC"/>
    <w:rsid w:val="104A4BA3"/>
    <w:rsid w:val="10501A8E"/>
    <w:rsid w:val="10507EB4"/>
    <w:rsid w:val="105B0B5E"/>
    <w:rsid w:val="105D6CBF"/>
    <w:rsid w:val="10792762"/>
    <w:rsid w:val="10896498"/>
    <w:rsid w:val="108D651D"/>
    <w:rsid w:val="10A57518"/>
    <w:rsid w:val="10C758F9"/>
    <w:rsid w:val="10D817B9"/>
    <w:rsid w:val="10E50428"/>
    <w:rsid w:val="10E5421D"/>
    <w:rsid w:val="10EF574B"/>
    <w:rsid w:val="10F820CF"/>
    <w:rsid w:val="1122563D"/>
    <w:rsid w:val="112819F0"/>
    <w:rsid w:val="11296D50"/>
    <w:rsid w:val="114161BC"/>
    <w:rsid w:val="11421435"/>
    <w:rsid w:val="1143454A"/>
    <w:rsid w:val="1145536B"/>
    <w:rsid w:val="11544F10"/>
    <w:rsid w:val="11691059"/>
    <w:rsid w:val="11697C36"/>
    <w:rsid w:val="116E48C1"/>
    <w:rsid w:val="11707B66"/>
    <w:rsid w:val="118A115F"/>
    <w:rsid w:val="119105B0"/>
    <w:rsid w:val="11A6620F"/>
    <w:rsid w:val="11A77DD3"/>
    <w:rsid w:val="11AC27E9"/>
    <w:rsid w:val="11B12A00"/>
    <w:rsid w:val="11B501CC"/>
    <w:rsid w:val="11CC3396"/>
    <w:rsid w:val="11D30BC8"/>
    <w:rsid w:val="11E46932"/>
    <w:rsid w:val="11FA7F03"/>
    <w:rsid w:val="12170AB5"/>
    <w:rsid w:val="122612F3"/>
    <w:rsid w:val="12306E66"/>
    <w:rsid w:val="12807CE9"/>
    <w:rsid w:val="12941FCB"/>
    <w:rsid w:val="129E0C5B"/>
    <w:rsid w:val="12A11044"/>
    <w:rsid w:val="12A91312"/>
    <w:rsid w:val="12C14EC5"/>
    <w:rsid w:val="12C47A87"/>
    <w:rsid w:val="12D53398"/>
    <w:rsid w:val="12E52961"/>
    <w:rsid w:val="12E90A6C"/>
    <w:rsid w:val="12EA61CA"/>
    <w:rsid w:val="12EF558E"/>
    <w:rsid w:val="12F31522"/>
    <w:rsid w:val="12F44481"/>
    <w:rsid w:val="12FE1C75"/>
    <w:rsid w:val="13063A48"/>
    <w:rsid w:val="13076D7C"/>
    <w:rsid w:val="130F5C30"/>
    <w:rsid w:val="131947E1"/>
    <w:rsid w:val="131C54BC"/>
    <w:rsid w:val="131F0B12"/>
    <w:rsid w:val="1323348A"/>
    <w:rsid w:val="132A4818"/>
    <w:rsid w:val="133161F5"/>
    <w:rsid w:val="133B4C77"/>
    <w:rsid w:val="133B6A25"/>
    <w:rsid w:val="13503A4F"/>
    <w:rsid w:val="13547AE7"/>
    <w:rsid w:val="1360648C"/>
    <w:rsid w:val="13710699"/>
    <w:rsid w:val="137B5D64"/>
    <w:rsid w:val="13924B5B"/>
    <w:rsid w:val="13A13BD1"/>
    <w:rsid w:val="13A20852"/>
    <w:rsid w:val="13A26AA4"/>
    <w:rsid w:val="13A46379"/>
    <w:rsid w:val="13B4191C"/>
    <w:rsid w:val="13C52C06"/>
    <w:rsid w:val="13C91B67"/>
    <w:rsid w:val="13CF24C3"/>
    <w:rsid w:val="13D9526C"/>
    <w:rsid w:val="13E62E35"/>
    <w:rsid w:val="13E76BAD"/>
    <w:rsid w:val="13EB70F4"/>
    <w:rsid w:val="13EE1CEA"/>
    <w:rsid w:val="13F13588"/>
    <w:rsid w:val="14001D49"/>
    <w:rsid w:val="140E7C96"/>
    <w:rsid w:val="141A2ADF"/>
    <w:rsid w:val="14254242"/>
    <w:rsid w:val="1430752E"/>
    <w:rsid w:val="145F4480"/>
    <w:rsid w:val="14733F9D"/>
    <w:rsid w:val="14832157"/>
    <w:rsid w:val="149F4D92"/>
    <w:rsid w:val="14B20F69"/>
    <w:rsid w:val="14D42C8D"/>
    <w:rsid w:val="15082937"/>
    <w:rsid w:val="151A077B"/>
    <w:rsid w:val="15233C15"/>
    <w:rsid w:val="153B4ABB"/>
    <w:rsid w:val="153E0A4F"/>
    <w:rsid w:val="153E45AB"/>
    <w:rsid w:val="15552FD3"/>
    <w:rsid w:val="155B0F02"/>
    <w:rsid w:val="155B5C98"/>
    <w:rsid w:val="156C286A"/>
    <w:rsid w:val="157B3263"/>
    <w:rsid w:val="15883A78"/>
    <w:rsid w:val="15C342CB"/>
    <w:rsid w:val="15C947BC"/>
    <w:rsid w:val="15DB004C"/>
    <w:rsid w:val="15DB629E"/>
    <w:rsid w:val="15EB4733"/>
    <w:rsid w:val="15ED2535"/>
    <w:rsid w:val="15EE5FD1"/>
    <w:rsid w:val="160027D6"/>
    <w:rsid w:val="160752E5"/>
    <w:rsid w:val="1609105D"/>
    <w:rsid w:val="160A1EFE"/>
    <w:rsid w:val="16117B4B"/>
    <w:rsid w:val="161672D6"/>
    <w:rsid w:val="1617669E"/>
    <w:rsid w:val="161D0664"/>
    <w:rsid w:val="16247C45"/>
    <w:rsid w:val="163A1216"/>
    <w:rsid w:val="1652069B"/>
    <w:rsid w:val="1656764B"/>
    <w:rsid w:val="16640041"/>
    <w:rsid w:val="166B13D0"/>
    <w:rsid w:val="168B7CC4"/>
    <w:rsid w:val="168D57EA"/>
    <w:rsid w:val="16904AA9"/>
    <w:rsid w:val="16963635"/>
    <w:rsid w:val="16B26FFE"/>
    <w:rsid w:val="16C84A74"/>
    <w:rsid w:val="16D14C77"/>
    <w:rsid w:val="16DC051F"/>
    <w:rsid w:val="16E6314C"/>
    <w:rsid w:val="16F47617"/>
    <w:rsid w:val="16FA00A9"/>
    <w:rsid w:val="170B22E0"/>
    <w:rsid w:val="170B383D"/>
    <w:rsid w:val="171001C9"/>
    <w:rsid w:val="17155675"/>
    <w:rsid w:val="171D3AD0"/>
    <w:rsid w:val="1734261B"/>
    <w:rsid w:val="17377504"/>
    <w:rsid w:val="174A5489"/>
    <w:rsid w:val="17687AE3"/>
    <w:rsid w:val="17852DCA"/>
    <w:rsid w:val="178564C1"/>
    <w:rsid w:val="178F10EE"/>
    <w:rsid w:val="179C2A20"/>
    <w:rsid w:val="17A15FC8"/>
    <w:rsid w:val="17A202AE"/>
    <w:rsid w:val="17C72AC0"/>
    <w:rsid w:val="17D522EF"/>
    <w:rsid w:val="17E07C29"/>
    <w:rsid w:val="17E12ABA"/>
    <w:rsid w:val="17EC6540"/>
    <w:rsid w:val="17F87BC4"/>
    <w:rsid w:val="17FB5138"/>
    <w:rsid w:val="17FF6273"/>
    <w:rsid w:val="1816671D"/>
    <w:rsid w:val="18193F15"/>
    <w:rsid w:val="182905D8"/>
    <w:rsid w:val="18294323"/>
    <w:rsid w:val="183814C7"/>
    <w:rsid w:val="183E5B94"/>
    <w:rsid w:val="18567E5D"/>
    <w:rsid w:val="185C4CC7"/>
    <w:rsid w:val="18756535"/>
    <w:rsid w:val="188B3FAB"/>
    <w:rsid w:val="189037BE"/>
    <w:rsid w:val="18AE7C99"/>
    <w:rsid w:val="18CB084B"/>
    <w:rsid w:val="18DF60A5"/>
    <w:rsid w:val="18EB7FC3"/>
    <w:rsid w:val="18F03E0E"/>
    <w:rsid w:val="19175430"/>
    <w:rsid w:val="192533E2"/>
    <w:rsid w:val="19341F4D"/>
    <w:rsid w:val="193C2818"/>
    <w:rsid w:val="194249FC"/>
    <w:rsid w:val="19445F08"/>
    <w:rsid w:val="19550115"/>
    <w:rsid w:val="195645B9"/>
    <w:rsid w:val="195B1BCF"/>
    <w:rsid w:val="19600F94"/>
    <w:rsid w:val="197B7B7C"/>
    <w:rsid w:val="19863982"/>
    <w:rsid w:val="19967D25"/>
    <w:rsid w:val="199B5E6B"/>
    <w:rsid w:val="199C7AF2"/>
    <w:rsid w:val="19A132C1"/>
    <w:rsid w:val="19A75389"/>
    <w:rsid w:val="19A846E9"/>
    <w:rsid w:val="19C07C84"/>
    <w:rsid w:val="19C76B5D"/>
    <w:rsid w:val="19D61256"/>
    <w:rsid w:val="19E11EFF"/>
    <w:rsid w:val="19E716B5"/>
    <w:rsid w:val="19F03933"/>
    <w:rsid w:val="19FA3038"/>
    <w:rsid w:val="1A023DF9"/>
    <w:rsid w:val="1A045888"/>
    <w:rsid w:val="1A0C2EC9"/>
    <w:rsid w:val="1A165AF6"/>
    <w:rsid w:val="1A2E4BEE"/>
    <w:rsid w:val="1A310B82"/>
    <w:rsid w:val="1A33331F"/>
    <w:rsid w:val="1A347E68"/>
    <w:rsid w:val="1A415758"/>
    <w:rsid w:val="1A451456"/>
    <w:rsid w:val="1A4B12F7"/>
    <w:rsid w:val="1A5D54D3"/>
    <w:rsid w:val="1A613215"/>
    <w:rsid w:val="1A626F8D"/>
    <w:rsid w:val="1A64229A"/>
    <w:rsid w:val="1A646862"/>
    <w:rsid w:val="1A664B25"/>
    <w:rsid w:val="1A7016AA"/>
    <w:rsid w:val="1A7040FE"/>
    <w:rsid w:val="1A831108"/>
    <w:rsid w:val="1A89451A"/>
    <w:rsid w:val="1A937147"/>
    <w:rsid w:val="1AA05464"/>
    <w:rsid w:val="1AB01AA7"/>
    <w:rsid w:val="1AB26EDF"/>
    <w:rsid w:val="1ABA2925"/>
    <w:rsid w:val="1AC13CB4"/>
    <w:rsid w:val="1AD5150D"/>
    <w:rsid w:val="1AE2762A"/>
    <w:rsid w:val="1AF35E37"/>
    <w:rsid w:val="1AF459C8"/>
    <w:rsid w:val="1B0D0CA7"/>
    <w:rsid w:val="1B3721C8"/>
    <w:rsid w:val="1B373DA0"/>
    <w:rsid w:val="1B46240B"/>
    <w:rsid w:val="1B486183"/>
    <w:rsid w:val="1B526925"/>
    <w:rsid w:val="1B5A1A13"/>
    <w:rsid w:val="1B5C1C2F"/>
    <w:rsid w:val="1B60171F"/>
    <w:rsid w:val="1B6600DC"/>
    <w:rsid w:val="1B6C00C4"/>
    <w:rsid w:val="1B6D5BEA"/>
    <w:rsid w:val="1B740D26"/>
    <w:rsid w:val="1B896F5A"/>
    <w:rsid w:val="1B897CBA"/>
    <w:rsid w:val="1BA80D15"/>
    <w:rsid w:val="1BB554BE"/>
    <w:rsid w:val="1BBB0703"/>
    <w:rsid w:val="1BBC447B"/>
    <w:rsid w:val="1BC174D0"/>
    <w:rsid w:val="1BDA7F5F"/>
    <w:rsid w:val="1BDC42F7"/>
    <w:rsid w:val="1BE340FE"/>
    <w:rsid w:val="1BE836C0"/>
    <w:rsid w:val="1BF105C9"/>
    <w:rsid w:val="1BF12377"/>
    <w:rsid w:val="1BFD436D"/>
    <w:rsid w:val="1C250273"/>
    <w:rsid w:val="1C3D55BC"/>
    <w:rsid w:val="1C6537BF"/>
    <w:rsid w:val="1C886DFA"/>
    <w:rsid w:val="1C9378D2"/>
    <w:rsid w:val="1CCD05B1"/>
    <w:rsid w:val="1CD777BF"/>
    <w:rsid w:val="1CEC25FE"/>
    <w:rsid w:val="1CF30371"/>
    <w:rsid w:val="1CF47476"/>
    <w:rsid w:val="1CFA5816"/>
    <w:rsid w:val="1D022362"/>
    <w:rsid w:val="1D047E88"/>
    <w:rsid w:val="1D12680E"/>
    <w:rsid w:val="1D1D0F4A"/>
    <w:rsid w:val="1D2A336D"/>
    <w:rsid w:val="1D507571"/>
    <w:rsid w:val="1D65654A"/>
    <w:rsid w:val="1D876EA6"/>
    <w:rsid w:val="1D882867"/>
    <w:rsid w:val="1D8D2573"/>
    <w:rsid w:val="1D9E208B"/>
    <w:rsid w:val="1DA90758"/>
    <w:rsid w:val="1DAE4F9B"/>
    <w:rsid w:val="1DB61906"/>
    <w:rsid w:val="1DC615E1"/>
    <w:rsid w:val="1DC97F7E"/>
    <w:rsid w:val="1DCB4AB7"/>
    <w:rsid w:val="1DE008F5"/>
    <w:rsid w:val="1DE849B8"/>
    <w:rsid w:val="1DEA7DBD"/>
    <w:rsid w:val="1DEC63A3"/>
    <w:rsid w:val="1DF03842"/>
    <w:rsid w:val="1DFB128B"/>
    <w:rsid w:val="1E0270FC"/>
    <w:rsid w:val="1E1B2E6D"/>
    <w:rsid w:val="1E1E766F"/>
    <w:rsid w:val="1E3226A0"/>
    <w:rsid w:val="1E3306EC"/>
    <w:rsid w:val="1E347DB0"/>
    <w:rsid w:val="1E3B1FCF"/>
    <w:rsid w:val="1E3D3145"/>
    <w:rsid w:val="1E3F3FDA"/>
    <w:rsid w:val="1E6F1C79"/>
    <w:rsid w:val="1E803E86"/>
    <w:rsid w:val="1E8B471F"/>
    <w:rsid w:val="1E90231B"/>
    <w:rsid w:val="1EA15DE7"/>
    <w:rsid w:val="1EA40DF0"/>
    <w:rsid w:val="1EAA2106"/>
    <w:rsid w:val="1EBE630B"/>
    <w:rsid w:val="1EC21DA9"/>
    <w:rsid w:val="1EC71AB5"/>
    <w:rsid w:val="1ECE2E2B"/>
    <w:rsid w:val="1ED32208"/>
    <w:rsid w:val="1ED34A85"/>
    <w:rsid w:val="1ED85A70"/>
    <w:rsid w:val="1EDA3596"/>
    <w:rsid w:val="1EE31796"/>
    <w:rsid w:val="1EFA2F74"/>
    <w:rsid w:val="1F120F82"/>
    <w:rsid w:val="1F170835"/>
    <w:rsid w:val="1F182607"/>
    <w:rsid w:val="1F1F4A7D"/>
    <w:rsid w:val="1F2C0DEB"/>
    <w:rsid w:val="1F4B6242"/>
    <w:rsid w:val="1F5351BE"/>
    <w:rsid w:val="1F5A46D7"/>
    <w:rsid w:val="1F7616E2"/>
    <w:rsid w:val="1F7B091B"/>
    <w:rsid w:val="1F880C51"/>
    <w:rsid w:val="1F8F25D3"/>
    <w:rsid w:val="1F9B3173"/>
    <w:rsid w:val="1F9F005B"/>
    <w:rsid w:val="1FA50474"/>
    <w:rsid w:val="1FA83694"/>
    <w:rsid w:val="1FAF724F"/>
    <w:rsid w:val="1FB73B6E"/>
    <w:rsid w:val="1FBB33C8"/>
    <w:rsid w:val="1FC329A5"/>
    <w:rsid w:val="1FCF6E73"/>
    <w:rsid w:val="1FE46ED3"/>
    <w:rsid w:val="1FF429F4"/>
    <w:rsid w:val="20000DDB"/>
    <w:rsid w:val="20036F5A"/>
    <w:rsid w:val="200E0021"/>
    <w:rsid w:val="200F101E"/>
    <w:rsid w:val="2015000B"/>
    <w:rsid w:val="20164114"/>
    <w:rsid w:val="201A79C2"/>
    <w:rsid w:val="201F301E"/>
    <w:rsid w:val="202026BC"/>
    <w:rsid w:val="202D76F6"/>
    <w:rsid w:val="2039253E"/>
    <w:rsid w:val="204131A1"/>
    <w:rsid w:val="204C4020"/>
    <w:rsid w:val="204C7D96"/>
    <w:rsid w:val="20566C4C"/>
    <w:rsid w:val="2059498F"/>
    <w:rsid w:val="205A3413"/>
    <w:rsid w:val="20631369"/>
    <w:rsid w:val="206979A8"/>
    <w:rsid w:val="207E43F5"/>
    <w:rsid w:val="209A2E40"/>
    <w:rsid w:val="209B6D55"/>
    <w:rsid w:val="20A7394C"/>
    <w:rsid w:val="20B6593D"/>
    <w:rsid w:val="20C35E6F"/>
    <w:rsid w:val="20C777F2"/>
    <w:rsid w:val="20D13BE3"/>
    <w:rsid w:val="20DA5ACF"/>
    <w:rsid w:val="20F621DE"/>
    <w:rsid w:val="20F811B2"/>
    <w:rsid w:val="21197375"/>
    <w:rsid w:val="212136FE"/>
    <w:rsid w:val="21244694"/>
    <w:rsid w:val="212E1323"/>
    <w:rsid w:val="213571AA"/>
    <w:rsid w:val="213D605E"/>
    <w:rsid w:val="21425423"/>
    <w:rsid w:val="214313FC"/>
    <w:rsid w:val="21464F13"/>
    <w:rsid w:val="21494A03"/>
    <w:rsid w:val="215238B8"/>
    <w:rsid w:val="215E465C"/>
    <w:rsid w:val="216D6944"/>
    <w:rsid w:val="216E7E77"/>
    <w:rsid w:val="21894E00"/>
    <w:rsid w:val="21902632"/>
    <w:rsid w:val="21905925"/>
    <w:rsid w:val="21935C7E"/>
    <w:rsid w:val="21AB4C07"/>
    <w:rsid w:val="21AE5F93"/>
    <w:rsid w:val="21B41F35"/>
    <w:rsid w:val="21C347B6"/>
    <w:rsid w:val="21CB71C6"/>
    <w:rsid w:val="21CE6705"/>
    <w:rsid w:val="21D30068"/>
    <w:rsid w:val="21D42FD9"/>
    <w:rsid w:val="21DF4916"/>
    <w:rsid w:val="21E33EF2"/>
    <w:rsid w:val="21E36C06"/>
    <w:rsid w:val="21E64000"/>
    <w:rsid w:val="21EA165D"/>
    <w:rsid w:val="21ED199E"/>
    <w:rsid w:val="21F52495"/>
    <w:rsid w:val="21FC3824"/>
    <w:rsid w:val="22027DCB"/>
    <w:rsid w:val="22105521"/>
    <w:rsid w:val="221842F3"/>
    <w:rsid w:val="223E3E3C"/>
    <w:rsid w:val="22610986"/>
    <w:rsid w:val="22635651"/>
    <w:rsid w:val="22700491"/>
    <w:rsid w:val="22833F45"/>
    <w:rsid w:val="229F4AC7"/>
    <w:rsid w:val="22A76BD4"/>
    <w:rsid w:val="22BB36DF"/>
    <w:rsid w:val="22C32593"/>
    <w:rsid w:val="22DB2D94"/>
    <w:rsid w:val="22E6332D"/>
    <w:rsid w:val="22E76282"/>
    <w:rsid w:val="22EA6F8D"/>
    <w:rsid w:val="23024E6A"/>
    <w:rsid w:val="23052BAC"/>
    <w:rsid w:val="2318317B"/>
    <w:rsid w:val="232C0139"/>
    <w:rsid w:val="23420EA4"/>
    <w:rsid w:val="234B4A63"/>
    <w:rsid w:val="235356C5"/>
    <w:rsid w:val="23563407"/>
    <w:rsid w:val="236A0D5B"/>
    <w:rsid w:val="237613B4"/>
    <w:rsid w:val="23863B29"/>
    <w:rsid w:val="2398757C"/>
    <w:rsid w:val="239A777A"/>
    <w:rsid w:val="23A75A11"/>
    <w:rsid w:val="23B00D6A"/>
    <w:rsid w:val="23B85535"/>
    <w:rsid w:val="23C5012D"/>
    <w:rsid w:val="23E45AC0"/>
    <w:rsid w:val="23E97DD8"/>
    <w:rsid w:val="23ED1676"/>
    <w:rsid w:val="23F17D40"/>
    <w:rsid w:val="23F437C8"/>
    <w:rsid w:val="23F724F4"/>
    <w:rsid w:val="23FA0237"/>
    <w:rsid w:val="23FE1AD5"/>
    <w:rsid w:val="24084702"/>
    <w:rsid w:val="24092228"/>
    <w:rsid w:val="241305B1"/>
    <w:rsid w:val="241430A6"/>
    <w:rsid w:val="2422416A"/>
    <w:rsid w:val="24284DA4"/>
    <w:rsid w:val="242E77B4"/>
    <w:rsid w:val="24311EAA"/>
    <w:rsid w:val="24457704"/>
    <w:rsid w:val="24507ED4"/>
    <w:rsid w:val="24523354"/>
    <w:rsid w:val="246F66C2"/>
    <w:rsid w:val="247104F9"/>
    <w:rsid w:val="247C3E7E"/>
    <w:rsid w:val="247C428D"/>
    <w:rsid w:val="247E6772"/>
    <w:rsid w:val="247F1428"/>
    <w:rsid w:val="249D7540"/>
    <w:rsid w:val="24A408F0"/>
    <w:rsid w:val="24AF7273"/>
    <w:rsid w:val="24B83E5B"/>
    <w:rsid w:val="24BD373E"/>
    <w:rsid w:val="24C0322E"/>
    <w:rsid w:val="24C20D54"/>
    <w:rsid w:val="24C3687B"/>
    <w:rsid w:val="24CF45A0"/>
    <w:rsid w:val="24D10F97"/>
    <w:rsid w:val="24D67D44"/>
    <w:rsid w:val="24E24D34"/>
    <w:rsid w:val="24F133E8"/>
    <w:rsid w:val="24F92780"/>
    <w:rsid w:val="250255F5"/>
    <w:rsid w:val="250F1AC0"/>
    <w:rsid w:val="25102563"/>
    <w:rsid w:val="251F4259"/>
    <w:rsid w:val="252F06E9"/>
    <w:rsid w:val="25311A36"/>
    <w:rsid w:val="25662A37"/>
    <w:rsid w:val="256C6F12"/>
    <w:rsid w:val="25D0124F"/>
    <w:rsid w:val="25D80104"/>
    <w:rsid w:val="25E5572A"/>
    <w:rsid w:val="25F807A6"/>
    <w:rsid w:val="25FA322D"/>
    <w:rsid w:val="25FA451E"/>
    <w:rsid w:val="26316317"/>
    <w:rsid w:val="26341244"/>
    <w:rsid w:val="264C5410"/>
    <w:rsid w:val="267442D0"/>
    <w:rsid w:val="268918DF"/>
    <w:rsid w:val="26B91CE3"/>
    <w:rsid w:val="26BE47A1"/>
    <w:rsid w:val="26C62F6C"/>
    <w:rsid w:val="26C64400"/>
    <w:rsid w:val="26D20FF7"/>
    <w:rsid w:val="26D92385"/>
    <w:rsid w:val="26E81F04"/>
    <w:rsid w:val="26E86A6C"/>
    <w:rsid w:val="26FB22FC"/>
    <w:rsid w:val="26FD5CE4"/>
    <w:rsid w:val="26FF5B64"/>
    <w:rsid w:val="27005B64"/>
    <w:rsid w:val="270E3E7D"/>
    <w:rsid w:val="27174C5C"/>
    <w:rsid w:val="27221F7E"/>
    <w:rsid w:val="272334D0"/>
    <w:rsid w:val="27280FFD"/>
    <w:rsid w:val="272F01F7"/>
    <w:rsid w:val="27394282"/>
    <w:rsid w:val="274C0DA9"/>
    <w:rsid w:val="2760411D"/>
    <w:rsid w:val="27673E35"/>
    <w:rsid w:val="27787DF0"/>
    <w:rsid w:val="277F117F"/>
    <w:rsid w:val="278E5721"/>
    <w:rsid w:val="27946600"/>
    <w:rsid w:val="279B2BA4"/>
    <w:rsid w:val="27A41D5E"/>
    <w:rsid w:val="27B128EA"/>
    <w:rsid w:val="27D55529"/>
    <w:rsid w:val="27E44781"/>
    <w:rsid w:val="27E83399"/>
    <w:rsid w:val="27EF1E43"/>
    <w:rsid w:val="27F751B9"/>
    <w:rsid w:val="280451E0"/>
    <w:rsid w:val="2815563F"/>
    <w:rsid w:val="28213FE4"/>
    <w:rsid w:val="283F090E"/>
    <w:rsid w:val="284179A1"/>
    <w:rsid w:val="284424CF"/>
    <w:rsid w:val="284A72E4"/>
    <w:rsid w:val="28546167"/>
    <w:rsid w:val="2858552C"/>
    <w:rsid w:val="286839C1"/>
    <w:rsid w:val="287700A8"/>
    <w:rsid w:val="287C0465"/>
    <w:rsid w:val="28814A83"/>
    <w:rsid w:val="28862099"/>
    <w:rsid w:val="289724F8"/>
    <w:rsid w:val="289F630C"/>
    <w:rsid w:val="28A62150"/>
    <w:rsid w:val="28AA222B"/>
    <w:rsid w:val="28B766F6"/>
    <w:rsid w:val="28BE5CD7"/>
    <w:rsid w:val="28C03C9E"/>
    <w:rsid w:val="28C11323"/>
    <w:rsid w:val="28CD1A76"/>
    <w:rsid w:val="28CF44CD"/>
    <w:rsid w:val="28D52084"/>
    <w:rsid w:val="28DA4193"/>
    <w:rsid w:val="28E34CD6"/>
    <w:rsid w:val="28E61D96"/>
    <w:rsid w:val="28E62A78"/>
    <w:rsid w:val="28E901BB"/>
    <w:rsid w:val="28EC3A0D"/>
    <w:rsid w:val="2900477C"/>
    <w:rsid w:val="290742B7"/>
    <w:rsid w:val="29127850"/>
    <w:rsid w:val="294A30C6"/>
    <w:rsid w:val="294A756A"/>
    <w:rsid w:val="2967011C"/>
    <w:rsid w:val="29757B04"/>
    <w:rsid w:val="29824F56"/>
    <w:rsid w:val="29976977"/>
    <w:rsid w:val="299E3412"/>
    <w:rsid w:val="29A0362E"/>
    <w:rsid w:val="29CC7F7F"/>
    <w:rsid w:val="29CF2475"/>
    <w:rsid w:val="29D82DC8"/>
    <w:rsid w:val="29E11C7D"/>
    <w:rsid w:val="29EA6657"/>
    <w:rsid w:val="29F574D6"/>
    <w:rsid w:val="29FB107F"/>
    <w:rsid w:val="29FE0A7A"/>
    <w:rsid w:val="2A04596B"/>
    <w:rsid w:val="2A135BAE"/>
    <w:rsid w:val="2A1B2D8B"/>
    <w:rsid w:val="2A1D6A2D"/>
    <w:rsid w:val="2A1F3970"/>
    <w:rsid w:val="2A461AE0"/>
    <w:rsid w:val="2A481CFC"/>
    <w:rsid w:val="2A4E308A"/>
    <w:rsid w:val="2A5273AC"/>
    <w:rsid w:val="2A64640A"/>
    <w:rsid w:val="2A6B1F89"/>
    <w:rsid w:val="2A781EB5"/>
    <w:rsid w:val="2A790107"/>
    <w:rsid w:val="2A7A79DB"/>
    <w:rsid w:val="2A81520E"/>
    <w:rsid w:val="2A8B1BE9"/>
    <w:rsid w:val="2A92201E"/>
    <w:rsid w:val="2ABF1BD5"/>
    <w:rsid w:val="2AC11AAE"/>
    <w:rsid w:val="2ACD2201"/>
    <w:rsid w:val="2AD03A9F"/>
    <w:rsid w:val="2AD53F33"/>
    <w:rsid w:val="2AD948FE"/>
    <w:rsid w:val="2ADB491E"/>
    <w:rsid w:val="2AE13EFE"/>
    <w:rsid w:val="2B031AEC"/>
    <w:rsid w:val="2B0F5B99"/>
    <w:rsid w:val="2B1020EE"/>
    <w:rsid w:val="2B147E30"/>
    <w:rsid w:val="2B163BA8"/>
    <w:rsid w:val="2B2C517A"/>
    <w:rsid w:val="2B3A15A4"/>
    <w:rsid w:val="2B3E30FF"/>
    <w:rsid w:val="2B3E6C5B"/>
    <w:rsid w:val="2B6C05EC"/>
    <w:rsid w:val="2B7D59D5"/>
    <w:rsid w:val="2B8415FC"/>
    <w:rsid w:val="2B8C3E6A"/>
    <w:rsid w:val="2B990335"/>
    <w:rsid w:val="2BA0335B"/>
    <w:rsid w:val="2BA80578"/>
    <w:rsid w:val="2BAC1E16"/>
    <w:rsid w:val="2BB94533"/>
    <w:rsid w:val="2BD61589"/>
    <w:rsid w:val="2BDA4BD6"/>
    <w:rsid w:val="2BDD2852"/>
    <w:rsid w:val="2BEF7F55"/>
    <w:rsid w:val="2BF612E4"/>
    <w:rsid w:val="2C4626D1"/>
    <w:rsid w:val="2C55117B"/>
    <w:rsid w:val="2C610E53"/>
    <w:rsid w:val="2C7768C8"/>
    <w:rsid w:val="2C7E3B72"/>
    <w:rsid w:val="2C9805ED"/>
    <w:rsid w:val="2CBC252D"/>
    <w:rsid w:val="2CC118F2"/>
    <w:rsid w:val="2CE33BAF"/>
    <w:rsid w:val="2CF94162"/>
    <w:rsid w:val="2D052C06"/>
    <w:rsid w:val="2D2D51D9"/>
    <w:rsid w:val="2D306A77"/>
    <w:rsid w:val="2D340315"/>
    <w:rsid w:val="2D40315E"/>
    <w:rsid w:val="2D4C1B03"/>
    <w:rsid w:val="2D4D13D7"/>
    <w:rsid w:val="2D6B7AAF"/>
    <w:rsid w:val="2D735A67"/>
    <w:rsid w:val="2D7A5C41"/>
    <w:rsid w:val="2D7C3A6A"/>
    <w:rsid w:val="2D7E3C87"/>
    <w:rsid w:val="2D917516"/>
    <w:rsid w:val="2D960966"/>
    <w:rsid w:val="2DBF0527"/>
    <w:rsid w:val="2DCF1981"/>
    <w:rsid w:val="2DD33E96"/>
    <w:rsid w:val="2DD7188D"/>
    <w:rsid w:val="2DF301D1"/>
    <w:rsid w:val="2DF33D2D"/>
    <w:rsid w:val="2DF40E97"/>
    <w:rsid w:val="2DF67CC1"/>
    <w:rsid w:val="2E162111"/>
    <w:rsid w:val="2E292B69"/>
    <w:rsid w:val="2E33681F"/>
    <w:rsid w:val="2E38719D"/>
    <w:rsid w:val="2E3A5DFF"/>
    <w:rsid w:val="2E3C0A61"/>
    <w:rsid w:val="2E507EAA"/>
    <w:rsid w:val="2E627104"/>
    <w:rsid w:val="2E692241"/>
    <w:rsid w:val="2E7B10F3"/>
    <w:rsid w:val="2E8602A4"/>
    <w:rsid w:val="2E8E614B"/>
    <w:rsid w:val="2E9103CF"/>
    <w:rsid w:val="2EA414CB"/>
    <w:rsid w:val="2EB3170E"/>
    <w:rsid w:val="2EBF1112"/>
    <w:rsid w:val="2ECB6A58"/>
    <w:rsid w:val="2ED81174"/>
    <w:rsid w:val="2EEE0998"/>
    <w:rsid w:val="2EF35FAE"/>
    <w:rsid w:val="2EF835C5"/>
    <w:rsid w:val="2F021EC9"/>
    <w:rsid w:val="2F1C42CD"/>
    <w:rsid w:val="2F261EE0"/>
    <w:rsid w:val="2F285C58"/>
    <w:rsid w:val="2F300FB0"/>
    <w:rsid w:val="2F326168"/>
    <w:rsid w:val="2F4A2072"/>
    <w:rsid w:val="2F4B1ED6"/>
    <w:rsid w:val="2F506C87"/>
    <w:rsid w:val="2F634EE2"/>
    <w:rsid w:val="2F672A64"/>
    <w:rsid w:val="2F70426F"/>
    <w:rsid w:val="2F7C41F6"/>
    <w:rsid w:val="2F8034EF"/>
    <w:rsid w:val="2F807842"/>
    <w:rsid w:val="2F827A5E"/>
    <w:rsid w:val="2FCD67FF"/>
    <w:rsid w:val="2FDB0DBD"/>
    <w:rsid w:val="2FE04785"/>
    <w:rsid w:val="300A35B0"/>
    <w:rsid w:val="300E11AA"/>
    <w:rsid w:val="30161F54"/>
    <w:rsid w:val="301B57BD"/>
    <w:rsid w:val="30446FEB"/>
    <w:rsid w:val="305D2837"/>
    <w:rsid w:val="305F1B4D"/>
    <w:rsid w:val="306405FB"/>
    <w:rsid w:val="306674C1"/>
    <w:rsid w:val="306A074C"/>
    <w:rsid w:val="3075311F"/>
    <w:rsid w:val="308570DA"/>
    <w:rsid w:val="30986E0D"/>
    <w:rsid w:val="30B04157"/>
    <w:rsid w:val="30C145B6"/>
    <w:rsid w:val="30C6397A"/>
    <w:rsid w:val="30D342E9"/>
    <w:rsid w:val="30F1599D"/>
    <w:rsid w:val="30F1651D"/>
    <w:rsid w:val="310D77FB"/>
    <w:rsid w:val="311476DA"/>
    <w:rsid w:val="31161EAA"/>
    <w:rsid w:val="311A2A47"/>
    <w:rsid w:val="31201319"/>
    <w:rsid w:val="312406A1"/>
    <w:rsid w:val="312A638B"/>
    <w:rsid w:val="312B30CE"/>
    <w:rsid w:val="312F2FE3"/>
    <w:rsid w:val="31413108"/>
    <w:rsid w:val="3149069A"/>
    <w:rsid w:val="314913B6"/>
    <w:rsid w:val="314D7BF8"/>
    <w:rsid w:val="314F6C88"/>
    <w:rsid w:val="31604E72"/>
    <w:rsid w:val="3166233E"/>
    <w:rsid w:val="31853836"/>
    <w:rsid w:val="319200BD"/>
    <w:rsid w:val="319A122D"/>
    <w:rsid w:val="31A0241D"/>
    <w:rsid w:val="31A3048D"/>
    <w:rsid w:val="31A517E2"/>
    <w:rsid w:val="31A9272E"/>
    <w:rsid w:val="31C205E6"/>
    <w:rsid w:val="31C93A08"/>
    <w:rsid w:val="31D2037C"/>
    <w:rsid w:val="31E63BA8"/>
    <w:rsid w:val="31E87920"/>
    <w:rsid w:val="31ED04DC"/>
    <w:rsid w:val="31F75DB5"/>
    <w:rsid w:val="3206697D"/>
    <w:rsid w:val="322070BA"/>
    <w:rsid w:val="322A618B"/>
    <w:rsid w:val="322E7A29"/>
    <w:rsid w:val="32364B30"/>
    <w:rsid w:val="323A4620"/>
    <w:rsid w:val="324E3C27"/>
    <w:rsid w:val="325925CC"/>
    <w:rsid w:val="326C67A3"/>
    <w:rsid w:val="32715B68"/>
    <w:rsid w:val="327A57B8"/>
    <w:rsid w:val="327F0285"/>
    <w:rsid w:val="328C0BF4"/>
    <w:rsid w:val="328C29A2"/>
    <w:rsid w:val="32997C61"/>
    <w:rsid w:val="32A87BD7"/>
    <w:rsid w:val="32BA306B"/>
    <w:rsid w:val="32D14858"/>
    <w:rsid w:val="32D22AAA"/>
    <w:rsid w:val="32D87995"/>
    <w:rsid w:val="32DC7485"/>
    <w:rsid w:val="32DD31FD"/>
    <w:rsid w:val="32F33E9D"/>
    <w:rsid w:val="32F72511"/>
    <w:rsid w:val="32FC0959"/>
    <w:rsid w:val="33293D6A"/>
    <w:rsid w:val="332B5D17"/>
    <w:rsid w:val="332D011F"/>
    <w:rsid w:val="33354DE7"/>
    <w:rsid w:val="333B6A1D"/>
    <w:rsid w:val="333F7A14"/>
    <w:rsid w:val="334301D8"/>
    <w:rsid w:val="3348318D"/>
    <w:rsid w:val="33541711"/>
    <w:rsid w:val="33766786"/>
    <w:rsid w:val="3380392C"/>
    <w:rsid w:val="338B608A"/>
    <w:rsid w:val="33A61841"/>
    <w:rsid w:val="33B10912"/>
    <w:rsid w:val="33B757FC"/>
    <w:rsid w:val="33C30645"/>
    <w:rsid w:val="33CD3272"/>
    <w:rsid w:val="33D740F0"/>
    <w:rsid w:val="33EC7B9C"/>
    <w:rsid w:val="340410F9"/>
    <w:rsid w:val="340F388A"/>
    <w:rsid w:val="342E1F62"/>
    <w:rsid w:val="343743E7"/>
    <w:rsid w:val="34515C51"/>
    <w:rsid w:val="34627E6D"/>
    <w:rsid w:val="34655258"/>
    <w:rsid w:val="348E47AF"/>
    <w:rsid w:val="34951FE2"/>
    <w:rsid w:val="34B8000E"/>
    <w:rsid w:val="34B9399F"/>
    <w:rsid w:val="34B955A4"/>
    <w:rsid w:val="34D0330A"/>
    <w:rsid w:val="34D348B8"/>
    <w:rsid w:val="34E42621"/>
    <w:rsid w:val="34E63FFE"/>
    <w:rsid w:val="34E70B57"/>
    <w:rsid w:val="34EF1B3C"/>
    <w:rsid w:val="350B22A4"/>
    <w:rsid w:val="35223149"/>
    <w:rsid w:val="354B26A0"/>
    <w:rsid w:val="35632F26"/>
    <w:rsid w:val="35645510"/>
    <w:rsid w:val="358279F3"/>
    <w:rsid w:val="35956247"/>
    <w:rsid w:val="35971A38"/>
    <w:rsid w:val="359A0F99"/>
    <w:rsid w:val="35A46254"/>
    <w:rsid w:val="35AA386B"/>
    <w:rsid w:val="35B20971"/>
    <w:rsid w:val="35B24EFF"/>
    <w:rsid w:val="35BF6BEA"/>
    <w:rsid w:val="35D04A6C"/>
    <w:rsid w:val="35ED3757"/>
    <w:rsid w:val="35F965A0"/>
    <w:rsid w:val="360D5BA8"/>
    <w:rsid w:val="360F6BD4"/>
    <w:rsid w:val="36267D33"/>
    <w:rsid w:val="362C0724"/>
    <w:rsid w:val="363062CF"/>
    <w:rsid w:val="36316316"/>
    <w:rsid w:val="36317E62"/>
    <w:rsid w:val="36363350"/>
    <w:rsid w:val="363D46DF"/>
    <w:rsid w:val="363D7497"/>
    <w:rsid w:val="36466489"/>
    <w:rsid w:val="3651018A"/>
    <w:rsid w:val="36576C17"/>
    <w:rsid w:val="36754282"/>
    <w:rsid w:val="3676199F"/>
    <w:rsid w:val="36767BF1"/>
    <w:rsid w:val="36897924"/>
    <w:rsid w:val="3693036F"/>
    <w:rsid w:val="36A92CB4"/>
    <w:rsid w:val="36B34D88"/>
    <w:rsid w:val="36BD5820"/>
    <w:rsid w:val="36C50230"/>
    <w:rsid w:val="36D14E27"/>
    <w:rsid w:val="36DE12F2"/>
    <w:rsid w:val="36E96615"/>
    <w:rsid w:val="36E971F3"/>
    <w:rsid w:val="36EB413B"/>
    <w:rsid w:val="36F17277"/>
    <w:rsid w:val="36F5166C"/>
    <w:rsid w:val="36F9612C"/>
    <w:rsid w:val="36FC41E9"/>
    <w:rsid w:val="36FD79CA"/>
    <w:rsid w:val="3701118E"/>
    <w:rsid w:val="370E1BD7"/>
    <w:rsid w:val="371511B8"/>
    <w:rsid w:val="37166ADB"/>
    <w:rsid w:val="371B42F4"/>
    <w:rsid w:val="372633C5"/>
    <w:rsid w:val="372B09DB"/>
    <w:rsid w:val="373C4996"/>
    <w:rsid w:val="373F4487"/>
    <w:rsid w:val="375021F0"/>
    <w:rsid w:val="37555A58"/>
    <w:rsid w:val="375A12C0"/>
    <w:rsid w:val="379522F8"/>
    <w:rsid w:val="379540A7"/>
    <w:rsid w:val="379B18CA"/>
    <w:rsid w:val="379F0A81"/>
    <w:rsid w:val="37A84427"/>
    <w:rsid w:val="37B77E9E"/>
    <w:rsid w:val="37D553A6"/>
    <w:rsid w:val="37D8200E"/>
    <w:rsid w:val="37DC7182"/>
    <w:rsid w:val="37EA03CB"/>
    <w:rsid w:val="37FB0978"/>
    <w:rsid w:val="37FB65FF"/>
    <w:rsid w:val="37FC2DAD"/>
    <w:rsid w:val="37FE1C4C"/>
    <w:rsid w:val="3813293D"/>
    <w:rsid w:val="38153C00"/>
    <w:rsid w:val="38190834"/>
    <w:rsid w:val="38207E14"/>
    <w:rsid w:val="38431060"/>
    <w:rsid w:val="387D7E3A"/>
    <w:rsid w:val="388A6DAD"/>
    <w:rsid w:val="388F4F9A"/>
    <w:rsid w:val="38983E4E"/>
    <w:rsid w:val="389E342F"/>
    <w:rsid w:val="38A156A4"/>
    <w:rsid w:val="38A61D2C"/>
    <w:rsid w:val="38A74BE1"/>
    <w:rsid w:val="38A81BB8"/>
    <w:rsid w:val="38B621C0"/>
    <w:rsid w:val="38D34E86"/>
    <w:rsid w:val="38D8641A"/>
    <w:rsid w:val="38D94467"/>
    <w:rsid w:val="38DA36AE"/>
    <w:rsid w:val="38E057F5"/>
    <w:rsid w:val="39002DFE"/>
    <w:rsid w:val="39052351"/>
    <w:rsid w:val="391D07F7"/>
    <w:rsid w:val="39300E06"/>
    <w:rsid w:val="39370727"/>
    <w:rsid w:val="395104A1"/>
    <w:rsid w:val="39534219"/>
    <w:rsid w:val="3957589B"/>
    <w:rsid w:val="395C43D8"/>
    <w:rsid w:val="395D0BF4"/>
    <w:rsid w:val="39627FB8"/>
    <w:rsid w:val="396F0447"/>
    <w:rsid w:val="397A3554"/>
    <w:rsid w:val="39912EF4"/>
    <w:rsid w:val="39A14F85"/>
    <w:rsid w:val="39AB7BB1"/>
    <w:rsid w:val="39B924E5"/>
    <w:rsid w:val="39BD78E5"/>
    <w:rsid w:val="39BF3A6F"/>
    <w:rsid w:val="39D32C64"/>
    <w:rsid w:val="39E62997"/>
    <w:rsid w:val="3A102728"/>
    <w:rsid w:val="3A1E65D5"/>
    <w:rsid w:val="3A200049"/>
    <w:rsid w:val="3A257964"/>
    <w:rsid w:val="3A2D6818"/>
    <w:rsid w:val="3A323E2F"/>
    <w:rsid w:val="3A361B71"/>
    <w:rsid w:val="3A371445"/>
    <w:rsid w:val="3A3951BD"/>
    <w:rsid w:val="3A62636A"/>
    <w:rsid w:val="3A66055A"/>
    <w:rsid w:val="3A6C5593"/>
    <w:rsid w:val="3A82495D"/>
    <w:rsid w:val="3A8D375B"/>
    <w:rsid w:val="3A96422E"/>
    <w:rsid w:val="3A9B32EE"/>
    <w:rsid w:val="3AA834F8"/>
    <w:rsid w:val="3AAF36BA"/>
    <w:rsid w:val="3AB27BA8"/>
    <w:rsid w:val="3ABB02C8"/>
    <w:rsid w:val="3AC5001D"/>
    <w:rsid w:val="3ACD3B57"/>
    <w:rsid w:val="3AED5FA8"/>
    <w:rsid w:val="3AF17846"/>
    <w:rsid w:val="3AFA0DF0"/>
    <w:rsid w:val="3AFE1F63"/>
    <w:rsid w:val="3B005CDB"/>
    <w:rsid w:val="3B08212F"/>
    <w:rsid w:val="3B117EE8"/>
    <w:rsid w:val="3B253993"/>
    <w:rsid w:val="3B385C00"/>
    <w:rsid w:val="3B414D69"/>
    <w:rsid w:val="3B4756B8"/>
    <w:rsid w:val="3B4B164C"/>
    <w:rsid w:val="3B4D4BD2"/>
    <w:rsid w:val="3B5257BD"/>
    <w:rsid w:val="3B697D24"/>
    <w:rsid w:val="3B791E3B"/>
    <w:rsid w:val="3B801056"/>
    <w:rsid w:val="3B8A37F6"/>
    <w:rsid w:val="3B932030"/>
    <w:rsid w:val="3BA64AD4"/>
    <w:rsid w:val="3BAB20EB"/>
    <w:rsid w:val="3BAF2A16"/>
    <w:rsid w:val="3BC211E2"/>
    <w:rsid w:val="3BDE50A9"/>
    <w:rsid w:val="3C095452"/>
    <w:rsid w:val="3C1F03E3"/>
    <w:rsid w:val="3C29166C"/>
    <w:rsid w:val="3C37397E"/>
    <w:rsid w:val="3C3A7389"/>
    <w:rsid w:val="3C410359"/>
    <w:rsid w:val="3C4165AB"/>
    <w:rsid w:val="3C540974"/>
    <w:rsid w:val="3C636C66"/>
    <w:rsid w:val="3C642299"/>
    <w:rsid w:val="3C6A3B12"/>
    <w:rsid w:val="3C785A21"/>
    <w:rsid w:val="3C7F70D3"/>
    <w:rsid w:val="3C860462"/>
    <w:rsid w:val="3C990195"/>
    <w:rsid w:val="3CA27739"/>
    <w:rsid w:val="3CA33352"/>
    <w:rsid w:val="3CB274A9"/>
    <w:rsid w:val="3CDE029E"/>
    <w:rsid w:val="3CE37662"/>
    <w:rsid w:val="3CE863C5"/>
    <w:rsid w:val="3CEA279F"/>
    <w:rsid w:val="3CF17FD1"/>
    <w:rsid w:val="3D085D3C"/>
    <w:rsid w:val="3D153783"/>
    <w:rsid w:val="3D242152"/>
    <w:rsid w:val="3D2857F5"/>
    <w:rsid w:val="3D332398"/>
    <w:rsid w:val="3D474095"/>
    <w:rsid w:val="3D4D1096"/>
    <w:rsid w:val="3D58090C"/>
    <w:rsid w:val="3D6853C9"/>
    <w:rsid w:val="3D6C5DFC"/>
    <w:rsid w:val="3D7D33CB"/>
    <w:rsid w:val="3D8F0538"/>
    <w:rsid w:val="3D9372DA"/>
    <w:rsid w:val="3D9B40A1"/>
    <w:rsid w:val="3DA57816"/>
    <w:rsid w:val="3DAA6490"/>
    <w:rsid w:val="3DAE5EC2"/>
    <w:rsid w:val="3DB609A6"/>
    <w:rsid w:val="3DBC05DF"/>
    <w:rsid w:val="3DC54FBA"/>
    <w:rsid w:val="3DC94AAA"/>
    <w:rsid w:val="3DD0408A"/>
    <w:rsid w:val="3DD74245"/>
    <w:rsid w:val="3DDE0D94"/>
    <w:rsid w:val="3DE4441B"/>
    <w:rsid w:val="3DE47B36"/>
    <w:rsid w:val="3DEA127D"/>
    <w:rsid w:val="3DFD702A"/>
    <w:rsid w:val="3E124FA0"/>
    <w:rsid w:val="3E3D2DA2"/>
    <w:rsid w:val="3E412892"/>
    <w:rsid w:val="3E41685E"/>
    <w:rsid w:val="3E506F79"/>
    <w:rsid w:val="3E5C147A"/>
    <w:rsid w:val="3E5F1728"/>
    <w:rsid w:val="3E68137F"/>
    <w:rsid w:val="3E6D743B"/>
    <w:rsid w:val="3E6E73FF"/>
    <w:rsid w:val="3E6F77C7"/>
    <w:rsid w:val="3E8650AA"/>
    <w:rsid w:val="3E891E58"/>
    <w:rsid w:val="3E8D432B"/>
    <w:rsid w:val="3E907FA1"/>
    <w:rsid w:val="3E9219F8"/>
    <w:rsid w:val="3E973828"/>
    <w:rsid w:val="3E9A01F4"/>
    <w:rsid w:val="3EA862F6"/>
    <w:rsid w:val="3EAA6689"/>
    <w:rsid w:val="3EAF1EF2"/>
    <w:rsid w:val="3EB0060F"/>
    <w:rsid w:val="3EB71DF4"/>
    <w:rsid w:val="3EC83AC6"/>
    <w:rsid w:val="3EC861A3"/>
    <w:rsid w:val="3ED24BC8"/>
    <w:rsid w:val="3ED2798E"/>
    <w:rsid w:val="3F033F36"/>
    <w:rsid w:val="3F165ACD"/>
    <w:rsid w:val="3F1D72B4"/>
    <w:rsid w:val="3F3B19D7"/>
    <w:rsid w:val="3F3C1949"/>
    <w:rsid w:val="3F3D5750"/>
    <w:rsid w:val="3F696545"/>
    <w:rsid w:val="3F7171A7"/>
    <w:rsid w:val="3F850EA5"/>
    <w:rsid w:val="3F871059"/>
    <w:rsid w:val="3F8C3FE1"/>
    <w:rsid w:val="3FA56E51"/>
    <w:rsid w:val="3FB5178A"/>
    <w:rsid w:val="3FD339BE"/>
    <w:rsid w:val="3FE2070F"/>
    <w:rsid w:val="3FF24137"/>
    <w:rsid w:val="3FF46033"/>
    <w:rsid w:val="3FFA0F4B"/>
    <w:rsid w:val="3FFF2A05"/>
    <w:rsid w:val="40063D93"/>
    <w:rsid w:val="402429C8"/>
    <w:rsid w:val="402D59C2"/>
    <w:rsid w:val="402E32EA"/>
    <w:rsid w:val="405445E2"/>
    <w:rsid w:val="40580236"/>
    <w:rsid w:val="40662E04"/>
    <w:rsid w:val="407056B1"/>
    <w:rsid w:val="40771011"/>
    <w:rsid w:val="4077259B"/>
    <w:rsid w:val="40844CB8"/>
    <w:rsid w:val="40A6497D"/>
    <w:rsid w:val="40B46C59"/>
    <w:rsid w:val="40C1082C"/>
    <w:rsid w:val="40C357E1"/>
    <w:rsid w:val="40CD48B1"/>
    <w:rsid w:val="40CE2A45"/>
    <w:rsid w:val="40DC68A2"/>
    <w:rsid w:val="40E67721"/>
    <w:rsid w:val="40EB2F89"/>
    <w:rsid w:val="411502A2"/>
    <w:rsid w:val="41160006"/>
    <w:rsid w:val="4133638A"/>
    <w:rsid w:val="41347641"/>
    <w:rsid w:val="4142704D"/>
    <w:rsid w:val="4143298B"/>
    <w:rsid w:val="41435A33"/>
    <w:rsid w:val="4158645F"/>
    <w:rsid w:val="415D390F"/>
    <w:rsid w:val="41636E18"/>
    <w:rsid w:val="417967E7"/>
    <w:rsid w:val="417B430D"/>
    <w:rsid w:val="418840B6"/>
    <w:rsid w:val="41970A1B"/>
    <w:rsid w:val="419D0727"/>
    <w:rsid w:val="41A25D3E"/>
    <w:rsid w:val="41A67CF8"/>
    <w:rsid w:val="41AA0DF1"/>
    <w:rsid w:val="41AF045B"/>
    <w:rsid w:val="41B45214"/>
    <w:rsid w:val="41BD0482"/>
    <w:rsid w:val="41C537DA"/>
    <w:rsid w:val="41C81AC5"/>
    <w:rsid w:val="41D43A1D"/>
    <w:rsid w:val="41DC5E6D"/>
    <w:rsid w:val="41DE664A"/>
    <w:rsid w:val="41E2438C"/>
    <w:rsid w:val="41E32B2D"/>
    <w:rsid w:val="41EA1493"/>
    <w:rsid w:val="41F540C0"/>
    <w:rsid w:val="42086388"/>
    <w:rsid w:val="42442951"/>
    <w:rsid w:val="42470693"/>
    <w:rsid w:val="425B5E48"/>
    <w:rsid w:val="4278489B"/>
    <w:rsid w:val="427A1AA7"/>
    <w:rsid w:val="4295105F"/>
    <w:rsid w:val="429B3A02"/>
    <w:rsid w:val="42B45D29"/>
    <w:rsid w:val="42B72CD1"/>
    <w:rsid w:val="42CD6DEA"/>
    <w:rsid w:val="42D812EB"/>
    <w:rsid w:val="42E163F2"/>
    <w:rsid w:val="42E82F6A"/>
    <w:rsid w:val="42EB101F"/>
    <w:rsid w:val="42EF4FB3"/>
    <w:rsid w:val="42EF56F2"/>
    <w:rsid w:val="42F04887"/>
    <w:rsid w:val="42F836C2"/>
    <w:rsid w:val="430E31C0"/>
    <w:rsid w:val="43284021"/>
    <w:rsid w:val="432E7F98"/>
    <w:rsid w:val="433B45BA"/>
    <w:rsid w:val="4340202E"/>
    <w:rsid w:val="43413334"/>
    <w:rsid w:val="43432C09"/>
    <w:rsid w:val="43456981"/>
    <w:rsid w:val="43525ECF"/>
    <w:rsid w:val="435E5758"/>
    <w:rsid w:val="43645ADB"/>
    <w:rsid w:val="43715EEE"/>
    <w:rsid w:val="43813731"/>
    <w:rsid w:val="43947908"/>
    <w:rsid w:val="43B81203"/>
    <w:rsid w:val="43BB6D79"/>
    <w:rsid w:val="43C92609"/>
    <w:rsid w:val="43D45F57"/>
    <w:rsid w:val="43F43F65"/>
    <w:rsid w:val="43F65ECD"/>
    <w:rsid w:val="43F719D1"/>
    <w:rsid w:val="43FC196C"/>
    <w:rsid w:val="4410632B"/>
    <w:rsid w:val="443001A0"/>
    <w:rsid w:val="443A225E"/>
    <w:rsid w:val="443D58AA"/>
    <w:rsid w:val="444B446B"/>
    <w:rsid w:val="446D1D6B"/>
    <w:rsid w:val="44775260"/>
    <w:rsid w:val="44851C48"/>
    <w:rsid w:val="4487121B"/>
    <w:rsid w:val="44930779"/>
    <w:rsid w:val="44943CDC"/>
    <w:rsid w:val="449F0313"/>
    <w:rsid w:val="44A06561"/>
    <w:rsid w:val="44B33DBE"/>
    <w:rsid w:val="44BC4C8B"/>
    <w:rsid w:val="44CB1108"/>
    <w:rsid w:val="44DD2402"/>
    <w:rsid w:val="44E16B7D"/>
    <w:rsid w:val="44ED5522"/>
    <w:rsid w:val="451E41A6"/>
    <w:rsid w:val="45324FA4"/>
    <w:rsid w:val="453F3756"/>
    <w:rsid w:val="4540363F"/>
    <w:rsid w:val="45412D85"/>
    <w:rsid w:val="454F7F8B"/>
    <w:rsid w:val="456443B5"/>
    <w:rsid w:val="4568104C"/>
    <w:rsid w:val="45701C9D"/>
    <w:rsid w:val="457C0654"/>
    <w:rsid w:val="458A2D71"/>
    <w:rsid w:val="459040FF"/>
    <w:rsid w:val="45A51959"/>
    <w:rsid w:val="45A93C10"/>
    <w:rsid w:val="45C142B9"/>
    <w:rsid w:val="45D96A24"/>
    <w:rsid w:val="45DD3A03"/>
    <w:rsid w:val="45DE30BD"/>
    <w:rsid w:val="45E05E91"/>
    <w:rsid w:val="45F91CA4"/>
    <w:rsid w:val="460A5AF4"/>
    <w:rsid w:val="46116FEE"/>
    <w:rsid w:val="46184A49"/>
    <w:rsid w:val="461A64AE"/>
    <w:rsid w:val="461E5404"/>
    <w:rsid w:val="46271703"/>
    <w:rsid w:val="46314134"/>
    <w:rsid w:val="464E20D1"/>
    <w:rsid w:val="464E256E"/>
    <w:rsid w:val="46562305"/>
    <w:rsid w:val="466556CC"/>
    <w:rsid w:val="46671304"/>
    <w:rsid w:val="466778DC"/>
    <w:rsid w:val="4678706D"/>
    <w:rsid w:val="46827EEC"/>
    <w:rsid w:val="468477C0"/>
    <w:rsid w:val="46933EA7"/>
    <w:rsid w:val="46971BE9"/>
    <w:rsid w:val="46BA1434"/>
    <w:rsid w:val="46BC33FE"/>
    <w:rsid w:val="46E2098A"/>
    <w:rsid w:val="46E375FC"/>
    <w:rsid w:val="46FA2178"/>
    <w:rsid w:val="470628CB"/>
    <w:rsid w:val="4708618E"/>
    <w:rsid w:val="47125D84"/>
    <w:rsid w:val="47136D96"/>
    <w:rsid w:val="47242D51"/>
    <w:rsid w:val="472D3145"/>
    <w:rsid w:val="472E5E0C"/>
    <w:rsid w:val="47417F95"/>
    <w:rsid w:val="47743CD8"/>
    <w:rsid w:val="47865CFD"/>
    <w:rsid w:val="478733AD"/>
    <w:rsid w:val="47887784"/>
    <w:rsid w:val="47937895"/>
    <w:rsid w:val="47BA62C0"/>
    <w:rsid w:val="47BC742D"/>
    <w:rsid w:val="47BE31A6"/>
    <w:rsid w:val="47CA184B"/>
    <w:rsid w:val="47CC3E7D"/>
    <w:rsid w:val="47DF10B6"/>
    <w:rsid w:val="47E9061D"/>
    <w:rsid w:val="47FE17F4"/>
    <w:rsid w:val="480019CB"/>
    <w:rsid w:val="48137EDD"/>
    <w:rsid w:val="481F5912"/>
    <w:rsid w:val="484713ED"/>
    <w:rsid w:val="484F02A2"/>
    <w:rsid w:val="485350A5"/>
    <w:rsid w:val="48677399"/>
    <w:rsid w:val="487163D3"/>
    <w:rsid w:val="48733F90"/>
    <w:rsid w:val="48744ADB"/>
    <w:rsid w:val="487844BA"/>
    <w:rsid w:val="487D5202"/>
    <w:rsid w:val="48826F9B"/>
    <w:rsid w:val="48931F3C"/>
    <w:rsid w:val="489D1CE6"/>
    <w:rsid w:val="489F6B33"/>
    <w:rsid w:val="48D23434"/>
    <w:rsid w:val="48DF5182"/>
    <w:rsid w:val="48EB621C"/>
    <w:rsid w:val="4904529A"/>
    <w:rsid w:val="490D5284"/>
    <w:rsid w:val="49125CF3"/>
    <w:rsid w:val="49164065"/>
    <w:rsid w:val="49217723"/>
    <w:rsid w:val="49235E29"/>
    <w:rsid w:val="492D2391"/>
    <w:rsid w:val="4933371F"/>
    <w:rsid w:val="493C6A78"/>
    <w:rsid w:val="494871CB"/>
    <w:rsid w:val="49777AB0"/>
    <w:rsid w:val="497C6E74"/>
    <w:rsid w:val="497D499A"/>
    <w:rsid w:val="49891591"/>
    <w:rsid w:val="49B44860"/>
    <w:rsid w:val="49B52386"/>
    <w:rsid w:val="49CA5E32"/>
    <w:rsid w:val="49D767A1"/>
    <w:rsid w:val="49DE7388"/>
    <w:rsid w:val="49E05655"/>
    <w:rsid w:val="49E26F4C"/>
    <w:rsid w:val="49F77483"/>
    <w:rsid w:val="4A1C41B3"/>
    <w:rsid w:val="4A1E617D"/>
    <w:rsid w:val="4A2F0C4A"/>
    <w:rsid w:val="4A3634C7"/>
    <w:rsid w:val="4A394D65"/>
    <w:rsid w:val="4A477438"/>
    <w:rsid w:val="4A4D51E9"/>
    <w:rsid w:val="4A631DE2"/>
    <w:rsid w:val="4A743FEF"/>
    <w:rsid w:val="4A7A7858"/>
    <w:rsid w:val="4A834233"/>
    <w:rsid w:val="4AB03B75"/>
    <w:rsid w:val="4AB80380"/>
    <w:rsid w:val="4ABA5EA6"/>
    <w:rsid w:val="4AC22FAD"/>
    <w:rsid w:val="4AC40AD3"/>
    <w:rsid w:val="4ACE210C"/>
    <w:rsid w:val="4AD522D8"/>
    <w:rsid w:val="4AEA04C3"/>
    <w:rsid w:val="4AEB308B"/>
    <w:rsid w:val="4AF86A51"/>
    <w:rsid w:val="4AF9077E"/>
    <w:rsid w:val="4AFB5971"/>
    <w:rsid w:val="4AFC64BF"/>
    <w:rsid w:val="4AFF5FAF"/>
    <w:rsid w:val="4B276DF3"/>
    <w:rsid w:val="4B2B51D0"/>
    <w:rsid w:val="4B2B6BF9"/>
    <w:rsid w:val="4B341516"/>
    <w:rsid w:val="4B370AD8"/>
    <w:rsid w:val="4B475260"/>
    <w:rsid w:val="4B481704"/>
    <w:rsid w:val="4B570320"/>
    <w:rsid w:val="4B6202EC"/>
    <w:rsid w:val="4B6526F9"/>
    <w:rsid w:val="4B7B7AFC"/>
    <w:rsid w:val="4B944949"/>
    <w:rsid w:val="4BA55F07"/>
    <w:rsid w:val="4BC37508"/>
    <w:rsid w:val="4BC863A1"/>
    <w:rsid w:val="4BD765E4"/>
    <w:rsid w:val="4BDB2578"/>
    <w:rsid w:val="4BE40D01"/>
    <w:rsid w:val="4BF0130E"/>
    <w:rsid w:val="4C0D7456"/>
    <w:rsid w:val="4C101AF6"/>
    <w:rsid w:val="4C1710D6"/>
    <w:rsid w:val="4C2C066A"/>
    <w:rsid w:val="4C2F35A9"/>
    <w:rsid w:val="4C312198"/>
    <w:rsid w:val="4C3A6B73"/>
    <w:rsid w:val="4C641CFA"/>
    <w:rsid w:val="4C667968"/>
    <w:rsid w:val="4C682916"/>
    <w:rsid w:val="4C6D6F48"/>
    <w:rsid w:val="4C6E1878"/>
    <w:rsid w:val="4C765DFD"/>
    <w:rsid w:val="4C8D1398"/>
    <w:rsid w:val="4C9342BF"/>
    <w:rsid w:val="4CA0731E"/>
    <w:rsid w:val="4CA63F6A"/>
    <w:rsid w:val="4CAD32ED"/>
    <w:rsid w:val="4CBA2B73"/>
    <w:rsid w:val="4CBB69EE"/>
    <w:rsid w:val="4CC61BAA"/>
    <w:rsid w:val="4CCD443F"/>
    <w:rsid w:val="4CE4545C"/>
    <w:rsid w:val="4CEC3759"/>
    <w:rsid w:val="4CEF5BAF"/>
    <w:rsid w:val="4CF0011D"/>
    <w:rsid w:val="4CF5344E"/>
    <w:rsid w:val="4CFE6821"/>
    <w:rsid w:val="4CFF527B"/>
    <w:rsid w:val="4D006EC4"/>
    <w:rsid w:val="4D155616"/>
    <w:rsid w:val="4D1568CF"/>
    <w:rsid w:val="4D292E6F"/>
    <w:rsid w:val="4D404ED2"/>
    <w:rsid w:val="4D471547"/>
    <w:rsid w:val="4D490D91"/>
    <w:rsid w:val="4D6245D3"/>
    <w:rsid w:val="4D644AB2"/>
    <w:rsid w:val="4D761704"/>
    <w:rsid w:val="4D84279B"/>
    <w:rsid w:val="4D902EEE"/>
    <w:rsid w:val="4D907392"/>
    <w:rsid w:val="4D9C1893"/>
    <w:rsid w:val="4DA60B91"/>
    <w:rsid w:val="4DB819D9"/>
    <w:rsid w:val="4DC62DB4"/>
    <w:rsid w:val="4DC66910"/>
    <w:rsid w:val="4DD059E1"/>
    <w:rsid w:val="4DD0778F"/>
    <w:rsid w:val="4DFD78CB"/>
    <w:rsid w:val="4E2377CF"/>
    <w:rsid w:val="4E2660B9"/>
    <w:rsid w:val="4E3412EF"/>
    <w:rsid w:val="4E3441A8"/>
    <w:rsid w:val="4E5263F6"/>
    <w:rsid w:val="4E5C22C4"/>
    <w:rsid w:val="4E63426A"/>
    <w:rsid w:val="4E676345"/>
    <w:rsid w:val="4E737E26"/>
    <w:rsid w:val="4E801CD9"/>
    <w:rsid w:val="4E814F0E"/>
    <w:rsid w:val="4E846E45"/>
    <w:rsid w:val="4E961550"/>
    <w:rsid w:val="4E9A3B84"/>
    <w:rsid w:val="4EAE7F8A"/>
    <w:rsid w:val="4EB6584C"/>
    <w:rsid w:val="4EBE1CDD"/>
    <w:rsid w:val="4ECA53B6"/>
    <w:rsid w:val="4EE87D77"/>
    <w:rsid w:val="4EF23AA7"/>
    <w:rsid w:val="4F011DEF"/>
    <w:rsid w:val="4F0E6DD1"/>
    <w:rsid w:val="4F1D4C56"/>
    <w:rsid w:val="4F1D6A04"/>
    <w:rsid w:val="4F1E51DC"/>
    <w:rsid w:val="4F367AC5"/>
    <w:rsid w:val="4F4833A2"/>
    <w:rsid w:val="4F4977F9"/>
    <w:rsid w:val="4F4A531F"/>
    <w:rsid w:val="4F50001F"/>
    <w:rsid w:val="4F560168"/>
    <w:rsid w:val="4F5E28A4"/>
    <w:rsid w:val="4F642884"/>
    <w:rsid w:val="4F6C76A4"/>
    <w:rsid w:val="4F791C95"/>
    <w:rsid w:val="4F813436"/>
    <w:rsid w:val="4F8C6EB7"/>
    <w:rsid w:val="4F8E7901"/>
    <w:rsid w:val="4F960564"/>
    <w:rsid w:val="4FA03191"/>
    <w:rsid w:val="4FA64C4B"/>
    <w:rsid w:val="4FB27A45"/>
    <w:rsid w:val="4FBA6948"/>
    <w:rsid w:val="4FD01CC8"/>
    <w:rsid w:val="4FDC68BF"/>
    <w:rsid w:val="4FE17A31"/>
    <w:rsid w:val="4FE614EB"/>
    <w:rsid w:val="50193D14"/>
    <w:rsid w:val="501A73E7"/>
    <w:rsid w:val="503F0BFC"/>
    <w:rsid w:val="504306EC"/>
    <w:rsid w:val="504763D3"/>
    <w:rsid w:val="50584677"/>
    <w:rsid w:val="506271B8"/>
    <w:rsid w:val="50680152"/>
    <w:rsid w:val="507B3B4D"/>
    <w:rsid w:val="508D1967"/>
    <w:rsid w:val="508E1CDB"/>
    <w:rsid w:val="508F15C6"/>
    <w:rsid w:val="50A11D4A"/>
    <w:rsid w:val="50A76ECD"/>
    <w:rsid w:val="50A93CFC"/>
    <w:rsid w:val="50AF5D81"/>
    <w:rsid w:val="50B33723"/>
    <w:rsid w:val="50BC3FFA"/>
    <w:rsid w:val="50C3182D"/>
    <w:rsid w:val="50D85AFF"/>
    <w:rsid w:val="50F86C4C"/>
    <w:rsid w:val="50F934A0"/>
    <w:rsid w:val="5100482F"/>
    <w:rsid w:val="510559A1"/>
    <w:rsid w:val="511F2654"/>
    <w:rsid w:val="512537AB"/>
    <w:rsid w:val="51281690"/>
    <w:rsid w:val="512E1286"/>
    <w:rsid w:val="51347B3B"/>
    <w:rsid w:val="513E0EB3"/>
    <w:rsid w:val="514349B6"/>
    <w:rsid w:val="515510F5"/>
    <w:rsid w:val="515F1555"/>
    <w:rsid w:val="515F3303"/>
    <w:rsid w:val="51656440"/>
    <w:rsid w:val="519805C3"/>
    <w:rsid w:val="51A62685"/>
    <w:rsid w:val="51BC374C"/>
    <w:rsid w:val="51C15D6C"/>
    <w:rsid w:val="51C21AE4"/>
    <w:rsid w:val="51C63383"/>
    <w:rsid w:val="51D830B6"/>
    <w:rsid w:val="51DD084C"/>
    <w:rsid w:val="51DF61F2"/>
    <w:rsid w:val="51E1640E"/>
    <w:rsid w:val="51E657D3"/>
    <w:rsid w:val="51E732F9"/>
    <w:rsid w:val="51F66215"/>
    <w:rsid w:val="51F7178E"/>
    <w:rsid w:val="51FA60F1"/>
    <w:rsid w:val="51FD2B1C"/>
    <w:rsid w:val="5204499F"/>
    <w:rsid w:val="52280BA4"/>
    <w:rsid w:val="522968FD"/>
    <w:rsid w:val="522A4E8E"/>
    <w:rsid w:val="52320A18"/>
    <w:rsid w:val="524B7D2C"/>
    <w:rsid w:val="525A0C27"/>
    <w:rsid w:val="526B1770"/>
    <w:rsid w:val="526B3F2A"/>
    <w:rsid w:val="52733D7F"/>
    <w:rsid w:val="52864284"/>
    <w:rsid w:val="528B0128"/>
    <w:rsid w:val="528F0F01"/>
    <w:rsid w:val="529513D7"/>
    <w:rsid w:val="52974D1F"/>
    <w:rsid w:val="529F5982"/>
    <w:rsid w:val="52A66D10"/>
    <w:rsid w:val="52B1400D"/>
    <w:rsid w:val="52C25F43"/>
    <w:rsid w:val="52C35B14"/>
    <w:rsid w:val="52CA6EA2"/>
    <w:rsid w:val="52D5783B"/>
    <w:rsid w:val="52E02222"/>
    <w:rsid w:val="52E131CE"/>
    <w:rsid w:val="52F42171"/>
    <w:rsid w:val="52F96958"/>
    <w:rsid w:val="5302488E"/>
    <w:rsid w:val="530D4FE1"/>
    <w:rsid w:val="531620E8"/>
    <w:rsid w:val="533E33EC"/>
    <w:rsid w:val="534D3630"/>
    <w:rsid w:val="534E7957"/>
    <w:rsid w:val="53590226"/>
    <w:rsid w:val="536C1C37"/>
    <w:rsid w:val="536E563C"/>
    <w:rsid w:val="537D5CC3"/>
    <w:rsid w:val="53853E4D"/>
    <w:rsid w:val="539014FC"/>
    <w:rsid w:val="539379C4"/>
    <w:rsid w:val="53967447"/>
    <w:rsid w:val="539D45B7"/>
    <w:rsid w:val="53A05E55"/>
    <w:rsid w:val="53A10FE0"/>
    <w:rsid w:val="53A318A6"/>
    <w:rsid w:val="53BA6F17"/>
    <w:rsid w:val="53C109CA"/>
    <w:rsid w:val="53C625EC"/>
    <w:rsid w:val="53E101C8"/>
    <w:rsid w:val="53EB5322"/>
    <w:rsid w:val="53F11CCB"/>
    <w:rsid w:val="53F16B64"/>
    <w:rsid w:val="53F266B1"/>
    <w:rsid w:val="541128AF"/>
    <w:rsid w:val="54134879"/>
    <w:rsid w:val="541F4FCC"/>
    <w:rsid w:val="5429409D"/>
    <w:rsid w:val="542D143C"/>
    <w:rsid w:val="54336CC9"/>
    <w:rsid w:val="543642A3"/>
    <w:rsid w:val="5452714F"/>
    <w:rsid w:val="545642BE"/>
    <w:rsid w:val="545D44DB"/>
    <w:rsid w:val="546F6672"/>
    <w:rsid w:val="54717284"/>
    <w:rsid w:val="54831715"/>
    <w:rsid w:val="54890697"/>
    <w:rsid w:val="548A1BAB"/>
    <w:rsid w:val="548D49E1"/>
    <w:rsid w:val="54AB6860"/>
    <w:rsid w:val="54C67D59"/>
    <w:rsid w:val="54C85664"/>
    <w:rsid w:val="551B3AD3"/>
    <w:rsid w:val="552705DC"/>
    <w:rsid w:val="55274EC0"/>
    <w:rsid w:val="55310AE2"/>
    <w:rsid w:val="55366CD4"/>
    <w:rsid w:val="55376345"/>
    <w:rsid w:val="555925FE"/>
    <w:rsid w:val="555D4927"/>
    <w:rsid w:val="559B686C"/>
    <w:rsid w:val="559E5549"/>
    <w:rsid w:val="55AA5F87"/>
    <w:rsid w:val="55AD2B16"/>
    <w:rsid w:val="55AE6607"/>
    <w:rsid w:val="55B87486"/>
    <w:rsid w:val="55CB6408"/>
    <w:rsid w:val="55DC05B3"/>
    <w:rsid w:val="55F14746"/>
    <w:rsid w:val="55F76E97"/>
    <w:rsid w:val="56066443"/>
    <w:rsid w:val="5609571B"/>
    <w:rsid w:val="560C05BF"/>
    <w:rsid w:val="56130BCB"/>
    <w:rsid w:val="561346BC"/>
    <w:rsid w:val="56181120"/>
    <w:rsid w:val="561E14A6"/>
    <w:rsid w:val="56251D99"/>
    <w:rsid w:val="56290384"/>
    <w:rsid w:val="563D3403"/>
    <w:rsid w:val="564F2C2A"/>
    <w:rsid w:val="565631E1"/>
    <w:rsid w:val="566771F3"/>
    <w:rsid w:val="5671622F"/>
    <w:rsid w:val="567275FC"/>
    <w:rsid w:val="56737851"/>
    <w:rsid w:val="567A473C"/>
    <w:rsid w:val="56957649"/>
    <w:rsid w:val="569F41A2"/>
    <w:rsid w:val="56A1616C"/>
    <w:rsid w:val="56A33C92"/>
    <w:rsid w:val="56A92FB8"/>
    <w:rsid w:val="56AB651E"/>
    <w:rsid w:val="56D0078F"/>
    <w:rsid w:val="56D03B82"/>
    <w:rsid w:val="56DB78D0"/>
    <w:rsid w:val="56E13B4B"/>
    <w:rsid w:val="56F05630"/>
    <w:rsid w:val="56F42740"/>
    <w:rsid w:val="56F52014"/>
    <w:rsid w:val="56FB7EB4"/>
    <w:rsid w:val="57081C6A"/>
    <w:rsid w:val="571675FA"/>
    <w:rsid w:val="573C6EBB"/>
    <w:rsid w:val="57405985"/>
    <w:rsid w:val="574216FD"/>
    <w:rsid w:val="575556C1"/>
    <w:rsid w:val="575C02E5"/>
    <w:rsid w:val="576176AA"/>
    <w:rsid w:val="576E734A"/>
    <w:rsid w:val="577506D4"/>
    <w:rsid w:val="57825F9E"/>
    <w:rsid w:val="57911D3D"/>
    <w:rsid w:val="57961A49"/>
    <w:rsid w:val="57AF22B9"/>
    <w:rsid w:val="57BD0D84"/>
    <w:rsid w:val="57C9597B"/>
    <w:rsid w:val="57CC4A7B"/>
    <w:rsid w:val="57D15AF2"/>
    <w:rsid w:val="57DB79E8"/>
    <w:rsid w:val="57DD5F63"/>
    <w:rsid w:val="57E207EA"/>
    <w:rsid w:val="57EC3417"/>
    <w:rsid w:val="57F24DCB"/>
    <w:rsid w:val="58087C8A"/>
    <w:rsid w:val="581013CB"/>
    <w:rsid w:val="58297C9B"/>
    <w:rsid w:val="582B7659"/>
    <w:rsid w:val="583059FA"/>
    <w:rsid w:val="583302AF"/>
    <w:rsid w:val="58421289"/>
    <w:rsid w:val="58825FE5"/>
    <w:rsid w:val="58931AE5"/>
    <w:rsid w:val="589A1E7B"/>
    <w:rsid w:val="589F7EFF"/>
    <w:rsid w:val="58B16DE5"/>
    <w:rsid w:val="58B6431B"/>
    <w:rsid w:val="58E00569"/>
    <w:rsid w:val="58F76517"/>
    <w:rsid w:val="590F1AB3"/>
    <w:rsid w:val="59162E41"/>
    <w:rsid w:val="59237FE9"/>
    <w:rsid w:val="59255664"/>
    <w:rsid w:val="59366498"/>
    <w:rsid w:val="59372DB8"/>
    <w:rsid w:val="59463416"/>
    <w:rsid w:val="59594ADC"/>
    <w:rsid w:val="595A51D7"/>
    <w:rsid w:val="595E3E78"/>
    <w:rsid w:val="596516D3"/>
    <w:rsid w:val="59667064"/>
    <w:rsid w:val="59690F8E"/>
    <w:rsid w:val="59710D24"/>
    <w:rsid w:val="5991071A"/>
    <w:rsid w:val="59926240"/>
    <w:rsid w:val="59981AA8"/>
    <w:rsid w:val="59A246D5"/>
    <w:rsid w:val="59AA17DC"/>
    <w:rsid w:val="59AA5338"/>
    <w:rsid w:val="59BD6312"/>
    <w:rsid w:val="59C41A41"/>
    <w:rsid w:val="59C52172"/>
    <w:rsid w:val="59C74C38"/>
    <w:rsid w:val="59CB2E85"/>
    <w:rsid w:val="59CD1026"/>
    <w:rsid w:val="59D16D68"/>
    <w:rsid w:val="59D32AE1"/>
    <w:rsid w:val="59E85E60"/>
    <w:rsid w:val="5A031970"/>
    <w:rsid w:val="5A18057C"/>
    <w:rsid w:val="5A185012"/>
    <w:rsid w:val="5A1A7341"/>
    <w:rsid w:val="5A1E1882"/>
    <w:rsid w:val="5A2D251D"/>
    <w:rsid w:val="5A323053"/>
    <w:rsid w:val="5A386DE8"/>
    <w:rsid w:val="5A3A490E"/>
    <w:rsid w:val="5A460C39"/>
    <w:rsid w:val="5A4E2167"/>
    <w:rsid w:val="5A6000EC"/>
    <w:rsid w:val="5A690A56"/>
    <w:rsid w:val="5A7F4A16"/>
    <w:rsid w:val="5A851901"/>
    <w:rsid w:val="5AAE70AA"/>
    <w:rsid w:val="5AC16DDD"/>
    <w:rsid w:val="5AC8016B"/>
    <w:rsid w:val="5ACC7530"/>
    <w:rsid w:val="5AD563E4"/>
    <w:rsid w:val="5ADC3C17"/>
    <w:rsid w:val="5AE743B2"/>
    <w:rsid w:val="5AEB20AC"/>
    <w:rsid w:val="5AF26799"/>
    <w:rsid w:val="5AF745AD"/>
    <w:rsid w:val="5AFC1BC3"/>
    <w:rsid w:val="5B036784"/>
    <w:rsid w:val="5B0E35E4"/>
    <w:rsid w:val="5B332483"/>
    <w:rsid w:val="5B351579"/>
    <w:rsid w:val="5B4812AC"/>
    <w:rsid w:val="5B5600E3"/>
    <w:rsid w:val="5B584840"/>
    <w:rsid w:val="5B5F7549"/>
    <w:rsid w:val="5B6339F0"/>
    <w:rsid w:val="5B765E19"/>
    <w:rsid w:val="5B7A5278"/>
    <w:rsid w:val="5B843DDD"/>
    <w:rsid w:val="5B977B3E"/>
    <w:rsid w:val="5BBE1F6B"/>
    <w:rsid w:val="5BC63891"/>
    <w:rsid w:val="5BD47EAE"/>
    <w:rsid w:val="5BDB5C7C"/>
    <w:rsid w:val="5BE2525D"/>
    <w:rsid w:val="5BFF1759"/>
    <w:rsid w:val="5C003935"/>
    <w:rsid w:val="5C126544"/>
    <w:rsid w:val="5C1B42CB"/>
    <w:rsid w:val="5C26760D"/>
    <w:rsid w:val="5C3A2426"/>
    <w:rsid w:val="5C3E2C76"/>
    <w:rsid w:val="5C4C5E5B"/>
    <w:rsid w:val="5C4D071C"/>
    <w:rsid w:val="5C4F7492"/>
    <w:rsid w:val="5C62014C"/>
    <w:rsid w:val="5C6F4617"/>
    <w:rsid w:val="5C8133A7"/>
    <w:rsid w:val="5C860515"/>
    <w:rsid w:val="5C8C6310"/>
    <w:rsid w:val="5C8C6F77"/>
    <w:rsid w:val="5C901BA3"/>
    <w:rsid w:val="5C966047"/>
    <w:rsid w:val="5C986D8B"/>
    <w:rsid w:val="5C987E03"/>
    <w:rsid w:val="5CA249EC"/>
    <w:rsid w:val="5CCF604B"/>
    <w:rsid w:val="5CD91E87"/>
    <w:rsid w:val="5CF127EB"/>
    <w:rsid w:val="5CF3349A"/>
    <w:rsid w:val="5CF54B1C"/>
    <w:rsid w:val="5D040102"/>
    <w:rsid w:val="5D077FA3"/>
    <w:rsid w:val="5D0B433F"/>
    <w:rsid w:val="5D235B2D"/>
    <w:rsid w:val="5D2418A5"/>
    <w:rsid w:val="5D26489E"/>
    <w:rsid w:val="5D3E2967"/>
    <w:rsid w:val="5D3F51A6"/>
    <w:rsid w:val="5D46181B"/>
    <w:rsid w:val="5D4930BA"/>
    <w:rsid w:val="5D494E68"/>
    <w:rsid w:val="5D5D3A0A"/>
    <w:rsid w:val="5D6B1282"/>
    <w:rsid w:val="5D79399F"/>
    <w:rsid w:val="5D79574D"/>
    <w:rsid w:val="5D8A4264"/>
    <w:rsid w:val="5D8D0939"/>
    <w:rsid w:val="5D8F6D1E"/>
    <w:rsid w:val="5DA461F9"/>
    <w:rsid w:val="5DA80F64"/>
    <w:rsid w:val="5DB76275"/>
    <w:rsid w:val="5DBA0181"/>
    <w:rsid w:val="5DCC4482"/>
    <w:rsid w:val="5DE02E86"/>
    <w:rsid w:val="5DE132F2"/>
    <w:rsid w:val="5DF01E82"/>
    <w:rsid w:val="5DFB0A81"/>
    <w:rsid w:val="5E18345C"/>
    <w:rsid w:val="5E203E1A"/>
    <w:rsid w:val="5E284642"/>
    <w:rsid w:val="5E2E29DB"/>
    <w:rsid w:val="5E331DA0"/>
    <w:rsid w:val="5E3E6996"/>
    <w:rsid w:val="5E3F79B0"/>
    <w:rsid w:val="5E490316"/>
    <w:rsid w:val="5E624BDB"/>
    <w:rsid w:val="5E660D75"/>
    <w:rsid w:val="5E671A49"/>
    <w:rsid w:val="5E6F415D"/>
    <w:rsid w:val="5E79352B"/>
    <w:rsid w:val="5E8754D5"/>
    <w:rsid w:val="5E925D57"/>
    <w:rsid w:val="5E9B7945"/>
    <w:rsid w:val="5E9C20AD"/>
    <w:rsid w:val="5EA44A4C"/>
    <w:rsid w:val="5EAA781E"/>
    <w:rsid w:val="5EB02EBF"/>
    <w:rsid w:val="5EB033F0"/>
    <w:rsid w:val="5EB8257C"/>
    <w:rsid w:val="5EB97DCB"/>
    <w:rsid w:val="5EBA0657"/>
    <w:rsid w:val="5ECC7AFE"/>
    <w:rsid w:val="5ED30263"/>
    <w:rsid w:val="5EEE216B"/>
    <w:rsid w:val="5EFA035E"/>
    <w:rsid w:val="5EFF58AC"/>
    <w:rsid w:val="5F0246B9"/>
    <w:rsid w:val="5F153886"/>
    <w:rsid w:val="5F193B52"/>
    <w:rsid w:val="5F3C48E8"/>
    <w:rsid w:val="5F463D55"/>
    <w:rsid w:val="5F49114F"/>
    <w:rsid w:val="5F6B7317"/>
    <w:rsid w:val="5F7F7A19"/>
    <w:rsid w:val="5F866165"/>
    <w:rsid w:val="5F8E1258"/>
    <w:rsid w:val="5FC5111D"/>
    <w:rsid w:val="5FC66C44"/>
    <w:rsid w:val="5FF4555F"/>
    <w:rsid w:val="603718EF"/>
    <w:rsid w:val="60441C42"/>
    <w:rsid w:val="605F5FBA"/>
    <w:rsid w:val="606016DF"/>
    <w:rsid w:val="60820DBC"/>
    <w:rsid w:val="609609C9"/>
    <w:rsid w:val="609C5D2B"/>
    <w:rsid w:val="60A37195"/>
    <w:rsid w:val="60AA0313"/>
    <w:rsid w:val="60AE1BB1"/>
    <w:rsid w:val="60AF0394"/>
    <w:rsid w:val="60BC2D50"/>
    <w:rsid w:val="60BD3BA3"/>
    <w:rsid w:val="60C2565D"/>
    <w:rsid w:val="60C767CF"/>
    <w:rsid w:val="60CC2038"/>
    <w:rsid w:val="60CE7B5E"/>
    <w:rsid w:val="60D62EB6"/>
    <w:rsid w:val="60E32338"/>
    <w:rsid w:val="60E92BEA"/>
    <w:rsid w:val="60FD6695"/>
    <w:rsid w:val="61001CE1"/>
    <w:rsid w:val="61045C75"/>
    <w:rsid w:val="611834CF"/>
    <w:rsid w:val="61186F60"/>
    <w:rsid w:val="6129116E"/>
    <w:rsid w:val="612B4FB0"/>
    <w:rsid w:val="61355E2F"/>
    <w:rsid w:val="61363955"/>
    <w:rsid w:val="613856BB"/>
    <w:rsid w:val="614358C1"/>
    <w:rsid w:val="615074AC"/>
    <w:rsid w:val="615E4DF2"/>
    <w:rsid w:val="616E701B"/>
    <w:rsid w:val="61760814"/>
    <w:rsid w:val="618741B1"/>
    <w:rsid w:val="618B1CD7"/>
    <w:rsid w:val="619C1A0A"/>
    <w:rsid w:val="619C3842"/>
    <w:rsid w:val="61B03707"/>
    <w:rsid w:val="61B524B1"/>
    <w:rsid w:val="61B72CE8"/>
    <w:rsid w:val="61B9080E"/>
    <w:rsid w:val="61C96577"/>
    <w:rsid w:val="61CB5877"/>
    <w:rsid w:val="61D05DE7"/>
    <w:rsid w:val="61EB0BE3"/>
    <w:rsid w:val="621243C2"/>
    <w:rsid w:val="62143C96"/>
    <w:rsid w:val="62265778"/>
    <w:rsid w:val="62563A59"/>
    <w:rsid w:val="627209EA"/>
    <w:rsid w:val="627E1801"/>
    <w:rsid w:val="62966DA1"/>
    <w:rsid w:val="629D5244"/>
    <w:rsid w:val="62A1575A"/>
    <w:rsid w:val="62BD2580"/>
    <w:rsid w:val="62C92CD3"/>
    <w:rsid w:val="63123920"/>
    <w:rsid w:val="63224191"/>
    <w:rsid w:val="63251557"/>
    <w:rsid w:val="633151DB"/>
    <w:rsid w:val="633361F9"/>
    <w:rsid w:val="63343EC4"/>
    <w:rsid w:val="633B34A5"/>
    <w:rsid w:val="63536A40"/>
    <w:rsid w:val="635C3B47"/>
    <w:rsid w:val="635F7193"/>
    <w:rsid w:val="63624ED5"/>
    <w:rsid w:val="636649C5"/>
    <w:rsid w:val="636C4E0A"/>
    <w:rsid w:val="636C526A"/>
    <w:rsid w:val="63700F56"/>
    <w:rsid w:val="63875E5E"/>
    <w:rsid w:val="638B7AED"/>
    <w:rsid w:val="639A29D6"/>
    <w:rsid w:val="63A1101D"/>
    <w:rsid w:val="63A54904"/>
    <w:rsid w:val="63A90EB3"/>
    <w:rsid w:val="63AA35A1"/>
    <w:rsid w:val="63DD4A16"/>
    <w:rsid w:val="63E03383"/>
    <w:rsid w:val="63E41A29"/>
    <w:rsid w:val="63FE4BFE"/>
    <w:rsid w:val="641A755E"/>
    <w:rsid w:val="643A375C"/>
    <w:rsid w:val="643F0D73"/>
    <w:rsid w:val="6445282D"/>
    <w:rsid w:val="6447120B"/>
    <w:rsid w:val="644D592E"/>
    <w:rsid w:val="645667E8"/>
    <w:rsid w:val="64591E34"/>
    <w:rsid w:val="646031C3"/>
    <w:rsid w:val="646329A6"/>
    <w:rsid w:val="64721148"/>
    <w:rsid w:val="647C5B23"/>
    <w:rsid w:val="64822F20"/>
    <w:rsid w:val="648D5F82"/>
    <w:rsid w:val="649645DE"/>
    <w:rsid w:val="649B41FB"/>
    <w:rsid w:val="64A55079"/>
    <w:rsid w:val="64AF1B57"/>
    <w:rsid w:val="64CA12C2"/>
    <w:rsid w:val="64CC5F9C"/>
    <w:rsid w:val="64D8544F"/>
    <w:rsid w:val="64DB7401"/>
    <w:rsid w:val="64E6628B"/>
    <w:rsid w:val="64F34037"/>
    <w:rsid w:val="65044496"/>
    <w:rsid w:val="651455D2"/>
    <w:rsid w:val="651533B3"/>
    <w:rsid w:val="652349A7"/>
    <w:rsid w:val="65243E39"/>
    <w:rsid w:val="65246C49"/>
    <w:rsid w:val="652833B2"/>
    <w:rsid w:val="65297AD2"/>
    <w:rsid w:val="652B1BD1"/>
    <w:rsid w:val="65530F79"/>
    <w:rsid w:val="655B398A"/>
    <w:rsid w:val="655D763C"/>
    <w:rsid w:val="656E190F"/>
    <w:rsid w:val="65725A3F"/>
    <w:rsid w:val="657A6506"/>
    <w:rsid w:val="65827169"/>
    <w:rsid w:val="659375C8"/>
    <w:rsid w:val="65BC6B1F"/>
    <w:rsid w:val="65E00B5E"/>
    <w:rsid w:val="65E65E9E"/>
    <w:rsid w:val="65FE2944"/>
    <w:rsid w:val="66185D90"/>
    <w:rsid w:val="66195A10"/>
    <w:rsid w:val="661A1A97"/>
    <w:rsid w:val="66456B14"/>
    <w:rsid w:val="66636F9A"/>
    <w:rsid w:val="6665138C"/>
    <w:rsid w:val="666A0329"/>
    <w:rsid w:val="666E0771"/>
    <w:rsid w:val="66996E60"/>
    <w:rsid w:val="669E6224"/>
    <w:rsid w:val="66A0681A"/>
    <w:rsid w:val="66A650D9"/>
    <w:rsid w:val="66AC6B93"/>
    <w:rsid w:val="66AC74D4"/>
    <w:rsid w:val="66AD46B9"/>
    <w:rsid w:val="66B0678F"/>
    <w:rsid w:val="66B94E0C"/>
    <w:rsid w:val="66BD65EB"/>
    <w:rsid w:val="66C739CD"/>
    <w:rsid w:val="66CD5B99"/>
    <w:rsid w:val="66F456A9"/>
    <w:rsid w:val="66F916AD"/>
    <w:rsid w:val="67034CBF"/>
    <w:rsid w:val="67112E9A"/>
    <w:rsid w:val="67126E13"/>
    <w:rsid w:val="671C5C0C"/>
    <w:rsid w:val="672A6F34"/>
    <w:rsid w:val="673E3563"/>
    <w:rsid w:val="67472418"/>
    <w:rsid w:val="674B5BB6"/>
    <w:rsid w:val="67535261"/>
    <w:rsid w:val="675B4115"/>
    <w:rsid w:val="675D7E8D"/>
    <w:rsid w:val="675F2F0F"/>
    <w:rsid w:val="677208C6"/>
    <w:rsid w:val="677F0171"/>
    <w:rsid w:val="67852F40"/>
    <w:rsid w:val="67981728"/>
    <w:rsid w:val="679A4C3E"/>
    <w:rsid w:val="679A69EC"/>
    <w:rsid w:val="679C68E0"/>
    <w:rsid w:val="67A55468"/>
    <w:rsid w:val="67AE2497"/>
    <w:rsid w:val="67AE4B2B"/>
    <w:rsid w:val="67B11F87"/>
    <w:rsid w:val="67B76108"/>
    <w:rsid w:val="67BC2E06"/>
    <w:rsid w:val="67BC5DDA"/>
    <w:rsid w:val="67C24730"/>
    <w:rsid w:val="67E024AA"/>
    <w:rsid w:val="67E65280"/>
    <w:rsid w:val="67F9740E"/>
    <w:rsid w:val="681D13CB"/>
    <w:rsid w:val="682664D1"/>
    <w:rsid w:val="68294B2F"/>
    <w:rsid w:val="682D4F2F"/>
    <w:rsid w:val="685079F2"/>
    <w:rsid w:val="68580655"/>
    <w:rsid w:val="6861575B"/>
    <w:rsid w:val="68652279"/>
    <w:rsid w:val="687C4343"/>
    <w:rsid w:val="687E60F4"/>
    <w:rsid w:val="687E630D"/>
    <w:rsid w:val="68866F70"/>
    <w:rsid w:val="68896A60"/>
    <w:rsid w:val="689E250C"/>
    <w:rsid w:val="68BA6826"/>
    <w:rsid w:val="68BC6E36"/>
    <w:rsid w:val="68C55FA5"/>
    <w:rsid w:val="68D67EF7"/>
    <w:rsid w:val="68DF5DCB"/>
    <w:rsid w:val="68E85E7D"/>
    <w:rsid w:val="68F4037D"/>
    <w:rsid w:val="68F97275"/>
    <w:rsid w:val="69036813"/>
    <w:rsid w:val="690802CD"/>
    <w:rsid w:val="69121CDB"/>
    <w:rsid w:val="69133070"/>
    <w:rsid w:val="6917178B"/>
    <w:rsid w:val="69252C2D"/>
    <w:rsid w:val="693C7F18"/>
    <w:rsid w:val="694272D9"/>
    <w:rsid w:val="69482477"/>
    <w:rsid w:val="695151AA"/>
    <w:rsid w:val="695157D0"/>
    <w:rsid w:val="695B664F"/>
    <w:rsid w:val="695E1C9B"/>
    <w:rsid w:val="6965127B"/>
    <w:rsid w:val="69670B4F"/>
    <w:rsid w:val="69674FF3"/>
    <w:rsid w:val="696A4AE4"/>
    <w:rsid w:val="69843CFB"/>
    <w:rsid w:val="698653BA"/>
    <w:rsid w:val="698A6F34"/>
    <w:rsid w:val="698C57EB"/>
    <w:rsid w:val="699346E7"/>
    <w:rsid w:val="699A107E"/>
    <w:rsid w:val="69AA57FE"/>
    <w:rsid w:val="69AA6495"/>
    <w:rsid w:val="69AD7DD5"/>
    <w:rsid w:val="69B30239"/>
    <w:rsid w:val="69B761FD"/>
    <w:rsid w:val="69BB0E9B"/>
    <w:rsid w:val="69C45FA2"/>
    <w:rsid w:val="69C77840"/>
    <w:rsid w:val="69C778C1"/>
    <w:rsid w:val="69DC32F6"/>
    <w:rsid w:val="69EB7DCA"/>
    <w:rsid w:val="69F067FD"/>
    <w:rsid w:val="69F63CF7"/>
    <w:rsid w:val="6A0942FC"/>
    <w:rsid w:val="6A1B7B8C"/>
    <w:rsid w:val="6A22716C"/>
    <w:rsid w:val="6A2A5C37"/>
    <w:rsid w:val="6A3A44B6"/>
    <w:rsid w:val="6A462E5B"/>
    <w:rsid w:val="6A466456"/>
    <w:rsid w:val="6A4964A7"/>
    <w:rsid w:val="6A4E2FC5"/>
    <w:rsid w:val="6A535578"/>
    <w:rsid w:val="6A5437CA"/>
    <w:rsid w:val="6A616B45"/>
    <w:rsid w:val="6A6B0B13"/>
    <w:rsid w:val="6A95638E"/>
    <w:rsid w:val="6A95683A"/>
    <w:rsid w:val="6ABF6D08"/>
    <w:rsid w:val="6ADF0BB9"/>
    <w:rsid w:val="6AE078B7"/>
    <w:rsid w:val="6AE94F55"/>
    <w:rsid w:val="6AEA7B5D"/>
    <w:rsid w:val="6AED0CCC"/>
    <w:rsid w:val="6AF91C7B"/>
    <w:rsid w:val="6B086362"/>
    <w:rsid w:val="6B2807B2"/>
    <w:rsid w:val="6B2C5F3B"/>
    <w:rsid w:val="6B317262"/>
    <w:rsid w:val="6B3D0DEF"/>
    <w:rsid w:val="6B4849B1"/>
    <w:rsid w:val="6B5F302D"/>
    <w:rsid w:val="6B7C6A7C"/>
    <w:rsid w:val="6B7E03D2"/>
    <w:rsid w:val="6B94633D"/>
    <w:rsid w:val="6B947BF6"/>
    <w:rsid w:val="6B9B71D6"/>
    <w:rsid w:val="6BA51E03"/>
    <w:rsid w:val="6BAA0F42"/>
    <w:rsid w:val="6BB169FA"/>
    <w:rsid w:val="6BBE2250"/>
    <w:rsid w:val="6BE272A9"/>
    <w:rsid w:val="6BE7241B"/>
    <w:rsid w:val="6BEF307E"/>
    <w:rsid w:val="6C0874D6"/>
    <w:rsid w:val="6C0C375D"/>
    <w:rsid w:val="6C0F2A40"/>
    <w:rsid w:val="6C115D8F"/>
    <w:rsid w:val="6C1257EA"/>
    <w:rsid w:val="6C184383"/>
    <w:rsid w:val="6C1C2FCC"/>
    <w:rsid w:val="6C2C7E2E"/>
    <w:rsid w:val="6C4B6506"/>
    <w:rsid w:val="6C4F4E27"/>
    <w:rsid w:val="6C53360D"/>
    <w:rsid w:val="6C643A6C"/>
    <w:rsid w:val="6C643EE9"/>
    <w:rsid w:val="6C6475C8"/>
    <w:rsid w:val="6C702411"/>
    <w:rsid w:val="6C7041BF"/>
    <w:rsid w:val="6C7517D5"/>
    <w:rsid w:val="6C991968"/>
    <w:rsid w:val="6C992CD5"/>
    <w:rsid w:val="6C9A24BF"/>
    <w:rsid w:val="6CA67BE1"/>
    <w:rsid w:val="6CC42D91"/>
    <w:rsid w:val="6CD917D4"/>
    <w:rsid w:val="6CE32BE3"/>
    <w:rsid w:val="6CE873CC"/>
    <w:rsid w:val="6CF25FB2"/>
    <w:rsid w:val="6CF7043C"/>
    <w:rsid w:val="6CF911B9"/>
    <w:rsid w:val="6D036DE1"/>
    <w:rsid w:val="6D505D9E"/>
    <w:rsid w:val="6D54588F"/>
    <w:rsid w:val="6D567859"/>
    <w:rsid w:val="6D69232C"/>
    <w:rsid w:val="6D7624F9"/>
    <w:rsid w:val="6D765805"/>
    <w:rsid w:val="6D77332B"/>
    <w:rsid w:val="6D7B2E1B"/>
    <w:rsid w:val="6D8B682E"/>
    <w:rsid w:val="6D8F5D9E"/>
    <w:rsid w:val="6DA0502B"/>
    <w:rsid w:val="6DAD31F1"/>
    <w:rsid w:val="6DAD6801"/>
    <w:rsid w:val="6DBD3434"/>
    <w:rsid w:val="6DE1298D"/>
    <w:rsid w:val="6DEA1D4F"/>
    <w:rsid w:val="6DED1F5F"/>
    <w:rsid w:val="6DF130DE"/>
    <w:rsid w:val="6E085CD4"/>
    <w:rsid w:val="6E1E5990"/>
    <w:rsid w:val="6E1F40EF"/>
    <w:rsid w:val="6E204F4E"/>
    <w:rsid w:val="6E2D1B5A"/>
    <w:rsid w:val="6E35746E"/>
    <w:rsid w:val="6E407BC1"/>
    <w:rsid w:val="6E4F6056"/>
    <w:rsid w:val="6E501106"/>
    <w:rsid w:val="6E6164B5"/>
    <w:rsid w:val="6E7861F6"/>
    <w:rsid w:val="6E7B6C2C"/>
    <w:rsid w:val="6E7B6E4B"/>
    <w:rsid w:val="6E996C15"/>
    <w:rsid w:val="6EAC03F1"/>
    <w:rsid w:val="6EAD16FA"/>
    <w:rsid w:val="6EB94F7A"/>
    <w:rsid w:val="6ED76777"/>
    <w:rsid w:val="6EDE0E96"/>
    <w:rsid w:val="6EE40E94"/>
    <w:rsid w:val="6EF47329"/>
    <w:rsid w:val="6F0214A1"/>
    <w:rsid w:val="6F0A08FB"/>
    <w:rsid w:val="6F12155D"/>
    <w:rsid w:val="6F141779"/>
    <w:rsid w:val="6F1A16C5"/>
    <w:rsid w:val="6F1C23DC"/>
    <w:rsid w:val="6F3239AE"/>
    <w:rsid w:val="6F3A2688"/>
    <w:rsid w:val="6F3C6D26"/>
    <w:rsid w:val="6F572DF1"/>
    <w:rsid w:val="6F63000B"/>
    <w:rsid w:val="6F7756E5"/>
    <w:rsid w:val="6F836DF8"/>
    <w:rsid w:val="6F8C7562"/>
    <w:rsid w:val="6F9C57C9"/>
    <w:rsid w:val="6FB95B4E"/>
    <w:rsid w:val="6FC211D5"/>
    <w:rsid w:val="6FDD6FD0"/>
    <w:rsid w:val="6FE729EA"/>
    <w:rsid w:val="6FE949B4"/>
    <w:rsid w:val="6FED3D79"/>
    <w:rsid w:val="6FEF189F"/>
    <w:rsid w:val="6FF2313D"/>
    <w:rsid w:val="70052E70"/>
    <w:rsid w:val="70071F3C"/>
    <w:rsid w:val="700C2403"/>
    <w:rsid w:val="701D2F53"/>
    <w:rsid w:val="70213BAD"/>
    <w:rsid w:val="703D085C"/>
    <w:rsid w:val="70651B61"/>
    <w:rsid w:val="706978A3"/>
    <w:rsid w:val="70757FF6"/>
    <w:rsid w:val="707A515D"/>
    <w:rsid w:val="707B692B"/>
    <w:rsid w:val="70812E3F"/>
    <w:rsid w:val="7087197B"/>
    <w:rsid w:val="708A62E7"/>
    <w:rsid w:val="708F6BDE"/>
    <w:rsid w:val="70DD0252"/>
    <w:rsid w:val="70E17439"/>
    <w:rsid w:val="70E53421"/>
    <w:rsid w:val="70E70108"/>
    <w:rsid w:val="70F61AE9"/>
    <w:rsid w:val="70F84C7E"/>
    <w:rsid w:val="70F96E79"/>
    <w:rsid w:val="7104519C"/>
    <w:rsid w:val="71063344"/>
    <w:rsid w:val="71094BE2"/>
    <w:rsid w:val="710C778A"/>
    <w:rsid w:val="711D0E32"/>
    <w:rsid w:val="712335E9"/>
    <w:rsid w:val="714D03E9"/>
    <w:rsid w:val="714D5168"/>
    <w:rsid w:val="715252A0"/>
    <w:rsid w:val="715671C7"/>
    <w:rsid w:val="71665B90"/>
    <w:rsid w:val="717C53B4"/>
    <w:rsid w:val="71883D59"/>
    <w:rsid w:val="718F1BDB"/>
    <w:rsid w:val="71926133"/>
    <w:rsid w:val="71A31D96"/>
    <w:rsid w:val="71A62431"/>
    <w:rsid w:val="71A64371"/>
    <w:rsid w:val="71B067DE"/>
    <w:rsid w:val="71B30E36"/>
    <w:rsid w:val="71B903B6"/>
    <w:rsid w:val="71BA609A"/>
    <w:rsid w:val="71BD02AB"/>
    <w:rsid w:val="71CD1767"/>
    <w:rsid w:val="71CF3194"/>
    <w:rsid w:val="71D43ACC"/>
    <w:rsid w:val="71DC5E53"/>
    <w:rsid w:val="71DD5031"/>
    <w:rsid w:val="71E66BC9"/>
    <w:rsid w:val="71ED0094"/>
    <w:rsid w:val="72031631"/>
    <w:rsid w:val="72203606"/>
    <w:rsid w:val="7234756B"/>
    <w:rsid w:val="723637B5"/>
    <w:rsid w:val="724F7308"/>
    <w:rsid w:val="72516841"/>
    <w:rsid w:val="725D5085"/>
    <w:rsid w:val="72650A4F"/>
    <w:rsid w:val="726C7C5A"/>
    <w:rsid w:val="727A7B45"/>
    <w:rsid w:val="727C5AA3"/>
    <w:rsid w:val="728520D6"/>
    <w:rsid w:val="728E3CE7"/>
    <w:rsid w:val="7290316C"/>
    <w:rsid w:val="729D6779"/>
    <w:rsid w:val="729F75AC"/>
    <w:rsid w:val="72B03567"/>
    <w:rsid w:val="72B1602B"/>
    <w:rsid w:val="72CC4119"/>
    <w:rsid w:val="72CE1C3F"/>
    <w:rsid w:val="72E01973"/>
    <w:rsid w:val="72E43B2E"/>
    <w:rsid w:val="72EE22E1"/>
    <w:rsid w:val="72EF7E69"/>
    <w:rsid w:val="72F00081"/>
    <w:rsid w:val="72FC67AC"/>
    <w:rsid w:val="72FF4428"/>
    <w:rsid w:val="73041B05"/>
    <w:rsid w:val="730833A3"/>
    <w:rsid w:val="730C72CC"/>
    <w:rsid w:val="732E26DE"/>
    <w:rsid w:val="734D3B68"/>
    <w:rsid w:val="73644352"/>
    <w:rsid w:val="73662537"/>
    <w:rsid w:val="73A058D0"/>
    <w:rsid w:val="73AF381F"/>
    <w:rsid w:val="73BA3F4D"/>
    <w:rsid w:val="73BC418E"/>
    <w:rsid w:val="73D17C39"/>
    <w:rsid w:val="73E01C2A"/>
    <w:rsid w:val="73E21E46"/>
    <w:rsid w:val="73F76F74"/>
    <w:rsid w:val="73FB2F08"/>
    <w:rsid w:val="73FB74EA"/>
    <w:rsid w:val="74015F07"/>
    <w:rsid w:val="74026044"/>
    <w:rsid w:val="740A314B"/>
    <w:rsid w:val="740B2A1F"/>
    <w:rsid w:val="741F03B8"/>
    <w:rsid w:val="74324450"/>
    <w:rsid w:val="74346842"/>
    <w:rsid w:val="7450407C"/>
    <w:rsid w:val="74586E1A"/>
    <w:rsid w:val="74651CD4"/>
    <w:rsid w:val="746611A6"/>
    <w:rsid w:val="74784559"/>
    <w:rsid w:val="748C3B60"/>
    <w:rsid w:val="749649DF"/>
    <w:rsid w:val="74B44F85"/>
    <w:rsid w:val="74BD2A73"/>
    <w:rsid w:val="74BF5CE3"/>
    <w:rsid w:val="74D06143"/>
    <w:rsid w:val="74D3178F"/>
    <w:rsid w:val="74DA0D6F"/>
    <w:rsid w:val="74E53270"/>
    <w:rsid w:val="74EE2844"/>
    <w:rsid w:val="74F022CD"/>
    <w:rsid w:val="74F6547D"/>
    <w:rsid w:val="74F6722B"/>
    <w:rsid w:val="74FA31C0"/>
    <w:rsid w:val="750A2CD7"/>
    <w:rsid w:val="750C2973"/>
    <w:rsid w:val="750E6570"/>
    <w:rsid w:val="75235EF0"/>
    <w:rsid w:val="75297601"/>
    <w:rsid w:val="752E4C17"/>
    <w:rsid w:val="753D0298"/>
    <w:rsid w:val="75623C6A"/>
    <w:rsid w:val="75693715"/>
    <w:rsid w:val="75736ACE"/>
    <w:rsid w:val="75792336"/>
    <w:rsid w:val="75804C5D"/>
    <w:rsid w:val="75816A50"/>
    <w:rsid w:val="75967F44"/>
    <w:rsid w:val="759B41B9"/>
    <w:rsid w:val="75A4393D"/>
    <w:rsid w:val="75D152D1"/>
    <w:rsid w:val="760204EF"/>
    <w:rsid w:val="76067942"/>
    <w:rsid w:val="760D6F22"/>
    <w:rsid w:val="761F4030"/>
    <w:rsid w:val="762411CA"/>
    <w:rsid w:val="7634625D"/>
    <w:rsid w:val="76361FD5"/>
    <w:rsid w:val="763D7808"/>
    <w:rsid w:val="763F3392"/>
    <w:rsid w:val="764721AC"/>
    <w:rsid w:val="76475826"/>
    <w:rsid w:val="764A23C4"/>
    <w:rsid w:val="764C17F9"/>
    <w:rsid w:val="764F6A2C"/>
    <w:rsid w:val="765C57B4"/>
    <w:rsid w:val="766C59F7"/>
    <w:rsid w:val="767C19B2"/>
    <w:rsid w:val="768D3BBF"/>
    <w:rsid w:val="768D5025"/>
    <w:rsid w:val="76992564"/>
    <w:rsid w:val="76A258BD"/>
    <w:rsid w:val="76A708E8"/>
    <w:rsid w:val="76B41F4F"/>
    <w:rsid w:val="76B61368"/>
    <w:rsid w:val="76C75323"/>
    <w:rsid w:val="76CE7275"/>
    <w:rsid w:val="76E23F0B"/>
    <w:rsid w:val="77073972"/>
    <w:rsid w:val="770E70E4"/>
    <w:rsid w:val="771B11CB"/>
    <w:rsid w:val="77242BC9"/>
    <w:rsid w:val="77336BAB"/>
    <w:rsid w:val="773F22A7"/>
    <w:rsid w:val="774E3887"/>
    <w:rsid w:val="77512E3F"/>
    <w:rsid w:val="77544600"/>
    <w:rsid w:val="77565055"/>
    <w:rsid w:val="776445D1"/>
    <w:rsid w:val="776C147F"/>
    <w:rsid w:val="77742679"/>
    <w:rsid w:val="77831CFC"/>
    <w:rsid w:val="7789082B"/>
    <w:rsid w:val="77A3046F"/>
    <w:rsid w:val="77C321F0"/>
    <w:rsid w:val="77D446B5"/>
    <w:rsid w:val="77D47797"/>
    <w:rsid w:val="77D56838"/>
    <w:rsid w:val="77D7307B"/>
    <w:rsid w:val="77FF289B"/>
    <w:rsid w:val="780C43AC"/>
    <w:rsid w:val="78160310"/>
    <w:rsid w:val="78256C3F"/>
    <w:rsid w:val="782C7B34"/>
    <w:rsid w:val="7833293A"/>
    <w:rsid w:val="78482494"/>
    <w:rsid w:val="784D7AAA"/>
    <w:rsid w:val="785E1CB7"/>
    <w:rsid w:val="786646C8"/>
    <w:rsid w:val="786653A1"/>
    <w:rsid w:val="786A41B8"/>
    <w:rsid w:val="786E00A7"/>
    <w:rsid w:val="7872306D"/>
    <w:rsid w:val="7880578A"/>
    <w:rsid w:val="788D475C"/>
    <w:rsid w:val="788D71B5"/>
    <w:rsid w:val="789A270C"/>
    <w:rsid w:val="78A31478"/>
    <w:rsid w:val="78B72F28"/>
    <w:rsid w:val="78B83176"/>
    <w:rsid w:val="78DC470F"/>
    <w:rsid w:val="78FB5758"/>
    <w:rsid w:val="7909279A"/>
    <w:rsid w:val="790939D1"/>
    <w:rsid w:val="792C3147"/>
    <w:rsid w:val="79501600"/>
    <w:rsid w:val="795B13AA"/>
    <w:rsid w:val="795D2923"/>
    <w:rsid w:val="796A5940"/>
    <w:rsid w:val="79817A0B"/>
    <w:rsid w:val="798427C1"/>
    <w:rsid w:val="799F60E4"/>
    <w:rsid w:val="79A67472"/>
    <w:rsid w:val="79AB7214"/>
    <w:rsid w:val="79C30024"/>
    <w:rsid w:val="79CA13E9"/>
    <w:rsid w:val="79D57D57"/>
    <w:rsid w:val="79E15EBD"/>
    <w:rsid w:val="79F74E92"/>
    <w:rsid w:val="79FA13A7"/>
    <w:rsid w:val="7A0643B5"/>
    <w:rsid w:val="7A1C5986"/>
    <w:rsid w:val="7A2478BF"/>
    <w:rsid w:val="7A275531"/>
    <w:rsid w:val="7A3D5DED"/>
    <w:rsid w:val="7A462A03"/>
    <w:rsid w:val="7A552C46"/>
    <w:rsid w:val="7A5549F4"/>
    <w:rsid w:val="7A6D7F90"/>
    <w:rsid w:val="7A6F3DD5"/>
    <w:rsid w:val="7A777060"/>
    <w:rsid w:val="7A886B78"/>
    <w:rsid w:val="7A8C60F8"/>
    <w:rsid w:val="7A98460B"/>
    <w:rsid w:val="7A9C0875"/>
    <w:rsid w:val="7ABD0F17"/>
    <w:rsid w:val="7ACF0C4A"/>
    <w:rsid w:val="7AD131F4"/>
    <w:rsid w:val="7AD16519"/>
    <w:rsid w:val="7AD7365B"/>
    <w:rsid w:val="7AD973D3"/>
    <w:rsid w:val="7AF34939"/>
    <w:rsid w:val="7AF661D7"/>
    <w:rsid w:val="7B1E74DC"/>
    <w:rsid w:val="7B252618"/>
    <w:rsid w:val="7B276457"/>
    <w:rsid w:val="7B2A40D3"/>
    <w:rsid w:val="7B300E6F"/>
    <w:rsid w:val="7B570E9E"/>
    <w:rsid w:val="7B572093"/>
    <w:rsid w:val="7B58085B"/>
    <w:rsid w:val="7B684EF7"/>
    <w:rsid w:val="7B8133A9"/>
    <w:rsid w:val="7B825CBD"/>
    <w:rsid w:val="7B83101B"/>
    <w:rsid w:val="7BB06386"/>
    <w:rsid w:val="7BB120FE"/>
    <w:rsid w:val="7BBA5DAA"/>
    <w:rsid w:val="7BBF481B"/>
    <w:rsid w:val="7BC45074"/>
    <w:rsid w:val="7BF2699E"/>
    <w:rsid w:val="7C2048DD"/>
    <w:rsid w:val="7C240F7C"/>
    <w:rsid w:val="7C63164A"/>
    <w:rsid w:val="7C8F243F"/>
    <w:rsid w:val="7CA35EEB"/>
    <w:rsid w:val="7CBF3903"/>
    <w:rsid w:val="7CD12A95"/>
    <w:rsid w:val="7CDB4E15"/>
    <w:rsid w:val="7CFE4690"/>
    <w:rsid w:val="7D07053D"/>
    <w:rsid w:val="7D1312C2"/>
    <w:rsid w:val="7D142945"/>
    <w:rsid w:val="7D29431B"/>
    <w:rsid w:val="7D4F7E21"/>
    <w:rsid w:val="7D735BBE"/>
    <w:rsid w:val="7D77289C"/>
    <w:rsid w:val="7D7746DD"/>
    <w:rsid w:val="7D7B0C16"/>
    <w:rsid w:val="7D7B6E68"/>
    <w:rsid w:val="7D8F646F"/>
    <w:rsid w:val="7DA261A2"/>
    <w:rsid w:val="7DB704CD"/>
    <w:rsid w:val="7DCA74A7"/>
    <w:rsid w:val="7DD520D4"/>
    <w:rsid w:val="7DD86F86"/>
    <w:rsid w:val="7DE22A43"/>
    <w:rsid w:val="7DE247F1"/>
    <w:rsid w:val="7DEC38C1"/>
    <w:rsid w:val="7DF62044"/>
    <w:rsid w:val="7DFC3B04"/>
    <w:rsid w:val="7E040C0B"/>
    <w:rsid w:val="7E1F5A45"/>
    <w:rsid w:val="7E203B02"/>
    <w:rsid w:val="7E2431DF"/>
    <w:rsid w:val="7E3025D3"/>
    <w:rsid w:val="7E3037AE"/>
    <w:rsid w:val="7E3710E3"/>
    <w:rsid w:val="7E4A24AC"/>
    <w:rsid w:val="7E4B3119"/>
    <w:rsid w:val="7E4E5416"/>
    <w:rsid w:val="7E5C45A3"/>
    <w:rsid w:val="7E5E45E8"/>
    <w:rsid w:val="7E7062A0"/>
    <w:rsid w:val="7E725B75"/>
    <w:rsid w:val="7E851D4C"/>
    <w:rsid w:val="7E85222B"/>
    <w:rsid w:val="7E867872"/>
    <w:rsid w:val="7E933D3D"/>
    <w:rsid w:val="7EB02B41"/>
    <w:rsid w:val="7EBA2516"/>
    <w:rsid w:val="7EC23BD9"/>
    <w:rsid w:val="7EC81C39"/>
    <w:rsid w:val="7EF7251E"/>
    <w:rsid w:val="7EFD5063"/>
    <w:rsid w:val="7F052E8D"/>
    <w:rsid w:val="7F180505"/>
    <w:rsid w:val="7F1B445E"/>
    <w:rsid w:val="7F286B7B"/>
    <w:rsid w:val="7F3379FA"/>
    <w:rsid w:val="7F3D2627"/>
    <w:rsid w:val="7F4179AD"/>
    <w:rsid w:val="7F4C0ABC"/>
    <w:rsid w:val="7F533BF8"/>
    <w:rsid w:val="7F551BCA"/>
    <w:rsid w:val="7F5526E6"/>
    <w:rsid w:val="7F606315"/>
    <w:rsid w:val="7F7122D0"/>
    <w:rsid w:val="7F8F3195"/>
    <w:rsid w:val="7F8F6BFA"/>
    <w:rsid w:val="7F932247"/>
    <w:rsid w:val="7F9852DC"/>
    <w:rsid w:val="7F9D34FB"/>
    <w:rsid w:val="7FA56443"/>
    <w:rsid w:val="7FC04D9F"/>
    <w:rsid w:val="7FC40652"/>
    <w:rsid w:val="7FD5285F"/>
    <w:rsid w:val="7FD82DE6"/>
    <w:rsid w:val="7FDA7E75"/>
    <w:rsid w:val="7FE707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uiPriority="99"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99" w:name="List Bullet"/>
    <w:lsdException w:uiPriority="99" w:name="List Number"/>
    <w:lsdException w:uiPriority="99" w:name="List 2"/>
    <w:lsdException w:uiPriority="99" w:name="List 3"/>
    <w:lsdException w:uiPriority="99" w:name="List 4"/>
    <w:lsdException w:uiPriority="99" w:name="List 5"/>
    <w:lsdException w:qFormat="1" w:unhideWhenUsed="0"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99" w:semiHidden="0" w:name="Body Text 2"/>
    <w:lsdException w:qFormat="1" w:unhideWhenUsed="0" w:uiPriority="99" w:semiHidden="0" w:name="Body Text 3"/>
    <w:lsdException w:qFormat="1" w:unhideWhenUsed="0" w:uiPriority="99" w:name="Body Text Indent 2"/>
    <w:lsdException w:qFormat="1" w:unhideWhenUsed="0" w:uiPriority="99"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sz w:val="24"/>
      <w:szCs w:val="24"/>
      <w:lang w:val="en-US" w:eastAsia="en-US" w:bidi="en-US"/>
    </w:rPr>
  </w:style>
  <w:style w:type="paragraph" w:styleId="2">
    <w:name w:val="heading 1"/>
    <w:basedOn w:val="1"/>
    <w:link w:val="52"/>
    <w:qFormat/>
    <w:uiPriority w:val="9"/>
    <w:pPr>
      <w:keepNext/>
      <w:spacing w:before="240" w:after="60"/>
      <w:outlineLvl w:val="0"/>
    </w:pPr>
    <w:rPr>
      <w:rFonts w:ascii="Cambria" w:hAnsi="Cambria"/>
      <w:b/>
      <w:bCs/>
      <w:kern w:val="32"/>
      <w:sz w:val="32"/>
      <w:szCs w:val="32"/>
      <w:lang w:bidi="ar-SA"/>
    </w:rPr>
  </w:style>
  <w:style w:type="paragraph" w:styleId="3">
    <w:name w:val="heading 2"/>
    <w:basedOn w:val="1"/>
    <w:link w:val="53"/>
    <w:qFormat/>
    <w:uiPriority w:val="9"/>
    <w:pPr>
      <w:keepNext/>
      <w:spacing w:before="240" w:after="60"/>
      <w:outlineLvl w:val="1"/>
    </w:pPr>
    <w:rPr>
      <w:rFonts w:ascii="Cambria" w:hAnsi="Cambria"/>
      <w:b/>
      <w:bCs/>
      <w:i/>
      <w:iCs/>
      <w:sz w:val="28"/>
      <w:szCs w:val="28"/>
      <w:lang w:bidi="ar-SA"/>
    </w:rPr>
  </w:style>
  <w:style w:type="paragraph" w:styleId="4">
    <w:name w:val="heading 3"/>
    <w:basedOn w:val="1"/>
    <w:link w:val="54"/>
    <w:qFormat/>
    <w:uiPriority w:val="0"/>
    <w:pPr>
      <w:keepNext/>
      <w:spacing w:before="240" w:after="60"/>
      <w:outlineLvl w:val="2"/>
    </w:pPr>
    <w:rPr>
      <w:rFonts w:ascii="Cambria" w:hAnsi="Cambria"/>
      <w:b/>
      <w:bCs/>
      <w:sz w:val="26"/>
      <w:szCs w:val="26"/>
      <w:lang w:bidi="ar-SA"/>
    </w:rPr>
  </w:style>
  <w:style w:type="paragraph" w:styleId="5">
    <w:name w:val="heading 4"/>
    <w:basedOn w:val="1"/>
    <w:link w:val="55"/>
    <w:qFormat/>
    <w:uiPriority w:val="9"/>
    <w:pPr>
      <w:keepNext/>
      <w:spacing w:before="240" w:after="60"/>
      <w:outlineLvl w:val="3"/>
    </w:pPr>
    <w:rPr>
      <w:b/>
      <w:bCs/>
      <w:sz w:val="28"/>
      <w:szCs w:val="28"/>
      <w:lang w:bidi="ar-SA"/>
    </w:rPr>
  </w:style>
  <w:style w:type="paragraph" w:styleId="6">
    <w:name w:val="heading 5"/>
    <w:basedOn w:val="1"/>
    <w:link w:val="56"/>
    <w:qFormat/>
    <w:uiPriority w:val="0"/>
    <w:pPr>
      <w:spacing w:before="240" w:after="60"/>
      <w:outlineLvl w:val="4"/>
    </w:pPr>
    <w:rPr>
      <w:b/>
      <w:bCs/>
      <w:i/>
      <w:iCs/>
      <w:sz w:val="26"/>
      <w:szCs w:val="26"/>
      <w:lang w:bidi="ar-SA"/>
    </w:rPr>
  </w:style>
  <w:style w:type="paragraph" w:styleId="7">
    <w:name w:val="heading 6"/>
    <w:basedOn w:val="1"/>
    <w:link w:val="57"/>
    <w:qFormat/>
    <w:uiPriority w:val="0"/>
    <w:pPr>
      <w:spacing w:before="240" w:after="60"/>
      <w:outlineLvl w:val="5"/>
    </w:pPr>
    <w:rPr>
      <w:b/>
      <w:bCs/>
      <w:sz w:val="20"/>
      <w:szCs w:val="20"/>
      <w:lang w:bidi="ar-SA"/>
    </w:rPr>
  </w:style>
  <w:style w:type="paragraph" w:styleId="8">
    <w:name w:val="heading 7"/>
    <w:basedOn w:val="1"/>
    <w:link w:val="58"/>
    <w:qFormat/>
    <w:uiPriority w:val="0"/>
    <w:pPr>
      <w:spacing w:before="240" w:after="60"/>
      <w:outlineLvl w:val="6"/>
    </w:pPr>
    <w:rPr>
      <w:lang w:bidi="ar-SA"/>
    </w:rPr>
  </w:style>
  <w:style w:type="paragraph" w:styleId="9">
    <w:name w:val="heading 8"/>
    <w:basedOn w:val="1"/>
    <w:link w:val="59"/>
    <w:qFormat/>
    <w:uiPriority w:val="0"/>
    <w:pPr>
      <w:spacing w:before="240" w:after="60"/>
      <w:outlineLvl w:val="7"/>
    </w:pPr>
    <w:rPr>
      <w:i/>
      <w:iCs/>
      <w:lang w:bidi="ar-SA"/>
    </w:rPr>
  </w:style>
  <w:style w:type="paragraph" w:styleId="10">
    <w:name w:val="heading 9"/>
    <w:basedOn w:val="1"/>
    <w:link w:val="60"/>
    <w:qFormat/>
    <w:uiPriority w:val="0"/>
    <w:pPr>
      <w:spacing w:before="240" w:after="60"/>
      <w:outlineLvl w:val="8"/>
    </w:pPr>
    <w:rPr>
      <w:rFonts w:ascii="Cambria" w:hAnsi="Cambria"/>
      <w:sz w:val="20"/>
      <w:szCs w:val="20"/>
      <w:lang w:bidi="ar-SA"/>
    </w:rPr>
  </w:style>
  <w:style w:type="character" w:default="1" w:styleId="45">
    <w:name w:val="Default Paragraph Font"/>
    <w:semiHidden/>
    <w:unhideWhenUsed/>
    <w:qFormat/>
    <w:uiPriority w:val="1"/>
  </w:style>
  <w:style w:type="table" w:default="1" w:styleId="43">
    <w:name w:val="Normal Table"/>
    <w:semiHidden/>
    <w:unhideWhenUsed/>
    <w:uiPriority w:val="99"/>
    <w:tblPr>
      <w:tblCellMar>
        <w:top w:w="0" w:type="dxa"/>
        <w:left w:w="108" w:type="dxa"/>
        <w:bottom w:w="0" w:type="dxa"/>
        <w:right w:w="108" w:type="dxa"/>
      </w:tblCellMar>
    </w:tblPr>
  </w:style>
  <w:style w:type="paragraph" w:styleId="11">
    <w:name w:val="toc 7"/>
    <w:basedOn w:val="1"/>
    <w:qFormat/>
    <w:uiPriority w:val="39"/>
    <w:pPr>
      <w:ind w:left="1260"/>
    </w:pPr>
    <w:rPr>
      <w:sz w:val="18"/>
      <w:szCs w:val="18"/>
    </w:rPr>
  </w:style>
  <w:style w:type="paragraph" w:styleId="12">
    <w:name w:val="Normal Indent"/>
    <w:basedOn w:val="1"/>
    <w:qFormat/>
    <w:uiPriority w:val="0"/>
    <w:pPr>
      <w:ind w:firstLine="420"/>
    </w:pPr>
  </w:style>
  <w:style w:type="paragraph" w:styleId="13">
    <w:name w:val="List Bullet"/>
    <w:basedOn w:val="1"/>
    <w:semiHidden/>
    <w:qFormat/>
    <w:uiPriority w:val="99"/>
    <w:pPr>
      <w:tabs>
        <w:tab w:val="left" w:pos="360"/>
      </w:tabs>
      <w:ind w:left="360" w:hanging="360" w:hangingChars="200"/>
    </w:pPr>
  </w:style>
  <w:style w:type="paragraph" w:styleId="14">
    <w:name w:val="Document Map"/>
    <w:basedOn w:val="1"/>
    <w:link w:val="61"/>
    <w:qFormat/>
    <w:uiPriority w:val="99"/>
    <w:pPr>
      <w:shd w:val="clear" w:color="auto" w:fill="000080"/>
    </w:pPr>
    <w:rPr>
      <w:lang w:bidi="ar-SA"/>
    </w:rPr>
  </w:style>
  <w:style w:type="paragraph" w:styleId="15">
    <w:name w:val="annotation text"/>
    <w:basedOn w:val="1"/>
    <w:link w:val="62"/>
    <w:qFormat/>
    <w:uiPriority w:val="99"/>
    <w:rPr>
      <w:lang w:bidi="ar-SA"/>
    </w:rPr>
  </w:style>
  <w:style w:type="paragraph" w:styleId="16">
    <w:name w:val="Body Text 3"/>
    <w:basedOn w:val="1"/>
    <w:link w:val="63"/>
    <w:qFormat/>
    <w:uiPriority w:val="99"/>
    <w:pPr>
      <w:spacing w:after="120"/>
    </w:pPr>
    <w:rPr>
      <w:sz w:val="16"/>
      <w:szCs w:val="16"/>
      <w:lang w:bidi="ar-SA"/>
    </w:rPr>
  </w:style>
  <w:style w:type="paragraph" w:styleId="17">
    <w:name w:val="Body Text"/>
    <w:basedOn w:val="1"/>
    <w:link w:val="64"/>
    <w:qFormat/>
    <w:uiPriority w:val="99"/>
    <w:pPr>
      <w:spacing w:after="120"/>
    </w:pPr>
    <w:rPr>
      <w:lang w:bidi="ar-SA"/>
    </w:rPr>
  </w:style>
  <w:style w:type="paragraph" w:styleId="18">
    <w:name w:val="Body Text Indent"/>
    <w:basedOn w:val="1"/>
    <w:link w:val="65"/>
    <w:qFormat/>
    <w:uiPriority w:val="99"/>
    <w:pPr>
      <w:ind w:firstLine="630"/>
    </w:pPr>
    <w:rPr>
      <w:rFonts w:ascii="宋体"/>
      <w:sz w:val="20"/>
      <w:szCs w:val="20"/>
      <w:lang w:bidi="ar-SA"/>
    </w:rPr>
  </w:style>
  <w:style w:type="paragraph" w:styleId="19">
    <w:name w:val="List Bullet 2"/>
    <w:basedOn w:val="13"/>
    <w:semiHidden/>
    <w:qFormat/>
    <w:uiPriority w:val="99"/>
    <w:pPr>
      <w:tabs>
        <w:tab w:val="left" w:pos="432"/>
        <w:tab w:val="clear" w:pos="360"/>
      </w:tabs>
      <w:spacing w:after="220" w:line="220" w:lineRule="atLeast"/>
      <w:ind w:left="2160" w:right="720" w:hanging="432" w:firstLineChars="0"/>
    </w:pPr>
  </w:style>
  <w:style w:type="paragraph" w:styleId="20">
    <w:name w:val="toc 5"/>
    <w:basedOn w:val="1"/>
    <w:qFormat/>
    <w:uiPriority w:val="39"/>
    <w:pPr>
      <w:ind w:left="840"/>
    </w:pPr>
    <w:rPr>
      <w:sz w:val="18"/>
      <w:szCs w:val="18"/>
    </w:rPr>
  </w:style>
  <w:style w:type="paragraph" w:styleId="21">
    <w:name w:val="toc 3"/>
    <w:basedOn w:val="1"/>
    <w:qFormat/>
    <w:uiPriority w:val="39"/>
    <w:pPr>
      <w:ind w:left="420"/>
    </w:pPr>
    <w:rPr>
      <w:iCs/>
      <w:sz w:val="20"/>
      <w:szCs w:val="20"/>
    </w:rPr>
  </w:style>
  <w:style w:type="paragraph" w:styleId="22">
    <w:name w:val="Plain Text"/>
    <w:basedOn w:val="1"/>
    <w:link w:val="66"/>
    <w:qFormat/>
    <w:uiPriority w:val="0"/>
    <w:rPr>
      <w:rFonts w:ascii="宋体" w:hAnsi="Courier New"/>
      <w:sz w:val="20"/>
      <w:szCs w:val="20"/>
      <w:lang w:bidi="ar-SA"/>
    </w:rPr>
  </w:style>
  <w:style w:type="paragraph" w:styleId="23">
    <w:name w:val="toc 8"/>
    <w:basedOn w:val="1"/>
    <w:qFormat/>
    <w:uiPriority w:val="39"/>
    <w:pPr>
      <w:ind w:left="1470"/>
    </w:pPr>
    <w:rPr>
      <w:sz w:val="18"/>
      <w:szCs w:val="18"/>
    </w:rPr>
  </w:style>
  <w:style w:type="paragraph" w:styleId="24">
    <w:name w:val="Date"/>
    <w:basedOn w:val="1"/>
    <w:link w:val="67"/>
    <w:qFormat/>
    <w:uiPriority w:val="0"/>
    <w:pPr>
      <w:ind w:left="100" w:leftChars="2500"/>
    </w:pPr>
    <w:rPr>
      <w:rFonts w:ascii="仿宋_GB2312" w:eastAsia="仿宋_GB2312"/>
      <w:b/>
      <w:bCs/>
      <w:lang w:bidi="ar-SA"/>
    </w:rPr>
  </w:style>
  <w:style w:type="paragraph" w:styleId="25">
    <w:name w:val="Body Text Indent 2"/>
    <w:basedOn w:val="1"/>
    <w:link w:val="68"/>
    <w:semiHidden/>
    <w:qFormat/>
    <w:uiPriority w:val="99"/>
    <w:pPr>
      <w:tabs>
        <w:tab w:val="left" w:pos="4970"/>
      </w:tabs>
      <w:spacing w:line="360" w:lineRule="auto"/>
      <w:ind w:firstLine="480" w:firstLineChars="200"/>
    </w:pPr>
    <w:rPr>
      <w:lang w:bidi="ar-SA"/>
    </w:rPr>
  </w:style>
  <w:style w:type="paragraph" w:styleId="26">
    <w:name w:val="Balloon Text"/>
    <w:basedOn w:val="1"/>
    <w:link w:val="69"/>
    <w:qFormat/>
    <w:uiPriority w:val="99"/>
    <w:rPr>
      <w:sz w:val="18"/>
      <w:szCs w:val="18"/>
      <w:lang w:bidi="ar-SA"/>
    </w:rPr>
  </w:style>
  <w:style w:type="paragraph" w:styleId="27">
    <w:name w:val="footer"/>
    <w:basedOn w:val="1"/>
    <w:link w:val="70"/>
    <w:qFormat/>
    <w:uiPriority w:val="99"/>
    <w:pPr>
      <w:tabs>
        <w:tab w:val="center" w:pos="4153"/>
        <w:tab w:val="right" w:pos="8306"/>
      </w:tabs>
      <w:snapToGrid w:val="0"/>
    </w:pPr>
    <w:rPr>
      <w:sz w:val="18"/>
      <w:szCs w:val="18"/>
      <w:lang w:bidi="ar-SA"/>
    </w:rPr>
  </w:style>
  <w:style w:type="paragraph" w:styleId="28">
    <w:name w:val="header"/>
    <w:basedOn w:val="1"/>
    <w:link w:val="71"/>
    <w:qFormat/>
    <w:uiPriority w:val="99"/>
    <w:pPr>
      <w:pBdr>
        <w:bottom w:val="single" w:color="auto" w:sz="6" w:space="1"/>
      </w:pBdr>
      <w:tabs>
        <w:tab w:val="center" w:pos="4153"/>
        <w:tab w:val="right" w:pos="8306"/>
      </w:tabs>
      <w:snapToGrid w:val="0"/>
      <w:jc w:val="center"/>
    </w:pPr>
    <w:rPr>
      <w:sz w:val="18"/>
      <w:szCs w:val="18"/>
      <w:lang w:bidi="ar-SA"/>
    </w:rPr>
  </w:style>
  <w:style w:type="paragraph" w:styleId="29">
    <w:name w:val="toc 1"/>
    <w:basedOn w:val="1"/>
    <w:qFormat/>
    <w:uiPriority w:val="39"/>
    <w:pPr>
      <w:spacing w:before="120" w:after="120"/>
    </w:pPr>
    <w:rPr>
      <w:b/>
      <w:bCs/>
      <w:caps/>
      <w:sz w:val="20"/>
      <w:szCs w:val="20"/>
    </w:rPr>
  </w:style>
  <w:style w:type="paragraph" w:styleId="30">
    <w:name w:val="toc 4"/>
    <w:basedOn w:val="1"/>
    <w:qFormat/>
    <w:uiPriority w:val="39"/>
    <w:pPr>
      <w:ind w:left="630"/>
    </w:pPr>
    <w:rPr>
      <w:sz w:val="18"/>
      <w:szCs w:val="18"/>
    </w:rPr>
  </w:style>
  <w:style w:type="paragraph" w:styleId="31">
    <w:name w:val="Subtitle"/>
    <w:basedOn w:val="1"/>
    <w:link w:val="72"/>
    <w:qFormat/>
    <w:uiPriority w:val="11"/>
    <w:pPr>
      <w:spacing w:after="60"/>
      <w:jc w:val="center"/>
      <w:outlineLvl w:val="1"/>
    </w:pPr>
    <w:rPr>
      <w:rFonts w:ascii="Cambria" w:hAnsi="Cambria"/>
      <w:lang w:bidi="ar-SA"/>
    </w:rPr>
  </w:style>
  <w:style w:type="paragraph" w:styleId="32">
    <w:name w:val="toc 6"/>
    <w:basedOn w:val="1"/>
    <w:qFormat/>
    <w:uiPriority w:val="39"/>
    <w:pPr>
      <w:ind w:left="1050"/>
    </w:pPr>
    <w:rPr>
      <w:sz w:val="18"/>
      <w:szCs w:val="18"/>
    </w:rPr>
  </w:style>
  <w:style w:type="paragraph" w:styleId="33">
    <w:name w:val="Body Text Indent 3"/>
    <w:basedOn w:val="1"/>
    <w:link w:val="73"/>
    <w:semiHidden/>
    <w:qFormat/>
    <w:uiPriority w:val="99"/>
    <w:pPr>
      <w:spacing w:line="360" w:lineRule="auto"/>
      <w:ind w:left="1978" w:leftChars="942"/>
    </w:pPr>
    <w:rPr>
      <w:rFonts w:hAnsi="宋体"/>
      <w:lang w:bidi="ar-SA"/>
    </w:rPr>
  </w:style>
  <w:style w:type="paragraph" w:styleId="34">
    <w:name w:val="toc 2"/>
    <w:basedOn w:val="1"/>
    <w:qFormat/>
    <w:uiPriority w:val="39"/>
    <w:pPr>
      <w:ind w:left="210"/>
    </w:pPr>
    <w:rPr>
      <w:sz w:val="20"/>
      <w:szCs w:val="20"/>
    </w:rPr>
  </w:style>
  <w:style w:type="paragraph" w:styleId="35">
    <w:name w:val="toc 9"/>
    <w:basedOn w:val="1"/>
    <w:qFormat/>
    <w:uiPriority w:val="39"/>
    <w:pPr>
      <w:ind w:left="1680"/>
    </w:pPr>
    <w:rPr>
      <w:sz w:val="18"/>
      <w:szCs w:val="18"/>
    </w:rPr>
  </w:style>
  <w:style w:type="paragraph" w:styleId="36">
    <w:name w:val="Body Text 2"/>
    <w:basedOn w:val="1"/>
    <w:link w:val="74"/>
    <w:qFormat/>
    <w:uiPriority w:val="99"/>
    <w:rPr>
      <w:rFonts w:eastAsia="楷体_GB2312"/>
      <w:b/>
      <w:bCs/>
      <w:lang w:bidi="ar-SA"/>
    </w:rPr>
  </w:style>
  <w:style w:type="paragraph" w:styleId="37">
    <w:name w:val="HTML Preformatted"/>
    <w:basedOn w:val="1"/>
    <w:link w:val="75"/>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topLinePunct/>
    </w:pPr>
    <w:rPr>
      <w:rFonts w:ascii="宋体" w:hAnsi="宋体" w:cs="宋体"/>
      <w:szCs w:val="20"/>
      <w:lang w:eastAsia="zh-CN" w:bidi="ar-SA"/>
    </w:rPr>
  </w:style>
  <w:style w:type="paragraph" w:styleId="38">
    <w:name w:val="Normal (Web)"/>
    <w:basedOn w:val="1"/>
    <w:qFormat/>
    <w:uiPriority w:val="99"/>
    <w:pPr>
      <w:spacing w:before="100" w:beforeAutospacing="1" w:after="100" w:afterAutospacing="1"/>
    </w:pPr>
    <w:rPr>
      <w:rFonts w:ascii="宋体" w:hAnsi="宋体" w:cs="宋体"/>
    </w:rPr>
  </w:style>
  <w:style w:type="paragraph" w:styleId="39">
    <w:name w:val="Title"/>
    <w:basedOn w:val="1"/>
    <w:link w:val="76"/>
    <w:qFormat/>
    <w:uiPriority w:val="0"/>
    <w:pPr>
      <w:spacing w:before="240" w:after="60"/>
      <w:jc w:val="center"/>
      <w:outlineLvl w:val="0"/>
    </w:pPr>
    <w:rPr>
      <w:rFonts w:ascii="Cambria" w:hAnsi="Cambria"/>
      <w:b/>
      <w:bCs/>
      <w:kern w:val="28"/>
      <w:sz w:val="32"/>
      <w:szCs w:val="32"/>
      <w:lang w:bidi="ar-SA"/>
    </w:rPr>
  </w:style>
  <w:style w:type="paragraph" w:styleId="40">
    <w:name w:val="annotation subject"/>
    <w:basedOn w:val="15"/>
    <w:link w:val="77"/>
    <w:qFormat/>
    <w:uiPriority w:val="99"/>
    <w:rPr>
      <w:b/>
      <w:bCs/>
    </w:rPr>
  </w:style>
  <w:style w:type="paragraph" w:styleId="41">
    <w:name w:val="Body Text First Indent"/>
    <w:basedOn w:val="17"/>
    <w:link w:val="78"/>
    <w:qFormat/>
    <w:uiPriority w:val="0"/>
    <w:pPr>
      <w:wordWrap w:val="0"/>
      <w:topLinePunct/>
      <w:adjustRightInd w:val="0"/>
      <w:snapToGrid w:val="0"/>
      <w:spacing w:afterLines="50" w:line="360" w:lineRule="auto"/>
      <w:ind w:firstLine="420" w:firstLineChars="200"/>
      <w:jc w:val="both"/>
    </w:pPr>
    <w:rPr>
      <w:rFonts w:ascii="宋体" w:hAnsi="宋体"/>
      <w:szCs w:val="20"/>
      <w:lang w:eastAsia="zh-CN"/>
    </w:rPr>
  </w:style>
  <w:style w:type="paragraph" w:styleId="42">
    <w:name w:val="Body Text First Indent 2"/>
    <w:basedOn w:val="18"/>
    <w:qFormat/>
    <w:uiPriority w:val="0"/>
    <w:pPr>
      <w:tabs>
        <w:tab w:val="left" w:pos="567"/>
      </w:tabs>
      <w:ind w:firstLine="420" w:firstLineChars="200"/>
    </w:pPr>
  </w:style>
  <w:style w:type="table" w:styleId="44">
    <w:name w:val="Table Grid"/>
    <w:basedOn w:val="4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qFormat/>
    <w:uiPriority w:val="22"/>
    <w:rPr>
      <w:b/>
      <w:bCs/>
    </w:rPr>
  </w:style>
  <w:style w:type="character" w:styleId="47">
    <w:name w:val="page number"/>
    <w:semiHidden/>
    <w:qFormat/>
    <w:uiPriority w:val="99"/>
    <w:rPr>
      <w:rFonts w:ascii="Times New Roman" w:hAnsi="Times New Roman" w:cs="Times New Roman"/>
    </w:rPr>
  </w:style>
  <w:style w:type="character" w:styleId="48">
    <w:name w:val="FollowedHyperlink"/>
    <w:qFormat/>
    <w:uiPriority w:val="99"/>
    <w:rPr>
      <w:color w:val="800080"/>
      <w:u w:val="single"/>
    </w:rPr>
  </w:style>
  <w:style w:type="character" w:styleId="49">
    <w:name w:val="Emphasis"/>
    <w:qFormat/>
    <w:uiPriority w:val="20"/>
    <w:rPr>
      <w:rFonts w:ascii="Calibri" w:hAnsi="Calibri"/>
      <w:b/>
      <w:i/>
      <w:iCs/>
    </w:rPr>
  </w:style>
  <w:style w:type="character" w:styleId="50">
    <w:name w:val="Hyperlink"/>
    <w:qFormat/>
    <w:uiPriority w:val="99"/>
    <w:rPr>
      <w:color w:val="0000FF"/>
      <w:u w:val="single"/>
    </w:rPr>
  </w:style>
  <w:style w:type="character" w:styleId="51">
    <w:name w:val="annotation reference"/>
    <w:qFormat/>
    <w:uiPriority w:val="99"/>
    <w:rPr>
      <w:rFonts w:ascii="Times New Roman" w:hAnsi="Times New Roman" w:cs="Times New Roman"/>
      <w:sz w:val="21"/>
      <w:szCs w:val="21"/>
    </w:rPr>
  </w:style>
  <w:style w:type="character" w:customStyle="1" w:styleId="52">
    <w:name w:val="标题 1 字符1"/>
    <w:link w:val="2"/>
    <w:qFormat/>
    <w:uiPriority w:val="9"/>
    <w:rPr>
      <w:rFonts w:ascii="Cambria" w:hAnsi="Cambria" w:eastAsia="宋体" w:cs="Calibri"/>
      <w:b/>
      <w:bCs/>
      <w:kern w:val="32"/>
      <w:sz w:val="32"/>
      <w:szCs w:val="32"/>
    </w:rPr>
  </w:style>
  <w:style w:type="character" w:customStyle="1" w:styleId="53">
    <w:name w:val="标题 2 字符1"/>
    <w:link w:val="3"/>
    <w:qFormat/>
    <w:uiPriority w:val="9"/>
    <w:rPr>
      <w:rFonts w:ascii="Cambria" w:hAnsi="Cambria" w:eastAsia="宋体"/>
      <w:b/>
      <w:bCs/>
      <w:i/>
      <w:iCs/>
      <w:sz w:val="28"/>
      <w:szCs w:val="28"/>
    </w:rPr>
  </w:style>
  <w:style w:type="character" w:customStyle="1" w:styleId="54">
    <w:name w:val="标题 3 字符1"/>
    <w:link w:val="4"/>
    <w:qFormat/>
    <w:uiPriority w:val="0"/>
    <w:rPr>
      <w:rFonts w:ascii="Cambria" w:hAnsi="Cambria" w:eastAsia="宋体" w:cs="Calibri"/>
      <w:b/>
      <w:bCs/>
      <w:sz w:val="26"/>
      <w:szCs w:val="26"/>
    </w:rPr>
  </w:style>
  <w:style w:type="character" w:customStyle="1" w:styleId="55">
    <w:name w:val="标题 4 字符1"/>
    <w:link w:val="5"/>
    <w:qFormat/>
    <w:uiPriority w:val="9"/>
    <w:rPr>
      <w:rFonts w:cs="Calibri"/>
      <w:b/>
      <w:bCs/>
      <w:sz w:val="28"/>
      <w:szCs w:val="28"/>
    </w:rPr>
  </w:style>
  <w:style w:type="character" w:customStyle="1" w:styleId="56">
    <w:name w:val="标题 5 字符1"/>
    <w:link w:val="6"/>
    <w:qFormat/>
    <w:uiPriority w:val="9"/>
    <w:rPr>
      <w:rFonts w:cs="Calibri"/>
      <w:b/>
      <w:bCs/>
      <w:i/>
      <w:iCs/>
      <w:sz w:val="26"/>
      <w:szCs w:val="26"/>
    </w:rPr>
  </w:style>
  <w:style w:type="character" w:customStyle="1" w:styleId="57">
    <w:name w:val="标题 6 字符1"/>
    <w:link w:val="7"/>
    <w:qFormat/>
    <w:uiPriority w:val="9"/>
    <w:rPr>
      <w:rFonts w:cs="Calibri"/>
      <w:b/>
      <w:bCs/>
    </w:rPr>
  </w:style>
  <w:style w:type="character" w:customStyle="1" w:styleId="58">
    <w:name w:val="标题 7 字符1"/>
    <w:link w:val="8"/>
    <w:qFormat/>
    <w:uiPriority w:val="0"/>
    <w:rPr>
      <w:rFonts w:cs="Calibri"/>
      <w:sz w:val="24"/>
      <w:szCs w:val="24"/>
    </w:rPr>
  </w:style>
  <w:style w:type="character" w:customStyle="1" w:styleId="59">
    <w:name w:val="标题 8 字符1"/>
    <w:link w:val="9"/>
    <w:qFormat/>
    <w:uiPriority w:val="0"/>
    <w:rPr>
      <w:rFonts w:cs="Calibri"/>
      <w:i/>
      <w:iCs/>
      <w:sz w:val="24"/>
      <w:szCs w:val="24"/>
    </w:rPr>
  </w:style>
  <w:style w:type="character" w:customStyle="1" w:styleId="60">
    <w:name w:val="标题 9 字符1"/>
    <w:link w:val="10"/>
    <w:qFormat/>
    <w:uiPriority w:val="0"/>
    <w:rPr>
      <w:rFonts w:ascii="Cambria" w:hAnsi="Cambria" w:eastAsia="宋体" w:cs="Calibri"/>
    </w:rPr>
  </w:style>
  <w:style w:type="character" w:customStyle="1" w:styleId="61">
    <w:name w:val="文档结构图 字符1"/>
    <w:link w:val="14"/>
    <w:semiHidden/>
    <w:qFormat/>
    <w:uiPriority w:val="99"/>
    <w:rPr>
      <w:rFonts w:ascii="Times New Roman" w:hAnsi="Times New Roman" w:eastAsia="宋体" w:cs="Times New Roman"/>
      <w:sz w:val="24"/>
      <w:szCs w:val="24"/>
      <w:shd w:val="clear" w:color="auto" w:fill="000080"/>
    </w:rPr>
  </w:style>
  <w:style w:type="character" w:customStyle="1" w:styleId="62">
    <w:name w:val="批注文字 字符1"/>
    <w:link w:val="15"/>
    <w:qFormat/>
    <w:uiPriority w:val="99"/>
    <w:rPr>
      <w:rFonts w:ascii="Times New Roman" w:hAnsi="Times New Roman" w:eastAsia="宋体" w:cs="Times New Roman"/>
      <w:sz w:val="24"/>
      <w:szCs w:val="24"/>
    </w:rPr>
  </w:style>
  <w:style w:type="character" w:customStyle="1" w:styleId="63">
    <w:name w:val="正文文本 3 字符1"/>
    <w:link w:val="16"/>
    <w:qFormat/>
    <w:uiPriority w:val="99"/>
    <w:rPr>
      <w:rFonts w:ascii="Times New Roman" w:hAnsi="Times New Roman" w:eastAsia="宋体" w:cs="Times New Roman"/>
      <w:sz w:val="16"/>
      <w:szCs w:val="16"/>
    </w:rPr>
  </w:style>
  <w:style w:type="character" w:customStyle="1" w:styleId="64">
    <w:name w:val="正文文本 字符1"/>
    <w:link w:val="17"/>
    <w:qFormat/>
    <w:uiPriority w:val="99"/>
    <w:rPr>
      <w:rFonts w:ascii="Times New Roman" w:hAnsi="Times New Roman" w:eastAsia="宋体" w:cs="Times New Roman"/>
      <w:sz w:val="24"/>
      <w:szCs w:val="24"/>
    </w:rPr>
  </w:style>
  <w:style w:type="character" w:customStyle="1" w:styleId="65">
    <w:name w:val="正文文本缩进 字符1"/>
    <w:link w:val="18"/>
    <w:qFormat/>
    <w:uiPriority w:val="99"/>
    <w:rPr>
      <w:rFonts w:ascii="宋体" w:hAnsi="Times New Roman" w:eastAsia="宋体" w:cs="宋体"/>
      <w:sz w:val="20"/>
      <w:szCs w:val="20"/>
    </w:rPr>
  </w:style>
  <w:style w:type="character" w:customStyle="1" w:styleId="66">
    <w:name w:val="纯文本 字符1"/>
    <w:link w:val="22"/>
    <w:qFormat/>
    <w:uiPriority w:val="0"/>
    <w:rPr>
      <w:rFonts w:ascii="宋体" w:hAnsi="Courier New" w:eastAsia="宋体" w:cs="宋体"/>
      <w:sz w:val="20"/>
      <w:szCs w:val="20"/>
    </w:rPr>
  </w:style>
  <w:style w:type="character" w:customStyle="1" w:styleId="67">
    <w:name w:val="日期 字符1"/>
    <w:link w:val="24"/>
    <w:qFormat/>
    <w:uiPriority w:val="0"/>
    <w:rPr>
      <w:rFonts w:ascii="仿宋_GB2312" w:hAnsi="Times New Roman" w:eastAsia="仿宋_GB2312" w:cs="仿宋_GB2312"/>
      <w:b/>
      <w:bCs/>
      <w:sz w:val="24"/>
      <w:szCs w:val="24"/>
    </w:rPr>
  </w:style>
  <w:style w:type="character" w:customStyle="1" w:styleId="68">
    <w:name w:val="正文文本缩进 2 字符1"/>
    <w:link w:val="25"/>
    <w:semiHidden/>
    <w:qFormat/>
    <w:uiPriority w:val="99"/>
    <w:rPr>
      <w:rFonts w:ascii="Times New Roman" w:hAnsi="Times New Roman" w:eastAsia="宋体" w:cs="Times New Roman"/>
      <w:sz w:val="24"/>
      <w:szCs w:val="24"/>
    </w:rPr>
  </w:style>
  <w:style w:type="character" w:customStyle="1" w:styleId="69">
    <w:name w:val="批注框文本 字符1"/>
    <w:link w:val="26"/>
    <w:semiHidden/>
    <w:qFormat/>
    <w:uiPriority w:val="99"/>
    <w:rPr>
      <w:rFonts w:ascii="Times New Roman" w:hAnsi="Times New Roman" w:eastAsia="宋体" w:cs="Times New Roman"/>
      <w:sz w:val="18"/>
      <w:szCs w:val="18"/>
    </w:rPr>
  </w:style>
  <w:style w:type="character" w:customStyle="1" w:styleId="70">
    <w:name w:val="页脚 字符1"/>
    <w:link w:val="27"/>
    <w:qFormat/>
    <w:uiPriority w:val="99"/>
    <w:rPr>
      <w:sz w:val="18"/>
      <w:szCs w:val="18"/>
    </w:rPr>
  </w:style>
  <w:style w:type="character" w:customStyle="1" w:styleId="71">
    <w:name w:val="页眉 字符1"/>
    <w:link w:val="28"/>
    <w:qFormat/>
    <w:uiPriority w:val="99"/>
    <w:rPr>
      <w:sz w:val="18"/>
      <w:szCs w:val="18"/>
    </w:rPr>
  </w:style>
  <w:style w:type="character" w:customStyle="1" w:styleId="72">
    <w:name w:val="副标题 字符1"/>
    <w:link w:val="31"/>
    <w:qFormat/>
    <w:uiPriority w:val="11"/>
    <w:rPr>
      <w:rFonts w:ascii="Cambria" w:hAnsi="Cambria" w:eastAsia="宋体"/>
      <w:sz w:val="24"/>
      <w:szCs w:val="24"/>
    </w:rPr>
  </w:style>
  <w:style w:type="character" w:customStyle="1" w:styleId="73">
    <w:name w:val="正文文本缩进 3 字符1"/>
    <w:link w:val="33"/>
    <w:semiHidden/>
    <w:qFormat/>
    <w:uiPriority w:val="99"/>
    <w:rPr>
      <w:rFonts w:ascii="Times New Roman" w:hAnsi="宋体" w:eastAsia="宋体" w:cs="Times New Roman"/>
      <w:sz w:val="24"/>
      <w:szCs w:val="24"/>
    </w:rPr>
  </w:style>
  <w:style w:type="character" w:customStyle="1" w:styleId="74">
    <w:name w:val="正文文本 2 字符1"/>
    <w:link w:val="36"/>
    <w:semiHidden/>
    <w:qFormat/>
    <w:uiPriority w:val="99"/>
    <w:rPr>
      <w:rFonts w:ascii="Times New Roman" w:hAnsi="Times New Roman" w:eastAsia="楷体_GB2312" w:cs="Times New Roman"/>
      <w:b/>
      <w:bCs/>
      <w:sz w:val="24"/>
      <w:szCs w:val="24"/>
    </w:rPr>
  </w:style>
  <w:style w:type="character" w:customStyle="1" w:styleId="75">
    <w:name w:val="HTML 预设格式 字符"/>
    <w:link w:val="37"/>
    <w:qFormat/>
    <w:uiPriority w:val="99"/>
    <w:rPr>
      <w:rFonts w:ascii="宋体" w:hAnsi="宋体" w:cs="宋体"/>
      <w:sz w:val="24"/>
    </w:rPr>
  </w:style>
  <w:style w:type="character" w:customStyle="1" w:styleId="76">
    <w:name w:val="标题 字符1"/>
    <w:link w:val="39"/>
    <w:qFormat/>
    <w:uiPriority w:val="10"/>
    <w:rPr>
      <w:rFonts w:ascii="Cambria" w:hAnsi="Cambria" w:eastAsia="宋体"/>
      <w:b/>
      <w:bCs/>
      <w:kern w:val="28"/>
      <w:sz w:val="32"/>
      <w:szCs w:val="32"/>
    </w:rPr>
  </w:style>
  <w:style w:type="character" w:customStyle="1" w:styleId="77">
    <w:name w:val="批注主题 字符1"/>
    <w:link w:val="40"/>
    <w:semiHidden/>
    <w:qFormat/>
    <w:uiPriority w:val="99"/>
    <w:rPr>
      <w:rFonts w:ascii="Times New Roman" w:hAnsi="Times New Roman" w:eastAsia="宋体" w:cs="Times New Roman"/>
      <w:b/>
      <w:bCs/>
      <w:sz w:val="24"/>
      <w:szCs w:val="24"/>
    </w:rPr>
  </w:style>
  <w:style w:type="character" w:customStyle="1" w:styleId="78">
    <w:name w:val="正文文本首行缩进 字符"/>
    <w:link w:val="41"/>
    <w:qFormat/>
    <w:uiPriority w:val="0"/>
    <w:rPr>
      <w:rFonts w:ascii="宋体" w:hAnsi="宋体" w:eastAsia="宋体" w:cs="Times New Roman"/>
      <w:sz w:val="24"/>
      <w:szCs w:val="24"/>
    </w:rPr>
  </w:style>
  <w:style w:type="character" w:customStyle="1" w:styleId="79">
    <w:name w:val="标题 2 字符"/>
    <w:qFormat/>
    <w:uiPriority w:val="99"/>
    <w:rPr>
      <w:rFonts w:ascii="宋体" w:hAnsi="Arial" w:eastAsia="宋体" w:cs="宋体"/>
      <w:sz w:val="32"/>
      <w:szCs w:val="32"/>
      <w:lang w:val="en-US" w:eastAsia="zh-CN"/>
    </w:rPr>
  </w:style>
  <w:style w:type="character" w:customStyle="1" w:styleId="80">
    <w:name w:val="font81"/>
    <w:qFormat/>
    <w:uiPriority w:val="0"/>
    <w:rPr>
      <w:rFonts w:hint="eastAsia" w:ascii="宋体" w:hAnsi="宋体" w:eastAsia="宋体" w:cs="宋体"/>
      <w:color w:val="000000"/>
      <w:sz w:val="20"/>
      <w:szCs w:val="20"/>
      <w:u w:val="none"/>
    </w:rPr>
  </w:style>
  <w:style w:type="character" w:customStyle="1" w:styleId="81">
    <w:name w:val="_Style 80"/>
    <w:qFormat/>
    <w:uiPriority w:val="33"/>
    <w:rPr>
      <w:rFonts w:ascii="Cambria" w:hAnsi="Cambria" w:eastAsia="宋体"/>
      <w:b/>
      <w:i/>
      <w:sz w:val="24"/>
      <w:szCs w:val="24"/>
    </w:rPr>
  </w:style>
  <w:style w:type="character" w:customStyle="1" w:styleId="82">
    <w:name w:val="font51"/>
    <w:qFormat/>
    <w:uiPriority w:val="0"/>
    <w:rPr>
      <w:rFonts w:hint="eastAsia" w:ascii="宋体" w:hAnsi="宋体" w:eastAsia="宋体" w:cs="宋体"/>
      <w:color w:val="000000"/>
      <w:sz w:val="20"/>
      <w:szCs w:val="20"/>
      <w:u w:val="none"/>
    </w:rPr>
  </w:style>
  <w:style w:type="character" w:customStyle="1" w:styleId="83">
    <w:name w:val="apple-style-span"/>
    <w:qFormat/>
    <w:uiPriority w:val="99"/>
  </w:style>
  <w:style w:type="character" w:customStyle="1" w:styleId="84">
    <w:name w:val="页脚 字符"/>
    <w:qFormat/>
    <w:uiPriority w:val="99"/>
    <w:rPr>
      <w:sz w:val="18"/>
      <w:szCs w:val="18"/>
    </w:rPr>
  </w:style>
  <w:style w:type="character" w:customStyle="1" w:styleId="85">
    <w:name w:val="标题 1 Char1"/>
    <w:qFormat/>
    <w:uiPriority w:val="99"/>
    <w:rPr>
      <w:rFonts w:ascii="宋体" w:hAnsi="Calibri" w:eastAsia="宋体" w:cs="Calibri"/>
      <w:sz w:val="44"/>
      <w:szCs w:val="44"/>
      <w:lang w:bidi="ar-SA"/>
    </w:rPr>
  </w:style>
  <w:style w:type="character" w:customStyle="1" w:styleId="86">
    <w:name w:val="未处理的提及1"/>
    <w:unhideWhenUsed/>
    <w:qFormat/>
    <w:uiPriority w:val="99"/>
    <w:rPr>
      <w:color w:val="605E5C"/>
      <w:shd w:val="clear" w:color="auto" w:fill="E1DFDD"/>
    </w:rPr>
  </w:style>
  <w:style w:type="character" w:customStyle="1" w:styleId="87">
    <w:name w:val="font21"/>
    <w:qFormat/>
    <w:uiPriority w:val="0"/>
    <w:rPr>
      <w:rFonts w:hint="eastAsia" w:ascii="宋体" w:hAnsi="宋体" w:eastAsia="宋体" w:cs="宋体"/>
      <w:color w:val="000000"/>
      <w:sz w:val="20"/>
      <w:szCs w:val="20"/>
      <w:u w:val="none"/>
      <w:vertAlign w:val="superscript"/>
    </w:rPr>
  </w:style>
  <w:style w:type="character" w:customStyle="1" w:styleId="88">
    <w:name w:val="明显引用 字符"/>
    <w:link w:val="89"/>
    <w:qFormat/>
    <w:uiPriority w:val="30"/>
    <w:rPr>
      <w:b/>
      <w:i/>
      <w:sz w:val="24"/>
    </w:rPr>
  </w:style>
  <w:style w:type="paragraph" w:styleId="89">
    <w:name w:val="Intense Quote"/>
    <w:basedOn w:val="1"/>
    <w:link w:val="88"/>
    <w:qFormat/>
    <w:uiPriority w:val="30"/>
    <w:pPr>
      <w:ind w:left="720" w:right="720"/>
    </w:pPr>
    <w:rPr>
      <w:b/>
      <w:i/>
      <w:szCs w:val="20"/>
      <w:lang w:bidi="ar-SA"/>
    </w:rPr>
  </w:style>
  <w:style w:type="character" w:customStyle="1" w:styleId="90">
    <w:name w:val="search-in-page-highlight-item"/>
    <w:qFormat/>
    <w:uiPriority w:val="0"/>
  </w:style>
  <w:style w:type="character" w:customStyle="1" w:styleId="91">
    <w:name w:val="_Style 90"/>
    <w:qFormat/>
    <w:uiPriority w:val="31"/>
    <w:rPr>
      <w:sz w:val="24"/>
      <w:szCs w:val="24"/>
      <w:u w:val="single"/>
    </w:rPr>
  </w:style>
  <w:style w:type="character" w:customStyle="1" w:styleId="92">
    <w:name w:val="标题 8 字符"/>
    <w:semiHidden/>
    <w:qFormat/>
    <w:uiPriority w:val="99"/>
    <w:rPr>
      <w:rFonts w:ascii="Arial" w:hAnsi="Arial" w:eastAsia="黑体" w:cs="Arial"/>
      <w:sz w:val="24"/>
      <w:szCs w:val="24"/>
      <w:lang w:val="en-US" w:eastAsia="zh-CN"/>
    </w:rPr>
  </w:style>
  <w:style w:type="character" w:customStyle="1" w:styleId="93">
    <w:name w:val="Intense Quote Char"/>
    <w:link w:val="94"/>
    <w:qFormat/>
    <w:uiPriority w:val="99"/>
    <w:rPr>
      <w:b/>
      <w:bCs/>
      <w:i/>
      <w:iCs/>
      <w:color w:val="4F81BD"/>
      <w:sz w:val="22"/>
      <w:szCs w:val="22"/>
    </w:rPr>
  </w:style>
  <w:style w:type="paragraph" w:customStyle="1" w:styleId="94">
    <w:name w:val="明显引用1"/>
    <w:basedOn w:val="1"/>
    <w:link w:val="93"/>
    <w:qFormat/>
    <w:uiPriority w:val="99"/>
    <w:pPr>
      <w:pBdr>
        <w:bottom w:val="single" w:color="4F81BD" w:sz="4" w:space="4"/>
      </w:pBdr>
      <w:spacing w:before="200" w:after="280"/>
      <w:ind w:left="936" w:right="936"/>
    </w:pPr>
    <w:rPr>
      <w:b/>
      <w:bCs/>
      <w:i/>
      <w:iCs/>
      <w:color w:val="4F81BD"/>
      <w:sz w:val="22"/>
      <w:szCs w:val="22"/>
      <w:lang w:bidi="ar-SA"/>
    </w:rPr>
  </w:style>
  <w:style w:type="character" w:customStyle="1" w:styleId="95">
    <w:name w:val="textcontents"/>
    <w:qFormat/>
    <w:uiPriority w:val="99"/>
  </w:style>
  <w:style w:type="character" w:customStyle="1" w:styleId="96">
    <w:name w:val="标题 5 Char1"/>
    <w:qFormat/>
    <w:uiPriority w:val="99"/>
    <w:rPr>
      <w:rFonts w:ascii="Calibri" w:hAnsi="Calibri" w:eastAsia="宋体" w:cs="Calibri"/>
      <w:b/>
      <w:bCs/>
      <w:sz w:val="28"/>
      <w:szCs w:val="28"/>
      <w:lang w:bidi="ar-SA"/>
    </w:rPr>
  </w:style>
  <w:style w:type="character" w:customStyle="1" w:styleId="97">
    <w:name w:val="标题 5 字符"/>
    <w:semiHidden/>
    <w:qFormat/>
    <w:uiPriority w:val="99"/>
    <w:rPr>
      <w:rFonts w:eastAsia="宋体"/>
      <w:b/>
      <w:bCs/>
      <w:sz w:val="28"/>
      <w:szCs w:val="28"/>
      <w:lang w:val="en-US" w:eastAsia="zh-CN"/>
    </w:rPr>
  </w:style>
  <w:style w:type="character" w:customStyle="1" w:styleId="98">
    <w:name w:val="标题 9 Char1"/>
    <w:qFormat/>
    <w:uiPriority w:val="99"/>
    <w:rPr>
      <w:rFonts w:ascii="Arial" w:hAnsi="Arial" w:eastAsia="黑体" w:cs="Calibri"/>
      <w:sz w:val="21"/>
      <w:szCs w:val="21"/>
      <w:lang w:bidi="ar-SA"/>
    </w:rPr>
  </w:style>
  <w:style w:type="character" w:customStyle="1" w:styleId="99">
    <w:name w:val="批注文字 字符"/>
    <w:semiHidden/>
    <w:qFormat/>
    <w:uiPriority w:val="99"/>
    <w:rPr>
      <w:rFonts w:ascii="Times New Roman" w:hAnsi="Times New Roman" w:eastAsia="宋体" w:cs="Times New Roman"/>
      <w:sz w:val="24"/>
      <w:szCs w:val="24"/>
    </w:rPr>
  </w:style>
  <w:style w:type="character" w:customStyle="1" w:styleId="100">
    <w:name w:val="批注框文本 字符"/>
    <w:semiHidden/>
    <w:qFormat/>
    <w:uiPriority w:val="99"/>
    <w:rPr>
      <w:rFonts w:ascii="Times New Roman" w:hAnsi="Times New Roman" w:eastAsia="宋体" w:cs="Times New Roman"/>
      <w:sz w:val="18"/>
      <w:szCs w:val="18"/>
    </w:rPr>
  </w:style>
  <w:style w:type="character" w:customStyle="1" w:styleId="101">
    <w:name w:val="日期 字符"/>
    <w:semiHidden/>
    <w:qFormat/>
    <w:uiPriority w:val="99"/>
    <w:rPr>
      <w:rFonts w:ascii="仿宋_GB2312" w:hAnsi="Times New Roman" w:eastAsia="仿宋_GB2312" w:cs="仿宋_GB2312"/>
      <w:b/>
      <w:bCs/>
      <w:sz w:val="24"/>
      <w:szCs w:val="24"/>
    </w:rPr>
  </w:style>
  <w:style w:type="character" w:customStyle="1" w:styleId="102">
    <w:name w:val="正文文本 3 字符"/>
    <w:qFormat/>
    <w:uiPriority w:val="99"/>
    <w:rPr>
      <w:rFonts w:ascii="Times New Roman" w:hAnsi="Times New Roman" w:eastAsia="宋体" w:cs="Times New Roman"/>
      <w:sz w:val="16"/>
      <w:szCs w:val="16"/>
    </w:rPr>
  </w:style>
  <w:style w:type="character" w:customStyle="1" w:styleId="103">
    <w:name w:val="标题 2 Char1"/>
    <w:qFormat/>
    <w:uiPriority w:val="99"/>
    <w:rPr>
      <w:rFonts w:ascii="宋体" w:hAnsi="Arial"/>
      <w:sz w:val="32"/>
      <w:szCs w:val="32"/>
    </w:rPr>
  </w:style>
  <w:style w:type="character" w:customStyle="1" w:styleId="104">
    <w:name w:val="正文文本 3 Char"/>
    <w:qFormat/>
    <w:uiPriority w:val="99"/>
    <w:rPr>
      <w:kern w:val="2"/>
      <w:sz w:val="16"/>
      <w:szCs w:val="16"/>
      <w:lang w:bidi="ar-SA"/>
    </w:rPr>
  </w:style>
  <w:style w:type="character" w:customStyle="1" w:styleId="105">
    <w:name w:val="15"/>
    <w:qFormat/>
    <w:uiPriority w:val="99"/>
    <w:rPr>
      <w:rFonts w:ascii="Times New Roman" w:hAnsi="Times New Roman" w:cs="Times New Roman"/>
      <w:color w:val="auto"/>
      <w:u w:val="none"/>
    </w:rPr>
  </w:style>
  <w:style w:type="character" w:customStyle="1" w:styleId="106">
    <w:name w:val="标题 3 Char1"/>
    <w:qFormat/>
    <w:uiPriority w:val="99"/>
    <w:rPr>
      <w:rFonts w:ascii="Calibri" w:hAnsi="Calibri" w:eastAsia="宋体" w:cs="Calibri"/>
      <w:b/>
      <w:bCs/>
      <w:sz w:val="32"/>
      <w:szCs w:val="32"/>
      <w:lang w:val="en-US" w:eastAsia="zh-CN" w:bidi="ar-SA"/>
    </w:rPr>
  </w:style>
  <w:style w:type="character" w:customStyle="1" w:styleId="107">
    <w:name w:val="批注主题 字符"/>
    <w:semiHidden/>
    <w:qFormat/>
    <w:uiPriority w:val="99"/>
    <w:rPr>
      <w:rFonts w:ascii="Times New Roman" w:hAnsi="Times New Roman" w:eastAsia="宋体" w:cs="Times New Roman"/>
      <w:b/>
      <w:bCs/>
      <w:sz w:val="24"/>
      <w:szCs w:val="24"/>
    </w:rPr>
  </w:style>
  <w:style w:type="character" w:customStyle="1" w:styleId="108">
    <w:name w:val="页眉 字符"/>
    <w:qFormat/>
    <w:uiPriority w:val="99"/>
    <w:rPr>
      <w:sz w:val="18"/>
      <w:szCs w:val="18"/>
    </w:rPr>
  </w:style>
  <w:style w:type="character" w:customStyle="1" w:styleId="109">
    <w:name w:val="_Style 108"/>
    <w:qFormat/>
    <w:uiPriority w:val="19"/>
    <w:rPr>
      <w:i/>
      <w:color w:val="5A5A5A"/>
    </w:rPr>
  </w:style>
  <w:style w:type="character" w:customStyle="1" w:styleId="110">
    <w:name w:val="副标题 Char1"/>
    <w:qFormat/>
    <w:uiPriority w:val="99"/>
    <w:rPr>
      <w:rFonts w:ascii="Calibri Light" w:hAnsi="Calibri Light" w:eastAsia="宋体" w:cs="Calibri Light"/>
      <w:b/>
      <w:bCs/>
      <w:kern w:val="28"/>
      <w:sz w:val="20"/>
      <w:szCs w:val="20"/>
    </w:rPr>
  </w:style>
  <w:style w:type="character" w:customStyle="1" w:styleId="111">
    <w:name w:val="p0 Char Char"/>
    <w:link w:val="112"/>
    <w:qFormat/>
    <w:uiPriority w:val="99"/>
    <w:rPr>
      <w:rFonts w:ascii="Times New Roman" w:hAnsi="Times New Roman" w:eastAsia="宋体" w:cs="Times New Roman"/>
      <w:kern w:val="0"/>
      <w:sz w:val="21"/>
      <w:szCs w:val="21"/>
    </w:rPr>
  </w:style>
  <w:style w:type="paragraph" w:customStyle="1" w:styleId="112">
    <w:name w:val="p0"/>
    <w:basedOn w:val="1"/>
    <w:link w:val="111"/>
    <w:qFormat/>
    <w:uiPriority w:val="99"/>
    <w:rPr>
      <w:sz w:val="21"/>
      <w:szCs w:val="21"/>
      <w:lang w:bidi="ar-SA"/>
    </w:rPr>
  </w:style>
  <w:style w:type="character" w:customStyle="1" w:styleId="113">
    <w:name w:val="页脚 Char"/>
    <w:qFormat/>
    <w:uiPriority w:val="99"/>
    <w:rPr>
      <w:rFonts w:ascii="Calibri" w:hAnsi="Calibri"/>
      <w:kern w:val="2"/>
      <w:sz w:val="18"/>
      <w:szCs w:val="18"/>
      <w:lang w:bidi="ar-SA"/>
    </w:rPr>
  </w:style>
  <w:style w:type="character" w:customStyle="1" w:styleId="114">
    <w:name w:val="样式111 Char"/>
    <w:link w:val="115"/>
    <w:qFormat/>
    <w:uiPriority w:val="0"/>
    <w:rPr>
      <w:rFonts w:ascii="Calibri" w:hAnsi="Calibri" w:eastAsia="宋体"/>
      <w:kern w:val="2"/>
      <w:sz w:val="21"/>
      <w:szCs w:val="22"/>
      <w:lang w:val="en-US" w:eastAsia="zh-CN" w:bidi="ar-SA"/>
    </w:rPr>
  </w:style>
  <w:style w:type="paragraph" w:customStyle="1" w:styleId="115">
    <w:name w:val="样式111"/>
    <w:basedOn w:val="1"/>
    <w:link w:val="114"/>
    <w:qFormat/>
    <w:uiPriority w:val="0"/>
    <w:pPr>
      <w:ind w:left="550" w:leftChars="550"/>
    </w:pPr>
    <w:rPr>
      <w:rFonts w:ascii="Calibri" w:hAnsi="Calibri"/>
      <w:kern w:val="2"/>
      <w:sz w:val="21"/>
      <w:szCs w:val="22"/>
      <w:lang w:eastAsia="zh-CN" w:bidi="ar-SA"/>
    </w:rPr>
  </w:style>
  <w:style w:type="character" w:customStyle="1" w:styleId="116">
    <w:name w:val="标题 6 字符"/>
    <w:semiHidden/>
    <w:qFormat/>
    <w:uiPriority w:val="99"/>
    <w:rPr>
      <w:rFonts w:ascii="Arial" w:hAnsi="Arial" w:eastAsia="黑体" w:cs="Arial"/>
      <w:b/>
      <w:bCs/>
      <w:sz w:val="24"/>
      <w:szCs w:val="24"/>
      <w:lang w:val="en-US" w:eastAsia="zh-CN"/>
    </w:rPr>
  </w:style>
  <w:style w:type="character" w:customStyle="1" w:styleId="117">
    <w:name w:val="标题 3 字符"/>
    <w:semiHidden/>
    <w:qFormat/>
    <w:uiPriority w:val="99"/>
    <w:rPr>
      <w:rFonts w:eastAsia="宋体"/>
      <w:b/>
      <w:bCs/>
      <w:sz w:val="32"/>
      <w:szCs w:val="32"/>
      <w:lang w:val="en-US" w:eastAsia="zh-CN"/>
    </w:rPr>
  </w:style>
  <w:style w:type="character" w:customStyle="1" w:styleId="118">
    <w:name w:val="标题 7 字符"/>
    <w:semiHidden/>
    <w:qFormat/>
    <w:uiPriority w:val="99"/>
    <w:rPr>
      <w:rFonts w:eastAsia="宋体"/>
      <w:b/>
      <w:bCs/>
      <w:sz w:val="24"/>
      <w:szCs w:val="24"/>
      <w:lang w:val="en-US" w:eastAsia="zh-CN"/>
    </w:rPr>
  </w:style>
  <w:style w:type="character" w:customStyle="1" w:styleId="119">
    <w:name w:val="标题 4 Char1"/>
    <w:qFormat/>
    <w:uiPriority w:val="99"/>
    <w:rPr>
      <w:rFonts w:ascii="Arial" w:hAnsi="Arial" w:eastAsia="黑体" w:cs="Calibri"/>
      <w:b/>
      <w:bCs/>
      <w:sz w:val="28"/>
      <w:szCs w:val="28"/>
      <w:lang w:bidi="ar-SA"/>
    </w:rPr>
  </w:style>
  <w:style w:type="character" w:customStyle="1" w:styleId="120">
    <w:name w:val="refer-count"/>
    <w:qFormat/>
    <w:uiPriority w:val="0"/>
  </w:style>
  <w:style w:type="character" w:customStyle="1" w:styleId="121">
    <w:name w:val="正文文本缩进 字符"/>
    <w:qFormat/>
    <w:uiPriority w:val="99"/>
    <w:rPr>
      <w:rFonts w:ascii="宋体" w:hAnsi="Times New Roman" w:eastAsia="宋体" w:cs="宋体"/>
      <w:sz w:val="20"/>
      <w:szCs w:val="20"/>
    </w:rPr>
  </w:style>
  <w:style w:type="character" w:customStyle="1" w:styleId="122">
    <w:name w:val="文档结构图 字符"/>
    <w:semiHidden/>
    <w:qFormat/>
    <w:uiPriority w:val="99"/>
    <w:rPr>
      <w:rFonts w:ascii="Times New Roman" w:hAnsi="Times New Roman" w:eastAsia="宋体" w:cs="Times New Roman"/>
      <w:sz w:val="24"/>
      <w:szCs w:val="24"/>
      <w:shd w:val="clear" w:color="auto" w:fill="000080"/>
    </w:rPr>
  </w:style>
  <w:style w:type="character" w:customStyle="1" w:styleId="123">
    <w:name w:val="标题 Char1"/>
    <w:qFormat/>
    <w:uiPriority w:val="99"/>
    <w:rPr>
      <w:rFonts w:ascii="Cambria" w:hAnsi="Cambria" w:eastAsia="宋体" w:cs="Cambria"/>
      <w:b/>
      <w:bCs/>
      <w:kern w:val="0"/>
      <w:sz w:val="20"/>
      <w:szCs w:val="20"/>
    </w:rPr>
  </w:style>
  <w:style w:type="character" w:customStyle="1" w:styleId="124">
    <w:name w:val="font41"/>
    <w:qFormat/>
    <w:uiPriority w:val="0"/>
    <w:rPr>
      <w:rFonts w:hint="eastAsia" w:ascii="宋体" w:hAnsi="宋体" w:eastAsia="宋体" w:cs="宋体"/>
      <w:color w:val="000000"/>
      <w:sz w:val="20"/>
      <w:szCs w:val="20"/>
      <w:u w:val="none"/>
      <w:vertAlign w:val="superscript"/>
    </w:rPr>
  </w:style>
  <w:style w:type="character" w:customStyle="1" w:styleId="125">
    <w:name w:val="引用 字符"/>
    <w:link w:val="126"/>
    <w:qFormat/>
    <w:uiPriority w:val="29"/>
    <w:rPr>
      <w:i/>
      <w:sz w:val="24"/>
      <w:szCs w:val="24"/>
    </w:rPr>
  </w:style>
  <w:style w:type="paragraph" w:styleId="126">
    <w:name w:val="Quote"/>
    <w:basedOn w:val="1"/>
    <w:link w:val="125"/>
    <w:qFormat/>
    <w:uiPriority w:val="29"/>
    <w:rPr>
      <w:i/>
      <w:lang w:bidi="ar-SA"/>
    </w:rPr>
  </w:style>
  <w:style w:type="character" w:customStyle="1" w:styleId="127">
    <w:name w:val="正文文本缩进 Char"/>
    <w:qFormat/>
    <w:uiPriority w:val="0"/>
    <w:rPr>
      <w:rFonts w:ascii="宋体" w:eastAsia="宋体"/>
      <w:kern w:val="2"/>
      <w:sz w:val="32"/>
      <w:szCs w:val="32"/>
      <w:lang w:bidi="ar-SA"/>
    </w:rPr>
  </w:style>
  <w:style w:type="character" w:customStyle="1" w:styleId="128">
    <w:name w:val="标题 9 字符"/>
    <w:semiHidden/>
    <w:qFormat/>
    <w:uiPriority w:val="99"/>
    <w:rPr>
      <w:rFonts w:ascii="Arial" w:hAnsi="Arial" w:eastAsia="黑体" w:cs="Arial"/>
      <w:sz w:val="21"/>
      <w:szCs w:val="21"/>
      <w:lang w:val="en-US" w:eastAsia="zh-CN"/>
    </w:rPr>
  </w:style>
  <w:style w:type="character" w:customStyle="1" w:styleId="129">
    <w:name w:val="font61"/>
    <w:qFormat/>
    <w:uiPriority w:val="0"/>
    <w:rPr>
      <w:rFonts w:hint="eastAsia" w:ascii="宋体" w:hAnsi="宋体" w:eastAsia="宋体" w:cs="宋体"/>
      <w:color w:val="000000"/>
      <w:sz w:val="20"/>
      <w:szCs w:val="20"/>
      <w:u w:val="none"/>
    </w:rPr>
  </w:style>
  <w:style w:type="character" w:customStyle="1" w:styleId="130">
    <w:name w:val="样式1 字符"/>
    <w:link w:val="131"/>
    <w:qFormat/>
    <w:uiPriority w:val="0"/>
    <w:rPr>
      <w:rFonts w:ascii="Calibri" w:hAnsi="Calibri"/>
      <w:b/>
      <w:kern w:val="44"/>
      <w:sz w:val="30"/>
      <w:szCs w:val="22"/>
    </w:rPr>
  </w:style>
  <w:style w:type="paragraph" w:customStyle="1" w:styleId="131">
    <w:name w:val="样式1"/>
    <w:basedOn w:val="2"/>
    <w:link w:val="130"/>
    <w:qFormat/>
    <w:uiPriority w:val="0"/>
    <w:pPr>
      <w:keepNext w:val="0"/>
      <w:wordWrap w:val="0"/>
      <w:topLinePunct/>
      <w:adjustRightInd w:val="0"/>
      <w:snapToGrid w:val="0"/>
      <w:spacing w:afterLines="50" w:line="360" w:lineRule="auto"/>
      <w:ind w:firstLine="480" w:firstLineChars="200"/>
      <w:jc w:val="center"/>
    </w:pPr>
    <w:rPr>
      <w:rFonts w:ascii="Calibri" w:hAnsi="Calibri"/>
      <w:bCs w:val="0"/>
      <w:kern w:val="44"/>
      <w:sz w:val="30"/>
      <w:szCs w:val="22"/>
      <w:lang w:eastAsia="zh-CN"/>
    </w:rPr>
  </w:style>
  <w:style w:type="character" w:customStyle="1" w:styleId="132">
    <w:name w:val="未处理的提及2"/>
    <w:unhideWhenUsed/>
    <w:qFormat/>
    <w:uiPriority w:val="99"/>
    <w:rPr>
      <w:color w:val="605E5C"/>
      <w:shd w:val="clear" w:color="auto" w:fill="E1DFDD"/>
    </w:rPr>
  </w:style>
  <w:style w:type="character" w:styleId="133">
    <w:name w:val="Placeholder Text"/>
    <w:unhideWhenUsed/>
    <w:qFormat/>
    <w:uiPriority w:val="99"/>
    <w:rPr>
      <w:color w:val="808080"/>
    </w:rPr>
  </w:style>
  <w:style w:type="character" w:customStyle="1" w:styleId="134">
    <w:name w:val="content"/>
    <w:qFormat/>
    <w:uiPriority w:val="0"/>
  </w:style>
  <w:style w:type="character" w:customStyle="1" w:styleId="135">
    <w:name w:val="font121"/>
    <w:qFormat/>
    <w:uiPriority w:val="0"/>
    <w:rPr>
      <w:rFonts w:hint="eastAsia" w:ascii="宋体" w:hAnsi="宋体" w:eastAsia="宋体" w:cs="宋体"/>
      <w:color w:val="000000"/>
      <w:sz w:val="20"/>
      <w:szCs w:val="20"/>
      <w:u w:val="none"/>
    </w:rPr>
  </w:style>
  <w:style w:type="character" w:customStyle="1" w:styleId="136">
    <w:name w:val="search-in-page-highlight-wrapper"/>
    <w:qFormat/>
    <w:uiPriority w:val="0"/>
  </w:style>
  <w:style w:type="character" w:customStyle="1" w:styleId="137">
    <w:name w:val="Char Char3"/>
    <w:qFormat/>
    <w:uiPriority w:val="99"/>
    <w:rPr>
      <w:rFonts w:ascii="宋体" w:hAnsi="宋体" w:eastAsia="宋体" w:cs="宋体"/>
      <w:sz w:val="18"/>
      <w:szCs w:val="18"/>
      <w:lang w:val="en-US" w:eastAsia="zh-CN"/>
    </w:rPr>
  </w:style>
  <w:style w:type="character" w:customStyle="1" w:styleId="138">
    <w:name w:val="apple-converted-space"/>
    <w:qFormat/>
    <w:uiPriority w:val="0"/>
  </w:style>
  <w:style w:type="character" w:customStyle="1" w:styleId="139">
    <w:name w:val="textcontents1"/>
    <w:qFormat/>
    <w:uiPriority w:val="99"/>
    <w:rPr>
      <w:color w:val="000000"/>
      <w:sz w:val="22"/>
      <w:szCs w:val="22"/>
    </w:rPr>
  </w:style>
  <w:style w:type="character" w:customStyle="1" w:styleId="140">
    <w:name w:val="标题 8 Char1"/>
    <w:qFormat/>
    <w:uiPriority w:val="99"/>
    <w:rPr>
      <w:rFonts w:ascii="Arial" w:hAnsi="Arial" w:eastAsia="黑体" w:cs="Calibri"/>
      <w:sz w:val="24"/>
      <w:szCs w:val="24"/>
      <w:lang w:bidi="ar-SA"/>
    </w:rPr>
  </w:style>
  <w:style w:type="character" w:customStyle="1" w:styleId="141">
    <w:name w:val="纯文本 字符"/>
    <w:qFormat/>
    <w:uiPriority w:val="99"/>
    <w:rPr>
      <w:rFonts w:ascii="宋体" w:hAnsi="Courier New" w:eastAsia="宋体" w:cs="宋体"/>
      <w:sz w:val="20"/>
      <w:szCs w:val="20"/>
    </w:rPr>
  </w:style>
  <w:style w:type="character" w:customStyle="1" w:styleId="142">
    <w:name w:val="标题 6 Char1"/>
    <w:qFormat/>
    <w:uiPriority w:val="99"/>
    <w:rPr>
      <w:rFonts w:ascii="Arial" w:hAnsi="Arial" w:eastAsia="黑体" w:cs="Calibri"/>
      <w:b/>
      <w:bCs/>
      <w:sz w:val="24"/>
      <w:szCs w:val="24"/>
      <w:lang w:bidi="ar-SA"/>
    </w:rPr>
  </w:style>
  <w:style w:type="character" w:customStyle="1" w:styleId="143">
    <w:name w:val="页眉 Char"/>
    <w:qFormat/>
    <w:uiPriority w:val="99"/>
    <w:rPr>
      <w:rFonts w:eastAsia="宋体"/>
      <w:sz w:val="18"/>
      <w:szCs w:val="18"/>
      <w:lang w:bidi="ar-SA"/>
    </w:rPr>
  </w:style>
  <w:style w:type="character" w:customStyle="1" w:styleId="144">
    <w:name w:val="未处理的提及3"/>
    <w:unhideWhenUsed/>
    <w:qFormat/>
    <w:uiPriority w:val="99"/>
    <w:rPr>
      <w:color w:val="605E5C"/>
      <w:shd w:val="clear" w:color="auto" w:fill="E1DFDD"/>
    </w:rPr>
  </w:style>
  <w:style w:type="character" w:customStyle="1" w:styleId="145">
    <w:name w:val="副标题 字符"/>
    <w:qFormat/>
    <w:uiPriority w:val="99"/>
    <w:rPr>
      <w:rFonts w:ascii="Calibri Light" w:hAnsi="Calibri Light" w:eastAsia="宋体" w:cs="Calibri Light"/>
      <w:b/>
      <w:bCs/>
      <w:kern w:val="28"/>
      <w:sz w:val="20"/>
      <w:szCs w:val="20"/>
    </w:rPr>
  </w:style>
  <w:style w:type="character" w:customStyle="1" w:styleId="146">
    <w:name w:val="纯文本 Char2"/>
    <w:qFormat/>
    <w:uiPriority w:val="99"/>
    <w:rPr>
      <w:rFonts w:ascii="宋体" w:hAnsi="Courier New" w:cs="仿宋_GB2312"/>
      <w:kern w:val="2"/>
      <w:sz w:val="21"/>
      <w:szCs w:val="21"/>
    </w:rPr>
  </w:style>
  <w:style w:type="character" w:customStyle="1" w:styleId="147">
    <w:name w:val="标题 字符"/>
    <w:qFormat/>
    <w:uiPriority w:val="99"/>
    <w:rPr>
      <w:rFonts w:ascii="Cambria" w:hAnsi="Cambria" w:eastAsia="宋体" w:cs="Cambria"/>
      <w:b/>
      <w:bCs/>
      <w:kern w:val="0"/>
      <w:sz w:val="20"/>
      <w:szCs w:val="20"/>
    </w:rPr>
  </w:style>
  <w:style w:type="character" w:customStyle="1" w:styleId="148">
    <w:name w:val="正文文本缩进 2 字符"/>
    <w:semiHidden/>
    <w:qFormat/>
    <w:uiPriority w:val="99"/>
    <w:rPr>
      <w:rFonts w:ascii="Times New Roman" w:hAnsi="Times New Roman" w:eastAsia="宋体" w:cs="Times New Roman"/>
      <w:sz w:val="24"/>
      <w:szCs w:val="24"/>
    </w:rPr>
  </w:style>
  <w:style w:type="character" w:customStyle="1" w:styleId="149">
    <w:name w:val="标题 7 Char1"/>
    <w:qFormat/>
    <w:uiPriority w:val="99"/>
    <w:rPr>
      <w:rFonts w:ascii="Calibri" w:hAnsi="Calibri" w:eastAsia="宋体" w:cs="Calibri"/>
      <w:b/>
      <w:bCs/>
      <w:sz w:val="24"/>
      <w:szCs w:val="24"/>
      <w:lang w:bidi="ar-SA"/>
    </w:rPr>
  </w:style>
  <w:style w:type="character" w:customStyle="1" w:styleId="150">
    <w:name w:val="正文文本 字符"/>
    <w:semiHidden/>
    <w:qFormat/>
    <w:uiPriority w:val="99"/>
    <w:rPr>
      <w:rFonts w:ascii="Times New Roman" w:hAnsi="Times New Roman" w:eastAsia="宋体" w:cs="Times New Roman"/>
      <w:sz w:val="24"/>
      <w:szCs w:val="24"/>
    </w:rPr>
  </w:style>
  <w:style w:type="character" w:customStyle="1" w:styleId="151">
    <w:name w:val="标题 1 字符"/>
    <w:qFormat/>
    <w:uiPriority w:val="99"/>
    <w:rPr>
      <w:rFonts w:ascii="宋体" w:eastAsia="宋体" w:cs="宋体"/>
      <w:sz w:val="44"/>
      <w:szCs w:val="44"/>
      <w:lang w:val="en-US" w:eastAsia="zh-CN"/>
    </w:rPr>
  </w:style>
  <w:style w:type="character" w:customStyle="1" w:styleId="152">
    <w:name w:val="纯文本 Char"/>
    <w:qFormat/>
    <w:uiPriority w:val="0"/>
    <w:rPr>
      <w:rFonts w:ascii="宋体" w:hAnsi="Courier New" w:eastAsia="宋体"/>
      <w:kern w:val="2"/>
      <w:sz w:val="21"/>
      <w:szCs w:val="21"/>
      <w:lang w:bidi="ar-SA"/>
    </w:rPr>
  </w:style>
  <w:style w:type="character" w:customStyle="1" w:styleId="153">
    <w:name w:val="_Style 152"/>
    <w:qFormat/>
    <w:uiPriority w:val="32"/>
    <w:rPr>
      <w:b/>
      <w:sz w:val="24"/>
      <w:u w:val="single"/>
    </w:rPr>
  </w:style>
  <w:style w:type="character" w:customStyle="1" w:styleId="154">
    <w:name w:val="Char Char10"/>
    <w:qFormat/>
    <w:uiPriority w:val="99"/>
    <w:rPr>
      <w:rFonts w:ascii="宋体" w:hAnsi="Courier New" w:eastAsia="宋体" w:cs="宋体"/>
      <w:kern w:val="2"/>
      <w:sz w:val="24"/>
      <w:szCs w:val="24"/>
      <w:lang w:val="en-US" w:eastAsia="zh-CN"/>
    </w:rPr>
  </w:style>
  <w:style w:type="character" w:customStyle="1" w:styleId="155">
    <w:name w:val="标题 4 字符"/>
    <w:semiHidden/>
    <w:qFormat/>
    <w:uiPriority w:val="99"/>
    <w:rPr>
      <w:rFonts w:ascii="Arial" w:hAnsi="Arial" w:eastAsia="黑体" w:cs="Arial"/>
      <w:b/>
      <w:bCs/>
      <w:sz w:val="28"/>
      <w:szCs w:val="28"/>
      <w:lang w:val="en-US" w:eastAsia="zh-CN"/>
    </w:rPr>
  </w:style>
  <w:style w:type="character" w:customStyle="1" w:styleId="156">
    <w:name w:val="law-parenthese"/>
    <w:qFormat/>
    <w:uiPriority w:val="0"/>
  </w:style>
  <w:style w:type="character" w:customStyle="1" w:styleId="157">
    <w:name w:val="_Style 156"/>
    <w:qFormat/>
    <w:uiPriority w:val="21"/>
    <w:rPr>
      <w:b/>
      <w:i/>
      <w:sz w:val="24"/>
      <w:szCs w:val="24"/>
      <w:u w:val="single"/>
    </w:rPr>
  </w:style>
  <w:style w:type="character" w:customStyle="1" w:styleId="158">
    <w:name w:val="正文文本缩进 3 字符"/>
    <w:semiHidden/>
    <w:qFormat/>
    <w:uiPriority w:val="99"/>
    <w:rPr>
      <w:rFonts w:ascii="Times New Roman" w:hAnsi="宋体" w:eastAsia="宋体" w:cs="Times New Roman"/>
      <w:sz w:val="24"/>
      <w:szCs w:val="24"/>
    </w:rPr>
  </w:style>
  <w:style w:type="character" w:customStyle="1" w:styleId="159">
    <w:name w:val="正文文本 2 字符"/>
    <w:semiHidden/>
    <w:qFormat/>
    <w:uiPriority w:val="99"/>
    <w:rPr>
      <w:rFonts w:ascii="Times New Roman" w:hAnsi="Times New Roman" w:eastAsia="楷体_GB2312" w:cs="Times New Roman"/>
      <w:b/>
      <w:bCs/>
      <w:sz w:val="24"/>
      <w:szCs w:val="24"/>
    </w:rPr>
  </w:style>
  <w:style w:type="paragraph" w:customStyle="1" w:styleId="160">
    <w:name w:val="Char Char Char Char Char Char Char"/>
    <w:basedOn w:val="1"/>
    <w:qFormat/>
    <w:uiPriority w:val="99"/>
    <w:pPr>
      <w:spacing w:after="160" w:line="240" w:lineRule="exact"/>
    </w:pPr>
    <w:rPr>
      <w:rFonts w:ascii="Arial" w:hAnsi="Arial" w:cs="Arial"/>
      <w:b/>
      <w:bCs/>
    </w:rPr>
  </w:style>
  <w:style w:type="paragraph" w:customStyle="1" w:styleId="161">
    <w:name w:val="专用标题3"/>
    <w:basedOn w:val="4"/>
    <w:qFormat/>
    <w:uiPriority w:val="0"/>
    <w:pPr>
      <w:keepLines/>
      <w:numPr>
        <w:ilvl w:val="1"/>
        <w:numId w:val="1"/>
      </w:numPr>
      <w:wordWrap w:val="0"/>
      <w:topLinePunct/>
      <w:adjustRightInd w:val="0"/>
      <w:snapToGrid w:val="0"/>
      <w:spacing w:before="0" w:afterLines="50" w:line="360" w:lineRule="auto"/>
    </w:pPr>
    <w:rPr>
      <w:rFonts w:ascii="宋体" w:hAnsi="宋体"/>
      <w:bCs w:val="0"/>
      <w:sz w:val="24"/>
      <w:szCs w:val="20"/>
      <w:lang w:eastAsia="zh-CN"/>
    </w:rPr>
  </w:style>
  <w:style w:type="paragraph" w:customStyle="1" w:styleId="162">
    <w:name w:val="协议书标题2"/>
    <w:basedOn w:val="3"/>
    <w:qFormat/>
    <w:uiPriority w:val="0"/>
    <w:pPr>
      <w:keepNext w:val="0"/>
      <w:numPr>
        <w:ilvl w:val="0"/>
        <w:numId w:val="2"/>
      </w:numPr>
      <w:tabs>
        <w:tab w:val="left" w:pos="567"/>
      </w:tabs>
      <w:wordWrap w:val="0"/>
      <w:topLinePunct/>
      <w:adjustRightInd w:val="0"/>
      <w:snapToGrid w:val="0"/>
      <w:spacing w:before="0" w:afterLines="50" w:line="360" w:lineRule="auto"/>
      <w:ind w:firstLine="0"/>
    </w:pPr>
    <w:rPr>
      <w:rFonts w:ascii="宋体" w:hAnsi="宋体"/>
      <w:bCs w:val="0"/>
      <w:i w:val="0"/>
      <w:iCs w:val="0"/>
      <w:sz w:val="24"/>
      <w:szCs w:val="20"/>
      <w:lang w:eastAsia="zh-CN"/>
    </w:rPr>
  </w:style>
  <w:style w:type="paragraph" w:customStyle="1" w:styleId="163">
    <w:name w:val="_Style 162"/>
    <w:basedOn w:val="2"/>
    <w:qFormat/>
    <w:uiPriority w:val="39"/>
    <w:pPr>
      <w:outlineLvl w:val="9"/>
    </w:pPr>
  </w:style>
  <w:style w:type="paragraph" w:customStyle="1" w:styleId="164">
    <w:name w:val="正文缩进1"/>
    <w:basedOn w:val="1"/>
    <w:qFormat/>
    <w:uiPriority w:val="0"/>
    <w:pPr>
      <w:wordWrap w:val="0"/>
      <w:topLinePunct/>
      <w:adjustRightInd w:val="0"/>
      <w:snapToGrid w:val="0"/>
      <w:spacing w:afterLines="50" w:line="360" w:lineRule="auto"/>
      <w:ind w:firstLine="420" w:firstLineChars="200"/>
      <w:jc w:val="both"/>
    </w:pPr>
    <w:rPr>
      <w:rFonts w:ascii="宋体" w:hAnsi="宋体"/>
      <w:szCs w:val="20"/>
      <w:lang w:eastAsia="zh-CN" w:bidi="ar-SA"/>
    </w:rPr>
  </w:style>
  <w:style w:type="paragraph" w:customStyle="1" w:styleId="165">
    <w:name w:val="CM31"/>
    <w:basedOn w:val="166"/>
    <w:qFormat/>
    <w:uiPriority w:val="99"/>
    <w:pPr>
      <w:spacing w:line="426" w:lineRule="atLeast"/>
    </w:pPr>
    <w:rPr>
      <w:color w:val="auto"/>
    </w:rPr>
  </w:style>
  <w:style w:type="paragraph" w:customStyle="1" w:styleId="166">
    <w:name w:val="Default"/>
    <w:qFormat/>
    <w:uiPriority w:val="0"/>
    <w:pPr>
      <w:widowControl w:val="0"/>
      <w:autoSpaceDE w:val="0"/>
      <w:autoSpaceDN w:val="0"/>
      <w:adjustRightInd w:val="0"/>
      <w:spacing w:after="200" w:line="276" w:lineRule="auto"/>
    </w:pPr>
    <w:rPr>
      <w:rFonts w:ascii="Times New Roman" w:hAnsi="Times New Roman" w:eastAsia="宋体" w:cs="Times New Roman"/>
      <w:color w:val="000000"/>
      <w:sz w:val="24"/>
      <w:szCs w:val="24"/>
      <w:lang w:val="en-US" w:eastAsia="zh-CN" w:bidi="ar-SA"/>
    </w:rPr>
  </w:style>
  <w:style w:type="paragraph" w:customStyle="1" w:styleId="167">
    <w:name w:val="font0"/>
    <w:basedOn w:val="1"/>
    <w:qFormat/>
    <w:uiPriority w:val="99"/>
    <w:pPr>
      <w:spacing w:before="100" w:beforeAutospacing="1" w:after="100" w:afterAutospacing="1"/>
    </w:pPr>
    <w:rPr>
      <w:rFonts w:ascii="宋体" w:hAnsi="宋体" w:cs="宋体"/>
    </w:rPr>
  </w:style>
  <w:style w:type="paragraph" w:customStyle="1" w:styleId="168">
    <w:name w:val="文一"/>
    <w:basedOn w:val="1"/>
    <w:qFormat/>
    <w:uiPriority w:val="99"/>
    <w:pPr>
      <w:topLinePunct/>
      <w:adjustRightInd w:val="0"/>
      <w:snapToGrid w:val="0"/>
      <w:spacing w:line="360" w:lineRule="auto"/>
      <w:ind w:firstLine="200" w:firstLineChars="200"/>
    </w:pPr>
    <w:rPr>
      <w:spacing w:val="4"/>
    </w:rPr>
  </w:style>
  <w:style w:type="paragraph" w:customStyle="1" w:styleId="169">
    <w:name w:val="列出段落2"/>
    <w:basedOn w:val="1"/>
    <w:qFormat/>
    <w:uiPriority w:val="0"/>
    <w:pPr>
      <w:ind w:firstLine="420" w:firstLineChars="200"/>
    </w:pPr>
    <w:rPr>
      <w:szCs w:val="22"/>
    </w:rPr>
  </w:style>
  <w:style w:type="paragraph" w:customStyle="1" w:styleId="170">
    <w:name w:val="TOC 标题1"/>
    <w:basedOn w:val="2"/>
    <w:qFormat/>
    <w:uiPriority w:val="99"/>
    <w:pPr>
      <w:tabs>
        <w:tab w:val="left" w:pos="432"/>
      </w:tabs>
      <w:spacing w:before="480" w:after="0" w:line="276" w:lineRule="auto"/>
      <w:outlineLvl w:val="9"/>
    </w:pPr>
    <w:rPr>
      <w:rFonts w:cs="Cambria"/>
      <w:b w:val="0"/>
      <w:bCs w:val="0"/>
      <w:color w:val="365F91"/>
    </w:rPr>
  </w:style>
  <w:style w:type="paragraph" w:styleId="171">
    <w:name w:val="No Spacing"/>
    <w:basedOn w:val="1"/>
    <w:qFormat/>
    <w:uiPriority w:val="1"/>
    <w:rPr>
      <w:szCs w:val="32"/>
    </w:rPr>
  </w:style>
  <w:style w:type="paragraph" w:customStyle="1" w:styleId="172">
    <w:name w:val="CM6"/>
    <w:basedOn w:val="166"/>
    <w:qFormat/>
    <w:uiPriority w:val="99"/>
    <w:pPr>
      <w:spacing w:line="428" w:lineRule="atLeast"/>
    </w:pPr>
    <w:rPr>
      <w:color w:val="auto"/>
    </w:rPr>
  </w:style>
  <w:style w:type="paragraph" w:customStyle="1" w:styleId="173">
    <w:name w:val="_Style 4"/>
    <w:basedOn w:val="2"/>
    <w:qFormat/>
    <w:uiPriority w:val="99"/>
    <w:pPr>
      <w:widowControl w:val="0"/>
      <w:tabs>
        <w:tab w:val="left" w:pos="432"/>
      </w:tabs>
      <w:spacing w:line="576" w:lineRule="auto"/>
      <w:jc w:val="both"/>
      <w:outlineLvl w:val="9"/>
    </w:pPr>
    <w:rPr>
      <w:rFonts w:ascii="Calibri" w:hAnsi="Calibri" w:cs="Calibri"/>
      <w:b w:val="0"/>
      <w:bCs w:val="0"/>
      <w:kern w:val="44"/>
      <w:sz w:val="44"/>
      <w:szCs w:val="44"/>
    </w:rPr>
  </w:style>
  <w:style w:type="paragraph" w:customStyle="1" w:styleId="174">
    <w:name w:val="Char"/>
    <w:basedOn w:val="1"/>
    <w:qFormat/>
    <w:uiPriority w:val="99"/>
  </w:style>
  <w:style w:type="paragraph" w:customStyle="1" w:styleId="175">
    <w:name w:val="_Style 61"/>
    <w:qFormat/>
    <w:uiPriority w:val="99"/>
    <w:pPr>
      <w:widowControl w:val="0"/>
      <w:spacing w:after="200" w:line="276" w:lineRule="auto"/>
      <w:jc w:val="both"/>
    </w:pPr>
    <w:rPr>
      <w:rFonts w:ascii="Times New Roman" w:hAnsi="Times New Roman" w:eastAsia="宋体" w:cs="Times New Roman"/>
      <w:kern w:val="2"/>
      <w:sz w:val="21"/>
      <w:szCs w:val="21"/>
      <w:lang w:val="en-US" w:eastAsia="zh-CN" w:bidi="ar-SA"/>
    </w:rPr>
  </w:style>
  <w:style w:type="paragraph" w:customStyle="1" w:styleId="176">
    <w:name w:val="x_msonormal"/>
    <w:basedOn w:val="1"/>
    <w:qFormat/>
    <w:uiPriority w:val="99"/>
    <w:pPr>
      <w:spacing w:before="100" w:beforeAutospacing="1" w:after="100" w:afterAutospacing="1"/>
    </w:pPr>
    <w:rPr>
      <w:rFonts w:ascii="宋体" w:hAnsi="宋体" w:cs="宋体"/>
    </w:rPr>
  </w:style>
  <w:style w:type="paragraph" w:customStyle="1" w:styleId="177">
    <w:name w:val="Normal_0"/>
    <w:qFormat/>
    <w:uiPriority w:val="99"/>
    <w:pPr>
      <w:spacing w:before="120" w:after="240" w:line="276" w:lineRule="auto"/>
      <w:jc w:val="both"/>
    </w:pPr>
    <w:rPr>
      <w:rFonts w:ascii="Times New Roman" w:hAnsi="Times New Roman" w:eastAsia="宋体" w:cs="Times New Roman"/>
      <w:sz w:val="22"/>
      <w:szCs w:val="22"/>
      <w:lang w:val="ru-RU" w:eastAsia="en-US" w:bidi="ar-SA"/>
    </w:rPr>
  </w:style>
  <w:style w:type="paragraph" w:customStyle="1" w:styleId="178">
    <w:name w:val="_Style 177"/>
    <w:unhideWhenUsed/>
    <w:qFormat/>
    <w:uiPriority w:val="99"/>
    <w:rPr>
      <w:rFonts w:ascii="Times New Roman" w:hAnsi="Times New Roman" w:eastAsia="宋体" w:cs="Times New Roman"/>
      <w:sz w:val="24"/>
      <w:szCs w:val="24"/>
      <w:lang w:val="en-US" w:eastAsia="en-US" w:bidi="en-US"/>
    </w:rPr>
  </w:style>
  <w:style w:type="paragraph" w:customStyle="1" w:styleId="179">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180">
    <w:name w:val="CM39"/>
    <w:basedOn w:val="166"/>
    <w:qFormat/>
    <w:uiPriority w:val="99"/>
    <w:rPr>
      <w:color w:val="auto"/>
    </w:rPr>
  </w:style>
  <w:style w:type="paragraph" w:customStyle="1" w:styleId="181">
    <w:name w:val="zhang"/>
    <w:basedOn w:val="1"/>
    <w:qFormat/>
    <w:uiPriority w:val="99"/>
    <w:pPr>
      <w:spacing w:before="100" w:beforeAutospacing="1" w:after="100" w:afterAutospacing="1"/>
    </w:pPr>
    <w:rPr>
      <w:rFonts w:ascii="宋体" w:hAnsi="宋体" w:cs="宋体"/>
      <w:b/>
      <w:bCs/>
      <w:color w:val="000000"/>
      <w:sz w:val="20"/>
      <w:szCs w:val="20"/>
    </w:rPr>
  </w:style>
  <w:style w:type="paragraph" w:customStyle="1" w:styleId="182">
    <w:name w:val="xl26"/>
    <w:basedOn w:val="1"/>
    <w:qFormat/>
    <w:uiPriority w:val="99"/>
    <w:pPr>
      <w:pBdr>
        <w:left w:val="single" w:color="auto" w:sz="4" w:space="0"/>
        <w:bottom w:val="single" w:color="auto" w:sz="4" w:space="0"/>
        <w:right w:val="single" w:color="auto" w:sz="4" w:space="0"/>
      </w:pBdr>
      <w:spacing w:before="100" w:beforeAutospacing="1" w:after="100" w:afterAutospacing="1"/>
      <w:jc w:val="center"/>
    </w:pPr>
    <w:rPr>
      <w:rFonts w:ascii="宋体" w:hAnsi="宋体" w:cs="宋体"/>
    </w:rPr>
  </w:style>
  <w:style w:type="paragraph" w:customStyle="1" w:styleId="183">
    <w:name w:val="CM25"/>
    <w:basedOn w:val="166"/>
    <w:qFormat/>
    <w:uiPriority w:val="99"/>
    <w:pPr>
      <w:spacing w:line="426" w:lineRule="atLeast"/>
    </w:pPr>
    <w:rPr>
      <w:color w:val="auto"/>
    </w:rPr>
  </w:style>
  <w:style w:type="paragraph" w:customStyle="1" w:styleId="184">
    <w:name w:val="样式8"/>
    <w:basedOn w:val="1"/>
    <w:qFormat/>
    <w:uiPriority w:val="0"/>
    <w:pPr>
      <w:wordWrap w:val="0"/>
      <w:topLinePunct/>
      <w:autoSpaceDE w:val="0"/>
      <w:autoSpaceDN w:val="0"/>
      <w:adjustRightInd w:val="0"/>
      <w:ind w:left="1274" w:leftChars="531" w:firstLine="2"/>
      <w:jc w:val="both"/>
    </w:pPr>
    <w:rPr>
      <w:rFonts w:ascii="宋体" w:hAnsi="宋体"/>
      <w:bCs/>
      <w:szCs w:val="20"/>
      <w:lang w:eastAsia="zh-CN" w:bidi="ar-SA"/>
    </w:rPr>
  </w:style>
  <w:style w:type="paragraph" w:customStyle="1" w:styleId="185">
    <w:name w:val="附件标题1"/>
    <w:qFormat/>
    <w:uiPriority w:val="0"/>
    <w:pPr>
      <w:numPr>
        <w:ilvl w:val="0"/>
        <w:numId w:val="3"/>
      </w:numPr>
      <w:tabs>
        <w:tab w:val="left" w:pos="567"/>
      </w:tabs>
      <w:adjustRightInd w:val="0"/>
      <w:snapToGrid w:val="0"/>
      <w:spacing w:afterLines="50" w:line="312" w:lineRule="auto"/>
    </w:pPr>
    <w:rPr>
      <w:rFonts w:ascii="黑体" w:hAnsi="黑体" w:eastAsia="黑体" w:cs="Times New Roman"/>
      <w:b/>
      <w:kern w:val="2"/>
      <w:sz w:val="24"/>
      <w:szCs w:val="24"/>
      <w:lang w:val="en-US" w:eastAsia="zh-CN" w:bidi="ar-SA"/>
    </w:rPr>
  </w:style>
  <w:style w:type="paragraph" w:customStyle="1" w:styleId="186">
    <w:name w:val="CM5"/>
    <w:basedOn w:val="166"/>
    <w:qFormat/>
    <w:uiPriority w:val="99"/>
    <w:pPr>
      <w:spacing w:line="428" w:lineRule="atLeast"/>
    </w:pPr>
    <w:rPr>
      <w:color w:val="auto"/>
    </w:rPr>
  </w:style>
  <w:style w:type="paragraph" w:customStyle="1" w:styleId="187">
    <w:name w:val="小标题"/>
    <w:qFormat/>
    <w:uiPriority w:val="0"/>
    <w:pPr>
      <w:tabs>
        <w:tab w:val="left" w:pos="993"/>
      </w:tabs>
      <w:adjustRightInd w:val="0"/>
      <w:snapToGrid w:val="0"/>
    </w:pPr>
    <w:rPr>
      <w:rFonts w:ascii="Times New Roman" w:hAnsi="Times New Roman" w:eastAsia="宋体" w:cs="Times New Roman"/>
      <w:bCs/>
      <w:kern w:val="2"/>
      <w:sz w:val="24"/>
      <w:szCs w:val="22"/>
      <w:lang w:val="en-US" w:eastAsia="zh-CN" w:bidi="ar-SA"/>
    </w:rPr>
  </w:style>
  <w:style w:type="paragraph" w:customStyle="1" w:styleId="188">
    <w:name w:val="Char Char Char Char Char Char Char Char Char Char Char Char Char"/>
    <w:basedOn w:val="1"/>
    <w:qFormat/>
    <w:uiPriority w:val="0"/>
    <w:pPr>
      <w:widowControl w:val="0"/>
      <w:jc w:val="both"/>
    </w:pPr>
    <w:rPr>
      <w:rFonts w:ascii="宋体" w:hAnsi="宋体"/>
      <w:kern w:val="2"/>
      <w:lang w:eastAsia="zh-CN" w:bidi="ar-SA"/>
    </w:rPr>
  </w:style>
  <w:style w:type="paragraph" w:customStyle="1" w:styleId="189">
    <w:name w:val="Main Title"/>
    <w:qFormat/>
    <w:uiPriority w:val="0"/>
    <w:pPr>
      <w:adjustRightInd w:val="0"/>
      <w:snapToGrid w:val="0"/>
      <w:spacing w:afterLines="50" w:line="360" w:lineRule="auto"/>
      <w:jc w:val="center"/>
    </w:pPr>
    <w:rPr>
      <w:rFonts w:ascii="黑体" w:hAnsi="黑体" w:eastAsia="黑体" w:cs="Times New Roman"/>
      <w:b/>
      <w:kern w:val="2"/>
      <w:sz w:val="36"/>
      <w:szCs w:val="22"/>
      <w:lang w:val="zh-CN" w:eastAsia="zh-CN" w:bidi="ar-SA"/>
    </w:rPr>
  </w:style>
  <w:style w:type="paragraph" w:customStyle="1" w:styleId="190">
    <w:name w:val="List ALPHA CAPS 1"/>
    <w:basedOn w:val="1"/>
    <w:qFormat/>
    <w:uiPriority w:val="0"/>
    <w:pPr>
      <w:numPr>
        <w:ilvl w:val="0"/>
        <w:numId w:val="4"/>
      </w:numPr>
      <w:tabs>
        <w:tab w:val="left" w:pos="22"/>
      </w:tabs>
      <w:wordWrap w:val="0"/>
      <w:topLinePunct/>
      <w:adjustRightInd w:val="0"/>
      <w:snapToGrid w:val="0"/>
      <w:spacing w:afterLines="50" w:line="288" w:lineRule="auto"/>
      <w:ind w:firstLine="200" w:firstLineChars="200"/>
      <w:jc w:val="both"/>
    </w:pPr>
    <w:rPr>
      <w:rFonts w:ascii="CG Times" w:hAnsi="CG Times"/>
      <w:sz w:val="22"/>
      <w:szCs w:val="20"/>
      <w:lang w:val="en-GB" w:eastAsia="zh-CN" w:bidi="ar-SA"/>
    </w:rPr>
  </w:style>
  <w:style w:type="paragraph" w:customStyle="1" w:styleId="191">
    <w:name w:val="through-content"/>
    <w:basedOn w:val="1"/>
    <w:qFormat/>
    <w:uiPriority w:val="0"/>
    <w:pPr>
      <w:wordWrap w:val="0"/>
      <w:topLinePunct/>
      <w:spacing w:before="100" w:beforeAutospacing="1" w:after="100" w:afterAutospacing="1"/>
    </w:pPr>
    <w:rPr>
      <w:rFonts w:ascii="宋体" w:hAnsi="宋体" w:cs="宋体"/>
      <w:szCs w:val="20"/>
      <w:lang w:eastAsia="zh-CN" w:bidi="ar-SA"/>
    </w:rPr>
  </w:style>
  <w:style w:type="paragraph" w:customStyle="1" w:styleId="192">
    <w:name w:val="样式3"/>
    <w:qFormat/>
    <w:uiPriority w:val="0"/>
    <w:pPr>
      <w:numPr>
        <w:ilvl w:val="2"/>
        <w:numId w:val="5"/>
      </w:numPr>
    </w:pPr>
    <w:rPr>
      <w:rFonts w:ascii="Times New Roman" w:hAnsi="Times New Roman" w:eastAsia="宋体" w:cs="Times New Roman"/>
      <w:bCs/>
      <w:kern w:val="2"/>
      <w:sz w:val="24"/>
      <w:szCs w:val="24"/>
      <w:lang w:val="en-US" w:eastAsia="zh-CN" w:bidi="ar-SA"/>
    </w:rPr>
  </w:style>
  <w:style w:type="paragraph" w:customStyle="1" w:styleId="193">
    <w:name w:val="TOC 标题11"/>
    <w:basedOn w:val="2"/>
    <w:unhideWhenUsed/>
    <w:qFormat/>
    <w:uiPriority w:val="39"/>
    <w:pPr>
      <w:keepNext w:val="0"/>
      <w:wordWrap w:val="0"/>
      <w:topLinePunct/>
      <w:adjustRightInd w:val="0"/>
      <w:snapToGrid w:val="0"/>
      <w:spacing w:afterLines="50" w:line="259" w:lineRule="auto"/>
      <w:ind w:firstLine="480" w:firstLineChars="200"/>
      <w:outlineLvl w:val="9"/>
    </w:pPr>
    <w:rPr>
      <w:rFonts w:ascii="Calibri Light" w:hAnsi="Calibri Light"/>
      <w:b w:val="0"/>
      <w:color w:val="2E75B5"/>
      <w:kern w:val="0"/>
      <w:lang w:eastAsia="zh-CN"/>
    </w:rPr>
  </w:style>
  <w:style w:type="paragraph" w:customStyle="1" w:styleId="194">
    <w:name w:val="Title 4"/>
    <w:qFormat/>
    <w:uiPriority w:val="0"/>
    <w:pPr>
      <w:numPr>
        <w:ilvl w:val="0"/>
        <w:numId w:val="6"/>
      </w:numPr>
      <w:ind w:left="1276" w:hanging="562"/>
      <w:jc w:val="both"/>
    </w:pPr>
    <w:rPr>
      <w:rFonts w:ascii="Times New Roman" w:hAnsi="Times New Roman" w:eastAsia="宋体" w:cs="Times New Roman"/>
      <w:kern w:val="2"/>
      <w:sz w:val="24"/>
      <w:szCs w:val="24"/>
      <w:lang w:val="en-US" w:eastAsia="zh-CN" w:bidi="ar-SA"/>
    </w:rPr>
  </w:style>
  <w:style w:type="paragraph" w:customStyle="1" w:styleId="195">
    <w:name w:val="Title 4 Chinese"/>
    <w:qFormat/>
    <w:uiPriority w:val="0"/>
    <w:pPr>
      <w:ind w:left="1276"/>
    </w:pPr>
    <w:rPr>
      <w:rFonts w:ascii="Times New Roman" w:hAnsi="Times New Roman" w:eastAsia="宋体" w:cs="Times New Roman"/>
      <w:kern w:val="2"/>
      <w:sz w:val="24"/>
      <w:szCs w:val="24"/>
      <w:lang w:val="en-US" w:eastAsia="zh-CN" w:bidi="ar-SA"/>
    </w:rPr>
  </w:style>
  <w:style w:type="paragraph" w:customStyle="1" w:styleId="196">
    <w:name w:val="通用标题2"/>
    <w:basedOn w:val="3"/>
    <w:qFormat/>
    <w:uiPriority w:val="0"/>
    <w:pPr>
      <w:keepNext w:val="0"/>
      <w:numPr>
        <w:ilvl w:val="0"/>
        <w:numId w:val="7"/>
      </w:numPr>
      <w:tabs>
        <w:tab w:val="left" w:pos="993"/>
      </w:tabs>
      <w:wordWrap w:val="0"/>
      <w:topLinePunct/>
      <w:adjustRightInd w:val="0"/>
      <w:snapToGrid w:val="0"/>
      <w:spacing w:before="0" w:afterLines="50" w:line="360" w:lineRule="auto"/>
      <w:jc w:val="both"/>
    </w:pPr>
    <w:rPr>
      <w:rFonts w:ascii="黑体" w:hAnsi="黑体" w:eastAsia="黑体"/>
      <w:bCs w:val="0"/>
      <w:i w:val="0"/>
      <w:iCs w:val="0"/>
      <w:szCs w:val="20"/>
      <w:lang w:eastAsia="zh-CN"/>
    </w:rPr>
  </w:style>
  <w:style w:type="paragraph" w:customStyle="1" w:styleId="197">
    <w:name w:val="通用标题4"/>
    <w:qFormat/>
    <w:uiPriority w:val="0"/>
    <w:pPr>
      <w:tabs>
        <w:tab w:val="left" w:pos="851"/>
      </w:tabs>
      <w:adjustRightInd w:val="0"/>
      <w:snapToGrid w:val="0"/>
      <w:spacing w:afterLines="50" w:line="360" w:lineRule="auto"/>
      <w:ind w:left="2126"/>
      <w:jc w:val="both"/>
      <w:outlineLvl w:val="3"/>
    </w:pPr>
    <w:rPr>
      <w:rFonts w:ascii="宋体" w:hAnsi="宋体" w:eastAsia="宋体" w:cs="Times New Roman"/>
      <w:kern w:val="2"/>
      <w:sz w:val="24"/>
      <w:szCs w:val="21"/>
      <w:lang w:val="en-US" w:eastAsia="zh-CN" w:bidi="ar-SA"/>
    </w:rPr>
  </w:style>
  <w:style w:type="paragraph" w:customStyle="1" w:styleId="198">
    <w:name w:val="Title 5 Chinese"/>
    <w:qFormat/>
    <w:uiPriority w:val="0"/>
    <w:pPr>
      <w:ind w:left="1701"/>
    </w:pPr>
    <w:rPr>
      <w:rFonts w:ascii="Times New Roman" w:hAnsi="Times New Roman" w:eastAsia="宋体" w:cs="Times New Roman"/>
      <w:kern w:val="2"/>
      <w:sz w:val="24"/>
      <w:szCs w:val="24"/>
      <w:lang w:val="en-US" w:eastAsia="zh-CN" w:bidi="ar-SA"/>
    </w:rPr>
  </w:style>
  <w:style w:type="paragraph" w:customStyle="1" w:styleId="199">
    <w:name w:val="Title 5"/>
    <w:qFormat/>
    <w:uiPriority w:val="0"/>
    <w:pPr>
      <w:numPr>
        <w:ilvl w:val="0"/>
        <w:numId w:val="8"/>
      </w:numPr>
      <w:ind w:left="1701" w:hanging="426"/>
      <w:jc w:val="both"/>
    </w:pPr>
    <w:rPr>
      <w:rFonts w:ascii="Times New Roman" w:hAnsi="Times New Roman" w:eastAsia="宋体" w:cs="Times New Roman"/>
      <w:kern w:val="2"/>
      <w:sz w:val="24"/>
      <w:szCs w:val="24"/>
      <w:lang w:val="en-US" w:eastAsia="zh-CN" w:bidi="ar-SA"/>
    </w:rPr>
  </w:style>
  <w:style w:type="paragraph" w:customStyle="1" w:styleId="200">
    <w:name w:val="专用标题4"/>
    <w:basedOn w:val="5"/>
    <w:qFormat/>
    <w:uiPriority w:val="0"/>
    <w:pPr>
      <w:keepLines/>
      <w:numPr>
        <w:ilvl w:val="2"/>
        <w:numId w:val="1"/>
      </w:numPr>
      <w:adjustRightInd w:val="0"/>
      <w:snapToGrid w:val="0"/>
      <w:spacing w:before="0" w:after="0"/>
    </w:pPr>
    <w:rPr>
      <w:rFonts w:ascii="Arial" w:hAnsi="Arial"/>
      <w:b w:val="0"/>
      <w:bCs w:val="0"/>
      <w:kern w:val="2"/>
      <w:szCs w:val="22"/>
      <w:lang w:eastAsia="zh-CN"/>
    </w:rPr>
  </w:style>
  <w:style w:type="paragraph" w:customStyle="1" w:styleId="201">
    <w:name w:val="通用标题7"/>
    <w:basedOn w:val="1"/>
    <w:qFormat/>
    <w:uiPriority w:val="0"/>
    <w:pPr>
      <w:numPr>
        <w:ilvl w:val="5"/>
        <w:numId w:val="7"/>
      </w:numPr>
      <w:wordWrap w:val="0"/>
      <w:topLinePunct/>
      <w:adjustRightInd w:val="0"/>
      <w:snapToGrid w:val="0"/>
      <w:spacing w:afterLines="50" w:line="360" w:lineRule="auto"/>
      <w:ind w:firstLine="200" w:firstLineChars="200"/>
      <w:jc w:val="both"/>
    </w:pPr>
    <w:rPr>
      <w:rFonts w:ascii="宋体" w:hAnsi="宋体"/>
      <w:szCs w:val="20"/>
      <w:lang w:eastAsia="zh-CN" w:bidi="ar-SA"/>
    </w:rPr>
  </w:style>
  <w:style w:type="paragraph" w:customStyle="1" w:styleId="202">
    <w:name w:val="LIST ALPHA CAPS 2"/>
    <w:basedOn w:val="1"/>
    <w:qFormat/>
    <w:uiPriority w:val="0"/>
    <w:pPr>
      <w:numPr>
        <w:ilvl w:val="1"/>
        <w:numId w:val="4"/>
      </w:numPr>
      <w:tabs>
        <w:tab w:val="left" w:pos="50"/>
      </w:tabs>
      <w:wordWrap w:val="0"/>
      <w:topLinePunct/>
      <w:adjustRightInd w:val="0"/>
      <w:snapToGrid w:val="0"/>
      <w:spacing w:afterLines="50" w:line="288" w:lineRule="auto"/>
      <w:ind w:firstLine="200" w:firstLineChars="200"/>
      <w:jc w:val="both"/>
    </w:pPr>
    <w:rPr>
      <w:rFonts w:ascii="CG Times" w:hAnsi="CG Times"/>
      <w:sz w:val="22"/>
      <w:szCs w:val="20"/>
      <w:lang w:val="en-GB" w:eastAsia="zh-CN" w:bidi="ar-SA"/>
    </w:rPr>
  </w:style>
  <w:style w:type="paragraph" w:customStyle="1" w:styleId="203">
    <w:name w:val="TOC 标题2"/>
    <w:basedOn w:val="2"/>
    <w:qFormat/>
    <w:uiPriority w:val="0"/>
    <w:pPr>
      <w:keepLines/>
      <w:widowControl w:val="0"/>
      <w:wordWrap w:val="0"/>
      <w:topLinePunct/>
      <w:spacing w:before="260" w:afterLines="50" w:line="413" w:lineRule="auto"/>
      <w:ind w:firstLine="480" w:firstLineChars="200"/>
      <w:jc w:val="center"/>
    </w:pPr>
    <w:rPr>
      <w:rFonts w:ascii="宋体" w:hAnsi="宋体"/>
      <w:kern w:val="44"/>
      <w:sz w:val="36"/>
      <w:szCs w:val="44"/>
      <w:lang w:val="zh-CN" w:eastAsia="zh-CN"/>
    </w:rPr>
  </w:style>
  <w:style w:type="paragraph" w:customStyle="1" w:styleId="204">
    <w:name w:val="table"/>
    <w:qFormat/>
    <w:uiPriority w:val="0"/>
    <w:pPr>
      <w:framePr w:hSpace="180" w:wrap="around" w:vAnchor="text" w:hAnchor="margin" w:y="1416"/>
      <w:adjustRightInd w:val="0"/>
      <w:snapToGrid w:val="0"/>
    </w:pPr>
    <w:rPr>
      <w:rFonts w:ascii="宋体" w:hAnsi="Times New Roman" w:eastAsia="宋体" w:cs="Times New Roman"/>
      <w:kern w:val="2"/>
      <w:sz w:val="24"/>
      <w:szCs w:val="22"/>
      <w:lang w:val="en-US" w:eastAsia="zh-CN" w:bidi="ar-SA"/>
    </w:rPr>
  </w:style>
  <w:style w:type="paragraph" w:customStyle="1" w:styleId="205">
    <w:name w:val="通用标题5"/>
    <w:qFormat/>
    <w:uiPriority w:val="0"/>
    <w:pPr>
      <w:widowControl w:val="0"/>
      <w:tabs>
        <w:tab w:val="left" w:pos="1134"/>
      </w:tabs>
      <w:autoSpaceDE w:val="0"/>
      <w:autoSpaceDN w:val="0"/>
      <w:adjustRightInd w:val="0"/>
      <w:snapToGrid w:val="0"/>
      <w:spacing w:afterLines="50" w:line="360" w:lineRule="auto"/>
      <w:ind w:left="710"/>
      <w:jc w:val="both"/>
    </w:pPr>
    <w:rPr>
      <w:rFonts w:ascii="宋体" w:hAnsi="宋体" w:eastAsia="宋体" w:cs="Times New Roman"/>
      <w:kern w:val="2"/>
      <w:sz w:val="24"/>
      <w:szCs w:val="21"/>
      <w:lang w:val="en-US" w:eastAsia="zh-CN" w:bidi="ar-SA"/>
    </w:rPr>
  </w:style>
  <w:style w:type="paragraph" w:customStyle="1" w:styleId="206">
    <w:name w:val="修订1"/>
    <w:semiHidden/>
    <w:qFormat/>
    <w:uiPriority w:val="99"/>
    <w:rPr>
      <w:rFonts w:ascii="宋体" w:hAnsi="Times New Roman" w:eastAsia="宋体" w:cs="Times New Roman"/>
      <w:kern w:val="2"/>
      <w:sz w:val="24"/>
      <w:szCs w:val="22"/>
      <w:lang w:val="en-US" w:eastAsia="zh-CN" w:bidi="ar-SA"/>
    </w:rPr>
  </w:style>
  <w:style w:type="paragraph" w:customStyle="1" w:styleId="207">
    <w:name w:val="LIST ALPHA CAPS 3"/>
    <w:basedOn w:val="1"/>
    <w:qFormat/>
    <w:uiPriority w:val="0"/>
    <w:pPr>
      <w:numPr>
        <w:ilvl w:val="2"/>
        <w:numId w:val="4"/>
      </w:numPr>
      <w:tabs>
        <w:tab w:val="left" w:pos="68"/>
      </w:tabs>
      <w:wordWrap w:val="0"/>
      <w:topLinePunct/>
      <w:adjustRightInd w:val="0"/>
      <w:snapToGrid w:val="0"/>
      <w:spacing w:afterLines="50" w:line="288" w:lineRule="auto"/>
      <w:ind w:firstLine="200" w:firstLineChars="200"/>
      <w:jc w:val="both"/>
    </w:pPr>
    <w:rPr>
      <w:rFonts w:ascii="CG Times" w:hAnsi="CG Times"/>
      <w:sz w:val="22"/>
      <w:szCs w:val="20"/>
      <w:lang w:val="en-GB" w:eastAsia="zh-CN" w:bidi="ar-SA"/>
    </w:rPr>
  </w:style>
  <w:style w:type="paragraph" w:customStyle="1" w:styleId="208">
    <w:name w:val="专用标题2"/>
    <w:basedOn w:val="3"/>
    <w:qFormat/>
    <w:uiPriority w:val="0"/>
    <w:pPr>
      <w:keepNext w:val="0"/>
      <w:tabs>
        <w:tab w:val="left" w:pos="993"/>
      </w:tabs>
      <w:adjustRightInd w:val="0"/>
      <w:snapToGrid w:val="0"/>
      <w:spacing w:before="0" w:afterLines="50" w:line="360" w:lineRule="auto"/>
      <w:jc w:val="both"/>
    </w:pPr>
    <w:rPr>
      <w:rFonts w:ascii="宋体" w:hAnsi="宋体" w:cs="Times"/>
      <w:bCs w:val="0"/>
      <w:i w:val="0"/>
      <w:iCs w:val="0"/>
      <w:szCs w:val="20"/>
      <w:lang w:eastAsia="zh-CN"/>
    </w:rPr>
  </w:style>
  <w:style w:type="paragraph" w:customStyle="1" w:styleId="209">
    <w:name w:val="缩进2中"/>
    <w:qFormat/>
    <w:uiPriority w:val="0"/>
    <w:pPr>
      <w:ind w:left="708" w:leftChars="295"/>
      <w:jc w:val="both"/>
    </w:pPr>
    <w:rPr>
      <w:rFonts w:ascii="Times" w:hAnsi="Times" w:eastAsia="宋体" w:cs="Times New Roman"/>
      <w:kern w:val="2"/>
      <w:sz w:val="24"/>
      <w:szCs w:val="22"/>
      <w:lang w:val="en-US" w:eastAsia="zh-CN" w:bidi="ar-SA"/>
    </w:rPr>
  </w:style>
  <w:style w:type="paragraph" w:customStyle="1" w:styleId="210">
    <w:name w:val="附件标题"/>
    <w:basedOn w:val="3"/>
    <w:qFormat/>
    <w:uiPriority w:val="0"/>
    <w:pPr>
      <w:keepLines/>
      <w:numPr>
        <w:ilvl w:val="0"/>
        <w:numId w:val="9"/>
      </w:numPr>
      <w:tabs>
        <w:tab w:val="left" w:pos="1134"/>
      </w:tabs>
      <w:wordWrap w:val="0"/>
      <w:topLinePunct/>
      <w:adjustRightInd w:val="0"/>
      <w:snapToGrid w:val="0"/>
      <w:spacing w:before="0" w:afterLines="50" w:line="360" w:lineRule="auto"/>
      <w:ind w:firstLine="0"/>
      <w:jc w:val="center"/>
    </w:pPr>
    <w:rPr>
      <w:rFonts w:ascii="黑体" w:hAnsi="黑体" w:eastAsia="黑体"/>
      <w:bCs w:val="0"/>
      <w:i w:val="0"/>
      <w:iCs w:val="0"/>
      <w:sz w:val="30"/>
      <w:szCs w:val="30"/>
      <w:lang w:eastAsia="zh-CN"/>
    </w:rPr>
  </w:style>
  <w:style w:type="paragraph" w:customStyle="1" w:styleId="211">
    <w:name w:val="列表段落1"/>
    <w:basedOn w:val="1"/>
    <w:qFormat/>
    <w:uiPriority w:val="34"/>
    <w:pPr>
      <w:widowControl w:val="0"/>
      <w:spacing w:line="560" w:lineRule="exact"/>
      <w:ind w:firstLine="420" w:firstLineChars="200"/>
      <w:jc w:val="both"/>
    </w:pPr>
    <w:rPr>
      <w:rFonts w:ascii="等线" w:hAnsi="等线"/>
      <w:kern w:val="2"/>
      <w:sz w:val="28"/>
      <w:szCs w:val="22"/>
      <w:lang w:eastAsia="zh-CN" w:bidi="ar-SA"/>
    </w:rPr>
  </w:style>
  <w:style w:type="paragraph" w:customStyle="1" w:styleId="212">
    <w:name w:val="正文 A"/>
    <w:qFormat/>
    <w:uiPriority w:val="0"/>
    <w:pPr>
      <w:widowControl w:val="0"/>
      <w:pBdr>
        <w:top w:val="none" w:color="FFFFFF" w:sz="0" w:space="31"/>
        <w:left w:val="none" w:color="FFFFFF" w:sz="0" w:space="31"/>
        <w:bottom w:val="none" w:color="FFFFFF" w:sz="0" w:space="31"/>
        <w:right w:val="none" w:color="FFFFFF" w:sz="0" w:space="31"/>
      </w:pBdr>
      <w:jc w:val="both"/>
    </w:pPr>
    <w:rPr>
      <w:rFonts w:ascii="Times New Roman" w:hAnsi="Arial Unicode MS" w:eastAsia="Times New Roman" w:cs="Arial Unicode MS"/>
      <w:color w:val="000000"/>
      <w:kern w:val="2"/>
      <w:sz w:val="21"/>
      <w:szCs w:val="21"/>
      <w:lang w:val="en-US" w:eastAsia="zh-CN" w:bidi="ar-SA"/>
    </w:rPr>
  </w:style>
  <w:style w:type="paragraph" w:styleId="213">
    <w:name w:val="List Paragraph"/>
    <w:basedOn w:val="1"/>
    <w:qFormat/>
    <w:uiPriority w:val="34"/>
    <w:pPr>
      <w:ind w:left="720"/>
      <w:contextualSpacing/>
    </w:pPr>
  </w:style>
  <w:style w:type="paragraph" w:customStyle="1" w:styleId="214">
    <w:name w:val="List Paragraph1"/>
    <w:basedOn w:val="1"/>
    <w:qFormat/>
    <w:uiPriority w:val="99"/>
    <w:pPr>
      <w:ind w:firstLine="420" w:firstLineChars="200"/>
    </w:pPr>
  </w:style>
  <w:style w:type="paragraph" w:customStyle="1" w:styleId="215">
    <w:name w:val="通用标题6"/>
    <w:basedOn w:val="1"/>
    <w:qFormat/>
    <w:uiPriority w:val="0"/>
    <w:pPr>
      <w:tabs>
        <w:tab w:val="left" w:pos="993"/>
      </w:tabs>
      <w:adjustRightInd w:val="0"/>
      <w:snapToGrid w:val="0"/>
      <w:spacing w:afterLines="50" w:line="360" w:lineRule="auto"/>
      <w:ind w:left="310"/>
      <w:jc w:val="both"/>
    </w:pPr>
    <w:rPr>
      <w:rFonts w:ascii="宋体" w:hAnsi="宋体"/>
      <w:szCs w:val="20"/>
      <w:lang w:eastAsia="zh-CN" w:bidi="ar-SA"/>
    </w:rPr>
  </w:style>
  <w:style w:type="paragraph" w:customStyle="1" w:styleId="216">
    <w:name w:val="通用标题3"/>
    <w:qFormat/>
    <w:uiPriority w:val="0"/>
    <w:pPr>
      <w:widowControl w:val="0"/>
      <w:tabs>
        <w:tab w:val="left" w:pos="851"/>
      </w:tabs>
      <w:adjustRightInd w:val="0"/>
      <w:snapToGrid w:val="0"/>
      <w:spacing w:afterLines="50" w:line="360" w:lineRule="auto"/>
      <w:ind w:left="1843"/>
      <w:jc w:val="both"/>
      <w:outlineLvl w:val="2"/>
    </w:pPr>
    <w:rPr>
      <w:rFonts w:ascii="黑体" w:hAnsi="黑体" w:eastAsia="黑体" w:cs="Times New Roman"/>
      <w:b/>
      <w:kern w:val="2"/>
      <w:sz w:val="24"/>
      <w:szCs w:val="24"/>
      <w:lang w:val="en-US" w:eastAsia="zh-CN" w:bidi="ar-SA"/>
    </w:rPr>
  </w:style>
  <w:style w:type="paragraph" w:customStyle="1" w:styleId="217">
    <w:name w:val="CM35"/>
    <w:basedOn w:val="166"/>
    <w:qFormat/>
    <w:uiPriority w:val="99"/>
    <w:rPr>
      <w:color w:val="auto"/>
    </w:rPr>
  </w:style>
  <w:style w:type="table" w:customStyle="1" w:styleId="218">
    <w:name w:val="网格型1"/>
    <w:basedOn w:val="43"/>
    <w:qFormat/>
    <w:uiPriority w:val="39"/>
    <w:rPr>
      <w:rFonts w:ascii="Calibri" w:hAnsi="Calibri" w:eastAsia="Times New Roman"/>
      <w:kern w:val="2"/>
      <w:sz w:val="21"/>
      <w:szCs w:val="21"/>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19">
    <w:name w:val="TableGrid"/>
    <w:qFormat/>
    <w:uiPriority w:val="0"/>
    <w:tblPr>
      <w:tblCellMar>
        <w:top w:w="0" w:type="dxa"/>
        <w:left w:w="0" w:type="dxa"/>
        <w:bottom w:w="0" w:type="dxa"/>
        <w:right w:w="0" w:type="dxa"/>
      </w:tblCellMar>
    </w:tblPr>
  </w:style>
  <w:style w:type="table" w:customStyle="1" w:styleId="220">
    <w:name w:val="Table Normal"/>
    <w:unhideWhenUsed/>
    <w:qFormat/>
    <w:uiPriority w:val="0"/>
    <w:tblPr>
      <w:tblCellMar>
        <w:top w:w="0" w:type="dxa"/>
        <w:left w:w="0" w:type="dxa"/>
        <w:bottom w:w="0" w:type="dxa"/>
        <w:right w:w="0" w:type="dxa"/>
      </w:tblCellMar>
    </w:tblPr>
  </w:style>
  <w:style w:type="paragraph" w:customStyle="1" w:styleId="221">
    <w:name w:val="Table Text"/>
    <w:basedOn w:val="1"/>
    <w:semiHidden/>
    <w:qFormat/>
    <w:uiPriority w:val="0"/>
    <w:rPr>
      <w:rFonts w:ascii="Arial" w:hAnsi="Arial" w:eastAsia="Arial" w:cs="Arial"/>
      <w:sz w:val="21"/>
      <w:szCs w:val="21"/>
      <w:lang w:bidi="ar-SA"/>
    </w:rPr>
  </w:style>
  <w:style w:type="character" w:customStyle="1" w:styleId="222">
    <w:name w:val="NormalCharacter"/>
    <w:qFormat/>
    <w:uiPriority w:val="0"/>
  </w:style>
  <w:style w:type="paragraph" w:customStyle="1" w:styleId="223">
    <w:name w:val="Revision"/>
    <w:hidden/>
    <w:unhideWhenUsed/>
    <w:qFormat/>
    <w:uiPriority w:val="99"/>
    <w:rPr>
      <w:rFonts w:ascii="Times New Roman" w:hAnsi="Times New Roman" w:eastAsia="宋体" w:cs="Times New Roman"/>
      <w:sz w:val="24"/>
      <w:szCs w:val="24"/>
      <w:lang w:val="en-US" w:eastAsia="en-US" w:bidi="en-US"/>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satMod val="300000"/>
                <a:tint val="50000"/>
              </a:schemeClr>
            </a:gs>
            <a:gs pos="35000">
              <a:schemeClr val="phClr">
                <a:satMod val="300000"/>
                <a:tint val="37000"/>
              </a:schemeClr>
            </a:gs>
            <a:gs pos="100000">
              <a:schemeClr val="phClr">
                <a:satMod val="350000"/>
                <a:tint val="15000"/>
              </a:schemeClr>
            </a:gs>
          </a:gsLst>
          <a:lin ang="16200000" scaled="1"/>
        </a:gradFill>
        <a:gradFill rotWithShape="1">
          <a:gsLst>
            <a:gs pos="0">
              <a:schemeClr val="phClr">
                <a:satMod val="130000"/>
                <a:shade val="51000"/>
              </a:schemeClr>
            </a:gs>
            <a:gs pos="80000">
              <a:schemeClr val="phClr">
                <a:satMod val="130000"/>
                <a:shade val="93000"/>
              </a:schemeClr>
            </a:gs>
            <a:gs pos="100000">
              <a:schemeClr val="phClr">
                <a:satMod val="135000"/>
                <a:shade val="94000"/>
              </a:schemeClr>
            </a:gs>
          </a:gsLst>
          <a:lin ang="16200000" scaled="0"/>
        </a:gradFill>
      </a:fillStyleLst>
      <a:lnStyleLst>
        <a:ln w="9525" cap="flat" cmpd="sng" algn="ctr">
          <a:solidFill>
            <a:schemeClr val="phClr">
              <a:satMod val="105000"/>
              <a:shade val="9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satMod val="350000"/>
                <a:tint val="40000"/>
              </a:schemeClr>
            </a:gs>
            <a:gs pos="40000">
              <a:schemeClr val="phClr">
                <a:satMod val="350000"/>
                <a:shade val="99000"/>
                <a:tint val="45000"/>
              </a:schemeClr>
            </a:gs>
            <a:gs pos="100000">
              <a:schemeClr val="phClr">
                <a:satMod val="255000"/>
                <a:shade val="20000"/>
              </a:schemeClr>
            </a:gs>
          </a:gsLst>
          <a:path path="circle">
            <a:fillToRect l="50000" t="-80000" r="50000" b="180000"/>
          </a:path>
        </a:gradFill>
        <a:gradFill rotWithShape="1">
          <a:gsLst>
            <a:gs pos="0">
              <a:schemeClr val="phClr">
                <a:satMod val="300000"/>
                <a:tint val="80000"/>
              </a:schemeClr>
            </a:gs>
            <a:gs pos="100000">
              <a:schemeClr val="phClr">
                <a:satMod val="200000"/>
                <a:shade val="3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242</Pages>
  <Words>33244</Words>
  <Characters>35138</Characters>
  <Lines>1804</Lines>
  <Paragraphs>508</Paragraphs>
  <TotalTime>2</TotalTime>
  <ScaleCrop>false</ScaleCrop>
  <LinksUpToDate>false</LinksUpToDate>
  <CharactersWithSpaces>38882</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2024-11-22T09:13:00Z</dcterms:created>
  <dc:creator>wangshengxiang</dc:creator>
  <cp:lastModifiedBy>Hxj</cp:lastModifiedBy>
  <dcterms:modified xsi:type="dcterms:W3CDTF">2025-05-08T07:14:05Z</dcterms:modified>
  <dc:title>SF-2019-0204</dc:title>
  <cp:revision>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40944E468DC242038A3508959B2F9CB3_13</vt:lpwstr>
  </property>
  <property fmtid="{D5CDD505-2E9C-101B-9397-08002B2CF9AE}" pid="4" name="KSOTemplateDocerSaveRecord">
    <vt:lpwstr>eyJoZGlkIjoiYzhlMjlkN2IxZjQ3MmUwNjkxMmI2ZjFjOTAyZjY5OWIiLCJ1c2VySWQiOiI3NzU3MjkwODcifQ==</vt:lpwstr>
  </property>
</Properties>
</file>