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z w:val="44"/>
          <w:szCs w:val="44"/>
          <w:highlight w:val="none"/>
        </w:rPr>
      </w:pPr>
      <w:bookmarkStart w:id="0" w:name="_Hlk3970703"/>
    </w:p>
    <w:p>
      <w:pPr>
        <w:spacing w:line="360" w:lineRule="auto"/>
        <w:jc w:val="center"/>
        <w:rPr>
          <w:rFonts w:hint="eastAsia" w:ascii="宋体" w:hAnsi="宋体"/>
          <w:b/>
          <w:bCs/>
          <w:color w:val="auto"/>
          <w:sz w:val="44"/>
          <w:szCs w:val="44"/>
          <w:highlight w:val="none"/>
        </w:rPr>
      </w:pPr>
    </w:p>
    <w:p>
      <w:pPr>
        <w:spacing w:line="360" w:lineRule="auto"/>
        <w:jc w:val="center"/>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广州国际港航中心三期项目</w:t>
      </w:r>
    </w:p>
    <w:p>
      <w:pPr>
        <w:spacing w:line="360" w:lineRule="auto"/>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lang w:eastAsia="zh-CN"/>
        </w:rPr>
        <w:t>基坑工程</w:t>
      </w:r>
      <w:r>
        <w:rPr>
          <w:rFonts w:hint="eastAsia" w:ascii="宋体" w:hAnsi="宋体"/>
          <w:b/>
          <w:bCs/>
          <w:color w:val="auto"/>
          <w:sz w:val="44"/>
          <w:szCs w:val="44"/>
          <w:highlight w:val="none"/>
          <w:lang w:val="en-US" w:eastAsia="zh-CN"/>
        </w:rPr>
        <w:t>及配套</w:t>
      </w:r>
      <w:r>
        <w:rPr>
          <w:rFonts w:hint="eastAsia" w:ascii="宋体" w:hAnsi="宋体"/>
          <w:b/>
          <w:bCs/>
          <w:color w:val="auto"/>
          <w:sz w:val="44"/>
          <w:szCs w:val="44"/>
          <w:highlight w:val="none"/>
          <w:lang w:eastAsia="zh-CN"/>
        </w:rPr>
        <w:t>施工</w:t>
      </w:r>
    </w:p>
    <w:p>
      <w:pPr>
        <w:spacing w:before="1902" w:beforeLines="600" w:line="360" w:lineRule="auto"/>
        <w:jc w:val="center"/>
        <w:rPr>
          <w:rFonts w:hint="eastAsia" w:ascii="宋体" w:hAnsi="宋体"/>
          <w:b/>
          <w:bCs/>
          <w:color w:val="auto"/>
          <w:spacing w:val="26"/>
          <w:sz w:val="72"/>
          <w:szCs w:val="72"/>
          <w:highlight w:val="none"/>
        </w:rPr>
      </w:pPr>
    </w:p>
    <w:p>
      <w:pPr>
        <w:spacing w:before="1902" w:beforeLines="600" w:line="360" w:lineRule="auto"/>
        <w:jc w:val="center"/>
        <w:rPr>
          <w:rFonts w:ascii="宋体" w:hAnsi="宋体"/>
          <w:b/>
          <w:bCs/>
          <w:color w:val="auto"/>
          <w:spacing w:val="26"/>
          <w:sz w:val="72"/>
          <w:szCs w:val="72"/>
          <w:highlight w:val="none"/>
        </w:rPr>
      </w:pPr>
      <w:r>
        <w:rPr>
          <w:rFonts w:hint="eastAsia" w:ascii="宋体" w:hAnsi="宋体"/>
          <w:b/>
          <w:bCs/>
          <w:color w:val="auto"/>
          <w:spacing w:val="26"/>
          <w:sz w:val="72"/>
          <w:szCs w:val="72"/>
          <w:highlight w:val="none"/>
        </w:rPr>
        <w:t>招标文件</w:t>
      </w:r>
    </w:p>
    <w:p>
      <w:pPr>
        <w:spacing w:before="3804" w:beforeLines="1200" w:line="360" w:lineRule="auto"/>
        <w:jc w:val="center"/>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28"/>
          <w:highlight w:val="none"/>
        </w:rPr>
        <w:t>招标单位：</w:t>
      </w:r>
      <w:r>
        <w:rPr>
          <w:rFonts w:hint="eastAsia" w:ascii="宋体" w:hAnsi="宋体"/>
          <w:b/>
          <w:bCs/>
          <w:color w:val="auto"/>
          <w:sz w:val="28"/>
          <w:szCs w:val="28"/>
          <w:highlight w:val="none"/>
          <w:u w:val="single"/>
          <w:lang w:eastAsia="zh-CN"/>
        </w:rPr>
        <w:t>广州港国际港航中心有限公司</w:t>
      </w:r>
    </w:p>
    <w:p>
      <w:pPr>
        <w:spacing w:line="360" w:lineRule="auto"/>
        <w:jc w:val="center"/>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28"/>
          <w:highlight w:val="none"/>
        </w:rPr>
        <w:t>招标代理单位：</w:t>
      </w:r>
      <w:r>
        <w:rPr>
          <w:rFonts w:hint="eastAsia" w:ascii="宋体" w:hAnsi="宋体"/>
          <w:b/>
          <w:bCs/>
          <w:color w:val="auto"/>
          <w:sz w:val="28"/>
          <w:szCs w:val="28"/>
          <w:highlight w:val="none"/>
          <w:u w:val="single"/>
          <w:lang w:eastAsia="zh-CN"/>
        </w:rPr>
        <w:t>广州港工程管理有限公司</w:t>
      </w:r>
    </w:p>
    <w:p>
      <w:pPr>
        <w:spacing w:line="360" w:lineRule="auto"/>
        <w:jc w:val="center"/>
        <w:rPr>
          <w:rStyle w:val="46"/>
          <w:rFonts w:ascii="宋体" w:hAnsi="宋体" w:eastAsia="宋体"/>
          <w:b/>
          <w:bCs/>
          <w:color w:val="auto"/>
          <w:sz w:val="28"/>
          <w:szCs w:val="28"/>
          <w:highlight w:val="none"/>
        </w:rPr>
        <w:sectPr>
          <w:headerReference r:id="rId5" w:type="first"/>
          <w:headerReference r:id="rId3" w:type="default"/>
          <w:footerReference r:id="rId6" w:type="default"/>
          <w:headerReference r:id="rId4" w:type="even"/>
          <w:footerReference r:id="rId7" w:type="even"/>
          <w:endnotePr>
            <w:numFmt w:val="decimal"/>
          </w:endnotePr>
          <w:pgSz w:w="11906" w:h="16838"/>
          <w:pgMar w:top="1417" w:right="1416" w:bottom="1417" w:left="1417" w:header="851" w:footer="567" w:gutter="0"/>
          <w:pgNumType w:start="1"/>
          <w:cols w:space="720" w:num="1"/>
          <w:titlePg/>
          <w:docGrid w:type="lines" w:linePitch="317" w:charSpace="0"/>
        </w:sectPr>
      </w:pPr>
      <w:r>
        <w:rPr>
          <w:rFonts w:hint="eastAsia" w:ascii="宋体" w:hAnsi="宋体"/>
          <w:b/>
          <w:bCs/>
          <w:color w:val="auto"/>
          <w:sz w:val="28"/>
          <w:szCs w:val="28"/>
          <w:highlight w:val="none"/>
        </w:rPr>
        <w:t>日期：</w:t>
      </w:r>
      <w:r>
        <w:rPr>
          <w:rFonts w:hint="eastAsia" w:ascii="宋体" w:hAnsi="宋体"/>
          <w:b/>
          <w:bCs/>
          <w:color w:val="auto"/>
          <w:sz w:val="28"/>
          <w:szCs w:val="28"/>
          <w:highlight w:val="none"/>
          <w:u w:val="single"/>
        </w:rPr>
        <w:t>202</w:t>
      </w:r>
      <w:r>
        <w:rPr>
          <w:rFonts w:hint="eastAsia" w:ascii="宋体" w:hAnsi="宋体"/>
          <w:b/>
          <w:bCs/>
          <w:color w:val="auto"/>
          <w:sz w:val="28"/>
          <w:szCs w:val="28"/>
          <w:highlight w:val="none"/>
          <w:u w:val="single"/>
          <w:lang w:val="en-US" w:eastAsia="zh-CN"/>
        </w:rPr>
        <w:t>5</w:t>
      </w:r>
      <w:r>
        <w:rPr>
          <w:rFonts w:hint="eastAsia" w:ascii="宋体" w:hAnsi="宋体"/>
          <w:b/>
          <w:bCs/>
          <w:color w:val="auto"/>
          <w:sz w:val="28"/>
          <w:szCs w:val="28"/>
          <w:highlight w:val="none"/>
        </w:rPr>
        <w:t>年</w:t>
      </w:r>
      <w:r>
        <w:rPr>
          <w:rFonts w:hint="eastAsia" w:ascii="宋体" w:hAnsi="宋体"/>
          <w:b/>
          <w:bCs/>
          <w:color w:val="auto"/>
          <w:sz w:val="28"/>
          <w:szCs w:val="28"/>
          <w:highlight w:val="none"/>
          <w:u w:val="single"/>
          <w:lang w:val="en-US" w:eastAsia="zh-CN"/>
        </w:rPr>
        <w:t>5</w:t>
      </w:r>
      <w:r>
        <w:rPr>
          <w:rFonts w:hint="eastAsia" w:ascii="宋体" w:hAnsi="宋体"/>
          <w:b/>
          <w:bCs/>
          <w:color w:val="auto"/>
          <w:sz w:val="28"/>
          <w:szCs w:val="28"/>
          <w:highlight w:val="none"/>
        </w:rPr>
        <w:t>月</w:t>
      </w:r>
    </w:p>
    <w:p>
      <w:pPr>
        <w:jc w:val="center"/>
        <w:rPr>
          <w:rFonts w:ascii="宋体" w:hAnsi="宋体"/>
          <w:b/>
          <w:caps/>
          <w:color w:val="auto"/>
          <w:kern w:val="0"/>
          <w:sz w:val="30"/>
          <w:szCs w:val="30"/>
          <w:highlight w:val="none"/>
        </w:rPr>
      </w:pPr>
      <w:r>
        <w:rPr>
          <w:rStyle w:val="46"/>
          <w:rFonts w:hint="eastAsia" w:ascii="宋体" w:hAnsi="宋体" w:eastAsia="宋体"/>
          <w:b/>
          <w:bCs/>
          <w:color w:val="auto"/>
          <w:sz w:val="30"/>
          <w:szCs w:val="30"/>
          <w:highlight w:val="none"/>
        </w:rPr>
        <w:t>目录</w:t>
      </w:r>
    </w:p>
    <w:p>
      <w:pPr>
        <w:pStyle w:val="26"/>
        <w:tabs>
          <w:tab w:val="right" w:leader="dot" w:pos="9073"/>
          <w:tab w:val="clear" w:pos="9060"/>
        </w:tabs>
        <w:rPr>
          <w:rFonts w:eastAsia="宋体" w:cs="宋体"/>
          <w:color w:val="auto"/>
          <w:szCs w:val="24"/>
          <w:highlight w:val="none"/>
        </w:rPr>
      </w:pP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TOC \o "1-3" \h \z \u </w:instrText>
      </w:r>
      <w:r>
        <w:rPr>
          <w:rFonts w:hint="eastAsia" w:eastAsia="宋体" w:cs="宋体"/>
          <w:color w:val="auto"/>
          <w:szCs w:val="24"/>
          <w:highlight w:val="none"/>
        </w:rPr>
        <w:fldChar w:fldCharType="separate"/>
      </w:r>
      <w:r>
        <w:rPr>
          <w:color w:val="auto"/>
          <w:highlight w:val="none"/>
        </w:rPr>
        <w:fldChar w:fldCharType="begin"/>
      </w:r>
      <w:r>
        <w:rPr>
          <w:color w:val="auto"/>
          <w:highlight w:val="none"/>
        </w:rPr>
        <w:instrText xml:space="preserve"> HYPERLINK \l "_Toc7511" </w:instrText>
      </w:r>
      <w:r>
        <w:rPr>
          <w:color w:val="auto"/>
          <w:highlight w:val="none"/>
        </w:rPr>
        <w:fldChar w:fldCharType="separate"/>
      </w:r>
      <w:r>
        <w:rPr>
          <w:rFonts w:hint="eastAsia" w:eastAsia="宋体" w:cs="宋体"/>
          <w:bCs/>
          <w:color w:val="auto"/>
          <w:szCs w:val="24"/>
          <w:highlight w:val="none"/>
        </w:rPr>
        <w:t>第一章  投标须知</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_Toc7511 \h </w:instrText>
      </w:r>
      <w:r>
        <w:rPr>
          <w:rFonts w:hint="eastAsia" w:eastAsia="宋体" w:cs="宋体"/>
          <w:color w:val="auto"/>
          <w:szCs w:val="24"/>
          <w:highlight w:val="none"/>
        </w:rPr>
        <w:fldChar w:fldCharType="separate"/>
      </w:r>
      <w:r>
        <w:rPr>
          <w:rFonts w:hint="eastAsia" w:eastAsia="宋体" w:cs="宋体"/>
          <w:color w:val="auto"/>
          <w:szCs w:val="24"/>
          <w:highlight w:val="none"/>
        </w:rPr>
        <w:t>2</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30"/>
        <w:tabs>
          <w:tab w:val="right" w:leader="dot" w:pos="9073"/>
          <w:tab w:val="clear" w:pos="9060"/>
        </w:tabs>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"_Toc3404" </w:instrText>
      </w:r>
      <w:r>
        <w:rPr>
          <w:color w:val="auto"/>
          <w:highlight w:val="none"/>
        </w:rPr>
        <w:fldChar w:fldCharType="separate"/>
      </w:r>
      <w:r>
        <w:rPr>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"_Toc18472" </w:instrText>
      </w:r>
      <w:r>
        <w:rPr>
          <w:color w:val="auto"/>
          <w:highlight w:val="none"/>
        </w:rPr>
        <w:fldChar w:fldCharType="separate"/>
      </w:r>
      <w:r>
        <w:rPr>
          <w:rFonts w:hint="eastAsia" w:eastAsia="宋体" w:cs="宋体"/>
          <w:bCs/>
          <w:color w:val="auto"/>
          <w:szCs w:val="24"/>
          <w:highlight w:val="none"/>
        </w:rPr>
        <w:t>第三章  合同条款</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_Toc18472 \h </w:instrText>
      </w:r>
      <w:r>
        <w:rPr>
          <w:rFonts w:hint="eastAsia" w:eastAsia="宋体" w:cs="宋体"/>
          <w:color w:val="auto"/>
          <w:szCs w:val="24"/>
          <w:highlight w:val="none"/>
        </w:rPr>
        <w:fldChar w:fldCharType="separate"/>
      </w:r>
      <w:r>
        <w:rPr>
          <w:rFonts w:hint="eastAsia" w:eastAsia="宋体" w:cs="宋体"/>
          <w:color w:val="auto"/>
          <w:szCs w:val="24"/>
          <w:highlight w:val="none"/>
        </w:rPr>
        <w:t>60</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"_Toc27420" </w:instrText>
      </w:r>
      <w:r>
        <w:rPr>
          <w:color w:val="auto"/>
          <w:highlight w:val="none"/>
        </w:rPr>
        <w:fldChar w:fldCharType="separate"/>
      </w:r>
      <w:r>
        <w:rPr>
          <w:rFonts w:hint="eastAsia" w:eastAsia="宋体" w:cs="宋体"/>
          <w:bCs/>
          <w:color w:val="auto"/>
          <w:szCs w:val="24"/>
          <w:highlight w:val="none"/>
        </w:rPr>
        <w:t>第四章  投标文件格式</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_Toc27420 \h </w:instrText>
      </w:r>
      <w:r>
        <w:rPr>
          <w:rFonts w:hint="eastAsia" w:eastAsia="宋体" w:cs="宋体"/>
          <w:color w:val="auto"/>
          <w:szCs w:val="24"/>
          <w:highlight w:val="none"/>
        </w:rPr>
        <w:fldChar w:fldCharType="separate"/>
      </w:r>
      <w:r>
        <w:rPr>
          <w:rFonts w:hint="eastAsia" w:eastAsia="宋体" w:cs="宋体"/>
          <w:color w:val="auto"/>
          <w:szCs w:val="24"/>
          <w:highlight w:val="none"/>
        </w:rPr>
        <w:t>61</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"_Toc17698" </w:instrText>
      </w:r>
      <w:r>
        <w:rPr>
          <w:color w:val="auto"/>
          <w:highlight w:val="none"/>
        </w:rPr>
        <w:fldChar w:fldCharType="separate"/>
      </w:r>
      <w:r>
        <w:rPr>
          <w:rFonts w:hint="eastAsia" w:eastAsia="宋体" w:cs="宋体"/>
          <w:color w:val="auto"/>
          <w:szCs w:val="24"/>
          <w:highlight w:val="none"/>
        </w:rPr>
        <w:t>第五章  技术条件（工程建设标准）</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_Toc17698 \h </w:instrText>
      </w:r>
      <w:r>
        <w:rPr>
          <w:rFonts w:hint="eastAsia" w:eastAsia="宋体" w:cs="宋体"/>
          <w:color w:val="auto"/>
          <w:szCs w:val="24"/>
          <w:highlight w:val="none"/>
        </w:rPr>
        <w:fldChar w:fldCharType="separate"/>
      </w:r>
      <w:r>
        <w:rPr>
          <w:rFonts w:hint="eastAsia" w:eastAsia="宋体" w:cs="宋体"/>
          <w:color w:val="auto"/>
          <w:szCs w:val="24"/>
          <w:highlight w:val="none"/>
        </w:rPr>
        <w:t>74</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"_Toc4616" </w:instrText>
      </w:r>
      <w:r>
        <w:rPr>
          <w:color w:val="auto"/>
          <w:highlight w:val="none"/>
        </w:rPr>
        <w:fldChar w:fldCharType="separate"/>
      </w:r>
      <w:r>
        <w:rPr>
          <w:rFonts w:hint="eastAsia" w:eastAsia="宋体" w:cs="宋体"/>
          <w:bCs/>
          <w:color w:val="auto"/>
          <w:szCs w:val="24"/>
          <w:highlight w:val="none"/>
        </w:rPr>
        <w:t>第六章  图纸及勘察资料</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_Toc4616 \h </w:instrText>
      </w:r>
      <w:r>
        <w:rPr>
          <w:rFonts w:hint="eastAsia" w:eastAsia="宋体" w:cs="宋体"/>
          <w:color w:val="auto"/>
          <w:szCs w:val="24"/>
          <w:highlight w:val="none"/>
        </w:rPr>
        <w:fldChar w:fldCharType="separate"/>
      </w:r>
      <w:r>
        <w:rPr>
          <w:rFonts w:hint="eastAsia" w:eastAsia="宋体" w:cs="宋体"/>
          <w:color w:val="auto"/>
          <w:szCs w:val="24"/>
          <w:highlight w:val="none"/>
        </w:rPr>
        <w:t>75</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"_Toc16409" </w:instrText>
      </w:r>
      <w:r>
        <w:rPr>
          <w:color w:val="auto"/>
          <w:highlight w:val="none"/>
        </w:rPr>
        <w:fldChar w:fldCharType="separate"/>
      </w:r>
      <w:r>
        <w:rPr>
          <w:rFonts w:hint="eastAsia" w:eastAsia="宋体" w:cs="宋体"/>
          <w:bCs/>
          <w:color w:val="auto"/>
          <w:szCs w:val="24"/>
          <w:highlight w:val="none"/>
        </w:rPr>
        <w:t>第七章  工程量清单</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_Toc16409 \h </w:instrText>
      </w:r>
      <w:r>
        <w:rPr>
          <w:rFonts w:hint="eastAsia" w:eastAsia="宋体" w:cs="宋体"/>
          <w:color w:val="auto"/>
          <w:szCs w:val="24"/>
          <w:highlight w:val="none"/>
        </w:rPr>
        <w:fldChar w:fldCharType="separate"/>
      </w:r>
      <w:r>
        <w:rPr>
          <w:rFonts w:hint="eastAsia" w:eastAsia="宋体" w:cs="宋体"/>
          <w:color w:val="auto"/>
          <w:szCs w:val="24"/>
          <w:highlight w:val="none"/>
        </w:rPr>
        <w:t>76</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26"/>
        <w:tabs>
          <w:tab w:val="right" w:leader="dot" w:pos="9073"/>
          <w:tab w:val="clear" w:pos="9060"/>
        </w:tabs>
        <w:rPr>
          <w:rFonts w:eastAsia="宋体" w:cs="宋体"/>
          <w:color w:val="auto"/>
          <w:szCs w:val="24"/>
          <w:highlight w:val="none"/>
        </w:rPr>
      </w:pPr>
      <w:r>
        <w:rPr>
          <w:color w:val="auto"/>
          <w:highlight w:val="none"/>
        </w:rPr>
        <w:fldChar w:fldCharType="begin"/>
      </w:r>
      <w:r>
        <w:rPr>
          <w:color w:val="auto"/>
          <w:highlight w:val="none"/>
        </w:rPr>
        <w:instrText xml:space="preserve"> HYPERLINK \l "_Toc13320" </w:instrText>
      </w:r>
      <w:r>
        <w:rPr>
          <w:color w:val="auto"/>
          <w:highlight w:val="none"/>
        </w:rPr>
        <w:fldChar w:fldCharType="separate"/>
      </w:r>
      <w:r>
        <w:rPr>
          <w:rFonts w:hint="eastAsia" w:eastAsia="宋体" w:cs="宋体"/>
          <w:bCs/>
          <w:color w:val="auto"/>
          <w:szCs w:val="24"/>
          <w:highlight w:val="none"/>
        </w:rPr>
        <w:t>第八章  最高投标限价</w:t>
      </w:r>
      <w:r>
        <w:rPr>
          <w:rFonts w:hint="eastAsia" w:eastAsia="宋体" w:cs="宋体"/>
          <w:color w:val="auto"/>
          <w:szCs w:val="24"/>
          <w:highlight w:val="none"/>
        </w:rPr>
        <w:tab/>
      </w:r>
      <w:r>
        <w:rPr>
          <w:rFonts w:hint="eastAsia" w:eastAsia="宋体" w:cs="宋体"/>
          <w:color w:val="auto"/>
          <w:szCs w:val="24"/>
          <w:highlight w:val="none"/>
        </w:rPr>
        <w:fldChar w:fldCharType="begin"/>
      </w:r>
      <w:r>
        <w:rPr>
          <w:rFonts w:hint="eastAsia" w:eastAsia="宋体" w:cs="宋体"/>
          <w:color w:val="auto"/>
          <w:szCs w:val="24"/>
          <w:highlight w:val="none"/>
        </w:rPr>
        <w:instrText xml:space="preserve"> PAGEREF _Toc13320 \h </w:instrText>
      </w:r>
      <w:r>
        <w:rPr>
          <w:rFonts w:hint="eastAsia" w:eastAsia="宋体" w:cs="宋体"/>
          <w:color w:val="auto"/>
          <w:szCs w:val="24"/>
          <w:highlight w:val="none"/>
        </w:rPr>
        <w:fldChar w:fldCharType="separate"/>
      </w:r>
      <w:r>
        <w:rPr>
          <w:rFonts w:hint="eastAsia" w:eastAsia="宋体" w:cs="宋体"/>
          <w:color w:val="auto"/>
          <w:szCs w:val="24"/>
          <w:highlight w:val="none"/>
        </w:rPr>
        <w:t>77</w:t>
      </w:r>
      <w:r>
        <w:rPr>
          <w:rFonts w:hint="eastAsia" w:eastAsia="宋体" w:cs="宋体"/>
          <w:color w:val="auto"/>
          <w:szCs w:val="24"/>
          <w:highlight w:val="none"/>
        </w:rPr>
        <w:fldChar w:fldCharType="end"/>
      </w:r>
      <w:r>
        <w:rPr>
          <w:rFonts w:hint="eastAsia" w:eastAsia="宋体" w:cs="宋体"/>
          <w:color w:val="auto"/>
          <w:szCs w:val="24"/>
          <w:highlight w:val="none"/>
        </w:rPr>
        <w:fldChar w:fldCharType="end"/>
      </w:r>
    </w:p>
    <w:p>
      <w:pPr>
        <w:pStyle w:val="3"/>
        <w:jc w:val="center"/>
        <w:rPr>
          <w:rFonts w:ascii="宋体" w:hAnsi="宋体"/>
          <w:color w:val="auto"/>
          <w:sz w:val="21"/>
          <w:szCs w:val="21"/>
          <w:highlight w:val="none"/>
        </w:rPr>
      </w:pPr>
      <w:r>
        <w:rPr>
          <w:rFonts w:hint="eastAsia" w:ascii="宋体" w:hAnsi="宋体" w:cs="宋体"/>
          <w:color w:val="auto"/>
          <w:sz w:val="24"/>
          <w:szCs w:val="24"/>
          <w:highlight w:val="none"/>
        </w:rPr>
        <w:fldChar w:fldCharType="end"/>
      </w:r>
      <w:bookmarkStart w:id="1" w:name="_Toc7511"/>
      <w:r>
        <w:rPr>
          <w:rFonts w:ascii="宋体" w:hAnsi="宋体"/>
          <w:color w:val="auto"/>
          <w:sz w:val="21"/>
          <w:szCs w:val="21"/>
          <w:highlight w:val="none"/>
        </w:rPr>
        <w:br w:type="page"/>
      </w:r>
      <w:r>
        <w:rPr>
          <w:rFonts w:hint="eastAsia" w:ascii="宋体" w:hAnsi="宋体"/>
          <w:b/>
          <w:bCs/>
          <w:color w:val="auto"/>
          <w:sz w:val="28"/>
          <w:szCs w:val="28"/>
          <w:highlight w:val="none"/>
        </w:rPr>
        <w:t>第一章投标须知</w:t>
      </w:r>
      <w:bookmarkEnd w:id="1"/>
    </w:p>
    <w:p>
      <w:pPr>
        <w:pStyle w:val="2"/>
        <w:ind w:left="0" w:firstLine="0" w:firstLineChars="0"/>
        <w:jc w:val="center"/>
        <w:rPr>
          <w:rFonts w:ascii="宋体" w:hAnsi="宋体"/>
          <w:color w:val="auto"/>
          <w:sz w:val="21"/>
          <w:szCs w:val="21"/>
          <w:highlight w:val="none"/>
        </w:rPr>
      </w:pPr>
      <w:bookmarkStart w:id="2" w:name="_Toc26132"/>
      <w:bookmarkStart w:id="3" w:name="_Toc6493828"/>
      <w:r>
        <w:rPr>
          <w:rFonts w:hint="eastAsia" w:ascii="宋体" w:hAnsi="宋体"/>
          <w:color w:val="auto"/>
          <w:sz w:val="21"/>
          <w:szCs w:val="21"/>
          <w:highlight w:val="none"/>
        </w:rPr>
        <w:t>一、投标须知前附表</w:t>
      </w:r>
      <w:bookmarkEnd w:id="2"/>
      <w:bookmarkEnd w:id="3"/>
    </w:p>
    <w:p>
      <w:pPr>
        <w:pStyle w:val="6"/>
        <w:spacing w:line="380" w:lineRule="exact"/>
        <w:ind w:firstLine="0"/>
        <w:rPr>
          <w:rFonts w:ascii="宋体" w:hAnsi="宋体" w:eastAsia="宋体"/>
          <w:b/>
          <w:color w:val="auto"/>
          <w:szCs w:val="21"/>
          <w:highlight w:val="none"/>
        </w:rPr>
      </w:pPr>
      <w:r>
        <w:rPr>
          <w:rFonts w:hint="eastAsia" w:ascii="宋体" w:hAnsi="宋体" w:eastAsia="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spacing w:line="320" w:lineRule="exact"/>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0"/>
              <w:spacing w:line="320" w:lineRule="exact"/>
              <w:ind w:firstLine="458"/>
              <w:jc w:val="center"/>
              <w:rPr>
                <w:rFonts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广州港国际港航中心有限公司</w:t>
            </w:r>
          </w:p>
          <w:p>
            <w:pPr>
              <w:spacing w:line="320" w:lineRule="exact"/>
              <w:rPr>
                <w:rFonts w:hint="eastAsia" w:ascii="宋体" w:hAnsi="宋体" w:eastAsia="宋体"/>
                <w:color w:val="auto"/>
                <w:kern w:val="0"/>
                <w:szCs w:val="21"/>
                <w:highlight w:val="none"/>
                <w:lang w:eastAsia="zh-CN"/>
              </w:rPr>
            </w:pPr>
            <w:r>
              <w:rPr>
                <w:rFonts w:hint="eastAsia" w:ascii="宋体" w:hAnsi="宋体"/>
                <w:color w:val="auto"/>
                <w:szCs w:val="21"/>
                <w:highlight w:val="none"/>
              </w:rPr>
              <w:t>项目建设管理单位：</w:t>
            </w:r>
            <w:r>
              <w:rPr>
                <w:rFonts w:hint="eastAsia" w:ascii="宋体" w:hAnsi="宋体"/>
                <w:color w:val="auto"/>
                <w:szCs w:val="21"/>
                <w:highlight w:val="none"/>
                <w:u w:val="single"/>
                <w:lang w:val="en-US" w:eastAsia="zh-CN"/>
              </w:rPr>
              <w:t>/</w:t>
            </w:r>
          </w:p>
          <w:p>
            <w:pPr>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广州港工程管理有限公司</w:t>
            </w:r>
          </w:p>
          <w:p>
            <w:pPr>
              <w:spacing w:line="320" w:lineRule="exac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设计单位：</w:t>
            </w:r>
            <w:r>
              <w:rPr>
                <w:rFonts w:hint="eastAsia" w:ascii="宋体" w:hAnsi="宋体"/>
                <w:color w:val="auto"/>
                <w:szCs w:val="21"/>
                <w:highlight w:val="none"/>
                <w:u w:val="single"/>
              </w:rPr>
              <w:t>广东省建筑设计研究院集团股份有限公司</w:t>
            </w:r>
          </w:p>
          <w:p>
            <w:pPr>
              <w:spacing w:line="32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监理单位：</w:t>
            </w:r>
            <w:r>
              <w:rPr>
                <w:rFonts w:hint="eastAsia" w:ascii="宋体" w:hAnsi="宋体"/>
                <w:color w:val="auto"/>
                <w:szCs w:val="21"/>
                <w:highlight w:val="none"/>
                <w:u w:val="single"/>
                <w:lang w:val="en-US" w:eastAsia="zh-CN"/>
              </w:rPr>
              <w:t>/</w:t>
            </w:r>
          </w:p>
          <w:p>
            <w:pPr>
              <w:spacing w:line="320" w:lineRule="exact"/>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广州国际港航中心三期项目基坑工程</w:t>
            </w:r>
            <w:r>
              <w:rPr>
                <w:rFonts w:hint="eastAsia" w:ascii="宋体" w:hAnsi="宋体"/>
                <w:color w:val="auto"/>
                <w:szCs w:val="21"/>
                <w:highlight w:val="none"/>
                <w:u w:val="single"/>
                <w:lang w:val="en-US" w:eastAsia="zh-CN"/>
              </w:rPr>
              <w:t>及配套</w:t>
            </w:r>
            <w:r>
              <w:rPr>
                <w:rFonts w:hint="eastAsia" w:ascii="宋体" w:hAnsi="宋体"/>
                <w:color w:val="auto"/>
                <w:szCs w:val="21"/>
                <w:highlight w:val="none"/>
                <w:u w:val="single"/>
                <w:lang w:eastAsia="zh-CN"/>
              </w:rPr>
              <w:t>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olor w:val="auto"/>
                <w:szCs w:val="21"/>
                <w:highlight w:val="none"/>
                <w:u w:val="single"/>
              </w:rPr>
              <w:t>本工程</w:t>
            </w:r>
            <w:r>
              <w:rPr>
                <w:rFonts w:hint="eastAsia" w:ascii="宋体" w:hAnsi="宋体"/>
                <w:color w:val="auto"/>
                <w:szCs w:val="21"/>
                <w:highlight w:val="none"/>
                <w:u w:val="single"/>
                <w:lang w:val="en-US" w:eastAsia="zh-CN"/>
              </w:rPr>
              <w:t>为总价合同</w:t>
            </w:r>
            <w:r>
              <w:rPr>
                <w:rFonts w:hint="eastAsia" w:ascii="宋体" w:hAnsi="宋体"/>
                <w:color w:val="auto"/>
                <w:szCs w:val="21"/>
                <w:highlight w:val="none"/>
                <w:u w:val="single"/>
              </w:rPr>
              <w:t>。投标人根据招标文件、有关设计图纸、地质勘察报告、物探报告、资料及说明，按包工、包料、包机械、包工期、包质量、包安全生产、包文明施工、包竣工验收等方式进行承包施工。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u w:val="single"/>
              </w:rPr>
              <w:t>符合现行相关工程施工与质量验收规范的合格</w:t>
            </w:r>
            <w:r>
              <w:rPr>
                <w:rFonts w:hint="eastAsia" w:ascii="宋体" w:hAnsi="宋体" w:cs="宋体"/>
                <w:color w:val="auto"/>
                <w:szCs w:val="21"/>
                <w:highlight w:val="none"/>
                <w:u w:val="single"/>
                <w:lang w:val="en-US" w:eastAsia="zh-CN"/>
              </w:rPr>
              <w:t>或以上</w:t>
            </w:r>
            <w:r>
              <w:rPr>
                <w:rFonts w:hint="eastAsia" w:ascii="宋体" w:hAnsi="宋体" w:cs="宋体"/>
                <w:color w:val="auto"/>
                <w:szCs w:val="21"/>
                <w:highlight w:val="none"/>
                <w:u w:val="single"/>
              </w:rPr>
              <w:t>标准</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力争省优</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lang w:val="en-US" w:eastAsia="zh-CN"/>
              </w:rPr>
              <w:t>日计划开工，</w:t>
            </w:r>
            <w:r>
              <w:rPr>
                <w:rFonts w:hint="eastAsia" w:ascii="宋体" w:hAnsi="宋体" w:cs="宋体"/>
                <w:color w:val="auto"/>
                <w:szCs w:val="21"/>
                <w:highlight w:val="none"/>
              </w:rPr>
              <w:t>施工总期：</w:t>
            </w:r>
            <w:r>
              <w:rPr>
                <w:rFonts w:hint="eastAsia" w:ascii="宋体" w:hAnsi="宋体" w:cs="宋体"/>
                <w:color w:val="auto"/>
                <w:szCs w:val="21"/>
                <w:highlight w:val="none"/>
                <w:u w:val="single"/>
                <w:lang w:val="en-US" w:eastAsia="zh-CN"/>
              </w:rPr>
              <w:t xml:space="preserve"> 240 </w:t>
            </w:r>
            <w:r>
              <w:rPr>
                <w:rFonts w:hint="eastAsia" w:ascii="宋体" w:hAnsi="宋体" w:cs="宋体"/>
                <w:color w:val="auto"/>
                <w:szCs w:val="21"/>
                <w:highlight w:val="none"/>
              </w:rPr>
              <w:t>日历天。</w:t>
            </w:r>
            <w:r>
              <w:rPr>
                <w:color w:val="auto"/>
                <w:szCs w:val="21"/>
                <w:highlight w:val="none"/>
                <w:u w:val="single"/>
              </w:rPr>
              <w:t>开工日期以合同签订且监理单位发出开工令之日起算</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u w:val="single"/>
              </w:rPr>
            </w:pPr>
            <w:r>
              <w:rPr>
                <w:rFonts w:hint="eastAsia" w:ascii="宋体" w:hAnsi="宋体" w:cs="宋体"/>
                <w:color w:val="auto"/>
                <w:szCs w:val="21"/>
                <w:highlight w:val="none"/>
                <w:u w:val="single"/>
                <w:lang w:val="en-US" w:eastAsia="zh-CN"/>
              </w:rPr>
              <w:t>企业自筹</w:t>
            </w:r>
            <w:r>
              <w:rPr>
                <w:rFonts w:hint="eastAsia" w:ascii="宋体" w:hAnsi="宋体" w:cs="宋体"/>
                <w:color w:val="auto"/>
                <w:szCs w:val="21"/>
                <w:highlight w:val="none"/>
                <w:u w:val="singl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工程量清单计价。</w:t>
            </w:r>
            <w:r>
              <w:rPr>
                <w:rFonts w:hint="eastAsia" w:ascii="宋体" w:hAnsi="宋体" w:cs="宋体"/>
                <w:color w:val="auto"/>
                <w:kern w:val="0"/>
                <w:szCs w:val="21"/>
                <w:highlight w:val="none"/>
                <w:u w:val="single"/>
                <w:lang w:val="zh-CN"/>
              </w:rPr>
              <w:t>按国家、省、</w:t>
            </w:r>
            <w:r>
              <w:rPr>
                <w:rFonts w:hint="eastAsia" w:ascii="宋体" w:hAnsi="宋体" w:cs="宋体"/>
                <w:color w:val="auto"/>
                <w:kern w:val="0"/>
                <w:szCs w:val="21"/>
                <w:highlight w:val="none"/>
                <w:u w:val="single"/>
              </w:rPr>
              <w:t>广州市</w:t>
            </w:r>
            <w:r>
              <w:rPr>
                <w:rFonts w:hint="eastAsia" w:ascii="宋体" w:hAnsi="宋体" w:cs="宋体"/>
                <w:color w:val="auto"/>
                <w:kern w:val="0"/>
                <w:szCs w:val="21"/>
                <w:highlight w:val="none"/>
                <w:u w:val="single"/>
                <w:lang w:val="zh-CN"/>
              </w:rPr>
              <w:t>有关计价规范执行，本项目按增值税计算税金，采用</w:t>
            </w:r>
            <w:r>
              <w:rPr>
                <w:rFonts w:hint="eastAsia" w:ascii="宋体" w:hAnsi="宋体" w:cs="宋体"/>
                <w:color w:val="auto"/>
                <w:kern w:val="0"/>
                <w:szCs w:val="21"/>
                <w:highlight w:val="none"/>
                <w:u w:val="single"/>
                <w:lang w:val="en-US" w:eastAsia="zh-CN"/>
              </w:rPr>
              <w:t>一般</w:t>
            </w:r>
            <w:r>
              <w:rPr>
                <w:rFonts w:hint="eastAsia" w:ascii="宋体" w:hAnsi="宋体" w:cs="宋体"/>
                <w:color w:val="auto"/>
                <w:kern w:val="0"/>
                <w:szCs w:val="21"/>
                <w:highlight w:val="none"/>
                <w:u w:val="single"/>
                <w:lang w:val="zh-CN"/>
              </w:rPr>
              <w:t>计税方法，</w:t>
            </w:r>
            <w:r>
              <w:rPr>
                <w:rFonts w:hint="eastAsia" w:ascii="宋体" w:hAnsi="宋体" w:cs="宋体"/>
                <w:color w:val="auto"/>
                <w:kern w:val="0"/>
                <w:szCs w:val="21"/>
                <w:highlight w:val="none"/>
                <w:u w:val="single"/>
                <w:lang w:val="en-US" w:eastAsia="zh-CN"/>
              </w:rPr>
              <w:t>增值税税率为9%</w:t>
            </w:r>
            <w:r>
              <w:rPr>
                <w:rFonts w:hint="eastAsia" w:ascii="宋体" w:hAnsi="宋体" w:cs="宋体"/>
                <w:color w:val="auto"/>
                <w:kern w:val="0"/>
                <w:szCs w:val="21"/>
                <w:highlight w:val="none"/>
                <w:u w:val="single"/>
                <w:lang w:val="zh-CN"/>
              </w:rPr>
              <w:t>。投标文件中的大写金额和小写金额不一致的，以大写金额为准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olor w:val="auto"/>
                <w:szCs w:val="21"/>
                <w:highlight w:val="none"/>
                <w:u w:val="single"/>
              </w:rPr>
            </w:pPr>
            <w:r>
              <w:rPr>
                <w:rFonts w:hint="eastAsia" w:ascii="宋体" w:hAnsi="宋体"/>
                <w:color w:val="auto"/>
                <w:szCs w:val="21"/>
                <w:highlight w:val="none"/>
                <w:u w:val="single"/>
              </w:rPr>
              <w:t>90</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方式二：本项目收取投标保证金</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none"/>
              </w:rPr>
              <w:t>万元人民币</w:t>
            </w:r>
            <w:r>
              <w:rPr>
                <w:rFonts w:hint="eastAsia" w:ascii="宋体" w:hAnsi="宋体" w:cs="宋体"/>
                <w:color w:val="auto"/>
                <w:szCs w:val="21"/>
                <w:highlight w:val="none"/>
                <w:u w:val="none"/>
                <w:lang w:eastAsia="zh-CN"/>
              </w:rPr>
              <w:t xml:space="preserve">，缴纳时间在        </w:t>
            </w:r>
            <w:r>
              <w:rPr>
                <w:rFonts w:hint="eastAsia" w:ascii="宋体" w:hAnsi="宋体" w:eastAsia="宋体" w:cs="宋体"/>
                <w:color w:val="auto"/>
                <w:szCs w:val="21"/>
                <w:highlight w:val="none"/>
                <w:u w:val="none"/>
              </w:rPr>
              <w:t>递交投标文件截止时间</w:t>
            </w:r>
            <w:r>
              <w:rPr>
                <w:rFonts w:hint="eastAsia" w:ascii="宋体" w:hAnsi="宋体" w:cs="宋体"/>
                <w:color w:val="auto"/>
                <w:szCs w:val="21"/>
                <w:highlight w:val="none"/>
                <w:u w:val="none"/>
                <w:lang w:eastAsia="zh-CN"/>
              </w:rPr>
              <w:t>之前</w:t>
            </w:r>
            <w:r>
              <w:rPr>
                <w:rFonts w:hint="eastAsia" w:ascii="宋体" w:hAnsi="宋体" w:eastAsia="宋体" w:cs="宋体"/>
                <w:color w:val="auto"/>
                <w:szCs w:val="21"/>
                <w:highlight w:val="none"/>
                <w:u w:val="none"/>
              </w:rPr>
              <w:t>；</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2、投标保证金的形式：可采用现金、支票、电汇或银行转账、银行保函、保证保险、专业担保公司等能够实现保证目的的方式，须在递交投标文件截止时间前完成缴纳。</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如采用现金或者支票、电汇或银行转账形式提交的由广州交易集团有限公司（广州公共资源交易中心）代收（保证金须从投标人基本账户转账至广州交易集团有限公司（广州公共资源交易中心））。缴纳情况以广州交易集团有限公司（广州公共资源交易中心）交易平台查询信息为准。</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（投标担保的相关事宜详见招标文件16款。具体操作步骤参见广州交易集团有限公司（广州公共资源交易中心）最新投标保证金缴纳操作流程）。</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采用非电子形式的银行保函、专业工程担保公司担保或保证保险提交的，在开标前不强制要求提交纸质原件，由中标候选人在中标候选人公示前提交并在网上公示，但投标人应在投标文件中提交保函、担保或保证保险扫描件并加盖投标人电子印章。如投标人选择在开标前提交纸质原件的，须单独密封递交至广州交易集团有限公司（广州公共资源交易中心）开标室（时间及地点同递交投标文件备用</w:t>
            </w:r>
            <w:r>
              <w:rPr>
                <w:rFonts w:hint="eastAsia" w:ascii="宋体" w:hAnsi="宋体" w:eastAsia="宋体" w:cs="宋体"/>
                <w:color w:val="auto"/>
                <w:szCs w:val="21"/>
                <w:highlight w:val="none"/>
                <w:u w:val="single"/>
                <w:lang w:val="en-US" w:eastAsia="zh-CN"/>
              </w:rPr>
              <w:t>U</w:t>
            </w:r>
            <w:r>
              <w:rPr>
                <w:rFonts w:hint="eastAsia" w:ascii="宋体" w:hAnsi="宋体" w:eastAsia="宋体" w:cs="宋体"/>
                <w:color w:val="auto"/>
                <w:szCs w:val="21"/>
                <w:highlight w:val="none"/>
                <w:u w:val="single"/>
              </w:rPr>
              <w:t>盘</w:t>
            </w:r>
            <w:r>
              <w:rPr>
                <w:rFonts w:hint="eastAsia" w:ascii="宋体" w:hAnsi="宋体" w:cs="宋体"/>
                <w:color w:val="auto"/>
                <w:szCs w:val="21"/>
                <w:highlight w:val="none"/>
                <w:u w:val="single"/>
                <w:lang w:val="en-US" w:eastAsia="zh-CN"/>
              </w:rPr>
              <w:t>/光盘</w:t>
            </w:r>
            <w:r>
              <w:rPr>
                <w:rFonts w:hint="eastAsia" w:ascii="宋体" w:hAnsi="宋体" w:eastAsia="宋体" w:cs="宋体"/>
                <w:color w:val="auto"/>
                <w:szCs w:val="21"/>
                <w:highlight w:val="none"/>
                <w:u w:val="single"/>
              </w:rPr>
              <w:t>的时间及地点）。</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5、如采用电子形式的保函、担保或保证保险递交投标保证金的，投标人须按照广州交易集团有限公司（广州公共资源交易中心）最新操作指引办理递交。</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注：（1）对于未能按要求交纳投标保证金的投标人，招标人将视为不响应招标文件而予以拒绝，责任由投标人自负。</w:t>
            </w:r>
          </w:p>
          <w:p>
            <w:pPr>
              <w:pStyle w:val="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（2）投标保证金有效期应长于或等于投标有效期，若投标有效期延长的，投标保证金有效期应相应延长，且延长后的有效期应满足前述要求。</w:t>
            </w:r>
          </w:p>
          <w:p>
            <w:pPr>
              <w:pStyle w:val="20"/>
              <w:rPr>
                <w:rFonts w:ascii="宋体" w:hAnsi="宋体"/>
                <w:color w:val="auto"/>
                <w:szCs w:val="21"/>
                <w:highlight w:val="none"/>
              </w:rPr>
            </w:pPr>
            <w:r>
              <w:rPr>
                <w:rFonts w:hint="eastAsia" w:ascii="宋体" w:hAnsi="宋体" w:eastAsia="宋体" w:cs="宋体"/>
                <w:color w:val="auto"/>
                <w:szCs w:val="21"/>
                <w:highlight w:val="none"/>
                <w:u w:val="single"/>
              </w:rPr>
              <w:t>（3）投标人提供的银行投标保函应为银行出具的无条件、见索即付、不可撤销的保函，担保金额不得低于上述金额，否则投标人的投标文件将被否决。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u w:val="single"/>
              </w:rPr>
              <w:t>自行踏勘，</w:t>
            </w:r>
            <w:r>
              <w:rPr>
                <w:rFonts w:ascii="宋体" w:hAnsi="宋体"/>
                <w:color w:val="auto"/>
                <w:kern w:val="2"/>
                <w:sz w:val="21"/>
                <w:szCs w:val="21"/>
                <w:highlight w:val="none"/>
                <w:u w:val="single"/>
              </w:rPr>
              <w:t>投标人不进行踏勘的，视为已熟知现场条件，自行承担相关风险</w:t>
            </w:r>
            <w:r>
              <w:rPr>
                <w:rFonts w:hint="eastAsia" w:ascii="宋体" w:hAnsi="宋体"/>
                <w:color w:val="auto"/>
                <w:kern w:val="2"/>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59</w:t>
            </w:r>
            <w:r>
              <w:rPr>
                <w:rFonts w:hint="eastAsia" w:ascii="宋体" w:hAnsi="宋体" w:cs="宋体"/>
                <w:color w:val="auto"/>
                <w:szCs w:val="21"/>
                <w:highlight w:val="none"/>
              </w:rPr>
              <w:t>分前；</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在递交投标文件截止时间18天前</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spacing w:line="400" w:lineRule="exact"/>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u w:val="single"/>
                <w:lang w:val="en-US" w:eastAsia="zh-CN"/>
              </w:rPr>
              <w:t>最新指引</w:t>
            </w:r>
            <w:r>
              <w:rPr>
                <w:rFonts w:hint="eastAsia" w:ascii="宋体" w:hAnsi="宋体"/>
                <w:color w:val="auto"/>
                <w:szCs w:val="21"/>
                <w:highlight w:val="none"/>
                <w:u w:val="single"/>
              </w:rPr>
              <w:t>。</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（技术标和经济标同时开标）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、开标开始时间：</w:t>
            </w:r>
            <w:r>
              <w:rPr>
                <w:rFonts w:ascii="宋体" w:hAnsi="宋体"/>
                <w:color w:val="auto"/>
                <w:szCs w:val="21"/>
                <w:highlight w:val="none"/>
                <w:u w:val="single"/>
              </w:rPr>
              <w:t>20</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u w:val="single"/>
                <w:lang w:val="en-US" w:eastAsia="zh-CN"/>
              </w:rPr>
              <w:t>黄埔交易部第1开</w:t>
            </w:r>
            <w:r>
              <w:rPr>
                <w:rFonts w:hint="eastAsia"/>
                <w:color w:val="auto"/>
                <w:spacing w:val="20"/>
                <w:szCs w:val="21"/>
                <w:highlight w:val="none"/>
                <w:u w:val="single"/>
              </w:rPr>
              <w:t>标</w:t>
            </w:r>
            <w:r>
              <w:rPr>
                <w:rFonts w:hint="eastAsia"/>
                <w:color w:val="auto"/>
                <w:spacing w:val="20"/>
                <w:szCs w:val="21"/>
                <w:highlight w:val="none"/>
              </w:rPr>
              <w:t>室。</w:t>
            </w:r>
            <w:r>
              <w:rPr>
                <w:rFonts w:hint="eastAsia" w:ascii="宋体" w:eastAsia="宋体" w:cs="宋体"/>
                <w:bCs/>
                <w:color w:val="auto"/>
                <w:szCs w:val="21"/>
                <w:highlight w:val="none"/>
                <w:u w:val="single"/>
              </w:rPr>
              <w:t>投标人也可选择参加在线开标，具体按照交易平台相关指南进行操作。详见：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eastAsia="宋体" w:cs="宋体"/>
                <w:bCs/>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highlight w:val="none"/>
                <w:lang w:val="en-US" w:eastAsia="zh-CN"/>
              </w:rPr>
            </w:pPr>
            <w:r>
              <w:rPr>
                <w:rFonts w:hint="eastAsia" w:ascii="宋体" w:hAnsi="宋体"/>
                <w:color w:val="auto"/>
                <w:szCs w:val="21"/>
                <w:highlight w:val="none"/>
              </w:rPr>
              <w:t>2、递交投标文件备用</w:t>
            </w:r>
            <w:r>
              <w:rPr>
                <w:rFonts w:hint="eastAsia" w:ascii="宋体" w:hAnsi="宋体"/>
                <w:color w:val="auto"/>
                <w:szCs w:val="21"/>
                <w:highlight w:val="none"/>
                <w:u w:val="single"/>
                <w:lang w:val="en-US" w:eastAsia="zh-CN"/>
              </w:rPr>
              <w:t>U盘/光盘</w:t>
            </w:r>
            <w:r>
              <w:rPr>
                <w:rFonts w:hint="eastAsia" w:ascii="宋体" w:hAnsi="宋体"/>
                <w:color w:val="auto"/>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45</w:t>
            </w:r>
            <w:r>
              <w:rPr>
                <w:rFonts w:hint="eastAsia" w:ascii="宋体" w:hAnsi="宋体"/>
                <w:color w:val="auto"/>
                <w:szCs w:val="21"/>
                <w:highlight w:val="none"/>
                <w:u w:val="none"/>
                <w:lang w:val="en-US" w:eastAsia="zh-CN"/>
              </w:rPr>
              <w:t>分</w:t>
            </w:r>
            <w:r>
              <w:rPr>
                <w:rFonts w:hint="eastAsia" w:ascii="宋体" w:hAnsi="宋体"/>
                <w:color w:val="auto"/>
                <w:szCs w:val="21"/>
                <w:highlight w:val="none"/>
              </w:rPr>
              <w:t>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rPr>
              <w:t>分；递交地点：</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u w:val="single"/>
                <w:lang w:val="en-US" w:eastAsia="zh-CN"/>
              </w:rPr>
              <w:t>黄埔交易部第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1开</w:t>
            </w:r>
            <w:r>
              <w:rPr>
                <w:rFonts w:hint="eastAsia"/>
                <w:color w:val="auto"/>
                <w:spacing w:val="20"/>
                <w:szCs w:val="21"/>
                <w:highlight w:val="none"/>
                <w:u w:val="single"/>
              </w:rPr>
              <w:t>标</w:t>
            </w:r>
            <w:r>
              <w:rPr>
                <w:rFonts w:hint="eastAsia"/>
                <w:color w:val="auto"/>
                <w:spacing w:val="20"/>
                <w:szCs w:val="21"/>
                <w:highlight w:val="none"/>
              </w:rPr>
              <w:t>室</w:t>
            </w:r>
            <w:r>
              <w:rPr>
                <w:rFonts w:hint="eastAsia" w:ascii="宋体" w:hAnsi="宋体"/>
                <w:color w:val="auto"/>
                <w:highlight w:val="none"/>
              </w:rPr>
              <w:t>。(建议安排在投标文件截止时间前15分钟至投标文件截止时间）</w:t>
            </w:r>
            <w:r>
              <w:rPr>
                <w:rFonts w:hint="eastAsia" w:ascii="宋体" w:hAnsi="宋体" w:eastAsia="宋体" w:cs="宋体"/>
                <w:color w:val="auto"/>
                <w:sz w:val="21"/>
                <w:szCs w:val="21"/>
                <w:highlight w:val="none"/>
              </w:rPr>
              <w:t>投标人也可选择参加在线开标，具体按照交易平台相关指南进行操作。详见：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cs="宋体"/>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highlight w:val="none"/>
                <w:u w:val="single"/>
              </w:rPr>
              <w:t>上述时间及地点是否有改变，请</w:t>
            </w:r>
            <w:r>
              <w:rPr>
                <w:rFonts w:hint="eastAsia" w:ascii="宋体" w:hAnsi="宋体"/>
                <w:b w:val="0"/>
                <w:bCs w:val="0"/>
                <w:color w:val="auto"/>
                <w:highlight w:val="none"/>
                <w:u w:val="single"/>
              </w:rPr>
              <w:t>密切留意补充公告和招标答</w:t>
            </w:r>
            <w:r>
              <w:rPr>
                <w:rFonts w:hint="eastAsia" w:ascii="宋体" w:hAnsi="宋体"/>
                <w:color w:val="auto"/>
                <w:highlight w:val="none"/>
                <w:u w:val="single"/>
              </w:rPr>
              <w:t>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方式一：</w:t>
            </w:r>
            <w:r>
              <w:rPr>
                <w:rFonts w:hint="eastAsia" w:ascii="宋体" w:hAnsi="宋体" w:cs="宋体"/>
                <w:color w:val="auto"/>
                <w:szCs w:val="21"/>
                <w:highlight w:val="none"/>
                <w:u w:val="single"/>
              </w:rPr>
              <w:t xml:space="preserve">选取方法七（适合综合评分办法四，技术标与经济标同时开启）； </w:t>
            </w:r>
          </w:p>
          <w:p>
            <w:pPr>
              <w:pStyle w:val="36"/>
              <w:spacing w:line="380" w:lineRule="exact"/>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投标人总得分=[技术得分</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lang w:val="en-US" w:eastAsia="zh-CN"/>
              </w:rPr>
              <w:t>满分100分</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rPr>
              <w:t>×技术得分权重(</w:t>
            </w:r>
            <w:r>
              <w:rPr>
                <w:rFonts w:hint="eastAsia" w:ascii="宋体" w:hAnsi="宋体" w:eastAsia="宋体" w:cs="宋体"/>
                <w:color w:val="auto"/>
                <w:kern w:val="2"/>
                <w:sz w:val="21"/>
                <w:szCs w:val="21"/>
                <w:highlight w:val="none"/>
                <w:u w:val="single"/>
                <w:lang w:val="en-US" w:eastAsia="zh-CN"/>
              </w:rPr>
              <w:t>2</w:t>
            </w:r>
            <w:r>
              <w:rPr>
                <w:rFonts w:hint="eastAsia" w:ascii="宋体" w:hAnsi="宋体" w:eastAsia="宋体" w:cs="宋体"/>
                <w:color w:val="auto"/>
                <w:kern w:val="2"/>
                <w:sz w:val="21"/>
                <w:szCs w:val="21"/>
                <w:highlight w:val="none"/>
                <w:u w:val="single"/>
              </w:rPr>
              <w:t>0%)＋经济得分</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lang w:val="en-US" w:eastAsia="zh-CN"/>
              </w:rPr>
              <w:t>满分100分</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rPr>
              <w:t>×经济得分权重(</w:t>
            </w:r>
            <w:r>
              <w:rPr>
                <w:rFonts w:hint="eastAsia" w:ascii="宋体" w:hAnsi="宋体" w:eastAsia="宋体" w:cs="宋体"/>
                <w:color w:val="auto"/>
                <w:kern w:val="2"/>
                <w:sz w:val="21"/>
                <w:szCs w:val="21"/>
                <w:highlight w:val="none"/>
                <w:u w:val="single"/>
                <w:lang w:val="en-US" w:eastAsia="zh-CN"/>
              </w:rPr>
              <w:t>8</w:t>
            </w:r>
            <w:r>
              <w:rPr>
                <w:rFonts w:hint="eastAsia" w:ascii="宋体" w:hAnsi="宋体" w:eastAsia="宋体" w:cs="宋体"/>
                <w:color w:val="auto"/>
                <w:kern w:val="2"/>
                <w:sz w:val="21"/>
                <w:szCs w:val="21"/>
                <w:highlight w:val="none"/>
                <w:u w:val="single"/>
              </w:rPr>
              <w:t>0%)]×80%＋诚信综合评价得分×20%。</w:t>
            </w:r>
          </w:p>
          <w:p>
            <w:pPr>
              <w:spacing w:line="360" w:lineRule="auto"/>
              <w:rPr>
                <w:rFonts w:ascii="宋体" w:hAnsi="宋体"/>
                <w:color w:val="auto"/>
                <w:szCs w:val="21"/>
                <w:highlight w:val="none"/>
              </w:rPr>
            </w:pPr>
            <w:r>
              <w:rPr>
                <w:rFonts w:hint="eastAsia" w:ascii="宋体" w:hAnsi="宋体" w:cs="宋体"/>
                <w:color w:val="auto"/>
                <w:szCs w:val="21"/>
                <w:highlight w:val="none"/>
                <w:u w:val="single"/>
              </w:rPr>
              <w:t>总得分相同的投标文件，以投标报价较低的排前；</w:t>
            </w:r>
            <w:r>
              <w:rPr>
                <w:rFonts w:hint="eastAsia" w:ascii="宋体" w:hAnsi="宋体" w:cs="宋体"/>
                <w:color w:val="auto"/>
                <w:szCs w:val="21"/>
                <w:highlight w:val="none"/>
                <w:u w:val="single"/>
                <w:lang w:val="en-US" w:eastAsia="zh-CN"/>
              </w:rPr>
              <w:t>经济</w:t>
            </w:r>
            <w:r>
              <w:rPr>
                <w:rFonts w:hint="eastAsia" w:ascii="宋体" w:hAnsi="宋体" w:cs="宋体"/>
                <w:color w:val="auto"/>
                <w:szCs w:val="21"/>
                <w:highlight w:val="none"/>
                <w:u w:val="single"/>
              </w:rPr>
              <w:t>分均相同的投标文件，以技术分较高的排前；如仍存在相同情况，则对具有相同情况的投标人，由评标委员会采用以差额选举的记名投票方式决定先后顺序，确定投标人的排序。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strike/>
                <w:color w:val="auto"/>
                <w:szCs w:val="21"/>
                <w:highlight w:val="none"/>
              </w:rPr>
            </w:pPr>
            <w:r>
              <w:rPr>
                <w:rFonts w:hint="eastAsia" w:ascii="宋体" w:hAnsi="宋体" w:cs="宋体"/>
                <w:color w:val="auto"/>
                <w:szCs w:val="21"/>
                <w:highlight w:val="none"/>
                <w:u w:val="single"/>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ind w:firstLine="420" w:firstLineChars="200"/>
              <w:rPr>
                <w:rFonts w:ascii="宋体" w:hAnsi="宋体"/>
                <w:color w:val="auto"/>
                <w:szCs w:val="21"/>
                <w:highlight w:val="none"/>
                <w:u w:val="single"/>
              </w:rPr>
            </w:pPr>
            <w:r>
              <w:rPr>
                <w:rFonts w:ascii="宋体" w:hAnsi="宋体" w:cs="宋体"/>
                <w:color w:val="auto"/>
                <w:szCs w:val="21"/>
                <w:highlight w:val="none"/>
                <w:u w:val="single"/>
              </w:rPr>
              <w:t>本项目最高投标限价为人民币</w:t>
            </w:r>
            <w:r>
              <w:rPr>
                <w:rFonts w:hint="eastAsia" w:ascii="宋体" w:hAnsi="宋体" w:cs="宋体"/>
                <w:color w:val="auto"/>
                <w:szCs w:val="21"/>
                <w:highlight w:val="none"/>
                <w:u w:val="single"/>
                <w:lang w:val="en-US" w:eastAsia="zh-CN"/>
              </w:rPr>
              <w:t>51000000.00</w:t>
            </w:r>
            <w:r>
              <w:rPr>
                <w:rFonts w:ascii="宋体" w:hAnsi="宋体" w:cs="宋体"/>
                <w:color w:val="auto"/>
                <w:szCs w:val="21"/>
                <w:highlight w:val="none"/>
                <w:u w:val="single"/>
              </w:rPr>
              <w:t>元，投标报价高于招标控制价的投标文件将不通过经济标有效性审查。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ind w:left="210" w:leftChars="100" w:firstLine="210" w:firstLineChars="100"/>
              <w:rPr>
                <w:rFonts w:hint="eastAsia" w:ascii="宋体" w:hAnsi="宋体" w:cs="宋体"/>
                <w:color w:val="auto"/>
                <w:highlight w:val="none"/>
                <w:u w:val="single"/>
              </w:rPr>
            </w:pPr>
            <w:r>
              <w:rPr>
                <w:rFonts w:hint="eastAsia" w:ascii="宋体" w:hAnsi="宋体" w:cs="宋体"/>
                <w:color w:val="auto"/>
                <w:highlight w:val="none"/>
                <w:u w:val="single"/>
              </w:rPr>
              <w:t>本项目绿色施工安全防护措施费</w:t>
            </w:r>
            <w:r>
              <w:rPr>
                <w:rFonts w:hint="eastAsia" w:ascii="宋体" w:hAnsi="宋体" w:cs="宋体"/>
                <w:color w:val="auto"/>
                <w:highlight w:val="none"/>
                <w:u w:val="single"/>
                <w:lang w:val="en-US" w:eastAsia="zh-CN"/>
              </w:rPr>
              <w:t>3842197.92</w:t>
            </w:r>
            <w:r>
              <w:rPr>
                <w:rFonts w:hint="eastAsia" w:ascii="宋体" w:hAnsi="宋体" w:cs="宋体"/>
                <w:color w:val="auto"/>
                <w:highlight w:val="none"/>
                <w:u w:val="single"/>
              </w:rPr>
              <w:t>元，暂列金</w:t>
            </w:r>
          </w:p>
          <w:p>
            <w:pPr>
              <w:spacing w:line="380" w:lineRule="exact"/>
              <w:rPr>
                <w:color w:val="auto"/>
                <w:highlight w:val="none"/>
              </w:rPr>
            </w:pPr>
            <w:r>
              <w:rPr>
                <w:rFonts w:hint="eastAsia" w:ascii="宋体" w:hAnsi="宋体" w:cs="宋体"/>
                <w:color w:val="auto"/>
                <w:highlight w:val="none"/>
                <w:u w:val="single"/>
              </w:rPr>
              <w:t>额</w:t>
            </w:r>
            <w:r>
              <w:rPr>
                <w:rFonts w:hint="eastAsia" w:ascii="宋体" w:hAnsi="宋体" w:cs="宋体"/>
                <w:color w:val="auto"/>
                <w:highlight w:val="none"/>
                <w:u w:val="single"/>
                <w:lang w:val="en-US" w:eastAsia="zh-CN"/>
              </w:rPr>
              <w:t>802624.37</w:t>
            </w:r>
            <w:r>
              <w:rPr>
                <w:rFonts w:hint="eastAsia" w:ascii="宋体" w:hAnsi="宋体" w:cs="宋体"/>
                <w:color w:val="auto"/>
                <w:highlight w:val="none"/>
                <w:u w:val="single"/>
              </w:rPr>
              <w:t>元，暂估价为</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6"/>
              <w:spacing w:line="380" w:lineRule="exact"/>
              <w:ind w:firstLine="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d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trike/>
                <w:color w:val="auto"/>
                <w:szCs w:val="21"/>
                <w:highlight w:val="none"/>
              </w:rPr>
            </w:pPr>
            <w:r>
              <w:rPr>
                <w:rFonts w:hint="eastAsia" w:ascii="宋体" w:hAnsi="宋体"/>
                <w:strike/>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strike/>
                <w:color w:val="auto"/>
                <w:szCs w:val="21"/>
                <w:highlight w:val="none"/>
              </w:rPr>
            </w:pPr>
            <w:r>
              <w:rPr>
                <w:rFonts w:hint="eastAsia" w:ascii="宋体" w:hAnsi="宋体"/>
                <w:strike/>
                <w:color w:val="auto"/>
                <w:szCs w:val="21"/>
                <w:highlight w:val="none"/>
              </w:rPr>
              <w:t>计算评标参考价的等分点值X在开标前从[0,100]的整数中通过摇珠机随机抽取。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通过技术有效性审查的投标人均进入第二阶段（适用于通过技术有效性审查家数在[3,]中的）。</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exact"/>
              <w:rPr>
                <w:rFonts w:ascii="宋体" w:hAnsi="宋体" w:cs="宋体"/>
                <w:color w:val="auto"/>
                <w:szCs w:val="21"/>
                <w:highlight w:val="none"/>
                <w:u w:val="none"/>
              </w:rPr>
            </w:pPr>
            <w:r>
              <w:rPr>
                <w:rFonts w:hint="eastAsia" w:ascii="宋体" w:hAnsi="宋体" w:cs="宋体"/>
                <w:color w:val="auto"/>
                <w:szCs w:val="21"/>
                <w:highlight w:val="none"/>
                <w:u w:val="none"/>
              </w:rPr>
              <w:t>工程成本警戒价</w:t>
            </w:r>
            <w:r>
              <w:rPr>
                <w:rFonts w:hint="eastAsia" w:ascii="宋体" w:hAnsi="宋体" w:cs="宋体"/>
                <w:color w:val="auto"/>
                <w:szCs w:val="21"/>
                <w:highlight w:val="none"/>
                <w:u w:val="single"/>
                <w:lang w:val="en-US" w:eastAsia="zh-CN"/>
              </w:rPr>
              <w:t>43350000.00</w:t>
            </w:r>
            <w:r>
              <w:rPr>
                <w:rFonts w:hint="eastAsia" w:ascii="宋体" w:hAnsi="宋体" w:cs="宋体"/>
                <w:color w:val="auto"/>
                <w:szCs w:val="21"/>
                <w:highlight w:val="none"/>
                <w:u w:val="none"/>
              </w:rPr>
              <w:t>元</w:t>
            </w:r>
            <w:r>
              <w:rPr>
                <w:rFonts w:hint="eastAsia" w:ascii="宋体" w:hAnsi="宋体" w:cs="宋体"/>
                <w:color w:val="auto"/>
                <w:szCs w:val="21"/>
                <w:highlight w:val="none"/>
                <w:u w:val="single"/>
              </w:rPr>
              <w:t>（最高投标限价的</w:t>
            </w:r>
            <w:r>
              <w:rPr>
                <w:rFonts w:hint="eastAsia" w:ascii="宋体" w:hAnsi="宋体" w:cs="宋体"/>
                <w:color w:val="auto"/>
                <w:szCs w:val="21"/>
                <w:highlight w:val="none"/>
                <w:u w:val="single"/>
                <w:lang w:val="en-US" w:eastAsia="zh-CN"/>
              </w:rPr>
              <w:t>85</w:t>
            </w:r>
            <w:r>
              <w:rPr>
                <w:rFonts w:hint="eastAsia" w:ascii="宋体" w:hAnsi="宋体" w:cs="宋体"/>
                <w:color w:val="auto"/>
                <w:szCs w:val="21"/>
                <w:highlight w:val="none"/>
                <w:u w:val="single"/>
              </w:rPr>
              <w:t>%）</w:t>
            </w:r>
            <w:r>
              <w:rPr>
                <w:rFonts w:hint="eastAsia" w:ascii="宋体" w:hAnsi="宋体" w:cs="宋体"/>
                <w:color w:val="auto"/>
                <w:szCs w:val="21"/>
                <w:highlight w:val="none"/>
                <w:u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exact"/>
              <w:rPr>
                <w:rFonts w:ascii="宋体" w:hAnsi="宋体"/>
                <w:color w:val="auto"/>
                <w:szCs w:val="21"/>
                <w:highlight w:val="none"/>
                <w:u w:val="single"/>
              </w:rPr>
            </w:pPr>
            <w:r>
              <w:rPr>
                <w:rFonts w:hint="eastAsia" w:ascii="宋体" w:hAnsi="宋体" w:cs="宋体"/>
                <w:color w:val="auto"/>
                <w:szCs w:val="21"/>
                <w:highlight w:val="none"/>
                <w:u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bCs/>
                <w:strike/>
                <w:color w:val="auto"/>
                <w:szCs w:val="21"/>
                <w:highlight w:val="none"/>
              </w:rPr>
            </w:pPr>
            <w:r>
              <w:rPr>
                <w:rFonts w:hint="eastAsia" w:ascii="宋体" w:hAnsi="宋体" w:cs="宋体"/>
                <w:bCs/>
                <w:strike/>
                <w:color w:val="auto"/>
                <w:szCs w:val="21"/>
                <w:highlight w:val="none"/>
              </w:rPr>
              <w:t>技术分权重为    %，综合诚信评价分数权重为    %。</w:t>
            </w:r>
          </w:p>
          <w:p>
            <w:pPr>
              <w:spacing w:line="380" w:lineRule="exact"/>
              <w:rPr>
                <w:rFonts w:ascii="宋体" w:hAnsi="宋体" w:cs="宋体"/>
                <w:b/>
                <w:color w:val="auto"/>
                <w:szCs w:val="21"/>
                <w:highlight w:val="none"/>
                <w:u w:val="single"/>
              </w:rPr>
            </w:pPr>
            <w:r>
              <w:rPr>
                <w:rFonts w:hint="eastAsia" w:ascii="宋体" w:hAnsi="宋体" w:cs="宋体"/>
                <w:bCs/>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评标委员会构成：</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人。</w:t>
            </w:r>
          </w:p>
          <w:p>
            <w:pPr>
              <w:rPr>
                <w:rFonts w:ascii="宋体" w:hAnsi="宋体" w:cs="宋体"/>
                <w:color w:val="auto"/>
                <w:szCs w:val="21"/>
                <w:highlight w:val="none"/>
                <w:u w:val="single"/>
              </w:rPr>
            </w:pPr>
            <w:r>
              <w:rPr>
                <w:rFonts w:hint="eastAsia" w:ascii="宋体" w:hAnsi="宋体" w:cs="宋体"/>
                <w:color w:val="auto"/>
                <w:szCs w:val="21"/>
                <w:highlight w:val="none"/>
                <w:u w:val="single"/>
              </w:rPr>
              <w:t>其中招标人代表</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人，专家5人；</w:t>
            </w:r>
          </w:p>
          <w:p>
            <w:pPr>
              <w:spacing w:line="380" w:lineRule="exact"/>
              <w:rPr>
                <w:rFonts w:ascii="宋体" w:hAnsi="宋体"/>
                <w:color w:val="auto"/>
                <w:szCs w:val="21"/>
                <w:highlight w:val="none"/>
              </w:rPr>
            </w:pPr>
            <w:r>
              <w:rPr>
                <w:rFonts w:hint="eastAsia" w:ascii="宋体" w:hAnsi="宋体" w:cs="宋体"/>
                <w:color w:val="auto"/>
                <w:szCs w:val="21"/>
                <w:highlight w:val="none"/>
                <w:u w:val="single"/>
              </w:rPr>
              <w:t>评标专家确定方式：在广东省综合评标评审专家库中随机抽取。</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u w:val="single"/>
              </w:rPr>
              <w:t>诚信综合</w:t>
            </w:r>
            <w:r>
              <w:rPr>
                <w:rFonts w:hint="eastAsia" w:ascii="宋体" w:hAnsi="宋体"/>
                <w:color w:val="auto"/>
                <w:szCs w:val="21"/>
                <w:highlight w:val="none"/>
              </w:rPr>
              <w:t>评价分数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olor w:val="auto"/>
                <w:szCs w:val="21"/>
                <w:highlight w:val="none"/>
              </w:rPr>
            </w:pPr>
            <w:r>
              <w:rPr>
                <w:rFonts w:hint="eastAsia" w:ascii="宋体" w:hAnsi="宋体" w:cs="宋体"/>
                <w:color w:val="auto"/>
                <w:szCs w:val="21"/>
                <w:highlight w:val="none"/>
              </w:rPr>
              <w:t>本项目的企业</w:t>
            </w:r>
            <w:r>
              <w:rPr>
                <w:rFonts w:hint="eastAsia" w:ascii="宋体" w:hAnsi="宋体" w:cs="宋体"/>
                <w:color w:val="auto"/>
                <w:szCs w:val="21"/>
                <w:highlight w:val="none"/>
                <w:u w:val="single"/>
              </w:rPr>
              <w:t>诚信综合</w:t>
            </w:r>
            <w:r>
              <w:rPr>
                <w:rFonts w:hint="eastAsia" w:ascii="宋体" w:hAnsi="宋体" w:cs="宋体"/>
                <w:color w:val="auto"/>
                <w:szCs w:val="21"/>
                <w:highlight w:val="none"/>
              </w:rPr>
              <w:t>评价分数，以</w:t>
            </w:r>
            <w:r>
              <w:rPr>
                <w:rFonts w:hint="eastAsia" w:ascii="宋体" w:hAnsi="宋体" w:cs="宋体"/>
                <w:color w:val="auto"/>
                <w:szCs w:val="21"/>
                <w:highlight w:val="none"/>
                <w:u w:val="single"/>
              </w:rPr>
              <w:t>施工企业房建诚信评价</w:t>
            </w:r>
            <w:r>
              <w:rPr>
                <w:rFonts w:hint="eastAsia" w:ascii="宋体" w:hAnsi="宋体" w:cs="宋体"/>
                <w:color w:val="auto"/>
                <w:szCs w:val="21"/>
                <w:highlight w:val="none"/>
              </w:rPr>
              <w:t>排名为准。</w:t>
            </w:r>
            <w:r>
              <w:rPr>
                <w:rFonts w:hint="eastAsia" w:ascii="宋体" w:hAnsi="宋体" w:cs="宋体"/>
                <w:color w:val="auto"/>
                <w:szCs w:val="21"/>
                <w:highlight w:val="none"/>
                <w:u w:val="single"/>
              </w:rPr>
              <w:t>企业的诚信综合评价得分以开标当天广州市工程招标行业协会网站施工企业专栏上公布的施工企业房建诚信评价60日诚信分为准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2"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u w:val="single"/>
              </w:rPr>
            </w:pPr>
            <w:r>
              <w:rPr>
                <w:rFonts w:hint="eastAsia" w:ascii="宋体" w:hAnsi="宋体" w:cs="宋体"/>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pPr>
              <w:spacing w:line="380" w:lineRule="exact"/>
              <w:ind w:firstLine="210" w:firstLineChars="100"/>
              <w:rPr>
                <w:rFonts w:ascii="宋体" w:hAnsi="宋体" w:cs="宋体"/>
                <w:strike/>
                <w:color w:val="auto"/>
                <w:szCs w:val="21"/>
                <w:highlight w:val="none"/>
                <w:u w:val="singl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选取方法</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spacing w:line="380" w:lineRule="exact"/>
              <w:rPr>
                <w:rFonts w:ascii="宋体" w:hAnsi="宋体" w:cs="宋体"/>
                <w:strike/>
                <w:color w:val="auto"/>
                <w:szCs w:val="21"/>
                <w:highlight w:val="none"/>
              </w:rPr>
            </w:pPr>
            <w:r>
              <w:rPr>
                <w:rFonts w:hint="eastAsia" w:ascii="宋体" w:hAnsi="宋体" w:cs="宋体"/>
                <w:strike/>
                <w:color w:val="auto"/>
                <w:szCs w:val="21"/>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szCs w:val="21"/>
                <w:highlight w:val="none"/>
                <w:u w:val="single"/>
              </w:rPr>
            </w:pPr>
            <w:r>
              <w:rPr>
                <w:rFonts w:hint="eastAsia" w:ascii="宋体" w:hAnsi="宋体" w:cs="宋体"/>
                <w:bCs/>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olor w:val="auto"/>
                <w:kern w:val="0"/>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宋体"/>
                <w:color w:val="auto"/>
                <w:kern w:val="0"/>
                <w:szCs w:val="21"/>
                <w:highlight w:val="none"/>
                <w:lang w:val="zh-CN"/>
              </w:rPr>
            </w:pPr>
            <w:r>
              <w:rPr>
                <w:rFonts w:hint="eastAsia" w:ascii="宋体" w:hAnsi="宋体" w:cs="MS Mincho"/>
                <w:color w:val="auto"/>
                <w:szCs w:val="21"/>
                <w:highlight w:val="none"/>
              </w:rPr>
              <w:sym w:font="Wingdings 2" w:char="00A3"/>
            </w:r>
            <w:r>
              <w:rPr>
                <w:rFonts w:hint="eastAsia" w:ascii="宋体" w:hAnsi="宋体" w:cs="宋体"/>
                <w:color w:val="auto"/>
                <w:kern w:val="0"/>
                <w:szCs w:val="21"/>
                <w:highlight w:val="none"/>
                <w:lang w:val="zh-CN"/>
              </w:rPr>
              <w:t>不允许；</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允许：</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分包内容要要求：</w:t>
            </w:r>
            <w:r>
              <w:rPr>
                <w:rFonts w:hint="eastAsia" w:ascii="宋体" w:hAnsi="宋体" w:cs="宋体"/>
                <w:color w:val="auto"/>
                <w:kern w:val="0"/>
                <w:szCs w:val="21"/>
                <w:highlight w:val="none"/>
                <w:u w:val="single"/>
                <w:lang w:val="zh-CN"/>
              </w:rPr>
              <w:t>经招标人同意后，允许对部分非主体、非关键性专业工程进行分包</w:t>
            </w:r>
            <w:r>
              <w:rPr>
                <w:rFonts w:hint="eastAsia" w:ascii="宋体" w:hAnsi="宋体" w:cs="宋体"/>
                <w:color w:val="auto"/>
                <w:kern w:val="0"/>
                <w:szCs w:val="21"/>
                <w:highlight w:val="none"/>
                <w:lang w:val="zh-CN"/>
              </w:rPr>
              <w:t>。</w:t>
            </w:r>
          </w:p>
          <w:p>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按国家现行规定执行。</w:t>
            </w:r>
          </w:p>
          <w:p>
            <w:pPr>
              <w:spacing w:line="38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rPr>
              <w:t>符合有关法律法规和文件规定，并不得再次分包</w:t>
            </w:r>
            <w:r>
              <w:rPr>
                <w:rFonts w:hint="eastAsia" w:ascii="宋体" w:hAnsi="宋体" w:cs="宋体"/>
                <w:color w:val="auto"/>
                <w:kern w:val="0"/>
                <w:szCs w:val="21"/>
                <w:highlight w:val="none"/>
                <w:u w:val="single"/>
                <w:lang w:eastAsia="zh-CN"/>
              </w:rPr>
              <w:t>。</w:t>
            </w:r>
          </w:p>
          <w:p>
            <w:pPr>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rPr>
              <w:t>在以往工程中</w:t>
            </w:r>
            <w:r>
              <w:rPr>
                <w:rFonts w:hint="eastAsia"/>
                <w:color w:val="auto"/>
                <w:highlight w:val="none"/>
                <w:u w:val="single"/>
              </w:rPr>
              <w:t>未</w:t>
            </w:r>
            <w:r>
              <w:rPr>
                <w:rFonts w:hint="eastAsia" w:ascii="宋体" w:hAnsi="宋体" w:cs="宋体"/>
                <w:color w:val="auto"/>
                <w:kern w:val="0"/>
                <w:szCs w:val="21"/>
                <w:highlight w:val="none"/>
                <w:u w:val="single"/>
              </w:rPr>
              <w:t>因不诚信行为或不充分履约行为被本项目招标人书面拒绝投标的，或未被纳入联合惩戒范围的。须经发包人和总监理工程师书面同意</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cs="Courier New"/>
                <w:color w:val="auto"/>
                <w:szCs w:val="21"/>
                <w:highlight w:val="none"/>
                <w:u w:val="singl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rPr>
              <w:t>广州交易集团有限公司（广州公共资源交易中心）网站最新指引</w:t>
            </w:r>
            <w:r>
              <w:rPr>
                <w:rFonts w:hint="eastAsia" w:ascii="宋体" w:hAnsi="宋体"/>
                <w:color w:val="auto"/>
                <w:szCs w:val="21"/>
                <w:highlight w:val="none"/>
                <w:u w:val="single"/>
              </w:rPr>
              <w:t xml:space="preserve">。 </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2、提交投标文件</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备用</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（1份），在投标须知前附表第18项规定的时间、地点提交备用。刻录好的投标文件</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密封在密封袋中，并在封口处加盖投标人单位公章。密封袋上应写明项目名称和招标人名称。递交的</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不得加密。</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无法读取或导入的，则视为未提交备用投标文件</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。如果投标人没有按规定通过交易平台网上递交电子投标文件的，不再读取提交的</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。投标人也可不提交备用</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内容，继续开标程序。评标委员会对其投标文件的评审以</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内容为准。因投标人之外原因解密失败且未递交电子</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的，视为撤回投标文件。</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，并按</w:t>
            </w:r>
            <w:r>
              <w:rPr>
                <w:rFonts w:hint="eastAsia" w:ascii="宋体" w:hAnsi="宋体" w:cs="Courier New"/>
                <w:color w:val="auto"/>
                <w:szCs w:val="21"/>
                <w:highlight w:val="none"/>
                <w:u w:val="single"/>
                <w:lang w:eastAsia="zh-CN"/>
              </w:rPr>
              <w:t>U盘/光盘</w:t>
            </w:r>
            <w:r>
              <w:rPr>
                <w:rFonts w:hint="eastAsia" w:ascii="宋体" w:hAnsi="宋体" w:cs="Courier New"/>
                <w:color w:val="auto"/>
                <w:szCs w:val="21"/>
                <w:highlight w:val="none"/>
              </w:rPr>
              <w:t>内容进行评审。</w:t>
            </w:r>
          </w:p>
          <w:p>
            <w:pPr>
              <w:spacing w:line="380" w:lineRule="exact"/>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rPr>
              <w:t>招标人拒绝接收投标文件备用</w:t>
            </w:r>
            <w:r>
              <w:rPr>
                <w:rFonts w:hint="eastAsia" w:ascii="宋体" w:hAnsi="宋体" w:cs="宋体"/>
                <w:color w:val="auto"/>
                <w:szCs w:val="21"/>
                <w:highlight w:val="none"/>
                <w:u w:val="single"/>
                <w:lang w:val="en-US" w:eastAsia="zh-CN"/>
              </w:rPr>
              <w:t>U盘/</w:t>
            </w:r>
            <w:r>
              <w:rPr>
                <w:rFonts w:hint="eastAsia" w:ascii="宋体" w:hAnsi="宋体" w:cs="宋体"/>
                <w:color w:val="auto"/>
                <w:szCs w:val="21"/>
                <w:highlight w:val="none"/>
                <w:u w:val="single"/>
              </w:rPr>
              <w:t>光盘的情况</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w:t>
            </w:r>
            <w:r>
              <w:rPr>
                <w:rFonts w:hint="eastAsia" w:ascii="宋体" w:hAnsi="宋体" w:cs="宋体"/>
                <w:color w:val="auto"/>
                <w:szCs w:val="21"/>
                <w:highlight w:val="none"/>
                <w:u w:val="single"/>
                <w:lang w:val="en-US" w:eastAsia="zh-CN"/>
              </w:rPr>
              <w:t>U盘/</w:t>
            </w:r>
            <w:r>
              <w:rPr>
                <w:rFonts w:hint="eastAsia" w:ascii="宋体" w:hAnsi="宋体" w:cs="宋体"/>
                <w:color w:val="auto"/>
                <w:szCs w:val="21"/>
                <w:highlight w:val="none"/>
                <w:u w:val="single"/>
              </w:rPr>
              <w:t>光盘的；</w:t>
            </w:r>
          </w:p>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w:t>
            </w:r>
            <w:r>
              <w:rPr>
                <w:rFonts w:hint="eastAsia" w:ascii="宋体" w:hAnsi="宋体" w:cs="宋体"/>
                <w:color w:val="auto"/>
                <w:szCs w:val="21"/>
                <w:highlight w:val="none"/>
                <w:u w:val="single"/>
                <w:lang w:val="en-US" w:eastAsia="zh-CN"/>
              </w:rPr>
              <w:t>U盘/</w:t>
            </w:r>
            <w:r>
              <w:rPr>
                <w:rFonts w:hint="eastAsia" w:ascii="宋体" w:hAnsi="宋体" w:cs="宋体"/>
                <w:color w:val="auto"/>
                <w:szCs w:val="21"/>
                <w:highlight w:val="none"/>
                <w:u w:val="single"/>
              </w:rPr>
              <w:t>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1"/>
                <w:szCs w:val="22"/>
                <w:highlight w:val="none"/>
                <w:u w:val="single"/>
                <w:lang w:val="en-US" w:eastAsia="zh-CN" w:bidi="ar-SA"/>
              </w:rPr>
            </w:pPr>
            <w:r>
              <w:rPr>
                <w:rFonts w:hint="eastAsia" w:ascii="宋体" w:hAnsi="宋体" w:cs="宋体"/>
                <w:color w:val="auto"/>
                <w:szCs w:val="21"/>
                <w:highlight w:val="none"/>
                <w:u w:val="single"/>
              </w:rPr>
              <w:t>中标公示后投标单位提交投标文件的要求</w:t>
            </w:r>
          </w:p>
        </w:tc>
        <w:tc>
          <w:tcPr>
            <w:tcW w:w="5857" w:type="dxa"/>
            <w:tcBorders>
              <w:top w:val="single" w:color="auto" w:sz="4" w:space="0"/>
              <w:left w:val="single" w:color="auto" w:sz="4" w:space="0"/>
              <w:bottom w:val="single" w:color="auto" w:sz="4" w:space="0"/>
              <w:right w:val="double" w:color="auto" w:sz="4" w:space="0"/>
            </w:tcBorders>
            <w:vAlign w:val="center"/>
          </w:tcPr>
          <w:p>
            <w:pPr>
              <w:pStyle w:val="153"/>
              <w:topLinePunct/>
              <w:rPr>
                <w:rFonts w:hint="eastAsia" w:ascii="宋体" w:hAnsi="宋体" w:eastAsia="宋体" w:cs="Courier New"/>
                <w:color w:val="auto"/>
                <w:kern w:val="2"/>
                <w:sz w:val="16"/>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中标单位在中标公示后，需提供与递交投标电子标书内容一致且每页加盖单位公章的纸质文件一式四份及电子文件U盘一份（不用生成投标书；包括经济标报价套价软件版、XML版和Microsoft Excel软件版及用Microsoft Word软件或广州交易集团有限公司（广州公共资源交易中心）提供的投标书制作软件制作的经济投标文件其他部分。电子文件介质使用U盘，所有电子文件不能采用压缩处理或加密处理）给招标人</w:t>
            </w:r>
            <w:r>
              <w:rPr>
                <w:rFonts w:hint="eastAsia" w:ascii="宋体" w:hAnsi="宋体" w:cs="宋体"/>
                <w:color w:val="auto"/>
                <w:kern w:val="2"/>
                <w:sz w:val="21"/>
                <w:szCs w:val="21"/>
                <w:highlight w:val="none"/>
                <w:u w:val="singl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安全生产责任保险</w:t>
            </w:r>
          </w:p>
        </w:tc>
        <w:tc>
          <w:tcPr>
            <w:tcW w:w="5857" w:type="dxa"/>
            <w:tcBorders>
              <w:top w:val="single" w:color="auto" w:sz="4" w:space="0"/>
              <w:left w:val="single" w:color="auto" w:sz="4" w:space="0"/>
              <w:bottom w:val="single" w:color="auto" w:sz="4" w:space="0"/>
              <w:right w:val="double" w:color="auto" w:sz="4" w:space="0"/>
            </w:tcBorders>
            <w:vAlign w:val="center"/>
          </w:tcPr>
          <w:p>
            <w:pPr>
              <w:snapToGrid w:val="0"/>
              <w:spacing w:line="240" w:lineRule="auto"/>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 w:val="21"/>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u w:val="single"/>
              </w:rPr>
              <w:t>是否授权评标委员会确定中标人</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szCs w:val="21"/>
                <w:highlight w:val="none"/>
                <w:u w:val="singl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lang w:val="en-US" w:eastAsia="zh-CN"/>
              </w:rPr>
              <w:t>4</w:t>
            </w:r>
            <w:r>
              <w:rPr>
                <w:rFonts w:hint="eastAsia" w:ascii="宋体" w:hAnsi="宋体" w:cs="宋体"/>
                <w:color w:val="auto"/>
                <w:sz w:val="21"/>
                <w:szCs w:val="21"/>
                <w:highlight w:val="none"/>
                <w:u w:val="single"/>
                <w:lang w:val="en-US" w:eastAsia="zh-CN"/>
              </w:rPr>
              <w:t>2</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tLeast"/>
              <w:rPr>
                <w:rFonts w:hint="eastAsia" w:ascii="宋体" w:hAnsi="宋体" w:cs="宋体"/>
                <w:color w:val="auto"/>
                <w:szCs w:val="21"/>
                <w:highlight w:val="none"/>
                <w:u w:val="single"/>
              </w:rPr>
            </w:pPr>
            <w:r>
              <w:rPr>
                <w:rFonts w:hint="eastAsia" w:ascii="宋体" w:hAnsi="宋体" w:cs="宋体"/>
                <w:color w:val="auto"/>
                <w:szCs w:val="21"/>
                <w:highlight w:val="none"/>
                <w:u w:val="single"/>
              </w:rPr>
              <w:t>说明与要求：</w:t>
            </w:r>
          </w:p>
          <w:p>
            <w:pPr>
              <w:snapToGrid/>
              <w:spacing w:line="360" w:lineRule="atLeas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具体要求在中标后按照投标承诺和招标人的要求执行</w:t>
            </w:r>
            <w:r>
              <w:rPr>
                <w:rFonts w:hint="eastAsia" w:ascii="宋体" w:hAnsi="宋体" w:cs="宋体"/>
                <w:b w:val="0"/>
                <w:bCs w:val="0"/>
                <w:color w:val="auto"/>
                <w:szCs w:val="21"/>
                <w:highlight w:val="none"/>
                <w:u w:val="single"/>
              </w:rPr>
              <w:t>。如政府部门有“百千万工程”相关要求，中标人须无条件配合。</w:t>
            </w:r>
          </w:p>
        </w:tc>
      </w:tr>
    </w:tbl>
    <w:p>
      <w:pPr>
        <w:spacing w:line="380" w:lineRule="exact"/>
        <w:rPr>
          <w:rFonts w:ascii="宋体" w:hAnsi="宋体" w:cs="Courier New"/>
          <w:strike w:val="0"/>
          <w:color w:val="auto"/>
          <w:szCs w:val="21"/>
          <w:highlight w:val="none"/>
          <w:u w:val="none"/>
        </w:rPr>
      </w:pPr>
      <w:r>
        <w:rPr>
          <w:rFonts w:hint="eastAsia" w:ascii="宋体" w:hAnsi="宋体" w:cs="Courier New"/>
          <w:strike w:val="0"/>
          <w:color w:val="auto"/>
          <w:szCs w:val="21"/>
          <w:highlight w:val="none"/>
          <w:u w:val="none"/>
        </w:rPr>
        <w:t>注：企业</w:t>
      </w:r>
      <w:r>
        <w:rPr>
          <w:rFonts w:hint="eastAsia" w:ascii="宋体" w:hAnsi="宋体" w:cs="Courier New"/>
          <w:strike w:val="0"/>
          <w:color w:val="auto"/>
          <w:szCs w:val="21"/>
          <w:highlight w:val="none"/>
          <w:u w:val="single"/>
        </w:rPr>
        <w:t>诚信综合</w:t>
      </w:r>
      <w:r>
        <w:rPr>
          <w:rFonts w:hint="eastAsia" w:ascii="宋体" w:hAnsi="宋体" w:cs="Courier New"/>
          <w:strike w:val="0"/>
          <w:color w:val="auto"/>
          <w:szCs w:val="21"/>
          <w:highlight w:val="none"/>
          <w:u w:val="none"/>
        </w:rPr>
        <w:t>评价得分即企业综合诚信评价60日诚信分，以下同。</w:t>
      </w:r>
    </w:p>
    <w:p>
      <w:pPr>
        <w:pStyle w:val="2"/>
        <w:spacing w:line="400" w:lineRule="exact"/>
        <w:ind w:firstLine="186"/>
        <w:jc w:val="center"/>
        <w:rPr>
          <w:rFonts w:ascii="宋体" w:hAnsi="宋体"/>
          <w:color w:val="auto"/>
          <w:sz w:val="21"/>
          <w:szCs w:val="21"/>
          <w:highlight w:val="none"/>
        </w:rPr>
      </w:pPr>
      <w:r>
        <w:rPr>
          <w:rFonts w:ascii="宋体" w:hAnsi="宋体"/>
          <w:color w:val="auto"/>
          <w:sz w:val="21"/>
          <w:szCs w:val="21"/>
          <w:highlight w:val="none"/>
        </w:rPr>
        <w:br w:type="page"/>
      </w:r>
      <w:bookmarkStart w:id="4" w:name="_Toc6493829"/>
    </w:p>
    <w:p>
      <w:pPr>
        <w:pStyle w:val="2"/>
        <w:spacing w:line="400" w:lineRule="exact"/>
        <w:ind w:firstLine="186"/>
        <w:jc w:val="center"/>
        <w:rPr>
          <w:rFonts w:ascii="宋体" w:hAnsi="宋体"/>
          <w:color w:val="auto"/>
          <w:sz w:val="21"/>
          <w:szCs w:val="21"/>
          <w:highlight w:val="none"/>
        </w:rPr>
      </w:pPr>
      <w:bookmarkStart w:id="5" w:name="_Toc25379"/>
      <w:r>
        <w:rPr>
          <w:rFonts w:hint="eastAsia" w:ascii="宋体" w:hAnsi="宋体"/>
          <w:color w:val="auto"/>
          <w:sz w:val="21"/>
          <w:szCs w:val="21"/>
          <w:highlight w:val="none"/>
        </w:rPr>
        <w:t>二、投标须知修改表</w:t>
      </w:r>
      <w:bookmarkEnd w:id="4"/>
      <w:bookmarkEnd w:id="5"/>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条款号：1（4）              修改类型：修改</w:t>
      </w:r>
    </w:p>
    <w:p>
      <w:pPr>
        <w:pBdr>
          <w:bottom w:val="single" w:color="auto" w:sz="6" w:space="1"/>
        </w:pBd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（4）“招标文件”指由招标代理发出的本文件（包括全部章节、附件）及招标答疑会会议纪要和招标文件的澄清与修改文件。</w:t>
      </w:r>
    </w:p>
    <w:p>
      <w:pPr>
        <w:pBdr>
          <w:bottom w:val="single" w:color="auto" w:sz="6" w:space="1"/>
        </w:pBdr>
        <w:tabs>
          <w:tab w:val="left" w:pos="5620"/>
        </w:tabs>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（4）“招标文件”指由招标代理发出的本文件（包括全部章节、附件）及</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和招标文件的澄清与修改文件。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adjustRightInd w:val="0"/>
        <w:snapToGrid w:val="0"/>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2.5</w:t>
      </w:r>
      <w:r>
        <w:rPr>
          <w:rFonts w:hint="eastAsia" w:ascii="宋体" w:hAnsi="宋体" w:cs="宋体"/>
          <w:bCs/>
          <w:color w:val="auto"/>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bCs/>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72" w:firstLineChars="224"/>
        <w:rPr>
          <w:rFonts w:ascii="宋体" w:hAnsi="Calibri"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 5.1         </w:t>
      </w:r>
      <w:r>
        <w:rPr>
          <w:rFonts w:hint="eastAsia" w:ascii="宋体" w:hAnsi="宋体" w:cs="宋体"/>
          <w:b/>
          <w:color w:val="auto"/>
          <w:szCs w:val="21"/>
          <w:highlight w:val="none"/>
        </w:rPr>
        <w:t>修改类型：修改</w:t>
      </w:r>
    </w:p>
    <w:p>
      <w:pPr>
        <w:spacing w:line="360" w:lineRule="auto"/>
        <w:ind w:firstLine="472" w:firstLineChars="224"/>
        <w:rPr>
          <w:rFonts w:ascii="宋体" w:hAnsi="Calibri" w:cs="宋体"/>
          <w:b/>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5.1</w:t>
      </w:r>
      <w:r>
        <w:rPr>
          <w:rFonts w:hint="eastAsia" w:ascii="宋体" w:hAnsi="宋体" w:cs="宋体"/>
          <w:bCs/>
          <w:color w:val="auto"/>
          <w:szCs w:val="21"/>
          <w:highlight w:val="none"/>
        </w:rPr>
        <w:t>投标人应按本投标须知前附表第</w:t>
      </w:r>
      <w:r>
        <w:rPr>
          <w:rFonts w:ascii="宋体" w:hAnsi="宋体" w:cs="宋体"/>
          <w:bCs/>
          <w:color w:val="auto"/>
          <w:szCs w:val="21"/>
          <w:highlight w:val="none"/>
        </w:rPr>
        <w:t>15</w:t>
      </w:r>
      <w:r>
        <w:rPr>
          <w:rFonts w:hint="eastAsia" w:ascii="宋体" w:hAnsi="宋体" w:cs="宋体"/>
          <w:bCs/>
          <w:color w:val="auto"/>
          <w:szCs w:val="21"/>
          <w:highlight w:val="none"/>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rFonts w:ascii="宋体" w:hAnsi="Calibri" w:cs="宋体"/>
          <w:color w:val="auto"/>
          <w:highlight w:val="none"/>
        </w:rPr>
      </w:pPr>
      <w:r>
        <w:rPr>
          <w:rFonts w:hint="eastAsia" w:ascii="宋体" w:hAnsi="宋体" w:cs="宋体"/>
          <w:b/>
          <w:color w:val="auto"/>
          <w:szCs w:val="21"/>
          <w:highlight w:val="none"/>
        </w:rPr>
        <w:t>现文：</w:t>
      </w:r>
      <w:r>
        <w:rPr>
          <w:rFonts w:ascii="宋体" w:hAnsi="宋体" w:cs="宋体"/>
          <w:b/>
          <w:color w:val="auto"/>
          <w:szCs w:val="21"/>
          <w:highlight w:val="none"/>
        </w:rPr>
        <w:t>5.1</w:t>
      </w:r>
      <w:r>
        <w:rPr>
          <w:rFonts w:hint="eastAsia" w:ascii="宋体" w:hAnsi="宋体" w:cs="宋体"/>
          <w:bCs/>
          <w:color w:val="auto"/>
          <w:szCs w:val="21"/>
          <w:highlight w:val="none"/>
        </w:rPr>
        <w:t>投标人应按本投标须知前附表第</w:t>
      </w:r>
      <w:r>
        <w:rPr>
          <w:rFonts w:ascii="宋体" w:hAnsi="宋体" w:cs="宋体"/>
          <w:bCs/>
          <w:color w:val="auto"/>
          <w:szCs w:val="21"/>
          <w:highlight w:val="none"/>
        </w:rPr>
        <w:t>15</w:t>
      </w:r>
      <w:r>
        <w:rPr>
          <w:rFonts w:hint="eastAsia" w:ascii="宋体" w:hAnsi="宋体" w:cs="宋体"/>
          <w:bCs/>
          <w:color w:val="auto"/>
          <w:szCs w:val="21"/>
          <w:highlight w:val="none"/>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bCs/>
          <w:color w:val="auto"/>
          <w:szCs w:val="21"/>
          <w:highlight w:val="none"/>
        </w:rPr>
        <w:t>一旦中标，这种考察即被认为其结果已在中标文件中得到充分反映。考察现场的费用由投标人自己承担。</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color w:val="auto"/>
          <w:szCs w:val="21"/>
          <w:highlight w:val="none"/>
        </w:rPr>
        <w:t>8.1</w:t>
      </w:r>
      <w:r>
        <w:rPr>
          <w:rFonts w:hint="eastAsia" w:ascii="宋体" w:hAnsi="宋体"/>
          <w:b/>
          <w:color w:val="auto"/>
          <w:szCs w:val="21"/>
          <w:highlight w:val="none"/>
        </w:rPr>
        <w:t>修改类型：修改</w:t>
      </w:r>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8.1</w:t>
      </w:r>
      <w:r>
        <w:rPr>
          <w:rFonts w:hint="eastAsia" w:ascii="宋体" w:hAnsi="宋体" w:cs="宋体"/>
          <w:color w:val="auto"/>
          <w:szCs w:val="21"/>
          <w:highlight w:val="none"/>
        </w:rPr>
        <w:t>投标人若对招标文件（包括招标图纸）中有疑问，可以书面形式通过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交易平台提交给招标人或招标代理人，提交形式见本须知前附表第</w:t>
      </w:r>
      <w:r>
        <w:rPr>
          <w:rFonts w:ascii="宋体" w:hAnsi="宋体" w:cs="宋体"/>
          <w:color w:val="auto"/>
          <w:szCs w:val="21"/>
          <w:highlight w:val="none"/>
        </w:rPr>
        <w:t>16</w:t>
      </w:r>
      <w:r>
        <w:rPr>
          <w:rFonts w:hint="eastAsia" w:ascii="宋体" w:hAnsi="宋体" w:cs="宋体"/>
          <w:color w:val="auto"/>
          <w:szCs w:val="21"/>
          <w:highlight w:val="none"/>
        </w:rPr>
        <w:t>项</w:t>
      </w:r>
      <w:r>
        <w:rPr>
          <w:rFonts w:hint="eastAsia" w:ascii="宋体" w:hAnsi="宋体"/>
          <w:color w:val="auto"/>
          <w:szCs w:val="21"/>
          <w:highlight w:val="none"/>
        </w:rPr>
        <w:t>。</w:t>
      </w:r>
    </w:p>
    <w:p>
      <w:pPr>
        <w:pBdr>
          <w:bottom w:val="single" w:color="auto" w:sz="6" w:space="1"/>
        </w:pBdr>
        <w:spacing w:line="440" w:lineRule="exact"/>
        <w:ind w:firstLine="422" w:firstLineChars="200"/>
        <w:rPr>
          <w:rFonts w:ascii="宋体" w:hAnsi="宋体" w:cs="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8.1</w:t>
      </w:r>
      <w:r>
        <w:rPr>
          <w:rFonts w:hint="eastAsia" w:ascii="宋体" w:hAnsi="宋体" w:cs="宋体"/>
          <w:bCs/>
          <w:color w:val="auto"/>
          <w:sz w:val="21"/>
          <w:szCs w:val="21"/>
          <w:highlight w:val="none"/>
          <w:u w:val="single"/>
        </w:rPr>
        <w:t>投标人若对招标文件（包括招标图纸、清单、</w:t>
      </w:r>
      <w:r>
        <w:rPr>
          <w:rFonts w:hint="eastAsia" w:ascii="宋体" w:hAnsi="宋体" w:eastAsia="宋体" w:cs="宋体"/>
          <w:bCs/>
          <w:color w:val="auto"/>
          <w:sz w:val="21"/>
          <w:szCs w:val="21"/>
          <w:highlight w:val="none"/>
          <w:u w:val="single"/>
        </w:rPr>
        <w:t>合同条款、</w:t>
      </w:r>
      <w:r>
        <w:rPr>
          <w:rFonts w:hint="eastAsia" w:ascii="宋体" w:hAnsi="宋体" w:cs="宋体"/>
          <w:bCs/>
          <w:color w:val="auto"/>
          <w:sz w:val="21"/>
          <w:szCs w:val="21"/>
          <w:highlight w:val="none"/>
          <w:u w:val="single"/>
        </w:rPr>
        <w:t>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Cs w:val="21"/>
          <w:highlight w:val="none"/>
          <w:u w:val="single"/>
        </w:rPr>
        <w:t xml:space="preserve">。 </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条款号：8</w:t>
      </w:r>
      <w:r>
        <w:rPr>
          <w:rFonts w:ascii="宋体" w:hAnsi="宋体"/>
          <w:b/>
          <w:color w:val="auto"/>
          <w:szCs w:val="21"/>
          <w:highlight w:val="none"/>
        </w:rPr>
        <w:t xml:space="preserve">.2             </w:t>
      </w:r>
      <w:r>
        <w:rPr>
          <w:rFonts w:hint="eastAsia" w:ascii="宋体" w:hAnsi="宋体"/>
          <w:b/>
          <w:color w:val="auto"/>
          <w:szCs w:val="21"/>
          <w:highlight w:val="none"/>
        </w:rPr>
        <w:t>修改类型：修改</w:t>
      </w:r>
    </w:p>
    <w:p>
      <w:pPr>
        <w:pBdr>
          <w:bottom w:val="single" w:color="auto" w:sz="6" w:space="1"/>
        </w:pBd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8.2</w:t>
      </w:r>
      <w:r>
        <w:rPr>
          <w:rFonts w:hint="eastAsia" w:ascii="宋体" w:hAnsi="宋体" w:cs="宋体"/>
          <w:color w:val="auto"/>
          <w:szCs w:val="21"/>
          <w:highlight w:val="none"/>
        </w:rPr>
        <w:t>招标答疑会会议纪要将在提交投标文件截止时间15日前在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交易平台发布，视作已发放给所有投标人</w:t>
      </w:r>
      <w:r>
        <w:rPr>
          <w:rFonts w:hint="eastAsia" w:ascii="宋体" w:hAnsi="宋体"/>
          <w:color w:val="auto"/>
          <w:szCs w:val="21"/>
          <w:highlight w:val="none"/>
        </w:rPr>
        <w:t>。</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8.2</w:t>
      </w:r>
      <w:r>
        <w:rPr>
          <w:rFonts w:hint="eastAsia" w:ascii="宋体" w:hAnsi="宋体"/>
          <w:color w:val="auto"/>
          <w:szCs w:val="21"/>
          <w:highlight w:val="none"/>
          <w:u w:val="single"/>
        </w:rPr>
        <w:t>招标答疑纪要</w:t>
      </w:r>
      <w:r>
        <w:rPr>
          <w:rFonts w:hint="eastAsia" w:ascii="宋体" w:hAnsi="宋体"/>
          <w:color w:val="auto"/>
          <w:szCs w:val="21"/>
          <w:highlight w:val="none"/>
        </w:rPr>
        <w:t>将在提交投标文件截止时间15日前</w:t>
      </w:r>
      <w:r>
        <w:rPr>
          <w:rFonts w:hint="eastAsia" w:ascii="宋体" w:hAnsi="宋体" w:cs="宋体"/>
          <w:color w:val="auto"/>
          <w:sz w:val="21"/>
          <w:szCs w:val="21"/>
          <w:highlight w:val="none"/>
          <w:u w:val="single"/>
        </w:rPr>
        <w:t>在广州交易集团有限公司（广州公共资源交易中心）交易平台“项目查询(日程安排、答疑纪要)”</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w:t>
      </w:r>
      <w:r>
        <w:rPr>
          <w:rFonts w:hint="eastAsia" w:ascii="宋体" w:hAnsi="宋体" w:cs="宋体"/>
          <w:color w:val="auto"/>
          <w:sz w:val="21"/>
          <w:szCs w:val="21"/>
          <w:highlight w:val="none"/>
        </w:rPr>
        <w:t>交易平台发布，视作已发放给所有投标人</w:t>
      </w:r>
      <w:r>
        <w:rPr>
          <w:rFonts w:hint="eastAsia" w:ascii="宋体" w:hAnsi="宋体"/>
          <w:color w:val="auto"/>
          <w:szCs w:val="21"/>
          <w:highlight w:val="none"/>
        </w:rPr>
        <w:t>。</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条款号：8.3            修改类型：修改</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8.3</w:t>
      </w:r>
      <w:r>
        <w:rPr>
          <w:rFonts w:hint="eastAsia" w:ascii="宋体" w:hAnsi="宋体"/>
          <w:color w:val="auto"/>
          <w:szCs w:val="21"/>
          <w:highlight w:val="none"/>
        </w:rPr>
        <w:t>答疑会会议纪要为招标文件的一部分</w:t>
      </w:r>
      <w:r>
        <w:rPr>
          <w:rFonts w:hint="eastAsia" w:ascii="宋体" w:hAnsi="宋体" w:cs="宋体"/>
          <w:color w:val="auto"/>
          <w:szCs w:val="21"/>
          <w:highlight w:val="none"/>
        </w:rPr>
        <w:t>。</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8.3</w:t>
      </w:r>
      <w:r>
        <w:rPr>
          <w:rFonts w:hint="eastAsia" w:ascii="宋体" w:hAnsi="宋体" w:cs="宋体"/>
          <w:color w:val="auto"/>
          <w:szCs w:val="21"/>
          <w:highlight w:val="none"/>
          <w:u w:val="single"/>
        </w:rPr>
        <w:t>答疑纪要为招标文件的一部分</w:t>
      </w:r>
      <w:r>
        <w:rPr>
          <w:rFonts w:hint="eastAsia" w:ascii="宋体" w:hAnsi="宋体" w:cs="宋体"/>
          <w:color w:val="auto"/>
          <w:szCs w:val="21"/>
          <w:highlight w:val="none"/>
        </w:rPr>
        <w:t>。</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条款号：8.4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44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8.4若招标</w:t>
      </w:r>
      <w:r>
        <w:rPr>
          <w:rFonts w:hint="eastAsia" w:ascii="宋体" w:hAnsi="宋体" w:cs="宋体"/>
          <w:color w:val="auto"/>
          <w:szCs w:val="21"/>
          <w:highlight w:val="none"/>
          <w:u w:val="single"/>
        </w:rPr>
        <w:t>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广州交易集团有限公司（广州公共资源交易中心）网站最后发布的答疑纪要为准</w:t>
      </w:r>
      <w:r>
        <w:rPr>
          <w:rFonts w:hint="eastAsia" w:ascii="宋体" w:hAnsi="宋体" w:cs="宋体"/>
          <w:color w:val="auto"/>
          <w:szCs w:val="21"/>
          <w:highlight w:val="none"/>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条款号：9</w:t>
      </w:r>
      <w:r>
        <w:rPr>
          <w:rFonts w:ascii="宋体" w:hAnsi="宋体"/>
          <w:b/>
          <w:color w:val="auto"/>
          <w:szCs w:val="21"/>
          <w:highlight w:val="none"/>
        </w:rPr>
        <w:t xml:space="preserve">.2             </w:t>
      </w:r>
      <w:r>
        <w:rPr>
          <w:rFonts w:hint="eastAsia" w:ascii="宋体" w:hAnsi="宋体"/>
          <w:b/>
          <w:color w:val="auto"/>
          <w:szCs w:val="21"/>
          <w:highlight w:val="none"/>
        </w:rPr>
        <w:t>修改类型：修改</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9.2</w:t>
      </w:r>
      <w:r>
        <w:rPr>
          <w:rFonts w:hint="eastAsia" w:ascii="宋体" w:hAnsi="宋体" w:cs="宋体"/>
          <w:color w:val="auto"/>
          <w:szCs w:val="21"/>
          <w:highlight w:val="none"/>
        </w:rPr>
        <w:t>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w:t>
      </w:r>
      <w:r>
        <w:rPr>
          <w:rFonts w:hint="eastAsia" w:ascii="宋体" w:hAnsi="宋体" w:cs="宋体"/>
          <w:color w:val="auto"/>
          <w:szCs w:val="21"/>
          <w:highlight w:val="none"/>
          <w:u w:val="single"/>
          <w:lang w:val="en-US" w:eastAsia="zh-CN"/>
        </w:rPr>
        <w:t>招标</w:t>
      </w:r>
      <w:r>
        <w:rPr>
          <w:rFonts w:hint="eastAsia" w:ascii="宋体" w:hAnsi="宋体" w:cs="宋体"/>
          <w:color w:val="auto"/>
          <w:szCs w:val="21"/>
          <w:highlight w:val="none"/>
        </w:rPr>
        <w:t>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r>
        <w:rPr>
          <w:rFonts w:hint="eastAsia" w:ascii="宋体" w:hAnsi="宋体"/>
          <w:color w:val="auto"/>
          <w:szCs w:val="21"/>
          <w:highlight w:val="none"/>
        </w:rPr>
        <w:t>。</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40" w:lineRule="exact"/>
        <w:ind w:firstLine="422" w:firstLineChars="200"/>
        <w:rPr>
          <w:rFonts w:hint="eastAsia" w:ascii="宋体" w:hAnsi="宋体" w:eastAsia="宋体" w:cs="宋体"/>
          <w:color w:val="auto"/>
          <w:szCs w:val="21"/>
          <w:highlight w:val="none"/>
          <w:u w:val="singl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r>
        <w:rPr>
          <w:rFonts w:hint="eastAsia" w:ascii="宋体" w:hAnsi="宋体" w:cs="宋体"/>
          <w:color w:val="auto"/>
          <w:szCs w:val="21"/>
          <w:highlight w:val="none"/>
          <w:lang w:eastAsia="zh-CN"/>
        </w:rPr>
        <w:t>。</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p>
    <w:p>
      <w:pPr>
        <w:spacing w:line="4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11.2</w:t>
      </w:r>
      <w:r>
        <w:rPr>
          <w:rFonts w:hint="eastAsia" w:ascii="宋体" w:hAnsi="宋体" w:cs="宋体"/>
          <w:bCs/>
          <w:color w:val="auto"/>
          <w:szCs w:val="21"/>
          <w:highlight w:val="none"/>
        </w:rPr>
        <w:t>投标文件技术标部分主要包括下列内容</w:t>
      </w:r>
      <w:r>
        <w:rPr>
          <w:rFonts w:ascii="宋体" w:hAnsi="宋体" w:cs="宋体"/>
          <w:bCs/>
          <w:color w:val="auto"/>
          <w:szCs w:val="21"/>
          <w:highlight w:val="none"/>
        </w:rPr>
        <w:t>:</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ascii="宋体" w:hAnsi="宋体" w:cs="宋体"/>
          <w:bCs/>
          <w:color w:val="auto"/>
          <w:szCs w:val="21"/>
          <w:highlight w:val="none"/>
        </w:rPr>
        <w:t>(</w:t>
      </w:r>
      <w:r>
        <w:rPr>
          <w:rFonts w:hint="eastAsia" w:ascii="宋体" w:hAnsi="宋体" w:cs="宋体"/>
          <w:bCs/>
          <w:color w:val="auto"/>
          <w:szCs w:val="21"/>
          <w:highlight w:val="none"/>
        </w:rPr>
        <w:t>按招标文件的要求填写</w:t>
      </w:r>
      <w:r>
        <w:rPr>
          <w:rFonts w:ascii="宋体" w:hAnsi="宋体" w:cs="宋体"/>
          <w:bCs/>
          <w:color w:val="auto"/>
          <w:szCs w:val="21"/>
          <w:highlight w:val="none"/>
        </w:rPr>
        <w:t>)</w:t>
      </w:r>
      <w:r>
        <w:rPr>
          <w:rFonts w:hint="eastAsia" w:ascii="宋体" w:hAnsi="宋体" w:cs="宋体"/>
          <w:bCs/>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（1）投标人声明； </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（2）法定代表人证明书、法定代表人签字或盖章的本投标文件授权委托证明书；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（3）企业营业执照扫描件或电子证照；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（4）企业资质证书扫描件或电子证照；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（5）建筑施工企业安全生产许可证扫描件或电子证照；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（6）项目负责人（按网上投标登记时选择拟投入本项目的项目负责人）</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（7）专职安全员（按网上投标登记时选择拟投入本项目的专职安全员）</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（8）拟委托技术负责人的相关证书、资料（具体要求由招标人明确）</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（9）拟委派项目负责人的有效期内的建造师注册证书扫描件或电子证书；  </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11.2.3项目管理机构配备。</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（1）投标人应列出该项目工程的施工组织机构构成和画出机构框架图及其负责人；</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（2）投标人应详细列出该施工组织机构中主要成员的名单、简历资料、职务职称和在本项目中拟担任的职务等资料，并附上有关证明材料扫描件；</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（3）其他辅助说明资料。</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11.2.5施工组织设计或施工方案。</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11.2.6按照招标文件要求填写的《参与编制技术标投标文件人员名单》。</w:t>
      </w:r>
    </w:p>
    <w:p>
      <w:pPr>
        <w:spacing w:line="4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现文：</w:t>
      </w:r>
    </w:p>
    <w:p>
      <w:pPr>
        <w:spacing w:line="360" w:lineRule="auto"/>
        <w:ind w:firstLine="525" w:firstLineChars="250"/>
        <w:rPr>
          <w:rFonts w:ascii="宋体" w:hAnsi="Calibri"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投标文件技术标部分</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含资格审查文件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w:t>
      </w:r>
      <w:r>
        <w:rPr>
          <w:rFonts w:hint="eastAsia" w:ascii="宋体" w:hAnsi="宋体" w:cs="宋体"/>
          <w:color w:val="auto"/>
          <w:szCs w:val="21"/>
          <w:highlight w:val="none"/>
          <w:u w:val="single"/>
          <w:lang w:val="en-US" w:eastAsia="zh-CN"/>
        </w:rPr>
        <w:t>有特别</w:t>
      </w:r>
      <w:r>
        <w:rPr>
          <w:rFonts w:hint="eastAsia" w:ascii="宋体" w:hAnsi="宋体" w:cs="宋体"/>
          <w:color w:val="auto"/>
          <w:szCs w:val="21"/>
          <w:highlight w:val="none"/>
          <w:u w:val="single"/>
        </w:rPr>
        <w:t>注明外，均为扫描件即可）</w:t>
      </w:r>
      <w:r>
        <w:rPr>
          <w:rFonts w:ascii="宋体" w:hAnsi="宋体" w:cs="宋体"/>
          <w:color w:val="auto"/>
          <w:szCs w:val="21"/>
          <w:highlight w:val="none"/>
        </w:rPr>
        <w:t>:</w:t>
      </w:r>
    </w:p>
    <w:p>
      <w:pPr>
        <w:spacing w:line="360" w:lineRule="auto"/>
        <w:ind w:firstLine="525" w:firstLineChars="250"/>
        <w:rPr>
          <w:rFonts w:ascii="宋体" w:hAnsi="Calibri" w:cs="宋体"/>
          <w:color w:val="auto"/>
          <w:szCs w:val="21"/>
          <w:highlight w:val="none"/>
        </w:rPr>
      </w:pPr>
      <w:r>
        <w:rPr>
          <w:rFonts w:ascii="宋体" w:hAnsi="宋体" w:cs="宋体"/>
          <w:color w:val="auto"/>
          <w:szCs w:val="21"/>
          <w:highlight w:val="none"/>
        </w:rPr>
        <w:t xml:space="preserve">11.2.1 </w:t>
      </w:r>
      <w:r>
        <w:rPr>
          <w:rFonts w:hint="eastAsia" w:ascii="宋体" w:hAnsi="宋体" w:cs="宋体"/>
          <w:color w:val="auto"/>
          <w:szCs w:val="21"/>
          <w:highlight w:val="none"/>
          <w:u w:val="single"/>
        </w:rPr>
        <w:t>广州建设工程施工招标投标书</w:t>
      </w:r>
      <w:r>
        <w:rPr>
          <w:rFonts w:ascii="宋体" w:hAnsi="宋体" w:cs="宋体"/>
          <w:color w:val="auto"/>
          <w:szCs w:val="21"/>
          <w:highlight w:val="none"/>
        </w:rPr>
        <w:t>(</w:t>
      </w:r>
      <w:r>
        <w:rPr>
          <w:rFonts w:hint="eastAsia" w:ascii="宋体" w:hAnsi="宋体" w:cs="宋体"/>
          <w:color w:val="auto"/>
          <w:szCs w:val="21"/>
          <w:highlight w:val="none"/>
        </w:rPr>
        <w:t>按招标文件</w:t>
      </w:r>
      <w:r>
        <w:rPr>
          <w:rFonts w:hint="eastAsia" w:ascii="宋体" w:hAnsi="宋体" w:cs="宋体"/>
          <w:color w:val="auto"/>
          <w:szCs w:val="21"/>
          <w:highlight w:val="none"/>
          <w:u w:val="single"/>
        </w:rPr>
        <w:t>技术标</w:t>
      </w:r>
      <w:r>
        <w:rPr>
          <w:rFonts w:hint="eastAsia" w:ascii="宋体" w:hAnsi="宋体" w:cs="宋体"/>
          <w:bCs/>
          <w:color w:val="auto"/>
          <w:szCs w:val="21"/>
          <w:highlight w:val="none"/>
          <w:u w:val="single"/>
        </w:rPr>
        <w:t>格式二</w:t>
      </w:r>
      <w:r>
        <w:rPr>
          <w:rFonts w:hint="eastAsia" w:ascii="宋体" w:hAnsi="宋体" w:cs="宋体"/>
          <w:color w:val="auto"/>
          <w:szCs w:val="21"/>
          <w:highlight w:val="none"/>
        </w:rPr>
        <w:t>的要求填写</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auto"/>
        <w:ind w:firstLine="525" w:firstLineChars="250"/>
        <w:rPr>
          <w:rFonts w:ascii="宋体" w:hAnsi="Calibri" w:cs="宋体"/>
          <w:color w:val="auto"/>
          <w:szCs w:val="21"/>
          <w:highlight w:val="none"/>
        </w:rPr>
      </w:pPr>
      <w:r>
        <w:rPr>
          <w:rFonts w:ascii="宋体" w:hAnsi="宋体" w:cs="宋体"/>
          <w:color w:val="auto"/>
          <w:szCs w:val="21"/>
          <w:highlight w:val="none"/>
        </w:rPr>
        <w:t xml:space="preserve">11.2.2 </w:t>
      </w:r>
      <w:r>
        <w:rPr>
          <w:rFonts w:hint="eastAsia" w:ascii="宋体" w:hAnsi="宋体" w:cs="宋体"/>
          <w:color w:val="auto"/>
          <w:szCs w:val="21"/>
          <w:highlight w:val="none"/>
        </w:rPr>
        <w:t>资格审查文件：</w:t>
      </w:r>
    </w:p>
    <w:p>
      <w:pPr>
        <w:spacing w:line="360" w:lineRule="auto"/>
        <w:ind w:firstLine="525" w:firstLineChars="250"/>
        <w:rPr>
          <w:rFonts w:ascii="宋体" w:hAnsi="Calibri"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（须按招标公告附件内容及格式要求编制）</w:t>
      </w:r>
      <w:r>
        <w:rPr>
          <w:rFonts w:hint="eastAsia" w:ascii="宋体" w:hAnsi="宋体" w:cs="宋体"/>
          <w:color w:val="auto"/>
          <w:szCs w:val="21"/>
          <w:highlight w:val="none"/>
        </w:rPr>
        <w:t>；</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）法定代表人证明书、法定代表人签字或盖章的本投标文件授权委托证明书</w:t>
      </w:r>
      <w:r>
        <w:rPr>
          <w:rFonts w:hint="eastAsia" w:ascii="宋体" w:hAnsi="宋体" w:cs="宋体"/>
          <w:color w:val="auto"/>
          <w:szCs w:val="21"/>
          <w:highlight w:val="none"/>
          <w:u w:val="single"/>
          <w:lang w:val="en-US" w:eastAsia="zh-CN"/>
        </w:rPr>
        <w:t>[授权委托证明书需附代理人的近1个月（2025年4月），由社保行政主管部门出具的社保证明资料原件扫描件；如为退休人员需提供退休证及返聘协议并符合国家法律规定内的返聘年龄；如为其他没有参加社保的，需提供由委托代理人签名的未参加社保的说明(格式自拟)]</w:t>
      </w:r>
      <w:r>
        <w:rPr>
          <w:rFonts w:hint="eastAsia" w:ascii="宋体" w:hAnsi="宋体" w:cs="宋体"/>
          <w:color w:val="auto"/>
          <w:szCs w:val="21"/>
          <w:highlight w:val="none"/>
        </w:rPr>
        <w:t>；</w:t>
      </w:r>
    </w:p>
    <w:p>
      <w:pP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（3）企业营业执照</w:t>
      </w:r>
      <w:r>
        <w:rPr>
          <w:rFonts w:hint="eastAsia" w:ascii="宋体" w:hAnsi="宋体" w:cs="宋体"/>
          <w:bCs/>
          <w:color w:val="auto"/>
          <w:szCs w:val="21"/>
          <w:highlight w:val="none"/>
          <w:u w:val="none"/>
        </w:rPr>
        <w:t>扫描件或电子证照；</w:t>
      </w:r>
    </w:p>
    <w:p>
      <w:pPr>
        <w:spacing w:line="360" w:lineRule="auto"/>
        <w:ind w:firstLine="525" w:firstLineChars="250"/>
        <w:rPr>
          <w:rFonts w:ascii="宋体" w:hAnsi="Calibri" w:cs="宋体"/>
          <w:color w:val="auto"/>
          <w:szCs w:val="21"/>
          <w:highlight w:val="none"/>
        </w:rPr>
      </w:pPr>
      <w:r>
        <w:rPr>
          <w:rFonts w:hint="eastAsia" w:ascii="宋体" w:hAnsi="宋体" w:cs="宋体"/>
          <w:bCs/>
          <w:color w:val="auto"/>
          <w:szCs w:val="21"/>
          <w:highlight w:val="none"/>
        </w:rPr>
        <w:t>（4）企业资质证书</w:t>
      </w:r>
      <w:r>
        <w:rPr>
          <w:rFonts w:hint="eastAsia" w:ascii="宋体" w:hAnsi="宋体" w:cs="宋体"/>
          <w:bCs/>
          <w:color w:val="auto"/>
          <w:szCs w:val="21"/>
          <w:highlight w:val="none"/>
          <w:u w:val="none"/>
        </w:rPr>
        <w:t>扫描件或电子证照</w:t>
      </w:r>
      <w:r>
        <w:rPr>
          <w:rFonts w:hint="eastAsia" w:ascii="宋体" w:hAnsi="宋体" w:cs="宋体"/>
          <w:bCs/>
          <w:color w:val="auto"/>
          <w:szCs w:val="21"/>
          <w:highlight w:val="none"/>
          <w:u w:val="single"/>
        </w:rPr>
        <w:t>或办理了资质延期的证明资料（如有，须符合招标公告第九条第4款注①的规定）</w:t>
      </w:r>
      <w:r>
        <w:rPr>
          <w:rFonts w:hint="eastAsia" w:ascii="宋体" w:hAnsi="宋体" w:cs="宋体"/>
          <w:color w:val="auto"/>
          <w:szCs w:val="21"/>
          <w:highlight w:val="none"/>
        </w:rPr>
        <w:t>；</w:t>
      </w:r>
    </w:p>
    <w:p>
      <w:pPr>
        <w:spacing w:line="360" w:lineRule="auto"/>
        <w:ind w:firstLine="525" w:firstLineChars="250"/>
        <w:rPr>
          <w:rFonts w:ascii="宋体" w:hAnsi="Calibri"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bCs/>
          <w:color w:val="auto"/>
          <w:szCs w:val="21"/>
          <w:highlight w:val="none"/>
        </w:rPr>
        <w:t>建筑施工企业安全生产许可证</w:t>
      </w:r>
      <w:r>
        <w:rPr>
          <w:rFonts w:hint="eastAsia" w:ascii="宋体" w:hAnsi="宋体" w:cs="宋体"/>
          <w:bCs/>
          <w:color w:val="auto"/>
          <w:szCs w:val="21"/>
          <w:highlight w:val="none"/>
          <w:u w:val="none"/>
        </w:rPr>
        <w:t>扫描件或电子证照</w:t>
      </w:r>
      <w:r>
        <w:rPr>
          <w:rFonts w:hint="eastAsia" w:ascii="宋体" w:hAnsi="宋体" w:cs="宋体"/>
          <w:color w:val="auto"/>
          <w:szCs w:val="21"/>
          <w:highlight w:val="none"/>
        </w:rPr>
        <w:t>；</w:t>
      </w:r>
    </w:p>
    <w:p>
      <w:pPr>
        <w:spacing w:line="360" w:lineRule="auto"/>
        <w:ind w:firstLine="525" w:firstLineChars="250"/>
        <w:rPr>
          <w:rFonts w:hint="eastAsia" w:ascii="宋体" w:hAnsi="Calibri"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）项目负责人（</w:t>
      </w:r>
      <w:r>
        <w:rPr>
          <w:rFonts w:hint="eastAsia" w:ascii="宋体" w:hAnsi="宋体" w:cs="宋体"/>
          <w:bCs/>
          <w:color w:val="auto"/>
          <w:szCs w:val="21"/>
          <w:highlight w:val="none"/>
        </w:rPr>
        <w:t>按网上投标登记时选择拟投入本项目的项目负责人</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uto"/>
        <w:ind w:firstLine="525" w:firstLineChars="250"/>
        <w:rPr>
          <w:rFonts w:hint="eastAsia" w:ascii="宋体" w:hAnsi="Calibri"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）专职安全员（</w:t>
      </w:r>
      <w:r>
        <w:rPr>
          <w:rFonts w:hint="eastAsia" w:ascii="宋体" w:hAnsi="宋体" w:cs="宋体"/>
          <w:bCs/>
          <w:color w:val="auto"/>
          <w:szCs w:val="21"/>
          <w:highlight w:val="none"/>
        </w:rPr>
        <w:t>按网上投标登记时选择拟投入本项目的专职安全员</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uto"/>
        <w:ind w:firstLine="525" w:firstLineChars="250"/>
        <w:rPr>
          <w:rFonts w:hint="eastAsia" w:ascii="宋体" w:hAnsi="Calibri"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）拟委</w:t>
      </w:r>
      <w:r>
        <w:rPr>
          <w:rFonts w:hint="eastAsia" w:ascii="宋体" w:hAnsi="宋体" w:cs="宋体"/>
          <w:color w:val="auto"/>
          <w:szCs w:val="21"/>
          <w:highlight w:val="none"/>
          <w:lang w:val="en-US" w:eastAsia="zh-CN"/>
        </w:rPr>
        <w:t>派</w:t>
      </w:r>
      <w:r>
        <w:rPr>
          <w:rFonts w:hint="eastAsia" w:ascii="宋体" w:hAnsi="宋体" w:cs="宋体"/>
          <w:color w:val="auto"/>
          <w:szCs w:val="21"/>
          <w:highlight w:val="none"/>
        </w:rPr>
        <w:t>技术负责人的相关证书、资料</w:t>
      </w:r>
      <w:r>
        <w:rPr>
          <w:rFonts w:hint="eastAsia" w:ascii="宋体" w:hAnsi="宋体" w:cs="宋体"/>
          <w:bCs/>
          <w:color w:val="auto"/>
          <w:szCs w:val="21"/>
          <w:highlight w:val="none"/>
          <w:u w:val="single"/>
        </w:rPr>
        <w:t>扫描件或电子证书</w:t>
      </w:r>
      <w:r>
        <w:rPr>
          <w:rFonts w:hint="eastAsia" w:ascii="宋体" w:hAnsi="宋体" w:cs="宋体"/>
          <w:bCs/>
          <w:color w:val="auto"/>
          <w:szCs w:val="21"/>
          <w:highlight w:val="none"/>
          <w:u w:val="single"/>
          <w:lang w:eastAsia="zh-CN"/>
        </w:rPr>
        <w:t>；</w:t>
      </w:r>
    </w:p>
    <w:p>
      <w:pPr>
        <w:spacing w:line="360" w:lineRule="auto"/>
        <w:ind w:firstLine="525" w:firstLineChars="250"/>
        <w:rPr>
          <w:rFonts w:ascii="宋体" w:hAnsi="Calibri"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w:t>
      </w:r>
      <w:r>
        <w:rPr>
          <w:rFonts w:hint="eastAsia" w:ascii="宋体" w:hAnsi="宋体" w:cs="宋体"/>
          <w:bCs/>
          <w:color w:val="auto"/>
          <w:szCs w:val="21"/>
          <w:highlight w:val="none"/>
        </w:rPr>
        <w:t>拟委派项目负责人的</w:t>
      </w:r>
      <w:r>
        <w:rPr>
          <w:rFonts w:hint="eastAsia" w:ascii="宋体" w:hAnsi="宋体" w:cs="宋体"/>
          <w:bCs/>
          <w:color w:val="auto"/>
          <w:szCs w:val="21"/>
          <w:highlight w:val="none"/>
          <w:lang w:val="en-US" w:eastAsia="zh-CN"/>
        </w:rPr>
        <w:t>有效期内的</w:t>
      </w:r>
      <w:r>
        <w:rPr>
          <w:rFonts w:hint="eastAsia" w:ascii="宋体" w:hAnsi="宋体" w:cs="宋体"/>
          <w:bCs/>
          <w:color w:val="auto"/>
          <w:szCs w:val="21"/>
          <w:highlight w:val="none"/>
        </w:rPr>
        <w:t>建造师注册证书</w:t>
      </w:r>
      <w:r>
        <w:rPr>
          <w:rFonts w:hint="eastAsia" w:ascii="宋体" w:hAnsi="宋体" w:cs="宋体"/>
          <w:bCs/>
          <w:color w:val="auto"/>
          <w:szCs w:val="21"/>
          <w:highlight w:val="none"/>
          <w:u w:val="single"/>
        </w:rPr>
        <w:t>扫描件或电子证书</w:t>
      </w:r>
      <w:r>
        <w:rPr>
          <w:rFonts w:hint="eastAsia" w:ascii="宋体" w:hAnsi="宋体" w:cs="宋体"/>
          <w:color w:val="auto"/>
          <w:szCs w:val="21"/>
          <w:highlight w:val="none"/>
        </w:rPr>
        <w:t>；</w:t>
      </w:r>
      <w:r>
        <w:rPr>
          <w:rFonts w:ascii="宋体" w:hAnsi="宋体" w:cs="宋体"/>
          <w:color w:val="auto"/>
          <w:szCs w:val="21"/>
          <w:highlight w:val="none"/>
        </w:rPr>
        <w:t xml:space="preserve"> </w:t>
      </w:r>
    </w:p>
    <w:p>
      <w:pPr>
        <w:spacing w:line="360" w:lineRule="auto"/>
        <w:ind w:firstLine="525" w:firstLineChars="250"/>
        <w:rPr>
          <w:rFonts w:ascii="宋体" w:hAnsi="Calibri"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10</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项目负责人在有效期内的安全考核合格证书（B类）或建筑施工企业项目负责人安全生产考核合格证书扫描件或电子证书</w:t>
      </w:r>
      <w:r>
        <w:rPr>
          <w:rFonts w:hint="eastAsia" w:ascii="宋体" w:hAnsi="宋体" w:cs="宋体"/>
          <w:bCs/>
          <w:color w:val="auto"/>
          <w:szCs w:val="21"/>
          <w:highlight w:val="none"/>
        </w:rPr>
        <w:t>；</w:t>
      </w:r>
    </w:p>
    <w:p>
      <w:pPr>
        <w:spacing w:line="360" w:lineRule="auto"/>
        <w:ind w:firstLine="420" w:firstLineChars="200"/>
        <w:rPr>
          <w:rFonts w:ascii="宋体" w:hAnsi="宋体" w:cs="宋体"/>
          <w:b/>
          <w:bCs/>
          <w:color w:val="auto"/>
          <w:sz w:val="24"/>
          <w:szCs w:val="24"/>
          <w:highlight w:val="non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w:t>
      </w:r>
      <w:r>
        <w:rPr>
          <w:rFonts w:hint="eastAsia" w:ascii="宋体" w:hAnsi="宋体" w:cs="宋体"/>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color w:val="auto"/>
          <w:szCs w:val="21"/>
          <w:highlight w:val="none"/>
          <w:u w:val="single"/>
        </w:rPr>
        <w:t>（C3）</w:t>
      </w:r>
      <w:r>
        <w:rPr>
          <w:rFonts w:hint="eastAsia" w:ascii="宋体" w:hAnsi="宋体" w:cs="宋体"/>
          <w:bCs/>
          <w:color w:val="auto"/>
          <w:szCs w:val="21"/>
          <w:highlight w:val="none"/>
          <w:u w:val="single"/>
        </w:rPr>
        <w:t>扫描件或电子证书</w:t>
      </w:r>
      <w:r>
        <w:rPr>
          <w:rFonts w:hint="eastAsia" w:ascii="宋体" w:hAnsi="宋体" w:cs="宋体"/>
          <w:color w:val="auto"/>
          <w:szCs w:val="21"/>
          <w:highlight w:val="none"/>
        </w:rPr>
        <w:t>；</w:t>
      </w:r>
    </w:p>
    <w:p>
      <w:pPr>
        <w:spacing w:line="360" w:lineRule="auto"/>
        <w:ind w:firstLine="525" w:firstLineChars="250"/>
        <w:rPr>
          <w:rFonts w:hint="eastAsia" w:ascii="宋体" w:hAnsi="Calibri"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w:t>
      </w:r>
      <w:r>
        <w:rPr>
          <w:rFonts w:hint="eastAsia" w:ascii="宋体" w:hAnsi="宋体" w:cs="宋体"/>
          <w:color w:val="auto"/>
          <w:szCs w:val="21"/>
          <w:highlight w:val="none"/>
          <w:u w:val="single"/>
        </w:rPr>
        <w:t>资格审查前，投标人须在广州市住房和城乡建设局建立企业信用档案及拟担任本工程项目负责人、专职安全员须是本企业信用档案中的在册人员</w:t>
      </w:r>
      <w:r>
        <w:rPr>
          <w:rFonts w:hint="eastAsia" w:ascii="宋体" w:hAnsi="宋体" w:cs="宋体"/>
          <w:bCs/>
          <w:color w:val="auto"/>
          <w:szCs w:val="21"/>
          <w:highlight w:val="none"/>
          <w:u w:val="single"/>
        </w:rPr>
        <w:t>（提供网页信息完整截图）</w:t>
      </w:r>
      <w:r>
        <w:rPr>
          <w:rFonts w:hint="eastAsia" w:ascii="宋体" w:hAnsi="宋体" w:cs="宋体"/>
          <w:color w:val="auto"/>
          <w:szCs w:val="21"/>
          <w:highlight w:val="none"/>
          <w:u w:val="single"/>
          <w:lang w:eastAsia="zh-CN"/>
        </w:rPr>
        <w:t>；</w:t>
      </w:r>
    </w:p>
    <w:p>
      <w:pPr>
        <w:adjustRightInd w:val="0"/>
        <w:snapToGrid w:val="0"/>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rPr>
        <w:t>（13）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r>
        <w:rPr>
          <w:rFonts w:hint="eastAsia" w:ascii="宋体" w:hAnsi="宋体" w:cs="宋体"/>
          <w:bCs/>
          <w:color w:val="auto"/>
          <w:szCs w:val="21"/>
          <w:highlight w:val="none"/>
          <w:u w:val="single"/>
          <w:lang w:eastAsia="zh-CN"/>
        </w:rPr>
        <w:t>；</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（14）投标人未被列入拖欠农民工工资失信联合惩戒对象名单</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（投标人无需提供资料，按广州交易集团有限公司（广州公共资源交易中心）交易系统比对的结果进行评审）；</w:t>
      </w:r>
    </w:p>
    <w:p>
      <w:pPr>
        <w:spacing w:line="360" w:lineRule="auto"/>
        <w:ind w:firstLine="525" w:firstLineChars="250"/>
        <w:rPr>
          <w:rFonts w:hint="eastAsia" w:ascii="宋体" w:hAnsi="宋体" w:cs="宋体"/>
          <w:color w:val="auto"/>
          <w:szCs w:val="21"/>
          <w:highlight w:val="none"/>
          <w:u w:val="single"/>
        </w:rPr>
      </w:pP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）投标人认为应提供的其他资料（如有）</w:t>
      </w:r>
      <w:r>
        <w:rPr>
          <w:rFonts w:hint="eastAsia" w:ascii="宋体" w:hAnsi="宋体" w:cs="宋体"/>
          <w:color w:val="auto"/>
          <w:szCs w:val="21"/>
          <w:highlight w:val="none"/>
          <w:u w:val="single"/>
        </w:rPr>
        <w:t>。</w:t>
      </w:r>
    </w:p>
    <w:p>
      <w:pPr>
        <w:spacing w:line="360" w:lineRule="auto"/>
        <w:ind w:left="420" w:leftChars="200" w:firstLine="105" w:firstLineChars="50"/>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注：1.相关电子证书按规定需打印后手写本人签名的，应按照规定手写本人签名后再扫描提交。 2.投标人在投标登记时选择了拟投入本项目的项目负责人、专职安全员，即已满足“资格审查</w:t>
      </w:r>
    </w:p>
    <w:p>
      <w:pPr>
        <w:spacing w:line="360" w:lineRule="auto"/>
        <w:rPr>
          <w:rFonts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前，投标人须在广州市住房和城乡建设局建立企业信用档案，拟担任本工程项目负责人、专职安全员须是本企业信用档案中的在册人员”的要求，投标人无需提供证明材料。</w:t>
      </w:r>
    </w:p>
    <w:p>
      <w:pPr>
        <w:pBdr>
          <w:bottom w:val="single" w:color="auto" w:sz="6" w:space="1"/>
        </w:pBdr>
        <w:spacing w:line="440" w:lineRule="exact"/>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11.2.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按照招标文件要求填写的《参与编制技术标投标文件人员名单》</w:t>
      </w:r>
      <w:r>
        <w:rPr>
          <w:rFonts w:hint="eastAsia" w:ascii="宋体" w:hAnsi="宋体" w:cs="宋体"/>
          <w:bCs/>
          <w:color w:val="auto"/>
          <w:szCs w:val="21"/>
          <w:highlight w:val="none"/>
          <w:lang w:eastAsia="zh-CN"/>
        </w:rPr>
        <w:t>；</w:t>
      </w:r>
    </w:p>
    <w:p>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项目管理机构配备。</w:t>
      </w:r>
      <w:r>
        <w:rPr>
          <w:rFonts w:hint="eastAsia" w:ascii="宋体" w:hAnsi="宋体" w:cs="宋体"/>
          <w:bCs/>
          <w:color w:val="auto"/>
          <w:szCs w:val="21"/>
          <w:highlight w:val="none"/>
          <w:u w:val="single"/>
        </w:rPr>
        <w:t>（按《技术标详细审查评分表》要求的内容提供）；</w:t>
      </w:r>
    </w:p>
    <w:p>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企业资信证明材料。</w:t>
      </w:r>
      <w:r>
        <w:rPr>
          <w:rFonts w:hint="eastAsia" w:ascii="宋体" w:hAnsi="宋体" w:cs="宋体"/>
          <w:bCs/>
          <w:color w:val="auto"/>
          <w:szCs w:val="21"/>
          <w:highlight w:val="none"/>
          <w:u w:val="single"/>
        </w:rPr>
        <w:t>（按《技术标详细审查评分表》要求的内容提供）</w:t>
      </w:r>
      <w:r>
        <w:rPr>
          <w:rFonts w:hint="eastAsia" w:ascii="宋体" w:hAnsi="宋体" w:cs="宋体"/>
          <w:bCs/>
          <w:color w:val="auto"/>
          <w:szCs w:val="21"/>
          <w:highlight w:val="none"/>
        </w:rPr>
        <w:t>；</w:t>
      </w:r>
    </w:p>
    <w:p>
      <w:pPr>
        <w:pBdr>
          <w:bottom w:val="single" w:color="auto" w:sz="6" w:space="1"/>
        </w:pBdr>
        <w:spacing w:line="44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11.2.6</w:t>
      </w:r>
      <w:r>
        <w:rPr>
          <w:rFonts w:hint="eastAsia" w:ascii="宋体" w:hAnsi="宋体" w:cs="宋体"/>
          <w:bCs/>
          <w:color w:val="auto"/>
          <w:szCs w:val="21"/>
          <w:highlight w:val="none"/>
          <w:u w:val="single"/>
          <w:lang w:val="en-US" w:eastAsia="zh-CN"/>
        </w:rPr>
        <w:t>施工组织设计。</w:t>
      </w:r>
      <w:r>
        <w:rPr>
          <w:rFonts w:hint="eastAsia" w:ascii="宋体" w:hAnsi="宋体" w:cs="宋体"/>
          <w:bCs/>
          <w:color w:val="auto"/>
          <w:szCs w:val="21"/>
          <w:highlight w:val="none"/>
          <w:u w:val="single"/>
        </w:rPr>
        <w:t>投标人在编制施工组织设计或施工方案时应按照招标人提出的施工现场建筑垃圾源头减量的具体要求以及建筑垃圾综合利用产品的使用要求提供相应措施</w:t>
      </w:r>
      <w:r>
        <w:rPr>
          <w:rFonts w:hint="eastAsia" w:ascii="宋体" w:hAnsi="宋体" w:cs="宋体"/>
          <w:bCs/>
          <w:color w:val="auto"/>
          <w:szCs w:val="21"/>
          <w:highlight w:val="none"/>
          <w:u w:val="single"/>
          <w:lang w:val="en-US" w:eastAsia="zh-CN"/>
        </w:rPr>
        <w:t>；</w:t>
      </w:r>
    </w:p>
    <w:p>
      <w:pPr>
        <w:pBdr>
          <w:bottom w:val="single" w:color="auto" w:sz="6" w:space="1"/>
        </w:pBdr>
        <w:spacing w:line="440" w:lineRule="exact"/>
        <w:ind w:firstLine="420" w:firstLineChars="200"/>
        <w:rPr>
          <w:rFonts w:hint="eastAsia"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u w:val="single"/>
          <w:lang w:val="en-US" w:eastAsia="zh-CN"/>
        </w:rPr>
        <w:t>11.2.7</w:t>
      </w:r>
      <w:r>
        <w:rPr>
          <w:rFonts w:hint="eastAsia" w:ascii="宋体" w:hAnsi="宋体" w:cs="宋体"/>
          <w:bCs/>
          <w:color w:val="auto"/>
          <w:szCs w:val="21"/>
          <w:highlight w:val="none"/>
          <w:u w:val="single"/>
        </w:rPr>
        <w:t>按照招标文件要求填写的《危险性较大的分部分项工程安全管理措施》</w:t>
      </w:r>
      <w:r>
        <w:rPr>
          <w:rFonts w:hint="eastAsia" w:ascii="宋体" w:hAnsi="宋体" w:cs="宋体"/>
          <w:bCs/>
          <w:color w:val="auto"/>
          <w:szCs w:val="21"/>
          <w:highlight w:val="none"/>
          <w:u w:val="single"/>
          <w:lang w:eastAsia="zh-CN"/>
        </w:rPr>
        <w:t>；</w:t>
      </w:r>
    </w:p>
    <w:p>
      <w:pPr>
        <w:pBdr>
          <w:bottom w:val="single" w:color="auto" w:sz="6" w:space="1"/>
        </w:pBdr>
        <w:spacing w:line="440" w:lineRule="exact"/>
        <w:ind w:firstLine="420" w:firstLineChars="200"/>
        <w:rPr>
          <w:rFonts w:ascii="宋体" w:hAnsi="宋体"/>
          <w:color w:val="auto"/>
          <w:szCs w:val="21"/>
          <w:highlight w:val="non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8</w:t>
      </w:r>
      <w:r>
        <w:rPr>
          <w:rFonts w:hint="eastAsia" w:ascii="宋体" w:hAnsi="宋体" w:cs="宋体"/>
          <w:color w:val="auto"/>
          <w:szCs w:val="21"/>
          <w:highlight w:val="none"/>
          <w:u w:val="single"/>
        </w:rPr>
        <w:t>其他投标人认为应该提供的资料。</w:t>
      </w:r>
    </w:p>
    <w:p>
      <w:pPr>
        <w:spacing w:line="360" w:lineRule="auto"/>
        <w:ind w:firstLine="422" w:firstLineChars="200"/>
        <w:rPr>
          <w:b/>
          <w:color w:val="auto"/>
          <w:szCs w:val="21"/>
          <w:highlight w:val="none"/>
        </w:rPr>
      </w:pPr>
      <w:r>
        <w:rPr>
          <w:rFonts w:hint="eastAsia"/>
          <w:b/>
          <w:color w:val="auto"/>
          <w:szCs w:val="21"/>
          <w:highlight w:val="none"/>
        </w:rPr>
        <w:t>条款号：11.3修改类型：修改</w:t>
      </w:r>
    </w:p>
    <w:p>
      <w:pP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color w:val="auto"/>
          <w:szCs w:val="21"/>
          <w:highlight w:val="none"/>
        </w:rPr>
      </w:pPr>
      <w:r>
        <w:rPr>
          <w:rFonts w:hint="eastAsia"/>
          <w:color w:val="auto"/>
          <w:szCs w:val="21"/>
          <w:highlight w:val="none"/>
        </w:rPr>
        <w:t>（1）投标总价封面、扉页；</w:t>
      </w:r>
    </w:p>
    <w:p>
      <w:pPr>
        <w:spacing w:line="360" w:lineRule="auto"/>
        <w:ind w:firstLine="420" w:firstLineChars="200"/>
        <w:rPr>
          <w:color w:val="auto"/>
          <w:szCs w:val="21"/>
          <w:highlight w:val="none"/>
        </w:rPr>
      </w:pPr>
      <w:r>
        <w:rPr>
          <w:rFonts w:hint="eastAsia"/>
          <w:color w:val="auto"/>
          <w:szCs w:val="21"/>
          <w:highlight w:val="none"/>
        </w:rPr>
        <w:t>（2）总说明</w:t>
      </w:r>
    </w:p>
    <w:p>
      <w:pPr>
        <w:spacing w:line="360" w:lineRule="auto"/>
        <w:ind w:firstLine="420" w:firstLineChars="200"/>
        <w:rPr>
          <w:color w:val="auto"/>
          <w:szCs w:val="21"/>
          <w:highlight w:val="none"/>
        </w:rPr>
      </w:pPr>
      <w:r>
        <w:rPr>
          <w:rFonts w:hint="eastAsia"/>
          <w:color w:val="auto"/>
          <w:szCs w:val="21"/>
          <w:highlight w:val="none"/>
        </w:rPr>
        <w:t>（3）工程项目投标报价汇总表；</w:t>
      </w:r>
    </w:p>
    <w:p>
      <w:pPr>
        <w:spacing w:line="360" w:lineRule="auto"/>
        <w:ind w:firstLine="420" w:firstLineChars="200"/>
        <w:rPr>
          <w:color w:val="auto"/>
          <w:szCs w:val="21"/>
          <w:highlight w:val="none"/>
        </w:rPr>
      </w:pPr>
      <w:r>
        <w:rPr>
          <w:rFonts w:hint="eastAsia"/>
          <w:color w:val="auto"/>
          <w:szCs w:val="21"/>
          <w:highlight w:val="none"/>
        </w:rPr>
        <w:t>（4）单项工程投标报价汇总表；</w:t>
      </w:r>
    </w:p>
    <w:p>
      <w:pPr>
        <w:spacing w:line="360" w:lineRule="auto"/>
        <w:ind w:firstLine="420" w:firstLineChars="200"/>
        <w:rPr>
          <w:color w:val="auto"/>
          <w:szCs w:val="21"/>
          <w:highlight w:val="none"/>
        </w:rPr>
      </w:pPr>
      <w:r>
        <w:rPr>
          <w:rFonts w:hint="eastAsia"/>
          <w:color w:val="auto"/>
          <w:szCs w:val="21"/>
          <w:highlight w:val="none"/>
        </w:rPr>
        <w:t>（5）单位工程投标报价汇总表；</w:t>
      </w:r>
    </w:p>
    <w:p>
      <w:pPr>
        <w:spacing w:line="360" w:lineRule="auto"/>
        <w:ind w:firstLine="420" w:firstLineChars="200"/>
        <w:rPr>
          <w:color w:val="auto"/>
          <w:szCs w:val="21"/>
          <w:highlight w:val="none"/>
        </w:rPr>
      </w:pPr>
      <w:r>
        <w:rPr>
          <w:rFonts w:hint="eastAsia"/>
          <w:color w:val="auto"/>
          <w:szCs w:val="21"/>
          <w:highlight w:val="none"/>
        </w:rPr>
        <w:t>（6）分部分项工程清单与计价表；</w:t>
      </w:r>
    </w:p>
    <w:p>
      <w:pPr>
        <w:spacing w:line="360" w:lineRule="auto"/>
        <w:ind w:firstLine="420" w:firstLineChars="200"/>
        <w:rPr>
          <w:color w:val="auto"/>
          <w:szCs w:val="21"/>
          <w:highlight w:val="none"/>
        </w:rPr>
      </w:pPr>
      <w:r>
        <w:rPr>
          <w:rFonts w:hint="eastAsia"/>
          <w:color w:val="auto"/>
          <w:szCs w:val="21"/>
          <w:highlight w:val="none"/>
        </w:rPr>
        <w:t>（7）单价措施项目清单与计价表；</w:t>
      </w:r>
    </w:p>
    <w:p>
      <w:pPr>
        <w:spacing w:line="360" w:lineRule="auto"/>
        <w:ind w:firstLine="420" w:firstLineChars="200"/>
        <w:rPr>
          <w:color w:val="auto"/>
          <w:szCs w:val="21"/>
          <w:highlight w:val="none"/>
        </w:rPr>
      </w:pPr>
      <w:r>
        <w:rPr>
          <w:rFonts w:hint="eastAsia"/>
          <w:color w:val="auto"/>
          <w:szCs w:val="21"/>
          <w:highlight w:val="none"/>
        </w:rPr>
        <w:t>（8）总价措施项目清单与计价表；</w:t>
      </w:r>
    </w:p>
    <w:p>
      <w:pPr>
        <w:spacing w:line="360" w:lineRule="auto"/>
        <w:ind w:firstLine="420" w:firstLineChars="200"/>
        <w:rPr>
          <w:color w:val="auto"/>
          <w:szCs w:val="21"/>
          <w:highlight w:val="none"/>
        </w:rPr>
      </w:pPr>
      <w:r>
        <w:rPr>
          <w:rFonts w:hint="eastAsia"/>
          <w:color w:val="auto"/>
          <w:szCs w:val="21"/>
          <w:highlight w:val="none"/>
        </w:rPr>
        <w:t>（9）综合单价分析表；</w:t>
      </w:r>
    </w:p>
    <w:p>
      <w:pPr>
        <w:spacing w:line="360" w:lineRule="auto"/>
        <w:ind w:firstLine="420" w:firstLineChars="200"/>
        <w:rPr>
          <w:color w:val="auto"/>
          <w:szCs w:val="21"/>
          <w:highlight w:val="none"/>
        </w:rPr>
      </w:pPr>
      <w:r>
        <w:rPr>
          <w:rFonts w:hint="eastAsia"/>
          <w:color w:val="auto"/>
          <w:szCs w:val="21"/>
          <w:highlight w:val="none"/>
        </w:rPr>
        <w:t>（10）其他项目清单与计价汇总表；</w:t>
      </w:r>
    </w:p>
    <w:p>
      <w:pPr>
        <w:spacing w:line="360" w:lineRule="auto"/>
        <w:ind w:firstLine="420" w:firstLineChars="200"/>
        <w:rPr>
          <w:color w:val="auto"/>
          <w:szCs w:val="21"/>
          <w:highlight w:val="none"/>
        </w:rPr>
      </w:pPr>
      <w:r>
        <w:rPr>
          <w:rFonts w:hint="eastAsia"/>
          <w:color w:val="auto"/>
          <w:szCs w:val="21"/>
          <w:highlight w:val="none"/>
        </w:rPr>
        <w:t>（11）暂列金额明细表；</w:t>
      </w:r>
    </w:p>
    <w:p>
      <w:pPr>
        <w:spacing w:line="360" w:lineRule="auto"/>
        <w:ind w:firstLine="420" w:firstLineChars="200"/>
        <w:rPr>
          <w:color w:val="auto"/>
          <w:szCs w:val="21"/>
          <w:highlight w:val="none"/>
        </w:rPr>
      </w:pPr>
      <w:r>
        <w:rPr>
          <w:rFonts w:hint="eastAsia"/>
          <w:color w:val="auto"/>
          <w:szCs w:val="21"/>
          <w:highlight w:val="none"/>
        </w:rPr>
        <w:t>（12）材料（工程设备）暂估价明细表；</w:t>
      </w:r>
    </w:p>
    <w:p>
      <w:pPr>
        <w:spacing w:line="360" w:lineRule="auto"/>
        <w:ind w:firstLine="420" w:firstLineChars="200"/>
        <w:rPr>
          <w:color w:val="auto"/>
          <w:szCs w:val="21"/>
          <w:highlight w:val="none"/>
        </w:rPr>
      </w:pPr>
      <w:r>
        <w:rPr>
          <w:rFonts w:hint="eastAsia"/>
          <w:color w:val="auto"/>
          <w:szCs w:val="21"/>
          <w:highlight w:val="none"/>
        </w:rPr>
        <w:t>（13）专业工程暂估价明细表；</w:t>
      </w:r>
    </w:p>
    <w:p>
      <w:pPr>
        <w:spacing w:line="360" w:lineRule="auto"/>
        <w:ind w:firstLine="420" w:firstLineChars="200"/>
        <w:rPr>
          <w:color w:val="auto"/>
          <w:szCs w:val="21"/>
          <w:highlight w:val="none"/>
        </w:rPr>
      </w:pPr>
      <w:r>
        <w:rPr>
          <w:rFonts w:hint="eastAsia"/>
          <w:color w:val="auto"/>
          <w:szCs w:val="21"/>
          <w:highlight w:val="none"/>
        </w:rPr>
        <w:t>（14）计日工表；</w:t>
      </w:r>
    </w:p>
    <w:p>
      <w:pPr>
        <w:spacing w:line="360" w:lineRule="auto"/>
        <w:ind w:firstLine="420" w:firstLineChars="200"/>
        <w:rPr>
          <w:color w:val="auto"/>
          <w:szCs w:val="21"/>
          <w:highlight w:val="none"/>
        </w:rPr>
      </w:pPr>
      <w:r>
        <w:rPr>
          <w:rFonts w:hint="eastAsia"/>
          <w:color w:val="auto"/>
          <w:szCs w:val="21"/>
          <w:highlight w:val="none"/>
        </w:rPr>
        <w:t>（15）总承包服务计价表；</w:t>
      </w:r>
    </w:p>
    <w:p>
      <w:pPr>
        <w:spacing w:line="360" w:lineRule="auto"/>
        <w:ind w:firstLine="420" w:firstLineChars="200"/>
        <w:rPr>
          <w:color w:val="auto"/>
          <w:szCs w:val="21"/>
          <w:highlight w:val="none"/>
        </w:rPr>
      </w:pPr>
      <w:r>
        <w:rPr>
          <w:rFonts w:hint="eastAsia"/>
          <w:color w:val="auto"/>
          <w:szCs w:val="21"/>
          <w:highlight w:val="none"/>
        </w:rPr>
        <w:t>（16）规费和税金项目计价表；</w:t>
      </w:r>
    </w:p>
    <w:p>
      <w:pPr>
        <w:spacing w:line="360" w:lineRule="auto"/>
        <w:ind w:firstLine="420" w:firstLineChars="200"/>
        <w:rPr>
          <w:color w:val="auto"/>
          <w:szCs w:val="21"/>
          <w:highlight w:val="none"/>
        </w:rPr>
      </w:pPr>
      <w:r>
        <w:rPr>
          <w:rFonts w:hint="eastAsia"/>
          <w:color w:val="auto"/>
          <w:szCs w:val="21"/>
          <w:highlight w:val="none"/>
        </w:rPr>
        <w:t>（17）人工、主要材料和设备一览表</w:t>
      </w:r>
    </w:p>
    <w:p>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6" w:name="_Hlk60754295"/>
      <w:r>
        <w:rPr>
          <w:rFonts w:hint="eastAsia"/>
          <w:color w:val="auto"/>
          <w:szCs w:val="21"/>
          <w:highlight w:val="none"/>
          <w:u w:val="single"/>
        </w:rPr>
        <w:t>经济标投标文件封面</w:t>
      </w:r>
      <w:bookmarkEnd w:id="6"/>
      <w:r>
        <w:rPr>
          <w:rFonts w:hint="eastAsia"/>
          <w:color w:val="auto"/>
          <w:szCs w:val="21"/>
          <w:highlight w:val="none"/>
          <w:u w:val="single"/>
        </w:rPr>
        <w:t>。</w:t>
      </w:r>
    </w:p>
    <w:p>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Cs w:val="21"/>
          <w:highlight w:val="none"/>
          <w:u w:val="single"/>
        </w:rPr>
        <w:t>（投标报价的工程量清单的组成、格式等由广州投标文件管理软件自动生成）</w:t>
      </w:r>
    </w:p>
    <w:p>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pPr>
        <w:pBdr>
          <w:bottom w:val="single" w:color="auto" w:sz="4"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none"/>
        </w:rPr>
        <w:t>11.3.</w:t>
      </w:r>
      <w:r>
        <w:rPr>
          <w:rFonts w:hint="eastAsia" w:ascii="宋体" w:hAnsi="宋体" w:cs="宋体"/>
          <w:color w:val="auto"/>
          <w:szCs w:val="21"/>
          <w:highlight w:val="none"/>
          <w:u w:val="none"/>
          <w:lang w:val="en-US" w:eastAsia="zh-CN"/>
        </w:rPr>
        <w:t>4</w:t>
      </w:r>
      <w:r>
        <w:rPr>
          <w:rFonts w:hint="eastAsia" w:ascii="宋体" w:hAnsi="宋体" w:eastAsia="宋体" w:cs="宋体"/>
          <w:color w:val="auto"/>
          <w:sz w:val="21"/>
          <w:szCs w:val="21"/>
          <w:highlight w:val="none"/>
        </w:rPr>
        <w:t>若投标人的投标报价低于工程成本警戒价的，投标人还须提供详细的施工组织设计、单价、措施性费用、单价分析表、主要材料价格表、投标人成本分析供评标委员会评审</w:t>
      </w:r>
      <w:r>
        <w:rPr>
          <w:rFonts w:hint="eastAsia"/>
          <w:color w:val="auto"/>
          <w:szCs w:val="21"/>
          <w:highlight w:val="none"/>
          <w:u w:val="none"/>
        </w:rPr>
        <w:t>。</w:t>
      </w:r>
    </w:p>
    <w:p>
      <w:pPr>
        <w:pBdr>
          <w:bottom w:val="single" w:color="auto" w:sz="4" w:space="1"/>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1.3.</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pPr>
        <w:pBdr>
          <w:bottom w:val="single" w:color="auto" w:sz="4" w:space="1"/>
        </w:pBd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11.3.</w:t>
      </w:r>
      <w:r>
        <w:rPr>
          <w:rFonts w:hint="eastAsia" w:ascii="宋体" w:hAnsi="宋体" w:cs="宋体"/>
          <w:color w:val="auto"/>
          <w:szCs w:val="21"/>
          <w:highlight w:val="none"/>
          <w:u w:val="single"/>
          <w:lang w:val="en-US" w:eastAsia="zh-CN"/>
        </w:rPr>
        <w:t>6</w:t>
      </w:r>
      <w:r>
        <w:rPr>
          <w:rFonts w:hint="eastAsia" w:ascii="宋体" w:hAnsi="宋体" w:eastAsia="宋体" w:cs="宋体"/>
          <w:color w:val="auto"/>
          <w:sz w:val="21"/>
          <w:szCs w:val="21"/>
          <w:highlight w:val="none"/>
          <w:u w:val="single"/>
        </w:rPr>
        <w:t>投标人认为应提供的其他经济标资料（如有）</w:t>
      </w:r>
      <w:r>
        <w:rPr>
          <w:rFonts w:hint="eastAsia"/>
          <w:color w:val="auto"/>
          <w:szCs w:val="21"/>
          <w:highlight w:val="none"/>
          <w:u w:val="single"/>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12.2            </w:t>
      </w:r>
      <w:r>
        <w:rPr>
          <w:rFonts w:hint="eastAsia" w:ascii="宋体" w:hAnsi="宋体"/>
          <w:b/>
          <w:color w:val="auto"/>
          <w:szCs w:val="21"/>
          <w:highlight w:val="none"/>
        </w:rPr>
        <w:t>修改类型：修改</w:t>
      </w:r>
    </w:p>
    <w:p>
      <w:pPr>
        <w:pStyle w:val="36"/>
        <w:spacing w:after="0" w:line="440" w:lineRule="exact"/>
        <w:ind w:firstLine="422" w:firstLineChars="200"/>
        <w:rPr>
          <w:rFonts w:hint="eastAsia" w:ascii="宋体" w:hAnsi="宋体" w:eastAsia="宋体"/>
          <w:color w:val="auto"/>
          <w:kern w:val="2"/>
          <w:sz w:val="21"/>
          <w:szCs w:val="21"/>
          <w:highlight w:val="none"/>
        </w:rPr>
      </w:pPr>
      <w:r>
        <w:rPr>
          <w:rFonts w:hint="eastAsia" w:ascii="宋体" w:hAnsi="宋体" w:eastAsia="宋体"/>
          <w:b/>
          <w:color w:val="auto"/>
          <w:kern w:val="2"/>
          <w:sz w:val="21"/>
          <w:szCs w:val="21"/>
          <w:highlight w:val="none"/>
        </w:rPr>
        <w:t>原文：</w:t>
      </w:r>
      <w:r>
        <w:rPr>
          <w:rFonts w:hint="eastAsia" w:ascii="宋体" w:hAnsi="宋体" w:eastAsia="宋体"/>
          <w:color w:val="auto"/>
          <w:kern w:val="2"/>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olor w:val="auto"/>
          <w:kern w:val="2"/>
          <w:sz w:val="21"/>
          <w:szCs w:val="21"/>
          <w:highlight w:val="none"/>
          <w:u w:val="single"/>
          <w:lang w:val="en-US" w:eastAsia="zh-CN"/>
        </w:rPr>
        <w:t xml:space="preserve">     </w:t>
      </w:r>
      <w:r>
        <w:rPr>
          <w:rFonts w:hint="eastAsia" w:ascii="宋体" w:hAnsi="宋体" w:eastAsia="宋体"/>
          <w:color w:val="auto"/>
          <w:kern w:val="2"/>
          <w:sz w:val="21"/>
          <w:szCs w:val="21"/>
          <w:highlight w:val="none"/>
        </w:rPr>
        <w:t>。</w:t>
      </w:r>
    </w:p>
    <w:p>
      <w:pPr>
        <w:pStyle w:val="36"/>
        <w:spacing w:after="0" w:line="440" w:lineRule="exact"/>
        <w:ind w:firstLine="420" w:firstLineChars="200"/>
        <w:rPr>
          <w:rFonts w:ascii="宋体" w:hAnsi="宋体" w:eastAsia="宋体"/>
          <w:color w:val="auto"/>
          <w:sz w:val="21"/>
          <w:szCs w:val="21"/>
          <w:highlight w:val="none"/>
        </w:rPr>
      </w:pPr>
      <w:r>
        <w:rPr>
          <w:rFonts w:hint="eastAsia" w:ascii="宋体" w:hAnsi="宋体" w:eastAsia="宋体"/>
          <w:color w:val="auto"/>
          <w:kern w:val="2"/>
          <w:sz w:val="21"/>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adjustRightInd w:val="0"/>
        <w:snapToGrid w:val="0"/>
        <w:spacing w:line="360" w:lineRule="auto"/>
        <w:ind w:firstLine="527" w:firstLineChars="250"/>
        <w:textAlignment w:val="baseline"/>
        <w:rPr>
          <w:rFonts w:hint="eastAsia"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 xml:space="preserve">12.2 </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w:t>
      </w:r>
      <w:r>
        <w:rPr>
          <w:rFonts w:hint="eastAsia" w:ascii="宋体" w:hAnsi="宋体" w:cs="宋体"/>
          <w:color w:val="auto"/>
          <w:szCs w:val="21"/>
          <w:highlight w:val="none"/>
          <w:u w:val="single"/>
        </w:rPr>
        <w:t>扫描件或电子证照</w:t>
      </w:r>
      <w:r>
        <w:rPr>
          <w:rFonts w:hint="eastAsia" w:ascii="宋体" w:hAnsi="宋体" w:cs="宋体"/>
          <w:color w:val="auto"/>
          <w:szCs w:val="21"/>
          <w:highlight w:val="none"/>
        </w:rPr>
        <w:t>，并采用单位数字证书，按招标文件要求在相应位置加盖电子印章。投标文件中需个人签字或盖章的，应加盖个人电子印章或在线下完成后</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rPr>
        <w:t>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bCs/>
          <w:color w:val="auto"/>
          <w:szCs w:val="21"/>
          <w:highlight w:val="none"/>
        </w:rPr>
        <w:t>。</w:t>
      </w:r>
      <w:r>
        <w:rPr>
          <w:rFonts w:hint="eastAsia" w:ascii="宋体" w:hAnsi="宋体" w:eastAsia="宋体" w:cs="宋体"/>
          <w:color w:val="auto"/>
          <w:sz w:val="21"/>
          <w:szCs w:val="21"/>
          <w:highlight w:val="none"/>
          <w:u w:val="single"/>
        </w:rPr>
        <w:t>投标人提供的</w:t>
      </w:r>
      <w:r>
        <w:rPr>
          <w:rFonts w:hint="eastAsia" w:ascii="宋体" w:hAnsi="宋体" w:cs="宋体"/>
          <w:color w:val="auto"/>
          <w:sz w:val="21"/>
          <w:szCs w:val="21"/>
          <w:highlight w:val="none"/>
          <w:u w:val="single"/>
          <w:lang w:val="en-US" w:eastAsia="zh-CN"/>
        </w:rPr>
        <w:t>相关</w:t>
      </w:r>
      <w:r>
        <w:rPr>
          <w:rFonts w:hint="eastAsia" w:ascii="宋体" w:hAnsi="宋体" w:eastAsia="宋体" w:cs="宋体"/>
          <w:color w:val="auto"/>
          <w:sz w:val="21"/>
          <w:szCs w:val="21"/>
          <w:highlight w:val="none"/>
          <w:u w:val="single"/>
        </w:rPr>
        <w:t>证明材料</w:t>
      </w:r>
      <w:r>
        <w:rPr>
          <w:rFonts w:hint="eastAsia" w:ascii="宋体" w:hAnsi="宋体" w:cs="宋体"/>
          <w:bCs/>
          <w:color w:val="auto"/>
          <w:kern w:val="0"/>
          <w:sz w:val="21"/>
          <w:szCs w:val="21"/>
          <w:highlight w:val="none"/>
          <w:u w:val="single"/>
          <w:lang w:val="en-US" w:eastAsia="zh-CN"/>
        </w:rPr>
        <w:t>电子证照证书或</w:t>
      </w:r>
      <w:r>
        <w:rPr>
          <w:rFonts w:hint="eastAsia" w:ascii="宋体" w:hAnsi="宋体" w:eastAsia="宋体" w:cs="宋体"/>
          <w:color w:val="auto"/>
          <w:sz w:val="21"/>
          <w:szCs w:val="21"/>
          <w:highlight w:val="none"/>
          <w:u w:val="single"/>
        </w:rPr>
        <w:t>扫描件内容必须清晰可辨，如因</w:t>
      </w:r>
      <w:r>
        <w:rPr>
          <w:rFonts w:hint="eastAsia" w:ascii="宋体" w:hAnsi="宋体" w:cs="宋体"/>
          <w:bCs/>
          <w:color w:val="auto"/>
          <w:kern w:val="0"/>
          <w:sz w:val="21"/>
          <w:szCs w:val="21"/>
          <w:highlight w:val="none"/>
          <w:u w:val="single"/>
          <w:lang w:val="en-US" w:eastAsia="zh-CN"/>
        </w:rPr>
        <w:t>电子证照证书或</w:t>
      </w:r>
      <w:r>
        <w:rPr>
          <w:rFonts w:hint="eastAsia" w:ascii="宋体" w:hAnsi="宋体" w:eastAsia="宋体" w:cs="宋体"/>
          <w:color w:val="auto"/>
          <w:sz w:val="21"/>
          <w:szCs w:val="21"/>
          <w:highlight w:val="none"/>
          <w:u w:val="single"/>
        </w:rPr>
        <w:t>扫描件内容模糊导致评标时无法判断的，后果由投标人自负</w:t>
      </w:r>
      <w:r>
        <w:rPr>
          <w:rFonts w:hint="eastAsia" w:ascii="宋体" w:hAnsi="宋体" w:cs="宋体"/>
          <w:color w:val="auto"/>
          <w:szCs w:val="21"/>
          <w:highlight w:val="none"/>
        </w:rPr>
        <w:t>。</w:t>
      </w:r>
    </w:p>
    <w:p>
      <w:pPr>
        <w:pBdr>
          <w:bottom w:val="single" w:color="auto" w:sz="6" w:space="1"/>
        </w:pBdr>
        <w:spacing w:line="440" w:lineRule="exact"/>
        <w:ind w:firstLine="525" w:firstLineChars="250"/>
        <w:rPr>
          <w:rFonts w:ascii="宋体" w:hAnsi="宋体"/>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r>
        <w:rPr>
          <w:rFonts w:hint="eastAsia" w:ascii="宋体" w:hAnsi="宋体"/>
          <w:color w:val="auto"/>
          <w:szCs w:val="21"/>
          <w:highlight w:val="none"/>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12.3            </w:t>
      </w:r>
      <w:r>
        <w:rPr>
          <w:rFonts w:hint="eastAsia" w:ascii="宋体" w:hAnsi="宋体"/>
          <w:b/>
          <w:color w:val="auto"/>
          <w:szCs w:val="21"/>
          <w:highlight w:val="none"/>
        </w:rPr>
        <w:t>修改类型：修改</w:t>
      </w:r>
    </w:p>
    <w:p>
      <w:pPr>
        <w:pStyle w:val="36"/>
        <w:spacing w:after="0" w:line="440" w:lineRule="exact"/>
        <w:ind w:firstLine="422" w:firstLineChars="200"/>
        <w:rPr>
          <w:rFonts w:ascii="宋体" w:hAnsi="宋体" w:eastAsia="宋体"/>
          <w:color w:val="auto"/>
          <w:sz w:val="21"/>
          <w:szCs w:val="21"/>
          <w:highlight w:val="none"/>
        </w:rPr>
      </w:pPr>
      <w:r>
        <w:rPr>
          <w:rFonts w:hint="eastAsia" w:ascii="宋体" w:hAnsi="宋体" w:eastAsia="宋体"/>
          <w:b/>
          <w:color w:val="auto"/>
          <w:kern w:val="2"/>
          <w:sz w:val="21"/>
          <w:szCs w:val="21"/>
          <w:highlight w:val="none"/>
        </w:rPr>
        <w:t>原文：</w:t>
      </w:r>
      <w:r>
        <w:rPr>
          <w:rFonts w:hint="eastAsia" w:ascii="宋体" w:hAnsi="宋体" w:eastAsia="宋体"/>
          <w:color w:val="auto"/>
          <w:kern w:val="2"/>
          <w:sz w:val="21"/>
          <w:szCs w:val="21"/>
          <w:highlight w:val="none"/>
        </w:rPr>
        <w:t>12.3投标文件应按照交易平台关于全流程电子化项目的相关指南进行编制，详见：。</w:t>
      </w:r>
    </w:p>
    <w:p>
      <w:pPr>
        <w:pStyle w:val="36"/>
        <w:spacing w:after="0" w:line="440" w:lineRule="exact"/>
        <w:ind w:firstLine="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如不按上述要求编制引起系统无法检索、读取相关信息的，其后果由投标人承担。</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eastAsia="宋体"/>
          <w:b/>
          <w:color w:val="auto"/>
          <w:kern w:val="2"/>
          <w:sz w:val="21"/>
          <w:szCs w:val="21"/>
          <w:highlight w:val="none"/>
        </w:rPr>
        <w:t>现文：</w:t>
      </w:r>
      <w:r>
        <w:rPr>
          <w:rFonts w:hint="eastAsia" w:ascii="宋体" w:hAnsi="宋体" w:eastAsia="宋体"/>
          <w:color w:val="auto"/>
          <w:kern w:val="2"/>
          <w:sz w:val="21"/>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olor w:val="auto"/>
          <w:szCs w:val="21"/>
          <w:highlight w:val="none"/>
        </w:rPr>
        <w:t>。</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原文：13.1</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w:t>
      </w:r>
      <w:r>
        <w:rPr>
          <w:rFonts w:hint="eastAsia" w:ascii="宋体" w:hAnsi="宋体" w:cs="宋体"/>
          <w:color w:val="auto"/>
          <w:szCs w:val="21"/>
          <w:highlight w:val="none"/>
        </w:rPr>
        <w:t>项所规定的方式。投标报价（含单价及总价）精确到“分”。</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现文：13.1</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r>
        <w:rPr>
          <w:rFonts w:hint="eastAsia" w:ascii="宋体" w:hAnsi="宋体" w:cs="宋体"/>
          <w:color w:val="auto"/>
          <w:szCs w:val="21"/>
          <w:highlight w:val="none"/>
          <w:lang w:eastAsia="zh-CN"/>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440" w:lineRule="exact"/>
        <w:ind w:firstLine="413" w:firstLineChars="196"/>
        <w:rPr>
          <w:rFonts w:hint="eastAsia" w:ascii="宋体" w:hAnsi="宋体" w:eastAsia="宋体"/>
          <w:color w:val="auto"/>
          <w:szCs w:val="21"/>
          <w:highlight w:val="none"/>
          <w:lang w:val="en-US"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s="宋体"/>
          <w:color w:val="auto"/>
          <w:szCs w:val="21"/>
          <w:highlight w:val="none"/>
          <w:lang w:eastAsia="zh-CN"/>
        </w:rPr>
        <w:t>。</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Bdr>
          <w:bottom w:val="single" w:color="auto" w:sz="6" w:space="0"/>
        </w:pBdr>
        <w:spacing w:line="440" w:lineRule="exact"/>
        <w:ind w:firstLine="413" w:firstLineChars="196"/>
        <w:rPr>
          <w:rFonts w:ascii="宋体" w:hAnsi="宋体"/>
          <w:color w:val="auto"/>
          <w:szCs w:val="21"/>
          <w:highlight w:val="none"/>
        </w:rPr>
      </w:pPr>
      <w:r>
        <w:rPr>
          <w:rFonts w:hint="eastAsia" w:ascii="宋体" w:hAnsi="宋体" w:cs="宋体"/>
          <w:b/>
          <w:color w:val="auto"/>
          <w:szCs w:val="21"/>
          <w:highlight w:val="none"/>
        </w:rPr>
        <w:t>原文：13.4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pBdr>
          <w:bottom w:val="single" w:color="auto" w:sz="6" w:space="0"/>
        </w:pBdr>
        <w:spacing w:after="0" w:line="440" w:lineRule="exact"/>
        <w:ind w:firstLine="422" w:firstLineChars="200"/>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b/>
          <w:color w:val="auto"/>
          <w:kern w:val="2"/>
          <w:sz w:val="21"/>
          <w:szCs w:val="21"/>
          <w:highlight w:val="none"/>
        </w:rPr>
        <w:t>现文：13.4</w:t>
      </w:r>
      <w:r>
        <w:rPr>
          <w:rFonts w:hint="eastAsia" w:ascii="宋体" w:hAnsi="宋体" w:eastAsia="宋体" w:cs="宋体"/>
          <w:color w:val="auto"/>
          <w:sz w:val="21"/>
          <w:szCs w:val="21"/>
          <w:highlight w:val="none"/>
        </w:rPr>
        <w:t>投标人一旦中标，投标人对招标人提供的招标工程量清单中列出的工程项目所报出的综合单价</w:t>
      </w:r>
      <w:r>
        <w:rPr>
          <w:rFonts w:hint="eastAsia" w:ascii="宋体" w:hAnsi="宋体" w:eastAsia="宋体" w:cs="宋体"/>
          <w:color w:val="auto"/>
          <w:sz w:val="21"/>
          <w:szCs w:val="21"/>
          <w:highlight w:val="none"/>
          <w:u w:val="single"/>
        </w:rPr>
        <w:t>和措施项目费（措施项目费必须单列，没有单独列出的，视为已经包含在投标报价中），在工程结算时，按招标文件第三章合同条款相关约定调整。</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w:t>
      </w:r>
      <w:r>
        <w:rPr>
          <w:rFonts w:ascii="宋体" w:hAnsi="宋体" w:cs="宋体"/>
          <w:b/>
          <w:color w:val="auto"/>
          <w:szCs w:val="21"/>
          <w:highlight w:val="none"/>
        </w:rPr>
        <w:t>5.2</w:t>
      </w:r>
      <w:r>
        <w:rPr>
          <w:rFonts w:hint="eastAsia" w:ascii="宋体" w:hAnsi="宋体" w:cs="宋体"/>
          <w:b/>
          <w:color w:val="auto"/>
          <w:szCs w:val="21"/>
          <w:highlight w:val="none"/>
        </w:rPr>
        <w:t xml:space="preserve">              修改类型：修改</w:t>
      </w:r>
    </w:p>
    <w:p>
      <w:pPr>
        <w:pBdr>
          <w:bottom w:val="single" w:color="auto" w:sz="6" w:space="0"/>
        </w:pBdr>
        <w:spacing w:line="440" w:lineRule="exact"/>
        <w:ind w:firstLine="413" w:firstLineChars="196"/>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color w:val="auto"/>
          <w:szCs w:val="21"/>
          <w:highlight w:val="none"/>
        </w:rPr>
      </w:pPr>
      <w:r>
        <w:rPr>
          <w:rFonts w:hint="eastAsia" w:ascii="宋体" w:hAnsi="宋体" w:eastAsia="宋体" w:cs="宋体"/>
          <w:b/>
          <w:color w:val="auto"/>
          <w:kern w:val="2"/>
          <w:sz w:val="21"/>
          <w:szCs w:val="21"/>
          <w:highlight w:val="none"/>
        </w:rPr>
        <w:t>现文：</w:t>
      </w:r>
      <w:r>
        <w:rPr>
          <w:rFonts w:hint="eastAsia" w:ascii="宋体" w:hAnsi="宋体" w:eastAsia="宋体" w:cs="宋体"/>
          <w:bCs/>
          <w:color w:val="auto"/>
          <w:kern w:val="2"/>
          <w:sz w:val="21"/>
          <w:szCs w:val="21"/>
          <w:highlight w:val="none"/>
        </w:rPr>
        <w:t xml:space="preserve">15.2 </w:t>
      </w:r>
      <w:r>
        <w:rPr>
          <w:rFonts w:hint="eastAsia" w:ascii="宋体" w:hAnsi="宋体" w:eastAsia="宋体" w:cs="宋体"/>
          <w:bCs/>
          <w:color w:val="auto"/>
          <w:kern w:val="2"/>
          <w:sz w:val="21"/>
          <w:szCs w:val="21"/>
          <w:highlight w:val="none"/>
          <w:u w:val="single"/>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条款号：16.1.3            修改类型：修改</w:t>
      </w:r>
    </w:p>
    <w:p>
      <w:pP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16.1.3 采用电子形式的保函、担保或保证保险提交投标保证金的，应在招标文件中明确电子递交途径。</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16.1.3 采用电子形式的保函、担保或保证保险提交投标保证金的，</w:t>
      </w:r>
      <w:r>
        <w:rPr>
          <w:rFonts w:hint="eastAsia" w:ascii="宋体" w:hAnsi="宋体"/>
          <w:color w:val="auto"/>
          <w:szCs w:val="21"/>
          <w:highlight w:val="none"/>
          <w:u w:val="single"/>
        </w:rPr>
        <w:t>具体操作要求详见广州公共资源交易中心有关指引，递交事宜请自行咨询广州公共资源交易中心，递交情况以开标时广州公共资源交易中心数据库查询信息为准。</w:t>
      </w:r>
    </w:p>
    <w:p>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条款号：16.2            修改类型：修改</w:t>
      </w:r>
    </w:p>
    <w:p>
      <w:pP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16.2</w:t>
      </w:r>
      <w:r>
        <w:rPr>
          <w:rFonts w:hint="eastAsia" w:ascii="宋体" w:hAnsi="宋体" w:cs="宋体"/>
          <w:bCs/>
          <w:color w:val="auto"/>
          <w:szCs w:val="21"/>
          <w:highlight w:val="none"/>
          <w:u w:val="single"/>
        </w:rPr>
        <w:t>开标时投标人没有按要求提供投标保证金的，其投标文件将被否决。</w:t>
      </w:r>
    </w:p>
    <w:p>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条款号：16.4            修改类型：修改</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16.4如有下列情况之一的，招标人可以不予退还投标保证金（是否退还投标保证金由招标人在招标文件中规定）：</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16.4.1因投标人原因造成投标文件未解密的；</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16.4.2投标人在投标有效期内撤销投标文件；</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16.4.3中标人未能在规定期限内按要求提交履约担保；</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16.4.4中标人未能在规定期限内签署合同协议。</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16.4.1投标人在投标有效期内撤销投标文件；</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16.4.2中标人未能在规定期限内按要求提交履约担保；</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16.4.3中标人未能在规定期限内签署合同协议。</w:t>
      </w:r>
    </w:p>
    <w:p>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条款号：16.5             修改类型：修改</w:t>
      </w:r>
    </w:p>
    <w:p>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16.5.3按招标文件要求免于提供投标保证金的投标人存在16.4条款所列情形的。</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注：16.5.3款由招标人二选一，需在招标文件中明确。</w:t>
      </w:r>
    </w:p>
    <w:p>
      <w:pP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16.5投标人如存在下列情况之一的，将被拒绝在一年内参与招标人后续工程投标（注：自招标人发出通知书之日起计）：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440" w:lineRule="exact"/>
        <w:ind w:firstLine="470" w:firstLineChars="224"/>
        <w:rPr>
          <w:rFonts w:ascii="宋体" w:hAnsi="宋体" w:cs="宋体"/>
          <w:b/>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pStyle w:val="36"/>
        <w:pBdr>
          <w:bottom w:val="single" w:color="auto" w:sz="6" w:space="0"/>
        </w:pBdr>
        <w:adjustRightInd w:val="0"/>
        <w:spacing w:after="0" w:line="440" w:lineRule="exact"/>
        <w:ind w:left="0" w:leftChars="0" w:firstLine="0" w:firstLineChars="0"/>
        <w:rPr>
          <w:rFonts w:ascii="宋体" w:hAnsi="宋体" w:eastAsia="宋体" w:cs="宋体"/>
          <w:bCs/>
          <w:color w:val="auto"/>
          <w:sz w:val="21"/>
          <w:szCs w:val="21"/>
          <w:highlight w:val="none"/>
          <w:u w:val="single"/>
        </w:rPr>
      </w:pPr>
    </w:p>
    <w:p>
      <w:pPr>
        <w:spacing w:line="440" w:lineRule="exact"/>
        <w:ind w:firstLine="422" w:firstLineChars="200"/>
        <w:rPr>
          <w:rFonts w:ascii="宋体" w:hAnsi="宋体"/>
          <w:b/>
          <w:color w:val="auto"/>
          <w:szCs w:val="21"/>
          <w:highlight w:val="none"/>
        </w:rPr>
      </w:pPr>
      <w:r>
        <w:rPr>
          <w:rFonts w:hint="eastAsia" w:ascii="宋体" w:hAnsi="宋体" w:cs="宋体"/>
          <w:b/>
          <w:color w:val="auto"/>
          <w:szCs w:val="21"/>
          <w:highlight w:val="none"/>
        </w:rPr>
        <w:t>条款号：</w:t>
      </w:r>
      <w:r>
        <w:rPr>
          <w:rFonts w:hint="eastAsia" w:ascii="宋体" w:hAnsi="宋体"/>
          <w:b/>
          <w:color w:val="auto"/>
          <w:szCs w:val="21"/>
          <w:highlight w:val="none"/>
        </w:rPr>
        <w:t>17.1             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440" w:lineRule="exact"/>
        <w:ind w:firstLine="527" w:firstLineChars="250"/>
        <w:rPr>
          <w:rFonts w:hint="default" w:ascii="宋体" w:hAnsi="宋体"/>
          <w:color w:val="auto"/>
          <w:szCs w:val="21"/>
          <w:highlight w:val="none"/>
          <w:u w:val="single"/>
          <w:lang w:val="en-US"/>
        </w:rPr>
      </w:pPr>
      <w:r>
        <w:rPr>
          <w:rFonts w:hint="eastAsia" w:ascii="宋体" w:hAnsi="宋体"/>
          <w:b/>
          <w:color w:val="auto"/>
          <w:szCs w:val="21"/>
          <w:highlight w:val="none"/>
        </w:rPr>
        <w:t>现文：</w:t>
      </w:r>
      <w:r>
        <w:rPr>
          <w:rFonts w:hint="eastAsia" w:ascii="宋体" w:hAnsi="宋体"/>
          <w:color w:val="auto"/>
          <w:szCs w:val="21"/>
          <w:highlight w:val="none"/>
        </w:rPr>
        <w:t>17.1</w:t>
      </w:r>
      <w:r>
        <w:rPr>
          <w:rFonts w:hint="eastAsia" w:ascii="宋体" w:hAnsi="宋体" w:cs="宋体"/>
          <w:color w:val="auto"/>
          <w:szCs w:val="21"/>
          <w:highlight w:val="none"/>
        </w:rPr>
        <w:t>投标人应采用单位数字证书，按招标文件</w:t>
      </w:r>
      <w:r>
        <w:rPr>
          <w:rFonts w:hint="eastAsia" w:ascii="宋体" w:hAnsi="宋体" w:cs="宋体"/>
          <w:color w:val="auto"/>
          <w:szCs w:val="21"/>
          <w:highlight w:val="none"/>
          <w:u w:val="single"/>
        </w:rPr>
        <w:t>（含资格审查文件）</w:t>
      </w:r>
      <w:r>
        <w:rPr>
          <w:rFonts w:hint="eastAsia" w:ascii="宋体" w:hAnsi="宋体" w:cs="宋体"/>
          <w:color w:val="auto"/>
          <w:szCs w:val="21"/>
          <w:highlight w:val="none"/>
        </w:rPr>
        <w:t>要求在相应位置加盖电子印章。投标文件</w:t>
      </w:r>
      <w:r>
        <w:rPr>
          <w:rFonts w:hint="eastAsia" w:ascii="宋体" w:hAnsi="宋体" w:cs="宋体"/>
          <w:color w:val="auto"/>
          <w:szCs w:val="21"/>
          <w:highlight w:val="none"/>
          <w:u w:val="single"/>
        </w:rPr>
        <w:t>（含资格审查文件）</w:t>
      </w:r>
      <w:r>
        <w:rPr>
          <w:rFonts w:hint="eastAsia" w:ascii="宋体" w:hAnsi="宋体" w:cs="宋体"/>
          <w:color w:val="auto"/>
          <w:szCs w:val="21"/>
          <w:highlight w:val="none"/>
        </w:rPr>
        <w:t>中需个人签字或盖</w:t>
      </w:r>
      <w:r>
        <w:rPr>
          <w:rFonts w:hint="eastAsia" w:ascii="宋体" w:hAnsi="宋体" w:cs="宋体"/>
          <w:color w:val="auto"/>
          <w:szCs w:val="21"/>
          <w:highlight w:val="none"/>
          <w:lang w:eastAsia="zh-CN"/>
        </w:rPr>
        <w:t>个人签字</w:t>
      </w:r>
      <w:r>
        <w:rPr>
          <w:rFonts w:hint="eastAsia" w:ascii="宋体" w:hAnsi="宋体" w:cs="宋体"/>
          <w:color w:val="auto"/>
          <w:szCs w:val="21"/>
          <w:highlight w:val="none"/>
        </w:rPr>
        <w:t>章的，应加盖个人电子印章或在线下完成后扫描上传。按照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w:t>
      </w:r>
      <w:r>
        <w:rPr>
          <w:rFonts w:hint="eastAsia" w:ascii="宋体" w:hAnsi="宋体" w:cs="宋体"/>
          <w:color w:val="auto"/>
          <w:szCs w:val="21"/>
          <w:highlight w:val="none"/>
        </w:rPr>
        <w:t>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广州交易集团有限公司（广州公共资源交易中心）最新指引。</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18.1</w:t>
      </w:r>
      <w:r>
        <w:rPr>
          <w:rFonts w:hint="eastAsia" w:ascii="宋体" w:hAnsi="宋体"/>
          <w:b/>
          <w:color w:val="auto"/>
          <w:szCs w:val="21"/>
          <w:highlight w:val="none"/>
        </w:rPr>
        <w:t>、</w:t>
      </w:r>
      <w:r>
        <w:rPr>
          <w:rFonts w:ascii="宋体" w:hAnsi="宋体"/>
          <w:b/>
          <w:color w:val="auto"/>
          <w:szCs w:val="21"/>
          <w:highlight w:val="none"/>
        </w:rPr>
        <w:t xml:space="preserve">18.2            </w:t>
      </w:r>
      <w:r>
        <w:rPr>
          <w:rFonts w:hint="eastAsia" w:ascii="宋体" w:hAnsi="宋体"/>
          <w:b/>
          <w:color w:val="auto"/>
          <w:szCs w:val="21"/>
          <w:highlight w:val="none"/>
        </w:rPr>
        <w:t>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18.1递交的电子投标文件（不含备用光盘）必须进行加密。按照交易平台关于全流程电子化项目的相关指南进行操作。详见：。</w:t>
      </w:r>
    </w:p>
    <w:p>
      <w:pPr>
        <w:spacing w:line="440" w:lineRule="exact"/>
        <w:ind w:firstLine="470" w:firstLineChars="224"/>
        <w:rPr>
          <w:rFonts w:hint="eastAsia" w:ascii="宋体" w:hAnsi="宋体" w:cs="Times New Roman"/>
          <w:color w:val="auto"/>
          <w:szCs w:val="21"/>
          <w:highlight w:val="none"/>
        </w:rPr>
      </w:pPr>
      <w:r>
        <w:rPr>
          <w:rFonts w:hint="eastAsia" w:ascii="宋体" w:hAnsi="宋体" w:cs="Times New Roman"/>
          <w:color w:val="auto"/>
          <w:szCs w:val="21"/>
          <w:highlight w:val="none"/>
        </w:rPr>
        <w:t>18.2未按要求加密的投标文件，交易平台将予以拒收。</w:t>
      </w:r>
    </w:p>
    <w:p>
      <w:pPr>
        <w:pBdr>
          <w:bottom w:val="single" w:color="auto" w:sz="6" w:space="1"/>
        </w:pBdr>
        <w:adjustRightInd w:val="0"/>
        <w:snapToGrid w:val="0"/>
        <w:spacing w:line="360" w:lineRule="auto"/>
        <w:ind w:firstLine="422" w:firstLineChars="200"/>
        <w:rPr>
          <w:rFonts w:hint="eastAsia" w:ascii="宋体" w:hAnsi="宋体" w:cs="宋体"/>
          <w:color w:val="auto"/>
          <w:szCs w:val="21"/>
          <w:highlight w:val="none"/>
          <w:u w:val="single"/>
          <w:lang w:eastAsia="zh-CN"/>
        </w:rPr>
      </w:pPr>
      <w:r>
        <w:rPr>
          <w:rFonts w:hint="eastAsia" w:ascii="宋体" w:hAnsi="宋体"/>
          <w:b/>
          <w:color w:val="auto"/>
          <w:szCs w:val="21"/>
          <w:highlight w:val="none"/>
        </w:rPr>
        <w:t>现文：</w:t>
      </w:r>
      <w:r>
        <w:rPr>
          <w:rFonts w:hint="eastAsia" w:ascii="宋体" w:hAnsi="宋体"/>
          <w:color w:val="auto"/>
          <w:szCs w:val="21"/>
          <w:highlight w:val="none"/>
        </w:rPr>
        <w:t>18.1</w:t>
      </w:r>
      <w:r>
        <w:rPr>
          <w:rFonts w:hint="eastAsia" w:ascii="宋体" w:hAnsi="宋体" w:cs="宋体"/>
          <w:bCs/>
          <w:color w:val="auto"/>
          <w:szCs w:val="21"/>
          <w:highlight w:val="none"/>
        </w:rPr>
        <w:t>递交的电子投标文件（不含备用</w:t>
      </w:r>
      <w:r>
        <w:rPr>
          <w:rFonts w:hint="eastAsia" w:ascii="宋体" w:hAnsi="宋体" w:cs="宋体"/>
          <w:bCs/>
          <w:color w:val="auto"/>
          <w:szCs w:val="21"/>
          <w:highlight w:val="none"/>
          <w:u w:val="single"/>
          <w:lang w:val="en-US" w:eastAsia="zh-CN"/>
        </w:rPr>
        <w:t>U盘/</w:t>
      </w:r>
      <w:r>
        <w:rPr>
          <w:rFonts w:hint="eastAsia" w:ascii="宋体" w:hAnsi="宋体" w:cs="宋体"/>
          <w:bCs/>
          <w:color w:val="auto"/>
          <w:szCs w:val="21"/>
          <w:highlight w:val="none"/>
          <w:u w:val="single"/>
        </w:rPr>
        <w:t>光盘</w:t>
      </w:r>
      <w:r>
        <w:rPr>
          <w:rFonts w:hint="eastAsia" w:ascii="宋体" w:hAnsi="宋体" w:cs="宋体"/>
          <w:bCs/>
          <w:color w:val="auto"/>
          <w:szCs w:val="21"/>
          <w:highlight w:val="none"/>
        </w:rPr>
        <w:t>）必须进行加密。按照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u w:val="single"/>
          <w:lang w:eastAsia="zh-CN"/>
        </w:rPr>
        <w:t>。</w:t>
      </w:r>
    </w:p>
    <w:p>
      <w:pPr>
        <w:pBdr>
          <w:bottom w:val="single" w:color="auto" w:sz="6" w:space="1"/>
        </w:pBdr>
        <w:spacing w:line="440" w:lineRule="exact"/>
        <w:ind w:firstLine="525" w:firstLineChars="250"/>
        <w:rPr>
          <w:rFonts w:ascii="宋体" w:hAnsi="宋体"/>
          <w:color w:val="auto"/>
          <w:szCs w:val="21"/>
          <w:highlight w:val="none"/>
        </w:rPr>
      </w:pPr>
      <w:r>
        <w:rPr>
          <w:rFonts w:hint="eastAsia" w:ascii="宋体" w:hAnsi="宋体" w:cs="宋体"/>
          <w:color w:val="auto"/>
          <w:szCs w:val="21"/>
          <w:highlight w:val="none"/>
          <w:u w:val="single"/>
          <w:lang w:eastAsia="zh-CN"/>
        </w:rPr>
        <w:t>18.2未按要求加密的投标文件，广州交易集团有限公司（广州公共资源交易中心）交易平台将予以拒收</w:t>
      </w:r>
      <w:r>
        <w:rPr>
          <w:rFonts w:hint="eastAsia" w:ascii="宋体" w:hAnsi="宋体"/>
          <w:color w:val="auto"/>
          <w:szCs w:val="21"/>
          <w:highlight w:val="none"/>
        </w:rPr>
        <w:t>。</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条款号：19</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pacing w:line="360" w:lineRule="auto"/>
        <w:ind w:firstLine="413" w:firstLineChars="196"/>
        <w:rPr>
          <w:rFonts w:hint="eastAsia" w:ascii="宋体" w:hAnsi="宋体" w:eastAsia="宋体" w:cs="宋体"/>
          <w:bCs/>
          <w:color w:val="auto"/>
          <w:sz w:val="21"/>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19.</w:t>
      </w:r>
      <w:r>
        <w:rPr>
          <w:rFonts w:hint="eastAsia" w:ascii="宋体" w:hAnsi="宋体" w:eastAsia="宋体" w:cs="宋体"/>
          <w:bCs/>
          <w:color w:val="auto"/>
          <w:sz w:val="21"/>
          <w:szCs w:val="21"/>
          <w:highlight w:val="none"/>
        </w:rPr>
        <w:t>投标文件的递交和接收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rPr>
        <w:t>19.</w:t>
      </w:r>
      <w:r>
        <w:rPr>
          <w:rFonts w:hint="eastAsia" w:ascii="宋体" w:hAnsi="宋体" w:eastAsia="宋体" w:cs="宋体"/>
          <w:b w:val="0"/>
          <w:bCs w:val="0"/>
          <w:color w:val="auto"/>
          <w:sz w:val="21"/>
          <w:szCs w:val="21"/>
          <w:highlight w:val="none"/>
        </w:rPr>
        <w:t>投标文件的递交和接收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19.1投标人通过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交易平台递交电子投标文件。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19.2投标人完成电子投标文件上传后，</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19.3逾期送达的电子投标文件，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pPr>
        <w:pBdr>
          <w:bottom w:val="single" w:color="auto" w:sz="6" w:space="13"/>
        </w:pBd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u w:val="single"/>
        </w:rPr>
        <w:t>19.5技术标、经济标同时开启，</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u w:val="single"/>
        </w:rPr>
        <w:t>交易平台将按招标文件规定的时间同时开启技术标、经济标</w:t>
      </w:r>
      <w:r>
        <w:rPr>
          <w:rFonts w:hint="eastAsia" w:ascii="宋体" w:hAnsi="宋体" w:eastAsia="宋体" w:cs="宋体"/>
          <w:color w:val="auto"/>
          <w:sz w:val="21"/>
          <w:szCs w:val="21"/>
          <w:highlight w:val="none"/>
          <w:u w:val="single"/>
          <w:lang w:eastAsia="zh-CN"/>
        </w:rPr>
        <w:t>。</w:t>
      </w:r>
    </w:p>
    <w:p>
      <w:pPr>
        <w:spacing w:line="44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21.1            </w:t>
      </w:r>
      <w:r>
        <w:rPr>
          <w:rFonts w:hint="eastAsia" w:ascii="宋体" w:hAnsi="宋体"/>
          <w:b/>
          <w:color w:val="auto"/>
          <w:szCs w:val="21"/>
          <w:highlight w:val="none"/>
        </w:rPr>
        <w:t>修改类型：修改</w:t>
      </w:r>
    </w:p>
    <w:p>
      <w:pPr>
        <w:spacing w:line="44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21.1本须知前附表第</w:t>
      </w:r>
      <w:r>
        <w:rPr>
          <w:rFonts w:ascii="宋体" w:hAnsi="宋体"/>
          <w:color w:val="auto"/>
          <w:szCs w:val="21"/>
          <w:highlight w:val="none"/>
        </w:rPr>
        <w:t>1</w:t>
      </w:r>
      <w:r>
        <w:rPr>
          <w:rFonts w:hint="eastAsia" w:ascii="宋体" w:hAnsi="宋体"/>
          <w:color w:val="auto"/>
          <w:szCs w:val="21"/>
          <w:highlight w:val="none"/>
        </w:rPr>
        <w:t>7项规定的投标截止时间后送达的电子投标文件，交易平台将予以拒收。</w:t>
      </w:r>
    </w:p>
    <w:p>
      <w:pPr>
        <w:pBdr>
          <w:bottom w:val="single" w:color="auto" w:sz="6" w:space="1"/>
        </w:pBdr>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21.1 本须知前附表第17项规定的投标截止时间后送达的电子投标文件，</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交易平台将予以拒收</w:t>
      </w:r>
      <w:r>
        <w:rPr>
          <w:rFonts w:hint="eastAsia" w:ascii="宋体" w:hAnsi="宋体" w:cs="宋体"/>
          <w:color w:val="auto"/>
          <w:szCs w:val="21"/>
          <w:highlight w:val="none"/>
        </w:rPr>
        <w:t>。</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招标人将在交易平台、广东省招标投标监管网和中国招标投标公共服务平台公示中标候选人，公示期为三天。</w:t>
      </w:r>
    </w:p>
    <w:p>
      <w:pPr>
        <w:pBdr>
          <w:bottom w:val="single" w:color="auto" w:sz="6" w:space="1"/>
        </w:pBdr>
        <w:spacing w:line="440" w:lineRule="exact"/>
        <w:ind w:firstLine="422" w:firstLineChars="200"/>
        <w:rPr>
          <w:rFonts w:ascii="宋体" w:hAnsi="宋体" w:cs="宋体"/>
          <w:b w:val="0"/>
          <w:bCs w:val="0"/>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kern w:val="0"/>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u w:val="single"/>
        </w:rPr>
        <w:t>最后一日为工作日</w:t>
      </w:r>
      <w:r>
        <w:rPr>
          <w:rFonts w:hint="eastAsia" w:ascii="宋体" w:hAnsi="宋体" w:cs="宋体"/>
          <w:color w:val="auto"/>
          <w:szCs w:val="21"/>
          <w:highlight w:val="none"/>
        </w:rPr>
        <w:t>。</w:t>
      </w:r>
      <w:r>
        <w:rPr>
          <w:rFonts w:hint="eastAsia" w:ascii="宋体" w:hAnsi="宋体" w:cs="宋体"/>
          <w:b w:val="0"/>
          <w:bCs w:val="0"/>
          <w:color w:val="auto"/>
          <w:kern w:val="0"/>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在产生中标候选人后，招标人将中标候选人的投标文件商务部分文件的所有内容（包括</w:t>
      </w:r>
      <w:r>
        <w:rPr>
          <w:rFonts w:hint="eastAsia" w:ascii="宋体" w:hAnsi="宋体" w:cs="宋体"/>
          <w:b/>
          <w:bCs/>
          <w:color w:val="auto"/>
          <w:kern w:val="0"/>
          <w:szCs w:val="21"/>
          <w:highlight w:val="none"/>
        </w:rPr>
        <w:t>报价清单</w:t>
      </w:r>
      <w:r>
        <w:rPr>
          <w:rFonts w:hint="eastAsia" w:ascii="宋体" w:hAnsi="宋体" w:cs="宋体"/>
          <w:bCs/>
          <w:color w:val="auto"/>
          <w:kern w:val="0"/>
          <w:szCs w:val="21"/>
          <w:highlight w:val="none"/>
        </w:rPr>
        <w:t>、人员、业绩、奖项等资料）在交易平台和广东省招标投标监管网公开</w:t>
      </w:r>
      <w:r>
        <w:rPr>
          <w:rFonts w:hint="eastAsia" w:ascii="宋体" w:hAnsi="宋体" w:cs="宋体"/>
          <w:color w:val="auto"/>
          <w:szCs w:val="21"/>
          <w:highlight w:val="none"/>
        </w:rPr>
        <w:t>。</w:t>
      </w:r>
    </w:p>
    <w:p>
      <w:pPr>
        <w:pBdr>
          <w:bottom w:val="single" w:color="auto" w:sz="6" w:space="1"/>
        </w:pBdr>
        <w:spacing w:line="44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pPr>
        <w:spacing w:before="158" w:beforeLines="50"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条款号：27.5          修改类型：增加</w:t>
      </w:r>
    </w:p>
    <w:p>
      <w:pPr>
        <w:pBdr>
          <w:bottom w:val="single" w:color="auto" w:sz="6" w:space="1"/>
        </w:pBdr>
        <w:spacing w:line="360" w:lineRule="auto"/>
        <w:ind w:firstLine="422" w:firstLineChars="200"/>
        <w:rPr>
          <w:rFonts w:ascii="宋体" w:cs="宋体"/>
          <w:color w:val="auto"/>
          <w:highlight w:val="none"/>
        </w:rPr>
      </w:pPr>
      <w:r>
        <w:rPr>
          <w:rFonts w:hint="eastAsia" w:ascii="宋体" w:hAnsi="宋体" w:cs="宋体"/>
          <w:b/>
          <w:color w:val="auto"/>
          <w:szCs w:val="21"/>
          <w:highlight w:val="none"/>
        </w:rPr>
        <w:t>现文：27.5</w:t>
      </w:r>
      <w:r>
        <w:rPr>
          <w:rFonts w:hint="eastAsia" w:ascii="宋体" w:hAnsi="宋体" w:eastAsia="宋体" w:cs="宋体"/>
          <w:color w:val="auto"/>
          <w:kern w:val="2"/>
          <w:sz w:val="21"/>
          <w:szCs w:val="21"/>
          <w:highlight w:val="none"/>
          <w:u w:val="single"/>
          <w:lang w:val="en-US" w:eastAsia="zh-CN" w:bidi="ar-SA"/>
        </w:rPr>
        <w:t>中标单位在中标公示后，需提供与递交投标电子标书内容一致且每页加盖单位公章的纸质文件一式四份及电子文件U盘一份（不用生成投标书；包括经济标报价套价软件版、XML版和Microsoft Excel软件版及用Microsoft Word软件或广州交易集团有限公司（广州公共资源交易中心）提供的投标书制作软件制作的经济投标文件其他部分。电子文件介质使用U盘，所有电子文件不能采用压缩处理或加密处理）给招标人</w:t>
      </w:r>
      <w:r>
        <w:rPr>
          <w:rFonts w:hint="eastAsia" w:ascii="宋体" w:hAnsi="宋体" w:cs="宋体"/>
          <w:color w:val="auto"/>
          <w:szCs w:val="21"/>
          <w:highlight w:val="none"/>
          <w:u w:val="single"/>
        </w:rPr>
        <w:t>。</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条款号：28.4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28.4 招标人支付工程款时，中标人应提供工程所在地发票。</w:t>
      </w:r>
    </w:p>
    <w:p>
      <w:pPr>
        <w:pBdr>
          <w:bottom w:val="single" w:color="auto" w:sz="6" w:space="1"/>
        </w:pBdr>
        <w:spacing w:line="360" w:lineRule="auto"/>
        <w:ind w:firstLine="42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28.4 招标人支付工程款时，中标人应</w:t>
      </w:r>
      <w:r>
        <w:rPr>
          <w:rFonts w:hint="eastAsia" w:ascii="宋体" w:hAnsi="宋体"/>
          <w:color w:val="auto"/>
          <w:szCs w:val="21"/>
          <w:highlight w:val="none"/>
          <w:u w:val="single"/>
        </w:rPr>
        <w:t>按规定开具发票</w:t>
      </w:r>
      <w:r>
        <w:rPr>
          <w:rFonts w:hint="eastAsia" w:ascii="宋体" w:hAnsi="宋体"/>
          <w:color w:val="auto"/>
          <w:szCs w:val="21"/>
          <w:highlight w:val="none"/>
        </w:rPr>
        <w:t>。</w:t>
      </w:r>
    </w:p>
    <w:p>
      <w:pPr>
        <w:spacing w:line="360" w:lineRule="auto"/>
        <w:ind w:firstLine="472" w:firstLineChars="224"/>
        <w:rPr>
          <w:rFonts w:hint="eastAsia" w:ascii="宋体" w:eastAsia="宋体" w:cs="宋体"/>
          <w:b/>
          <w:color w:val="auto"/>
          <w:szCs w:val="21"/>
          <w:highlight w:val="none"/>
        </w:rPr>
      </w:pPr>
      <w:r>
        <w:rPr>
          <w:rFonts w:hint="eastAsia" w:ascii="宋体" w:eastAsia="宋体" w:cs="宋体"/>
          <w:b/>
          <w:color w:val="auto"/>
          <w:szCs w:val="21"/>
          <w:highlight w:val="none"/>
        </w:rPr>
        <w:t>条款号：</w:t>
      </w:r>
      <w:r>
        <w:rPr>
          <w:rFonts w:hint="eastAsia" w:ascii="宋体" w:eastAsia="宋体" w:cs="宋体"/>
          <w:color w:val="auto"/>
          <w:szCs w:val="21"/>
          <w:highlight w:val="none"/>
        </w:rPr>
        <w:t>29.1</w:t>
      </w:r>
      <w:r>
        <w:rPr>
          <w:rFonts w:hint="eastAsia" w:ascii="宋体" w:eastAsia="宋体" w:cs="宋体"/>
          <w:b/>
          <w:color w:val="auto"/>
          <w:szCs w:val="21"/>
          <w:highlight w:val="none"/>
        </w:rPr>
        <w:t xml:space="preserve">           修改类型：修改</w:t>
      </w:r>
    </w:p>
    <w:p>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 xml:space="preserve"> 29.1在收到中标通知书</w:t>
      </w:r>
      <w:r>
        <w:rPr>
          <w:rFonts w:hint="eastAsia" w:ascii="宋体" w:eastAsia="宋体" w:cs="宋体"/>
          <w:b w:val="0"/>
          <w:bCs w:val="0"/>
          <w:color w:val="auto"/>
          <w:szCs w:val="21"/>
          <w:highlight w:val="none"/>
        </w:rPr>
        <w:t>后的15日内</w:t>
      </w:r>
      <w:r>
        <w:rPr>
          <w:rFonts w:hint="eastAsia" w:ascii="宋体" w:eastAsia="宋体" w:cs="宋体"/>
          <w:color w:val="auto"/>
          <w:szCs w:val="21"/>
          <w:highlight w:val="none"/>
        </w:rPr>
        <w:t>，中标人应按本须知前附表第20项的规定向招标人提交履约担保。</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eastAsia="宋体" w:cs="宋体"/>
          <w:b/>
          <w:color w:val="auto"/>
          <w:szCs w:val="21"/>
          <w:highlight w:val="none"/>
        </w:rPr>
        <w:t>现文：</w:t>
      </w:r>
      <w:r>
        <w:rPr>
          <w:rFonts w:hint="eastAsia" w:ascii="宋体" w:eastAsia="宋体" w:cs="宋体"/>
          <w:color w:val="auto"/>
          <w:szCs w:val="21"/>
          <w:highlight w:val="none"/>
          <w:u w:val="single"/>
        </w:rPr>
        <w:t>29.1按合同条款约定时间内，中标人应按本须知前附表第20项的规定向招标人提交履约担保。</w:t>
      </w:r>
    </w:p>
    <w:p>
      <w:pPr>
        <w:pStyle w:val="22"/>
        <w:rPr>
          <w:color w:val="auto"/>
          <w:highlight w:val="none"/>
        </w:rPr>
      </w:pP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w:t>
      </w:r>
      <w:r>
        <w:rPr>
          <w:rFonts w:ascii="宋体" w:hAnsi="宋体" w:cs="宋体"/>
          <w:b/>
          <w:color w:val="auto"/>
          <w:szCs w:val="21"/>
          <w:highlight w:val="none"/>
        </w:rPr>
        <w:t>9</w:t>
      </w: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 xml:space="preserve">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olor w:val="auto"/>
          <w:szCs w:val="21"/>
          <w:highlight w:val="none"/>
        </w:rPr>
        <w:t>29.2</w:t>
      </w:r>
      <w:r>
        <w:rPr>
          <w:rFonts w:hint="eastAsia" w:ascii="宋体" w:hAnsi="宋体"/>
          <w:color w:val="auto"/>
          <w:szCs w:val="21"/>
          <w:highlight w:val="none"/>
        </w:rPr>
        <w:t>中标通知书发出之日起</w:t>
      </w:r>
      <w:r>
        <w:rPr>
          <w:rFonts w:ascii="宋体" w:hAnsi="宋体"/>
          <w:color w:val="auto"/>
          <w:szCs w:val="21"/>
          <w:highlight w:val="none"/>
        </w:rPr>
        <w:t>15</w:t>
      </w:r>
      <w:r>
        <w:rPr>
          <w:rFonts w:hint="eastAsia" w:ascii="宋体" w:hAnsi="宋体"/>
          <w:color w:val="auto"/>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440" w:lineRule="exact"/>
        <w:ind w:firstLine="413" w:firstLineChars="196"/>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ascii="宋体" w:hAnsi="宋体"/>
          <w:color w:val="auto"/>
          <w:szCs w:val="21"/>
          <w:highlight w:val="none"/>
        </w:rPr>
        <w:t>29.2</w:t>
      </w:r>
      <w:r>
        <w:rPr>
          <w:rFonts w:hint="eastAsia" w:ascii="宋体" w:eastAsia="宋体" w:cs="宋体"/>
          <w:color w:val="auto"/>
          <w:szCs w:val="21"/>
          <w:highlight w:val="none"/>
          <w:u w:val="single"/>
        </w:rPr>
        <w:t>按合同条款约定时间内，中标人未按上款的规定提交履约担保，</w:t>
      </w:r>
      <w:r>
        <w:rPr>
          <w:rFonts w:hint="eastAsia" w:ascii="宋体" w:eastAsia="宋体" w:cs="宋体"/>
          <w:color w:val="auto"/>
          <w:szCs w:val="21"/>
          <w:highlight w:val="none"/>
        </w:rPr>
        <w:t>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eastAsia="宋体" w:cs="宋体"/>
          <w:color w:val="auto"/>
          <w:szCs w:val="21"/>
          <w:highlight w:val="none"/>
          <w:lang w:eastAsia="zh-CN"/>
        </w:rPr>
        <w:t>。</w:t>
      </w:r>
    </w:p>
    <w:p>
      <w:pPr>
        <w:spacing w:line="4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条款号：3</w:t>
      </w:r>
      <w:r>
        <w:rPr>
          <w:rFonts w:ascii="宋体" w:hAnsi="宋体" w:cs="宋体"/>
          <w:b/>
          <w:color w:val="auto"/>
          <w:szCs w:val="21"/>
          <w:highlight w:val="none"/>
        </w:rPr>
        <w:t xml:space="preserve">1.1             </w:t>
      </w:r>
      <w:r>
        <w:rPr>
          <w:rFonts w:hint="eastAsia" w:ascii="宋体" w:hAnsi="宋体" w:cs="宋体"/>
          <w:b/>
          <w:color w:val="auto"/>
          <w:szCs w:val="21"/>
          <w:highlight w:val="none"/>
        </w:rPr>
        <w:t>修改类型：增加</w:t>
      </w:r>
    </w:p>
    <w:p>
      <w:pPr>
        <w:pBdr>
          <w:bottom w:val="single" w:color="auto" w:sz="6" w:space="1"/>
        </w:pBdr>
        <w:spacing w:line="440" w:lineRule="exact"/>
        <w:ind w:firstLine="413" w:firstLineChars="196"/>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31.1中标人应在广州交易集团有限公司（广州公共资源交易中心）交纳公共资源交易服务费，该费用包含在投标报价中，招标人不另行支付。</w:t>
      </w:r>
    </w:p>
    <w:p>
      <w:pPr>
        <w:spacing w:line="440" w:lineRule="exact"/>
        <w:ind w:firstLine="413" w:firstLineChars="196"/>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2</w:t>
      </w:r>
      <w:r>
        <w:rPr>
          <w:rFonts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ascii="宋体" w:hAnsi="宋体" w:cs="宋体"/>
          <w:b/>
          <w:color w:val="auto"/>
          <w:szCs w:val="21"/>
          <w:highlight w:val="none"/>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val="en-US" w:eastAsia="zh-CN"/>
        </w:rPr>
        <w:t>修改</w:t>
      </w:r>
    </w:p>
    <w:p>
      <w:pPr>
        <w:pBdr>
          <w:bottom w:val="single" w:color="auto" w:sz="6" w:space="1"/>
        </w:pBdr>
        <w:spacing w:line="44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lang w:val="en-US" w:eastAsia="zh-CN"/>
        </w:rPr>
        <w:t>原</w:t>
      </w:r>
      <w:r>
        <w:rPr>
          <w:rFonts w:hint="eastAsia" w:ascii="宋体" w:hAnsi="宋体" w:cs="宋体"/>
          <w:b/>
          <w:color w:val="auto"/>
          <w:szCs w:val="21"/>
          <w:highlight w:val="none"/>
        </w:rPr>
        <w:t>文：</w:t>
      </w:r>
      <w:r>
        <w:rPr>
          <w:rFonts w:hint="eastAsia" w:ascii="宋体" w:hAnsi="宋体" w:cs="宋体"/>
          <w:color w:val="auto"/>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440" w:lineRule="exact"/>
        <w:ind w:firstLine="413" w:firstLineChars="196"/>
        <w:rPr>
          <w:rFonts w:ascii="宋体" w:hAnsi="宋体" w:cs="宋体"/>
          <w:b w:val="0"/>
          <w:bCs/>
          <w:color w:val="auto"/>
          <w:szCs w:val="21"/>
          <w:highlight w:val="none"/>
        </w:rPr>
      </w:pPr>
      <w:r>
        <w:rPr>
          <w:rFonts w:hint="eastAsia" w:ascii="宋体" w:hAnsi="宋体" w:cs="宋体"/>
          <w:b/>
          <w:color w:val="auto"/>
          <w:szCs w:val="21"/>
          <w:highlight w:val="none"/>
          <w:lang w:val="en-US" w:eastAsia="zh-CN"/>
        </w:rPr>
        <w:t>现</w:t>
      </w:r>
      <w:r>
        <w:rPr>
          <w:rFonts w:hint="eastAsia" w:ascii="宋体" w:hAnsi="宋体" w:cs="宋体"/>
          <w:b/>
          <w:color w:val="auto"/>
          <w:szCs w:val="21"/>
          <w:highlight w:val="none"/>
        </w:rPr>
        <w:t>文：</w:t>
      </w:r>
      <w:r>
        <w:rPr>
          <w:rFonts w:hint="eastAsia" w:ascii="宋体" w:hAnsi="宋体" w:eastAsia="宋体" w:cs="宋体"/>
          <w:color w:val="auto"/>
          <w:szCs w:val="21"/>
          <w:highlight w:val="none"/>
        </w:rPr>
        <w:t>32.3</w:t>
      </w:r>
      <w:r>
        <w:rPr>
          <w:rFonts w:hint="eastAsia" w:ascii="宋体" w:hAnsi="宋体" w:eastAsia="宋体" w:cs="宋体"/>
          <w:bCs/>
          <w:color w:val="auto"/>
          <w:kern w:val="0"/>
          <w:sz w:val="22"/>
          <w:highlight w:val="none"/>
        </w:rPr>
        <w:t>投</w:t>
      </w:r>
      <w:r>
        <w:rPr>
          <w:rFonts w:hint="eastAsia" w:ascii="宋体" w:hAnsi="宋体" w:eastAsia="宋体" w:cs="宋体"/>
          <w:b w:val="0"/>
          <w:bCs/>
          <w:color w:val="auto"/>
          <w:kern w:val="0"/>
          <w:sz w:val="22"/>
          <w:highlight w:val="none"/>
        </w:rPr>
        <w:t>标人如在本项目中存在串通投标、弄虚作假骗取中标、行贿情形的，中标无效，行政监督部门将对其违法行为进行政处罚。该投标人将被招标人列入黑名单并限制其参与招标人后续项目的投标</w:t>
      </w:r>
      <w:r>
        <w:rPr>
          <w:rFonts w:hint="eastAsia" w:ascii="宋体" w:hAnsi="宋体" w:eastAsia="宋体" w:cs="宋体"/>
          <w:b w:val="0"/>
          <w:bCs/>
          <w:color w:val="auto"/>
          <w:kern w:val="0"/>
          <w:sz w:val="22"/>
          <w:highlight w:val="none"/>
          <w:lang w:eastAsia="zh-CN"/>
        </w:rPr>
        <w:t>。</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b/>
          <w:color w:val="auto"/>
          <w:szCs w:val="21"/>
          <w:highlight w:val="none"/>
          <w:lang w:val="en-US" w:eastAsia="zh-CN"/>
        </w:rPr>
        <w:t xml:space="preserve">33              </w:t>
      </w:r>
      <w:r>
        <w:rPr>
          <w:rFonts w:hint="eastAsia" w:ascii="宋体" w:hAnsi="宋体"/>
          <w:b/>
          <w:color w:val="auto"/>
          <w:szCs w:val="21"/>
          <w:highlight w:val="none"/>
        </w:rPr>
        <w:t>修改类型：删除</w:t>
      </w:r>
    </w:p>
    <w:p>
      <w:pPr>
        <w:pBdr>
          <w:bottom w:val="single" w:color="auto" w:sz="6" w:space="1"/>
        </w:pBdr>
        <w:spacing w:line="44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原文：</w:t>
      </w:r>
      <w:r>
        <w:rPr>
          <w:rFonts w:hint="eastAsia" w:ascii="宋体" w:hAnsi="宋体"/>
          <w:b w:val="0"/>
          <w:bCs/>
          <w:color w:val="auto"/>
          <w:szCs w:val="21"/>
          <w:highlight w:val="none"/>
        </w:rPr>
        <w:t>33. 投标人信誉的要求</w:t>
      </w:r>
    </w:p>
    <w:p>
      <w:pPr>
        <w:pBdr>
          <w:bottom w:val="single" w:color="auto" w:sz="6" w:space="1"/>
        </w:pBdr>
        <w:spacing w:line="44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rPr>
        <w:t>存在下列情形之一的，招标人可以限制其投标（需在招标文件中明确评定方法）</w:t>
      </w:r>
    </w:p>
    <w:p>
      <w:pPr>
        <w:pBdr>
          <w:bottom w:val="single" w:color="auto" w:sz="6" w:space="1"/>
        </w:pBdr>
        <w:spacing w:line="44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rPr>
        <w:t>（1）被住房城乡建设行政主管部门在全国建筑市场监管一体化工作平台列入建筑市场主体“黑名单”；</w:t>
      </w:r>
    </w:p>
    <w:p>
      <w:pPr>
        <w:pBdr>
          <w:bottom w:val="single" w:color="auto" w:sz="6" w:space="1"/>
        </w:pBdr>
        <w:spacing w:line="440" w:lineRule="exact"/>
        <w:ind w:firstLine="411" w:firstLineChars="196"/>
        <w:rPr>
          <w:rFonts w:hint="eastAsia" w:ascii="宋体" w:hAnsi="宋体" w:eastAsia="仿宋" w:cs="宋体"/>
          <w:color w:val="auto"/>
          <w:szCs w:val="21"/>
          <w:highlight w:val="none"/>
          <w:lang w:eastAsia="zh-CN"/>
        </w:rPr>
      </w:pPr>
      <w:r>
        <w:rPr>
          <w:rFonts w:hint="eastAsia" w:ascii="宋体" w:hAnsi="宋体"/>
          <w:b w:val="0"/>
          <w:bCs/>
          <w:color w:val="auto"/>
          <w:szCs w:val="21"/>
          <w:highlight w:val="none"/>
        </w:rPr>
        <w:t>（2）被发改委、人力资源社会保障、质检总局等有关部门、单位在“信用中国”网站中列入联合惩戒失信黑名单。</w:t>
      </w:r>
    </w:p>
    <w:p>
      <w:pPr>
        <w:spacing w:line="440" w:lineRule="exact"/>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440" w:lineRule="exact"/>
        <w:rPr>
          <w:rFonts w:ascii="宋体" w:hAnsi="宋体"/>
          <w:color w:val="auto"/>
          <w:szCs w:val="21"/>
          <w:highlight w:val="none"/>
        </w:rPr>
      </w:pPr>
      <w:r>
        <w:rPr>
          <w:rFonts w:hint="eastAsia" w:ascii="宋体" w:hAnsi="宋体"/>
          <w:b/>
          <w:color w:val="auto"/>
          <w:szCs w:val="21"/>
          <w:highlight w:val="none"/>
        </w:rPr>
        <w:t>（以下无正文）</w:t>
      </w:r>
    </w:p>
    <w:p>
      <w:pPr>
        <w:pStyle w:val="2"/>
        <w:ind w:left="0" w:leftChars="0" w:firstLine="0" w:firstLineChars="0"/>
        <w:jc w:val="center"/>
        <w:rPr>
          <w:rFonts w:ascii="宋体" w:hAnsi="宋体"/>
          <w:color w:val="auto"/>
          <w:sz w:val="21"/>
          <w:szCs w:val="21"/>
          <w:highlight w:val="none"/>
        </w:rPr>
      </w:pPr>
      <w:r>
        <w:rPr>
          <w:rFonts w:ascii="宋体" w:hAnsi="宋体"/>
          <w:color w:val="auto"/>
          <w:sz w:val="21"/>
          <w:szCs w:val="21"/>
          <w:highlight w:val="none"/>
        </w:rPr>
        <w:br w:type="page"/>
      </w:r>
      <w:bookmarkStart w:id="7" w:name="_Toc3538"/>
      <w:bookmarkStart w:id="8" w:name="_Toc21525492"/>
      <w:bookmarkStart w:id="9" w:name="_Toc2272548"/>
      <w:r>
        <w:rPr>
          <w:rFonts w:hint="eastAsia" w:ascii="宋体" w:hAnsi="宋体"/>
          <w:color w:val="auto"/>
          <w:sz w:val="21"/>
          <w:szCs w:val="21"/>
          <w:highlight w:val="none"/>
        </w:rPr>
        <w:t>三、投标须知通用条款</w:t>
      </w:r>
      <w:bookmarkEnd w:id="7"/>
      <w:bookmarkEnd w:id="8"/>
      <w:bookmarkEnd w:id="9"/>
    </w:p>
    <w:p>
      <w:pPr>
        <w:pStyle w:val="4"/>
        <w:spacing w:before="156" w:after="156"/>
        <w:rPr>
          <w:color w:val="auto"/>
          <w:sz w:val="21"/>
          <w:szCs w:val="21"/>
          <w:highlight w:val="none"/>
        </w:rPr>
      </w:pPr>
      <w:bookmarkStart w:id="10" w:name="_Toc2272549"/>
      <w:bookmarkStart w:id="11" w:name="_Toc21525493"/>
      <w:bookmarkStart w:id="12" w:name="_Toc28957"/>
      <w:r>
        <w:rPr>
          <w:rFonts w:hint="eastAsia"/>
          <w:color w:val="auto"/>
          <w:sz w:val="21"/>
          <w:szCs w:val="21"/>
          <w:highlight w:val="none"/>
        </w:rPr>
        <w:t>（一）总则</w:t>
      </w:r>
      <w:bookmarkEnd w:id="10"/>
      <w:bookmarkEnd w:id="11"/>
      <w:bookmarkEnd w:id="12"/>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1、定义</w:t>
      </w:r>
    </w:p>
    <w:p>
      <w:pPr>
        <w:pStyle w:val="36"/>
        <w:spacing w:after="0" w:line="360" w:lineRule="auto"/>
        <w:ind w:firstLineChars="20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pPr>
        <w:pStyle w:val="36"/>
        <w:spacing w:after="0" w:line="360" w:lineRule="auto"/>
        <w:ind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（1）“招标人”（即发包人）、“项目建设管理单位”（或称“项目代建单位”）、“招标代理”、“设计单位”、“监理单位”均已在投标须知前附表中列明。</w:t>
      </w:r>
    </w:p>
    <w:p>
      <w:pPr>
        <w:pStyle w:val="36"/>
        <w:spacing w:after="0" w:line="360" w:lineRule="auto"/>
        <w:ind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（2）“投标人”指向招标人提交投标文件的当事人。</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（3）“承包人”指其投标被招标人接受并与其签订承包合同的当事人。</w:t>
      </w:r>
    </w:p>
    <w:p>
      <w:pPr>
        <w:pStyle w:val="36"/>
        <w:spacing w:after="0" w:line="360" w:lineRule="auto"/>
        <w:ind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（4）“招标文件”指由招标代理发出的本文件（包括全部章节、附件）及招标答疑会会议纪要和</w:t>
      </w:r>
      <w:r>
        <w:rPr>
          <w:rFonts w:hint="eastAsia" w:ascii="宋体" w:hAnsi="宋体" w:eastAsia="宋体" w:cs="宋体"/>
          <w:bCs/>
          <w:color w:val="auto"/>
          <w:sz w:val="21"/>
          <w:szCs w:val="21"/>
          <w:highlight w:val="none"/>
        </w:rPr>
        <w:t>招标文件的澄清与修改</w:t>
      </w:r>
      <w:r>
        <w:rPr>
          <w:rFonts w:hint="eastAsia" w:ascii="宋体" w:hAnsi="宋体" w:eastAsia="宋体" w:cs="宋体"/>
          <w:color w:val="auto"/>
          <w:sz w:val="21"/>
          <w:szCs w:val="21"/>
          <w:highlight w:val="none"/>
        </w:rPr>
        <w:t>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（5）“投标文件”指投标人根据本项目招标文件向招标人提交的全部文件。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（6）“书面形式”指打字或印刷的文件和数据电文（包括电报、电传、传真、电子数据交换和电子邮件）。</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、招标说明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本招标工程项目按照《中华人民共和国招标投标法》等有关法律、行政法规、规章和规范性文件，通过招标方式选定承包人。</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2.2</w:t>
      </w:r>
      <w:r>
        <w:rPr>
          <w:rFonts w:hint="eastAsia" w:ascii="宋体" w:hAnsi="宋体"/>
          <w:bCs/>
          <w:color w:val="auto"/>
          <w:szCs w:val="21"/>
          <w:highlight w:val="none"/>
        </w:rPr>
        <w:t>工程名称、建设地点、建设规模、承包方式、质量标准、招标范围、工期要求等均在投标须知前附表中列明。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2.3</w:t>
      </w:r>
      <w:r>
        <w:rPr>
          <w:rFonts w:hint="eastAsia" w:ascii="宋体" w:hAnsi="宋体"/>
          <w:bCs/>
          <w:color w:val="auto"/>
          <w:szCs w:val="21"/>
          <w:highlight w:val="none"/>
        </w:rPr>
        <w:t>设计说明：详见招标图纸。</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2.4</w:t>
      </w:r>
      <w:r>
        <w:rPr>
          <w:rFonts w:hint="eastAsia" w:ascii="宋体" w:hAnsi="宋体"/>
          <w:bCs/>
          <w:color w:val="auto"/>
          <w:szCs w:val="21"/>
          <w:highlight w:val="none"/>
        </w:rPr>
        <w:t>工程施工特点：详见招标图纸。</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．资金来源</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本招标工程项目资金来源见投标须知前附表第</w:t>
      </w:r>
      <w:r>
        <w:rPr>
          <w:rFonts w:ascii="宋体" w:hAnsi="宋体"/>
          <w:bCs/>
          <w:color w:val="auto"/>
          <w:szCs w:val="21"/>
          <w:highlight w:val="none"/>
        </w:rPr>
        <w:t>9</w:t>
      </w:r>
      <w:r>
        <w:rPr>
          <w:rFonts w:hint="eastAsia" w:ascii="宋体" w:hAnsi="宋体"/>
          <w:bCs/>
          <w:color w:val="auto"/>
          <w:szCs w:val="21"/>
          <w:highlight w:val="none"/>
        </w:rPr>
        <w:t>项</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．合格投标人的条件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详见本项目招标公告</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．踏勘现场</w:t>
      </w:r>
    </w:p>
    <w:p>
      <w:pPr>
        <w:spacing w:line="360" w:lineRule="auto"/>
        <w:ind w:firstLine="420" w:firstLineChars="200"/>
        <w:rPr>
          <w:rFonts w:ascii="宋体" w:hAnsi="宋体"/>
          <w:bCs/>
          <w:color w:val="auto"/>
          <w:szCs w:val="21"/>
          <w:highlight w:val="none"/>
          <w:u w:val="single"/>
        </w:rPr>
      </w:pPr>
      <w:r>
        <w:rPr>
          <w:rFonts w:ascii="宋体" w:hAnsi="宋体"/>
          <w:bCs/>
          <w:color w:val="auto"/>
          <w:szCs w:val="21"/>
          <w:highlight w:val="none"/>
        </w:rPr>
        <w:t xml:space="preserve">5.1 </w:t>
      </w:r>
      <w:r>
        <w:rPr>
          <w:rFonts w:hint="eastAsia" w:ascii="宋体" w:hAnsi="宋体"/>
          <w:bCs/>
          <w:color w:val="auto"/>
          <w:szCs w:val="21"/>
          <w:highlight w:val="none"/>
        </w:rPr>
        <w:t>投标人应按本投标须知前附表第</w:t>
      </w:r>
      <w:r>
        <w:rPr>
          <w:rFonts w:ascii="宋体" w:hAnsi="宋体"/>
          <w:bCs/>
          <w:color w:val="auto"/>
          <w:szCs w:val="21"/>
          <w:highlight w:val="none"/>
        </w:rPr>
        <w:t>15</w:t>
      </w:r>
      <w:r>
        <w:rPr>
          <w:rFonts w:hint="eastAsia" w:ascii="宋体" w:hAnsi="宋体"/>
          <w:bCs/>
          <w:color w:val="auto"/>
          <w:szCs w:val="21"/>
          <w:highlight w:val="none"/>
        </w:rPr>
        <w:t>项所述时间和要求对工程现场及周围环境进行踏勘，</w:t>
      </w:r>
      <w:r>
        <w:rPr>
          <w:rFonts w:hint="eastAsia" w:ascii="宋体" w:hAnsi="宋体"/>
          <w:color w:val="auto"/>
          <w:szCs w:val="21"/>
          <w:highlight w:val="none"/>
        </w:rPr>
        <w:t>投标人应充分重视和仔细地进行这种考察，</w:t>
      </w:r>
      <w:r>
        <w:rPr>
          <w:rFonts w:hint="eastAsia" w:ascii="宋体" w:hAnsi="宋体"/>
          <w:bCs/>
          <w:color w:val="auto"/>
          <w:szCs w:val="21"/>
          <w:highlight w:val="none"/>
        </w:rPr>
        <w:t>以便投标人获取</w:t>
      </w:r>
      <w:r>
        <w:rPr>
          <w:rFonts w:hint="eastAsia" w:ascii="宋体" w:hAnsi="宋体"/>
          <w:color w:val="auto"/>
          <w:szCs w:val="21"/>
          <w:highlight w:val="none"/>
        </w:rPr>
        <w:t>那些须投标人自己负责的</w:t>
      </w:r>
      <w:r>
        <w:rPr>
          <w:rFonts w:hint="eastAsia" w:ascii="宋体" w:hAnsi="宋体"/>
          <w:bCs/>
          <w:color w:val="auto"/>
          <w:szCs w:val="21"/>
          <w:highlight w:val="none"/>
        </w:rPr>
        <w:t>有关编制投标文件和签署合同所涉及现场所有的资料。</w:t>
      </w:r>
      <w:r>
        <w:rPr>
          <w:rFonts w:hint="eastAsia" w:ascii="宋体" w:hAnsi="宋体"/>
          <w:color w:val="auto"/>
          <w:szCs w:val="21"/>
          <w:highlight w:val="none"/>
        </w:rPr>
        <w:t>一旦中标，这种考察即被认为其结果已在中标文件中得到充分反映。考察现场的费用由投标人自己承担。</w:t>
      </w:r>
    </w:p>
    <w:p>
      <w:pPr>
        <w:tabs>
          <w:tab w:val="left" w:pos="105"/>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5.2 </w:t>
      </w:r>
      <w:r>
        <w:rPr>
          <w:rFonts w:hint="eastAsia" w:ascii="宋体" w:hAnsi="宋体"/>
          <w:bCs/>
          <w:color w:val="auto"/>
          <w:szCs w:val="21"/>
          <w:highlight w:val="none"/>
        </w:rPr>
        <w:t>招标人向投标人提供的有关现场的数据和资料，是招标人现有的能被投标人利用的资料，招标人对投标人做出的任何推论、理解和结论均不负责任。</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5.3 </w:t>
      </w:r>
      <w:r>
        <w:rPr>
          <w:rFonts w:hint="eastAsia" w:ascii="宋体" w:hAnsi="宋体"/>
          <w:bCs/>
          <w:color w:val="auto"/>
          <w:szCs w:val="21"/>
          <w:highlight w:val="none"/>
        </w:rPr>
        <w:t>经招标人允许，投标人可为踏勘目的进入招标人的项目现场。</w:t>
      </w:r>
      <w:r>
        <w:rPr>
          <w:rFonts w:hint="eastAsia" w:ascii="宋体" w:hAnsi="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Cs w:val="21"/>
          <w:highlight w:val="none"/>
        </w:rPr>
        <w:t>投标人不得因此使招标人承担有关的责任和蒙受损失。</w:t>
      </w:r>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6</w:t>
      </w:r>
      <w:r>
        <w:rPr>
          <w:rFonts w:hint="eastAsia" w:ascii="宋体" w:hAnsi="宋体"/>
          <w:b/>
          <w:color w:val="auto"/>
          <w:szCs w:val="21"/>
          <w:highlight w:val="none"/>
        </w:rPr>
        <w:t>．投标费用</w:t>
      </w:r>
    </w:p>
    <w:p>
      <w:pPr>
        <w:tabs>
          <w:tab w:val="left" w:pos="105"/>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6.1</w:t>
      </w:r>
      <w:r>
        <w:rPr>
          <w:rFonts w:hint="eastAsia" w:ascii="宋体" w:hAnsi="宋体"/>
          <w:color w:val="auto"/>
          <w:szCs w:val="21"/>
          <w:highlight w:val="none"/>
        </w:rPr>
        <w:t>不论投标结果如何，投标人应承担</w:t>
      </w:r>
      <w:r>
        <w:rPr>
          <w:rFonts w:hint="eastAsia" w:ascii="宋体" w:hAnsi="宋体"/>
          <w:bCs/>
          <w:color w:val="auto"/>
          <w:szCs w:val="21"/>
          <w:highlight w:val="none"/>
        </w:rPr>
        <w:t>自身</w:t>
      </w:r>
      <w:r>
        <w:rPr>
          <w:rFonts w:hint="eastAsia" w:ascii="宋体" w:hAnsi="宋体"/>
          <w:color w:val="auto"/>
          <w:szCs w:val="21"/>
          <w:highlight w:val="none"/>
        </w:rPr>
        <w:t>因投标文件编制、递交及其他</w:t>
      </w:r>
      <w:r>
        <w:rPr>
          <w:rFonts w:hint="eastAsia" w:ascii="宋体" w:hAnsi="宋体"/>
          <w:bCs/>
          <w:color w:val="auto"/>
          <w:szCs w:val="21"/>
          <w:highlight w:val="none"/>
        </w:rPr>
        <w:t>参加本招标活动</w:t>
      </w:r>
      <w:r>
        <w:rPr>
          <w:rFonts w:hint="eastAsia" w:ascii="宋体" w:hAnsi="宋体"/>
          <w:color w:val="auto"/>
          <w:szCs w:val="21"/>
          <w:highlight w:val="none"/>
        </w:rPr>
        <w:t>所涉及的一切费用，招标人对上述费用不负任何责任。</w:t>
      </w:r>
    </w:p>
    <w:p>
      <w:pPr>
        <w:pStyle w:val="4"/>
        <w:spacing w:before="156" w:after="156"/>
        <w:rPr>
          <w:color w:val="auto"/>
          <w:sz w:val="21"/>
          <w:szCs w:val="21"/>
          <w:highlight w:val="none"/>
        </w:rPr>
      </w:pPr>
      <w:bookmarkStart w:id="13" w:name="_Toc614"/>
      <w:bookmarkStart w:id="14" w:name="_Toc21525494"/>
      <w:bookmarkStart w:id="15" w:name="_Toc2272550"/>
      <w:r>
        <w:rPr>
          <w:rFonts w:hint="eastAsia"/>
          <w:color w:val="auto"/>
          <w:sz w:val="21"/>
          <w:szCs w:val="21"/>
          <w:highlight w:val="none"/>
        </w:rPr>
        <w:t>（二）招标文件</w:t>
      </w:r>
      <w:bookmarkEnd w:id="13"/>
      <w:bookmarkEnd w:id="14"/>
      <w:bookmarkEnd w:id="15"/>
    </w:p>
    <w:p>
      <w:pPr>
        <w:tabs>
          <w:tab w:val="left" w:pos="105"/>
        </w:tabs>
        <w:spacing w:line="360" w:lineRule="auto"/>
        <w:ind w:firstLine="422" w:firstLineChars="200"/>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招标文件的组成</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7.1</w:t>
      </w:r>
      <w:r>
        <w:rPr>
          <w:rFonts w:hint="eastAsia" w:ascii="宋体" w:hAnsi="宋体"/>
          <w:color w:val="auto"/>
          <w:szCs w:val="21"/>
          <w:highlight w:val="none"/>
        </w:rPr>
        <w:t>本招标文件包括下列文件，以及所有按本须知第</w:t>
      </w:r>
      <w:r>
        <w:rPr>
          <w:rFonts w:ascii="宋体" w:hAnsi="宋体"/>
          <w:color w:val="auto"/>
          <w:szCs w:val="21"/>
          <w:highlight w:val="none"/>
        </w:rPr>
        <w:t>8</w:t>
      </w:r>
      <w:r>
        <w:rPr>
          <w:rFonts w:hint="eastAsia" w:ascii="宋体" w:hAnsi="宋体"/>
          <w:color w:val="auto"/>
          <w:szCs w:val="21"/>
          <w:highlight w:val="none"/>
        </w:rPr>
        <w:t>条发出的招标答疑会会议纪要和按本须知第</w:t>
      </w:r>
      <w:r>
        <w:rPr>
          <w:rFonts w:ascii="宋体" w:hAnsi="宋体"/>
          <w:color w:val="auto"/>
          <w:szCs w:val="21"/>
          <w:highlight w:val="none"/>
        </w:rPr>
        <w:t>9</w:t>
      </w:r>
      <w:r>
        <w:rPr>
          <w:rFonts w:hint="eastAsia" w:ascii="宋体" w:hAnsi="宋体"/>
          <w:color w:val="auto"/>
          <w:szCs w:val="21"/>
          <w:highlight w:val="none"/>
        </w:rPr>
        <w:t>条发出的澄清或修改：</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第一章</w:t>
      </w:r>
      <w:r>
        <w:rPr>
          <w:rFonts w:hint="eastAsia" w:ascii="宋体" w:hAnsi="宋体" w:eastAsia="宋体" w:cs="宋体"/>
          <w:color w:val="auto"/>
          <w:sz w:val="21"/>
          <w:szCs w:val="21"/>
          <w:highlight w:val="none"/>
        </w:rPr>
        <w:t>投标须知</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第二章</w:t>
      </w:r>
      <w:r>
        <w:rPr>
          <w:rFonts w:hint="eastAsia" w:ascii="宋体" w:hAnsi="宋体" w:eastAsia="宋体" w:cs="宋体"/>
          <w:color w:val="auto"/>
          <w:sz w:val="21"/>
          <w:szCs w:val="21"/>
          <w:highlight w:val="none"/>
        </w:rPr>
        <w:t>开标、评标及定标办法</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第三章合同条款</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第四章</w:t>
      </w:r>
      <w:r>
        <w:rPr>
          <w:rFonts w:hint="eastAsia" w:ascii="宋体" w:hAnsi="宋体" w:eastAsia="宋体" w:cs="宋体"/>
          <w:color w:val="auto"/>
          <w:sz w:val="21"/>
          <w:szCs w:val="21"/>
          <w:highlight w:val="none"/>
        </w:rPr>
        <w:t>投标文件格式</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第五章</w:t>
      </w:r>
      <w:r>
        <w:rPr>
          <w:rFonts w:hint="eastAsia" w:ascii="宋体" w:hAnsi="宋体" w:eastAsia="宋体" w:cs="宋体"/>
          <w:color w:val="auto"/>
          <w:sz w:val="21"/>
          <w:szCs w:val="21"/>
          <w:highlight w:val="none"/>
        </w:rPr>
        <w:t>技术条件（工程建设标准）</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第六章</w:t>
      </w:r>
      <w:r>
        <w:rPr>
          <w:rFonts w:hint="eastAsia" w:ascii="宋体" w:hAnsi="宋体" w:eastAsia="宋体" w:cs="宋体"/>
          <w:color w:val="auto"/>
          <w:sz w:val="21"/>
          <w:szCs w:val="21"/>
          <w:highlight w:val="none"/>
        </w:rPr>
        <w:t>图纸及勘察资料（另册）</w:t>
      </w:r>
    </w:p>
    <w:p>
      <w:pPr>
        <w:pStyle w:val="36"/>
        <w:spacing w:after="0" w:line="360" w:lineRule="auto"/>
        <w:ind w:left="-2"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第七章招标</w:t>
      </w:r>
      <w:r>
        <w:rPr>
          <w:rFonts w:hint="eastAsia" w:ascii="宋体" w:hAnsi="宋体" w:eastAsia="宋体" w:cs="宋体"/>
          <w:color w:val="auto"/>
          <w:sz w:val="21"/>
          <w:szCs w:val="21"/>
          <w:highlight w:val="none"/>
        </w:rPr>
        <w:t>工程量清单（另册）</w:t>
      </w:r>
    </w:p>
    <w:p>
      <w:pPr>
        <w:pStyle w:val="36"/>
        <w:spacing w:after="0" w:line="360" w:lineRule="auto"/>
        <w:ind w:left="-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第八章最高投标限价</w:t>
      </w:r>
    </w:p>
    <w:p>
      <w:pPr>
        <w:pStyle w:val="36"/>
        <w:spacing w:after="0" w:line="360" w:lineRule="auto"/>
        <w:ind w:left="-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kern w:val="0"/>
          <w:sz w:val="22"/>
          <w:highlight w:val="none"/>
        </w:rPr>
        <w:fldChar w:fldCharType="begin"/>
      </w:r>
      <w:r>
        <w:rPr>
          <w:rFonts w:hint="eastAsia" w:ascii="宋体" w:hAnsi="宋体" w:eastAsia="宋体" w:cs="宋体"/>
          <w:b/>
          <w:bCs/>
          <w:color w:val="auto"/>
          <w:kern w:val="0"/>
          <w:sz w:val="22"/>
          <w:highlight w:val="none"/>
        </w:rPr>
        <w:instrText xml:space="preserve"> = 1 \* GB3 </w:instrText>
      </w:r>
      <w:r>
        <w:rPr>
          <w:rFonts w:hint="eastAsia" w:ascii="宋体" w:hAnsi="宋体" w:eastAsia="宋体" w:cs="宋体"/>
          <w:b/>
          <w:bCs/>
          <w:color w:val="auto"/>
          <w:kern w:val="0"/>
          <w:sz w:val="22"/>
          <w:highlight w:val="none"/>
        </w:rPr>
        <w:fldChar w:fldCharType="separate"/>
      </w:r>
      <w:r>
        <w:rPr>
          <w:rFonts w:hint="eastAsia" w:ascii="宋体" w:hAnsi="宋体" w:eastAsia="宋体" w:cs="宋体"/>
          <w:b/>
          <w:bCs/>
          <w:color w:val="auto"/>
          <w:kern w:val="0"/>
          <w:sz w:val="22"/>
          <w:highlight w:val="none"/>
        </w:rPr>
        <w:t>①</w:t>
      </w:r>
      <w:r>
        <w:rPr>
          <w:rFonts w:hint="eastAsia" w:ascii="宋体" w:hAnsi="宋体" w:eastAsia="宋体" w:cs="宋体"/>
          <w:b/>
          <w:bCs/>
          <w:color w:val="auto"/>
          <w:kern w:val="0"/>
          <w:sz w:val="22"/>
          <w:highlight w:val="none"/>
        </w:rPr>
        <w:fldChar w:fldCharType="end"/>
      </w:r>
      <w:r>
        <w:rPr>
          <w:rFonts w:hint="eastAsia" w:ascii="宋体" w:hAnsi="宋体" w:eastAsia="宋体" w:cs="宋体"/>
          <w:b/>
          <w:bCs/>
          <w:color w:val="auto"/>
          <w:kern w:val="0"/>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b w:val="0"/>
          <w:bCs w:val="0"/>
          <w:color w:val="auto"/>
          <w:kern w:val="0"/>
          <w:sz w:val="22"/>
          <w:highlight w:val="none"/>
        </w:rPr>
        <w:t>明确施工现场建筑垃圾源头减量的具体要求以及建筑垃圾综合利用产品的使用要求。</w:t>
      </w:r>
      <w:r>
        <w:rPr>
          <w:rFonts w:hint="eastAsia" w:ascii="宋体" w:hAnsi="宋体" w:eastAsia="宋体" w:cs="宋体"/>
          <w:b/>
          <w:bCs/>
          <w:color w:val="auto"/>
          <w:kern w:val="0"/>
          <w:sz w:val="22"/>
          <w:highlight w:val="none"/>
        </w:rPr>
        <w:fldChar w:fldCharType="begin"/>
      </w:r>
      <w:r>
        <w:rPr>
          <w:rFonts w:hint="eastAsia" w:ascii="宋体" w:hAnsi="宋体" w:eastAsia="宋体" w:cs="宋体"/>
          <w:b/>
          <w:bCs/>
          <w:color w:val="auto"/>
          <w:kern w:val="0"/>
          <w:sz w:val="22"/>
          <w:highlight w:val="none"/>
        </w:rPr>
        <w:instrText xml:space="preserve"> = 2 \* GB3 </w:instrText>
      </w:r>
      <w:r>
        <w:rPr>
          <w:rFonts w:hint="eastAsia" w:ascii="宋体" w:hAnsi="宋体" w:eastAsia="宋体" w:cs="宋体"/>
          <w:b/>
          <w:bCs/>
          <w:color w:val="auto"/>
          <w:kern w:val="0"/>
          <w:sz w:val="22"/>
          <w:highlight w:val="none"/>
        </w:rPr>
        <w:fldChar w:fldCharType="separate"/>
      </w:r>
      <w:r>
        <w:rPr>
          <w:rFonts w:hint="eastAsia" w:ascii="宋体" w:hAnsi="宋体" w:eastAsia="宋体" w:cs="宋体"/>
          <w:b/>
          <w:bCs/>
          <w:color w:val="auto"/>
          <w:kern w:val="0"/>
          <w:sz w:val="22"/>
          <w:highlight w:val="none"/>
        </w:rPr>
        <w:t>②</w:t>
      </w:r>
      <w:r>
        <w:rPr>
          <w:rFonts w:hint="eastAsia" w:ascii="宋体" w:hAnsi="宋体" w:eastAsia="宋体" w:cs="宋体"/>
          <w:b/>
          <w:bCs/>
          <w:color w:val="auto"/>
          <w:kern w:val="0"/>
          <w:sz w:val="22"/>
          <w:highlight w:val="none"/>
        </w:rPr>
        <w:fldChar w:fldCharType="end"/>
      </w:r>
      <w:r>
        <w:rPr>
          <w:rFonts w:hint="eastAsia" w:ascii="宋体" w:hAnsi="宋体" w:eastAsia="宋体" w:cs="宋体"/>
          <w:b/>
          <w:bCs/>
          <w:color w:val="auto"/>
          <w:kern w:val="0"/>
          <w:sz w:val="22"/>
          <w:highlight w:val="none"/>
        </w:rPr>
        <w:t>鼓励招标人对施工组织设计或施工方案实行隐藏投标人信息的暗标评审</w:t>
      </w:r>
      <w:r>
        <w:rPr>
          <w:rFonts w:hint="eastAsia" w:ascii="宋体" w:hAnsi="宋体" w:eastAsia="宋体" w:cs="宋体"/>
          <w:b/>
          <w:bCs/>
          <w:color w:val="auto"/>
          <w:sz w:val="21"/>
          <w:szCs w:val="21"/>
          <w:highlight w:val="none"/>
        </w:rPr>
        <w:t>。</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投标人一旦中标，招标文件的内容对招标人和中标人双方均有约束力。</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8．招标答疑</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投标人若对招标文件（包括招标图纸）中有疑问，可以书面形式通过交易平台提交给招标人或招标代理人，提交形式见本须知前附表第16项。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8.3答疑会会议纪要为招标文件的一部分。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9.招标文件的澄清与修改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9.1招标文件发出后,在提交投标文件截止时间15日前，招标人可对招标文件进行必要的澄清或修改。</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9.2招标文件的澄清或修改将在交易平台“项目答疑纪要”专区公开发布。答疑纪要一经在交易平台发布，视作已发放给所有投标人，以交易平台上网发布时间作为送达时间。</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9.3招标文件的修改内容为招标文件的组成部分。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rPr>
          <w:rFonts w:cs="宋体"/>
          <w:color w:val="auto"/>
          <w:sz w:val="21"/>
          <w:szCs w:val="21"/>
          <w:highlight w:val="none"/>
        </w:rPr>
      </w:pPr>
      <w:bookmarkStart w:id="16" w:name="_Toc2272551"/>
      <w:bookmarkStart w:id="17" w:name="_Toc21525495"/>
      <w:bookmarkStart w:id="18" w:name="_Toc11646"/>
      <w:r>
        <w:rPr>
          <w:rFonts w:hint="eastAsia" w:cs="宋体"/>
          <w:color w:val="auto"/>
          <w:sz w:val="21"/>
          <w:szCs w:val="21"/>
          <w:highlight w:val="none"/>
        </w:rPr>
        <w:t>（三）投标文件的编制</w:t>
      </w:r>
      <w:bookmarkEnd w:id="16"/>
      <w:bookmarkEnd w:id="17"/>
      <w:bookmarkEnd w:id="18"/>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10．投标文件的语言及度量衡单位</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投标文件和与投标有关的所有文件均应使用中文。</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 除工程规范另有规定外，投标文件使用的度量衡单位，均采用中华人民共和国法定计量单位。</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11．投标文件的组成</w:t>
      </w:r>
    </w:p>
    <w:p>
      <w:pPr>
        <w:pStyle w:val="36"/>
        <w:spacing w:after="0" w:line="360" w:lineRule="auto"/>
        <w:ind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11.1 投标文件由技术部分（含资格审查文件）和经济部分两部分投标文件组成</w:t>
      </w:r>
      <w:r>
        <w:rPr>
          <w:rFonts w:hint="eastAsia" w:ascii="宋体" w:hAnsi="宋体" w:eastAsia="宋体" w:cs="宋体"/>
          <w:b/>
          <w:color w:val="auto"/>
          <w:sz w:val="21"/>
          <w:szCs w:val="21"/>
          <w:highlight w:val="none"/>
        </w:rPr>
        <w:t>。</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11.2</w:t>
      </w:r>
      <w:r>
        <w:rPr>
          <w:rFonts w:hint="eastAsia" w:ascii="宋体" w:hAnsi="宋体"/>
          <w:bCs/>
          <w:color w:val="auto"/>
          <w:szCs w:val="21"/>
          <w:highlight w:val="none"/>
        </w:rPr>
        <w:t>投标文件技术标部分主要包括下列内容</w:t>
      </w:r>
      <w:r>
        <w:rPr>
          <w:rFonts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11.2.1 技术投标文件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bCs/>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（1）投标人声明； </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（2）法定代表人证明书、法定代表人签字或盖章的本投标文件授权委托证明书；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（3）企业营业执照扫描件或电子证照；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（4）企业资质证书扫描件或电子证照；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（5）建筑施工企业安全生产许可证扫描件或电子证照；</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（6）项目负责人（按网上投标登记时选择拟投入本项目的项目负责人）</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（7）专职安全员（按网上投标登记时选择拟投入本项目的专职安全员）</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（8）拟委托技术负责人的相关证书、资料（具体要求由招标人明确）</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（9）拟委派项目负责人的有效期内的建造师注册证书扫描件或电子证书；  </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spacing w:line="360" w:lineRule="auto"/>
        <w:ind w:firstLine="420" w:firstLineChars="200"/>
        <w:rPr>
          <w:rFonts w:ascii="宋体" w:hAnsi="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）其他辅助说明资料。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11.2.5</w:t>
      </w:r>
      <w:r>
        <w:rPr>
          <w:rFonts w:hint="eastAsia" w:ascii="宋体" w:hAnsi="宋体"/>
          <w:color w:val="auto"/>
          <w:szCs w:val="21"/>
          <w:highlight w:val="none"/>
        </w:rPr>
        <w:t>施工组织设计或施工方案。</w:t>
      </w:r>
    </w:p>
    <w:p>
      <w:pPr>
        <w:tabs>
          <w:tab w:val="left" w:pos="112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r>
        <w:rPr>
          <w:rFonts w:hint="eastAsia" w:ascii="宋体" w:hAnsi="宋体"/>
          <w:color w:val="auto"/>
          <w:szCs w:val="21"/>
          <w:highlight w:val="none"/>
          <w:lang w:eastAsia="zh-CN"/>
        </w:rPr>
        <w:t>。</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填写的《参与编制技术标投标文件人员名单》。</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11.3 </w:t>
      </w:r>
      <w:r>
        <w:rPr>
          <w:rFonts w:hint="eastAsia" w:ascii="宋体" w:hAnsi="宋体"/>
          <w:bCs/>
          <w:color w:val="auto"/>
          <w:szCs w:val="21"/>
          <w:highlight w:val="none"/>
        </w:rPr>
        <w:t>经济部分投标文件主要包括下列内容：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经济投标文件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）投标总价封面、扉页；</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）总说明</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（3）工程项目投标报价汇总表；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（4）单项工程投标报价汇总表；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（5）单位工程投标报价汇总表；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（6）分部分项工程清单与计价表；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（7）单价措施项目清单与计价表；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（8）总价措施项目清单与计价表；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（9）综合单价分析表；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（10）其他项目清单与计价汇总表；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（11）暂列金额明细表；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（12）材料（工程设备）暂估价明细表；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（13）专业工程暂估价明细表；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（14）计日工表；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（15）总承包服务计价表；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（16）规费和税金项目计价表；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（17）人工、主要材料和设备一览表</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3按照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tabs>
          <w:tab w:val="left" w:pos="11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12．投标文件格式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注释：投标文件电子文档需要投标人单位盖章的材料，投标人加盖电子印章即可，不得将投标人未对电子文档加盖实物印章作为否决投标的情形。</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 xml:space="preserve">照交易平台关于全流程电子化项目的相关指南进行编制，详见：。               </w:t>
      </w:r>
    </w:p>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13．投标报价及造价承包和变更结算方式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本工程的投标报价采用投标须知前附表第12项所规定的方式。投标报价（含单价及总价）精确到“分”。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13.6暂列金额、暂估价</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暂估价是指招标人在工程量清单中提供的用于支付必然发生但暂时不能确定价格的材料的单价以及专业工程的金额。</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14．投标货币</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本工程投标报价采用的币种为人民币。</w:t>
      </w:r>
    </w:p>
    <w:p>
      <w:pPr>
        <w:pStyle w:val="36"/>
        <w:spacing w:after="0" w:line="360" w:lineRule="auto"/>
        <w:ind w:firstLine="422" w:firstLineChars="200"/>
        <w:rPr>
          <w:rFonts w:ascii="宋体" w:hAnsi="宋体" w:eastAsia="宋体"/>
          <w:color w:val="auto"/>
          <w:sz w:val="21"/>
          <w:szCs w:val="21"/>
          <w:highlight w:val="none"/>
        </w:rPr>
      </w:pPr>
      <w:r>
        <w:rPr>
          <w:rFonts w:ascii="宋体" w:hAnsi="宋体" w:eastAsia="宋体"/>
          <w:b/>
          <w:bCs/>
          <w:color w:val="auto"/>
          <w:sz w:val="21"/>
          <w:szCs w:val="21"/>
          <w:highlight w:val="none"/>
        </w:rPr>
        <w:t>15</w:t>
      </w:r>
      <w:r>
        <w:rPr>
          <w:rFonts w:hint="eastAsia" w:ascii="宋体" w:hAnsi="宋体" w:eastAsia="宋体"/>
          <w:b/>
          <w:bCs/>
          <w:color w:val="auto"/>
          <w:sz w:val="21"/>
          <w:szCs w:val="21"/>
          <w:highlight w:val="none"/>
        </w:rPr>
        <w:t>．投标有效期</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 投标有效期见投标须知前附表第13项所规定的期限，在此期限内，凡符合本招标文件要求的投标文件均保持有效。</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16．投标保证金</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投标人应按投标须知前附表第</w:t>
      </w:r>
      <w:r>
        <w:rPr>
          <w:rFonts w:ascii="宋体" w:hAnsi="宋体"/>
          <w:color w:val="auto"/>
          <w:szCs w:val="21"/>
          <w:highlight w:val="none"/>
        </w:rPr>
        <w:t>14</w:t>
      </w:r>
      <w:r>
        <w:rPr>
          <w:rFonts w:hint="eastAsia" w:ascii="宋体" w:hAnsi="宋体"/>
          <w:color w:val="auto"/>
          <w:szCs w:val="21"/>
          <w:highlight w:val="none"/>
        </w:rPr>
        <w:t>项所述金额和时间递交</w:t>
      </w:r>
      <w:r>
        <w:rPr>
          <w:rFonts w:hint="eastAsia" w:ascii="宋体" w:hAnsi="宋体"/>
          <w:bCs/>
          <w:color w:val="auto"/>
          <w:szCs w:val="21"/>
          <w:highlight w:val="none"/>
        </w:rPr>
        <w:t>投标保证金</w:t>
      </w:r>
      <w:r>
        <w:rPr>
          <w:rFonts w:hint="eastAsia" w:ascii="宋体" w:hAnsi="宋体"/>
          <w:color w:val="auto"/>
          <w:szCs w:val="21"/>
          <w:highlight w:val="none"/>
        </w:rPr>
        <w:t>。招标人应当允许投标人自主选择现金、银行保函、保证保险、专业工程担保公司担保等方式缴纳投标保证金。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采用现金或者支票形式提交的，投标保证金须从投标人的银行基本账户转出。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16.3投标保证金应依据法律法规的相关规定退还。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16.4.1因投标人原因造成投标文件未解密的；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16.4.2投标人在投标有效期内撤销投标文件；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16.4.3中标人未能在规定期限内按要求提交履约担保；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16.4.4中标人未能在规定期限内签署合同协议。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注：16.5.3款由招标人二选一，需在招标文件中明确。</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17．投标文件的签署</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17.1</w:t>
      </w:r>
      <w:r>
        <w:rPr>
          <w:rFonts w:hint="eastAsia" w:ascii="宋体" w:hAnsi="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olor w:val="auto"/>
          <w:szCs w:val="21"/>
          <w:highlight w:val="none"/>
        </w:rPr>
        <w:t>。</w:t>
      </w:r>
    </w:p>
    <w:p>
      <w:pPr>
        <w:pStyle w:val="4"/>
        <w:spacing w:before="156" w:after="156"/>
        <w:rPr>
          <w:color w:val="auto"/>
          <w:sz w:val="21"/>
          <w:szCs w:val="21"/>
          <w:highlight w:val="none"/>
        </w:rPr>
      </w:pPr>
      <w:bookmarkStart w:id="19" w:name="_Toc2272552"/>
      <w:bookmarkStart w:id="20" w:name="_Toc21525496"/>
      <w:bookmarkStart w:id="21" w:name="_Toc7691"/>
      <w:r>
        <w:rPr>
          <w:rFonts w:hint="eastAsia"/>
          <w:color w:val="auto"/>
          <w:sz w:val="21"/>
          <w:szCs w:val="21"/>
          <w:highlight w:val="none"/>
        </w:rPr>
        <w:t>（四）投标文件的提交</w:t>
      </w:r>
      <w:bookmarkEnd w:id="19"/>
      <w:bookmarkEnd w:id="20"/>
      <w:bookmarkEnd w:id="21"/>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.1</w:t>
      </w:r>
      <w:r>
        <w:rPr>
          <w:rFonts w:hint="eastAsia" w:ascii="宋体" w:hAnsi="宋体"/>
          <w:bCs/>
          <w:color w:val="auto"/>
          <w:szCs w:val="21"/>
          <w:highlight w:val="none"/>
        </w:rPr>
        <w:t>递交的电子投标文件（不含备用光盘）必须进行加密。按照交易平台关于</w:t>
      </w:r>
      <w:r>
        <w:rPr>
          <w:rFonts w:hint="eastAsia" w:ascii="宋体" w:hAnsi="宋体"/>
          <w:color w:val="auto"/>
          <w:szCs w:val="21"/>
          <w:highlight w:val="none"/>
        </w:rPr>
        <w:t>全流程电子化项目的相关指南进行操作。</w:t>
      </w:r>
      <w:r>
        <w:rPr>
          <w:rFonts w:hint="eastAsia" w:ascii="宋体" w:hAnsi="宋体" w:cs="宋体"/>
          <w:color w:val="auto"/>
          <w:szCs w:val="21"/>
          <w:highlight w:val="none"/>
        </w:rPr>
        <w:t>详见：</w:t>
      </w:r>
      <w:r>
        <w:rPr>
          <w:rFonts w:hint="eastAsia" w:ascii="宋体" w:hAnsi="宋体"/>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.2</w:t>
      </w:r>
      <w:r>
        <w:rPr>
          <w:rFonts w:hint="eastAsia" w:ascii="宋体" w:hAnsi="宋体"/>
          <w:bCs/>
          <w:color w:val="auto"/>
          <w:szCs w:val="21"/>
          <w:highlight w:val="none"/>
        </w:rPr>
        <w:t>未按要求加密的投标文件，</w:t>
      </w:r>
      <w:r>
        <w:rPr>
          <w:rFonts w:hint="eastAsia" w:ascii="宋体" w:hAnsi="宋体"/>
          <w:color w:val="auto"/>
          <w:szCs w:val="21"/>
          <w:highlight w:val="none"/>
        </w:rPr>
        <w:t>交易平台</w:t>
      </w:r>
      <w:r>
        <w:rPr>
          <w:rFonts w:hint="eastAsia" w:ascii="宋体" w:hAnsi="宋体"/>
          <w:bCs/>
          <w:color w:val="auto"/>
          <w:szCs w:val="21"/>
          <w:highlight w:val="none"/>
        </w:rPr>
        <w:t>将予以拒收。</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19</w:t>
      </w:r>
      <w:r>
        <w:rPr>
          <w:rFonts w:hint="eastAsia" w:ascii="宋体" w:hAnsi="宋体"/>
          <w:b/>
          <w:bCs/>
          <w:color w:val="auto"/>
          <w:szCs w:val="21"/>
          <w:highlight w:val="none"/>
        </w:rPr>
        <w:t>．投标文件的递交和接收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1投标人通过</w:t>
      </w:r>
      <w:r>
        <w:rPr>
          <w:rFonts w:hint="eastAsia" w:ascii="宋体" w:hAnsi="宋体"/>
          <w:color w:val="auto"/>
          <w:szCs w:val="21"/>
          <w:highlight w:val="none"/>
        </w:rPr>
        <w:t>交易平台递交电子投标文件。</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2投标人完成电子</w:t>
      </w:r>
      <w:r>
        <w:rPr>
          <w:rFonts w:hint="eastAsia" w:ascii="宋体" w:hAnsi="宋体"/>
          <w:color w:val="auto"/>
          <w:szCs w:val="21"/>
          <w:highlight w:val="none"/>
        </w:rPr>
        <w:t>投标文件</w:t>
      </w:r>
      <w:r>
        <w:rPr>
          <w:rFonts w:hint="eastAsia" w:ascii="宋体" w:hAnsi="宋体"/>
          <w:bCs/>
          <w:color w:val="auto"/>
          <w:szCs w:val="21"/>
          <w:highlight w:val="none"/>
        </w:rPr>
        <w:t>上传后，</w:t>
      </w:r>
      <w:r>
        <w:rPr>
          <w:rFonts w:hint="eastAsia" w:ascii="宋体" w:hAnsi="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3逾期送达的电子投标文件，</w:t>
      </w:r>
      <w:r>
        <w:rPr>
          <w:rFonts w:hint="eastAsia" w:ascii="宋体" w:hAnsi="宋体"/>
          <w:color w:val="auto"/>
          <w:szCs w:val="21"/>
          <w:highlight w:val="none"/>
        </w:rPr>
        <w:t>交易平台将予以拒收。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4投标截止前，招标人拒绝接收符合条件的投标文件，投标人可向招标投标监督机构投诉。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5如技术标和经济标先后分别开启，交易平台将按招标文件规定的时间分别开启技术标和经济标。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19.6</w:t>
      </w:r>
      <w:r>
        <w:rPr>
          <w:rFonts w:hint="eastAsia" w:ascii="宋体" w:hAnsi="宋体"/>
          <w:color w:val="auto"/>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20</w:t>
      </w:r>
      <w:r>
        <w:rPr>
          <w:rFonts w:hint="eastAsia" w:ascii="宋体" w:hAnsi="宋体"/>
          <w:b/>
          <w:bCs/>
          <w:color w:val="auto"/>
          <w:szCs w:val="21"/>
          <w:highlight w:val="none"/>
        </w:rPr>
        <w:t>．投标文件提交的截止时间</w:t>
      </w:r>
    </w:p>
    <w:p>
      <w:pPr>
        <w:spacing w:line="360" w:lineRule="auto"/>
        <w:ind w:firstLine="420" w:firstLineChars="200"/>
        <w:rPr>
          <w:rFonts w:ascii="宋体" w:hAnsi="宋体"/>
          <w:b/>
          <w:bCs/>
          <w:color w:val="auto"/>
          <w:szCs w:val="21"/>
          <w:highlight w:val="none"/>
        </w:rPr>
      </w:pPr>
      <w:r>
        <w:rPr>
          <w:rFonts w:ascii="宋体" w:hAnsi="宋体"/>
          <w:color w:val="auto"/>
          <w:szCs w:val="21"/>
          <w:highlight w:val="none"/>
        </w:rPr>
        <w:t>20.1</w:t>
      </w:r>
      <w:r>
        <w:rPr>
          <w:rFonts w:hint="eastAsia" w:ascii="宋体" w:hAnsi="宋体"/>
          <w:color w:val="auto"/>
          <w:szCs w:val="21"/>
          <w:highlight w:val="none"/>
        </w:rPr>
        <w:t>投标人应在投标须知前附表第17项所述的时间前提交投标文件。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招标人可按本须知第</w:t>
      </w:r>
      <w:r>
        <w:rPr>
          <w:rFonts w:ascii="宋体" w:hAnsi="宋体"/>
          <w:color w:val="auto"/>
          <w:szCs w:val="21"/>
          <w:highlight w:val="none"/>
        </w:rPr>
        <w:t>9</w:t>
      </w:r>
      <w:r>
        <w:rPr>
          <w:rFonts w:hint="eastAsia" w:ascii="宋体" w:hAnsi="宋体"/>
          <w:color w:val="auto"/>
          <w:szCs w:val="21"/>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20.3 </w:t>
      </w:r>
      <w:r>
        <w:rPr>
          <w:rFonts w:hint="eastAsia" w:ascii="宋体" w:hAnsi="宋体"/>
          <w:color w:val="auto"/>
          <w:szCs w:val="21"/>
          <w:highlight w:val="none"/>
        </w:rPr>
        <w:t>到投标截止时间止，招标人收到的投标文件少于3家的，招标人将重新组织招标（当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w:t>
      </w:r>
      <w:r>
        <w:rPr>
          <w:rFonts w:hint="eastAsia" w:ascii="宋体" w:hAnsi="宋体"/>
          <w:color w:val="auto"/>
          <w:szCs w:val="21"/>
          <w:highlight w:val="none"/>
        </w:rPr>
        <w:t>2家，则重新组织招标）。</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21</w:t>
      </w:r>
      <w:r>
        <w:rPr>
          <w:rFonts w:hint="eastAsia" w:ascii="宋体" w:hAnsi="宋体"/>
          <w:b/>
          <w:bCs/>
          <w:color w:val="auto"/>
          <w:szCs w:val="21"/>
          <w:highlight w:val="none"/>
        </w:rPr>
        <w:t>．迟交的投标文件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w:t>
      </w:r>
      <w:r>
        <w:rPr>
          <w:rFonts w:hint="eastAsia" w:ascii="宋体" w:hAnsi="宋体"/>
          <w:bCs/>
          <w:color w:val="auto"/>
          <w:szCs w:val="21"/>
          <w:highlight w:val="none"/>
        </w:rPr>
        <w:t>后送达的电子投标文件，</w:t>
      </w:r>
      <w:r>
        <w:rPr>
          <w:rFonts w:hint="eastAsia" w:ascii="宋体" w:hAnsi="宋体"/>
          <w:color w:val="auto"/>
          <w:szCs w:val="21"/>
          <w:highlight w:val="none"/>
        </w:rPr>
        <w:t>交易平台将予以拒收。</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22</w:t>
      </w:r>
      <w:r>
        <w:rPr>
          <w:rFonts w:hint="eastAsia" w:ascii="宋体" w:hAnsi="宋体"/>
          <w:b/>
          <w:bCs/>
          <w:color w:val="auto"/>
          <w:szCs w:val="21"/>
          <w:highlight w:val="none"/>
        </w:rPr>
        <w:t>．投标文件的修改与撤回</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在规定的投标截止时间前，投标人可以修改或撤回已递交的投标文件，但应以书面形式通知招标人。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22.2投标人修改或撤回已递交</w:t>
      </w:r>
      <w:r>
        <w:rPr>
          <w:rFonts w:hint="eastAsia" w:ascii="宋体" w:hAnsi="宋体"/>
          <w:color w:val="auto"/>
          <w:szCs w:val="21"/>
          <w:highlight w:val="none"/>
        </w:rPr>
        <w:t>的</w:t>
      </w:r>
      <w:r>
        <w:rPr>
          <w:rFonts w:ascii="宋体" w:hAnsi="宋体"/>
          <w:color w:val="auto"/>
          <w:szCs w:val="21"/>
          <w:highlight w:val="none"/>
        </w:rPr>
        <w:t>投标文件</w:t>
      </w:r>
      <w:r>
        <w:rPr>
          <w:rFonts w:hint="eastAsia" w:ascii="宋体" w:hAnsi="宋体"/>
          <w:color w:val="auto"/>
          <w:szCs w:val="21"/>
          <w:highlight w:val="none"/>
        </w:rPr>
        <w:t>，需在交易平台发出修改或撤回</w:t>
      </w:r>
      <w:r>
        <w:rPr>
          <w:rFonts w:ascii="宋体" w:hAnsi="宋体"/>
          <w:color w:val="auto"/>
          <w:szCs w:val="21"/>
          <w:highlight w:val="none"/>
        </w:rPr>
        <w:t>通知，</w:t>
      </w:r>
      <w:r>
        <w:rPr>
          <w:rFonts w:hint="eastAsia" w:ascii="宋体" w:hAnsi="宋体"/>
          <w:color w:val="auto"/>
          <w:szCs w:val="21"/>
          <w:highlight w:val="none"/>
        </w:rPr>
        <w:t>并按</w:t>
      </w:r>
      <w:r>
        <w:rPr>
          <w:rFonts w:ascii="宋体" w:hAnsi="宋体"/>
          <w:color w:val="auto"/>
          <w:szCs w:val="21"/>
          <w:highlight w:val="none"/>
        </w:rPr>
        <w:t>要求加盖电子印章。</w:t>
      </w:r>
      <w:r>
        <w:rPr>
          <w:rFonts w:ascii="宋体" w:hAnsi="宋体"/>
          <w:bCs/>
          <w:iCs/>
          <w:color w:val="auto"/>
          <w:szCs w:val="21"/>
          <w:highlight w:val="none"/>
        </w:rPr>
        <w:t>电子招标投标交易平台收到通知后，</w:t>
      </w:r>
      <w:r>
        <w:rPr>
          <w:rFonts w:ascii="宋体" w:hAnsi="宋体"/>
          <w:color w:val="auto"/>
          <w:szCs w:val="21"/>
          <w:highlight w:val="none"/>
        </w:rPr>
        <w:t>即时向投标人发出确认回执通知。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22.3修改后再次递交的，按19点的规定执行。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4在投标截止时间之后，投标人不得补充、修改和更换投标文件。</w:t>
      </w:r>
    </w:p>
    <w:p>
      <w:pPr>
        <w:pStyle w:val="4"/>
        <w:spacing w:before="156" w:after="156"/>
        <w:rPr>
          <w:color w:val="auto"/>
          <w:sz w:val="21"/>
          <w:szCs w:val="21"/>
          <w:highlight w:val="none"/>
        </w:rPr>
      </w:pPr>
      <w:bookmarkStart w:id="22" w:name="_Toc2774"/>
      <w:bookmarkStart w:id="23" w:name="_Toc21525497"/>
      <w:bookmarkStart w:id="24" w:name="_Toc2272553"/>
      <w:r>
        <w:rPr>
          <w:rFonts w:hint="eastAsia"/>
          <w:color w:val="auto"/>
          <w:sz w:val="21"/>
          <w:szCs w:val="21"/>
          <w:highlight w:val="none"/>
        </w:rPr>
        <w:t>（五）开标、评标、定标及合同签定</w:t>
      </w:r>
      <w:bookmarkEnd w:id="22"/>
      <w:bookmarkEnd w:id="23"/>
      <w:bookmarkEnd w:id="24"/>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23</w:t>
      </w:r>
      <w:r>
        <w:rPr>
          <w:rFonts w:hint="eastAsia" w:ascii="宋体" w:hAnsi="宋体"/>
          <w:b/>
          <w:bCs/>
          <w:color w:val="auto"/>
          <w:szCs w:val="21"/>
          <w:highlight w:val="none"/>
        </w:rPr>
        <w:t>、开标。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24</w:t>
      </w:r>
      <w:r>
        <w:rPr>
          <w:rFonts w:hint="eastAsia" w:ascii="宋体" w:hAnsi="宋体"/>
          <w:b/>
          <w:bCs/>
          <w:color w:val="auto"/>
          <w:szCs w:val="21"/>
          <w:highlight w:val="none"/>
        </w:rPr>
        <w:t>．评标过程的保密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24.1 </w:t>
      </w:r>
      <w:r>
        <w:rPr>
          <w:rFonts w:hint="eastAsia" w:ascii="宋体" w:hAnsi="宋体"/>
          <w:color w:val="auto"/>
          <w:szCs w:val="21"/>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24.2 </w:t>
      </w:r>
      <w:r>
        <w:rPr>
          <w:rFonts w:hint="eastAsia" w:ascii="宋体" w:hAnsi="宋体"/>
          <w:color w:val="auto"/>
          <w:szCs w:val="21"/>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25</w:t>
      </w:r>
      <w:r>
        <w:rPr>
          <w:rFonts w:hint="eastAsia" w:ascii="宋体" w:hAnsi="宋体"/>
          <w:b/>
          <w:bCs/>
          <w:color w:val="auto"/>
          <w:szCs w:val="21"/>
          <w:highlight w:val="none"/>
        </w:rPr>
        <w:t>．投标文件的澄清，计算错误的修正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详见招标文件第二章开标、评标及定标办法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26</w:t>
      </w:r>
      <w:r>
        <w:rPr>
          <w:rFonts w:hint="eastAsia" w:ascii="宋体" w:hAnsi="宋体"/>
          <w:b/>
          <w:bCs/>
          <w:color w:val="auto"/>
          <w:szCs w:val="21"/>
          <w:highlight w:val="none"/>
        </w:rPr>
        <w:t>．投标文件的评审、比较和否决</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详见招标文件第二章开标、评标及定标办法。</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27</w:t>
      </w:r>
      <w:r>
        <w:rPr>
          <w:rFonts w:hint="eastAsia" w:ascii="宋体" w:hAnsi="宋体"/>
          <w:b/>
          <w:bCs/>
          <w:color w:val="auto"/>
          <w:szCs w:val="21"/>
          <w:highlight w:val="none"/>
        </w:rPr>
        <w:t>．中标通知书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27.1</w:t>
      </w:r>
      <w:r>
        <w:rPr>
          <w:rFonts w:hint="eastAsia" w:ascii="宋体" w:hAnsi="宋体" w:cs="宋体"/>
          <w:bCs/>
          <w:color w:val="auto"/>
          <w:kern w:val="0"/>
          <w:szCs w:val="21"/>
          <w:highlight w:val="none"/>
        </w:rPr>
        <w:t>招标人将在交易平台、广东省招标投标监管网和中国招标投标公共服务平台公示中标候选人，公示期为三天。</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招标人应当自确定中标人后，向招标投标监管机构提交招标投标情况的书面报告；经招投标监管机构备案后，方可发出中标通知书。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中标人必须在收到中标通知书后</w:t>
      </w:r>
      <w:r>
        <w:rPr>
          <w:rFonts w:ascii="宋体" w:hAnsi="宋体"/>
          <w:color w:val="auto"/>
          <w:szCs w:val="21"/>
          <w:highlight w:val="none"/>
        </w:rPr>
        <w:t>24</w:t>
      </w:r>
      <w:r>
        <w:rPr>
          <w:rFonts w:hint="eastAsia" w:ascii="宋体" w:hAnsi="宋体"/>
          <w:color w:val="auto"/>
          <w:szCs w:val="21"/>
          <w:highlight w:val="none"/>
        </w:rPr>
        <w:t>小时之内以书面形式回复招标人，确认收到。</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27.4</w:t>
      </w:r>
      <w:r>
        <w:rPr>
          <w:rFonts w:hint="eastAsia" w:ascii="宋体" w:hAnsi="宋体" w:cs="宋体"/>
          <w:bCs/>
          <w:color w:val="auto"/>
          <w:kern w:val="0"/>
          <w:szCs w:val="21"/>
          <w:highlight w:val="none"/>
        </w:rPr>
        <w:t>在产生中标候选人后，招标人将中标候选人的投标文件商务部分文件的所有内容（包括</w:t>
      </w:r>
      <w:r>
        <w:rPr>
          <w:rFonts w:hint="eastAsia" w:ascii="宋体" w:hAnsi="宋体" w:cs="宋体"/>
          <w:b/>
          <w:bCs/>
          <w:color w:val="auto"/>
          <w:kern w:val="0"/>
          <w:szCs w:val="21"/>
          <w:highlight w:val="none"/>
        </w:rPr>
        <w:t>报价清单</w:t>
      </w:r>
      <w:r>
        <w:rPr>
          <w:rFonts w:hint="eastAsia" w:ascii="宋体" w:hAnsi="宋体" w:cs="宋体"/>
          <w:bCs/>
          <w:color w:val="auto"/>
          <w:kern w:val="0"/>
          <w:szCs w:val="21"/>
          <w:highlight w:val="none"/>
        </w:rPr>
        <w:t>、人员、业绩、奖项等资料）在交易平台和广东省招标投标监管网公开。</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28</w:t>
      </w:r>
      <w:r>
        <w:rPr>
          <w:rFonts w:hint="eastAsia" w:ascii="宋体" w:hAnsi="宋体"/>
          <w:b/>
          <w:bCs/>
          <w:color w:val="auto"/>
          <w:szCs w:val="21"/>
          <w:highlight w:val="none"/>
        </w:rPr>
        <w:t>．合同协议书的签订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28.1 </w:t>
      </w:r>
      <w:r>
        <w:rPr>
          <w:rFonts w:hint="eastAsia" w:ascii="宋体" w:hAnsi="宋体"/>
          <w:color w:val="auto"/>
          <w:szCs w:val="21"/>
          <w:highlight w:val="none"/>
        </w:rPr>
        <w:t>招标人与中标人将于中标通知书发出之日起</w:t>
      </w:r>
      <w:r>
        <w:rPr>
          <w:rFonts w:ascii="宋体" w:hAnsi="宋体"/>
          <w:color w:val="auto"/>
          <w:szCs w:val="21"/>
          <w:highlight w:val="none"/>
        </w:rPr>
        <w:t>30</w:t>
      </w:r>
      <w:r>
        <w:rPr>
          <w:rFonts w:hint="eastAsia" w:ascii="宋体" w:hAnsi="宋体"/>
          <w:color w:val="auto"/>
          <w:szCs w:val="21"/>
          <w:highlight w:val="none"/>
        </w:rPr>
        <w:t>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28.2</w:t>
      </w:r>
      <w:r>
        <w:rPr>
          <w:rFonts w:hint="eastAsia" w:ascii="宋体" w:hAnsi="宋体"/>
          <w:color w:val="auto"/>
          <w:szCs w:val="21"/>
          <w:highlight w:val="none"/>
        </w:rPr>
        <w:t>中标通知书发出之日起</w:t>
      </w:r>
      <w:r>
        <w:rPr>
          <w:rFonts w:ascii="宋体" w:hAnsi="宋体"/>
          <w:color w:val="auto"/>
          <w:szCs w:val="21"/>
          <w:highlight w:val="none"/>
        </w:rPr>
        <w:t>30</w:t>
      </w:r>
      <w:r>
        <w:rPr>
          <w:rFonts w:hint="eastAsia" w:ascii="宋体" w:hAnsi="宋体"/>
          <w:color w:val="auto"/>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28.3</w:t>
      </w:r>
      <w:r>
        <w:rPr>
          <w:rFonts w:hint="eastAsia" w:ascii="宋体" w:hAnsi="宋体"/>
          <w:color w:val="auto"/>
          <w:szCs w:val="21"/>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28.4</w:t>
      </w:r>
      <w:r>
        <w:rPr>
          <w:rFonts w:hint="eastAsia" w:ascii="宋体" w:hAnsi="宋体"/>
          <w:color w:val="auto"/>
          <w:szCs w:val="21"/>
          <w:highlight w:val="none"/>
        </w:rPr>
        <w:t>招标人支付工程款时，中标人应按规定开具发票。</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29</w:t>
      </w:r>
      <w:r>
        <w:rPr>
          <w:rFonts w:hint="eastAsia" w:ascii="宋体" w:hAnsi="宋体"/>
          <w:b/>
          <w:bCs/>
          <w:color w:val="auto"/>
          <w:szCs w:val="21"/>
          <w:highlight w:val="none"/>
        </w:rPr>
        <w:t>．履约担保</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29.1 </w:t>
      </w:r>
      <w:r>
        <w:rPr>
          <w:rFonts w:hint="eastAsia" w:ascii="宋体" w:hAnsi="宋体"/>
          <w:color w:val="auto"/>
          <w:szCs w:val="21"/>
          <w:highlight w:val="none"/>
        </w:rPr>
        <w:t>在收到中标通知书后的</w:t>
      </w:r>
      <w:r>
        <w:rPr>
          <w:rFonts w:ascii="宋体" w:hAnsi="宋体"/>
          <w:b/>
          <w:color w:val="auto"/>
          <w:szCs w:val="21"/>
          <w:highlight w:val="none"/>
        </w:rPr>
        <w:t>15</w:t>
      </w:r>
      <w:r>
        <w:rPr>
          <w:rFonts w:hint="eastAsia" w:ascii="宋体" w:hAnsi="宋体"/>
          <w:b/>
          <w:color w:val="auto"/>
          <w:szCs w:val="21"/>
          <w:highlight w:val="none"/>
        </w:rPr>
        <w:t>日</w:t>
      </w:r>
      <w:r>
        <w:rPr>
          <w:rFonts w:hint="eastAsia" w:ascii="宋体" w:hAnsi="宋体"/>
          <w:color w:val="auto"/>
          <w:szCs w:val="21"/>
          <w:highlight w:val="none"/>
        </w:rPr>
        <w:t>内，中标人应按本须知前附表第</w:t>
      </w:r>
      <w:r>
        <w:rPr>
          <w:rFonts w:ascii="宋体" w:hAnsi="宋体"/>
          <w:color w:val="auto"/>
          <w:szCs w:val="21"/>
          <w:highlight w:val="none"/>
        </w:rPr>
        <w:t>2</w:t>
      </w:r>
      <w:r>
        <w:rPr>
          <w:rFonts w:hint="eastAsia" w:ascii="宋体" w:hAnsi="宋体"/>
          <w:color w:val="auto"/>
          <w:szCs w:val="21"/>
          <w:highlight w:val="none"/>
        </w:rPr>
        <w:t>0项的规定向招标人提交履约担保。</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29.2</w:t>
      </w:r>
      <w:r>
        <w:rPr>
          <w:rFonts w:hint="eastAsia" w:ascii="宋体" w:hAnsi="宋体"/>
          <w:color w:val="auto"/>
          <w:szCs w:val="21"/>
          <w:highlight w:val="none"/>
        </w:rPr>
        <w:t>中标通知书发出之日起</w:t>
      </w:r>
      <w:r>
        <w:rPr>
          <w:rFonts w:ascii="宋体" w:hAnsi="宋体"/>
          <w:color w:val="auto"/>
          <w:szCs w:val="21"/>
          <w:highlight w:val="none"/>
        </w:rPr>
        <w:t>15</w:t>
      </w:r>
      <w:r>
        <w:rPr>
          <w:rFonts w:hint="eastAsia" w:ascii="宋体" w:hAnsi="宋体"/>
          <w:color w:val="auto"/>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30</w:t>
      </w:r>
      <w:r>
        <w:rPr>
          <w:rFonts w:hint="eastAsia" w:ascii="宋体" w:hAnsi="宋体"/>
          <w:b/>
          <w:bCs/>
          <w:color w:val="auto"/>
          <w:szCs w:val="21"/>
          <w:highlight w:val="none"/>
        </w:rPr>
        <w:t>．合同生效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30.1</w:t>
      </w:r>
      <w:r>
        <w:rPr>
          <w:rFonts w:hint="eastAsia" w:ascii="宋体" w:hAnsi="宋体"/>
          <w:color w:val="auto"/>
          <w:szCs w:val="21"/>
          <w:highlight w:val="none"/>
        </w:rPr>
        <w:t>在合同双方全权代表在合同协议书上签字，并分别加盖双方单位的公章后，合同正式生效。</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31</w:t>
      </w:r>
      <w:r>
        <w:rPr>
          <w:rFonts w:hint="eastAsia" w:ascii="宋体" w:hAnsi="宋体"/>
          <w:b/>
          <w:bCs/>
          <w:color w:val="auto"/>
          <w:szCs w:val="21"/>
          <w:highlight w:val="none"/>
        </w:rPr>
        <w:t>．其它费用</w:t>
      </w:r>
    </w:p>
    <w:p>
      <w:pPr>
        <w:pStyle w:val="36"/>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32．腐败与欺诈行为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在招标和合同实施期间，招标人要求投标人和承包人遵守最高的道德标准。</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32．1对本条款的规定，特定义如下词汇：</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1）、“腐败行为”是指在招标或合同执行期间，通过提供、给予、接受或索要任何有价值的东西，从而影响招标人有关人员工作的行为；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32．2如果投标人被认定在本招标的竞争中有腐败或欺诈行为，则会被取消投标资格。</w:t>
      </w:r>
    </w:p>
    <w:p>
      <w:pPr>
        <w:pStyle w:val="36"/>
        <w:spacing w:after="0" w:line="360" w:lineRule="auto"/>
        <w:ind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32.3</w:t>
      </w:r>
      <w:r>
        <w:rPr>
          <w:rFonts w:hint="eastAsia" w:ascii="宋体" w:hAnsi="宋体" w:eastAsia="宋体" w:cs="宋体"/>
          <w:color w:val="auto"/>
          <w:sz w:val="21"/>
          <w:szCs w:val="21"/>
          <w:highlight w:val="none"/>
        </w:rPr>
        <w:t>投标人如在本项目中存在串通投标、弄虚作假、行贿情形的，中标无效，行政监督部门将对其违法行为进行政处罚并通报。该投标人将被招标人列入黑名单并限制其参与招标人后续项目的投标</w:t>
      </w:r>
      <w:r>
        <w:rPr>
          <w:rFonts w:hint="eastAsia" w:ascii="宋体" w:hAnsi="宋体" w:eastAsia="宋体" w:cs="宋体"/>
          <w:color w:val="auto"/>
          <w:kern w:val="2"/>
          <w:sz w:val="21"/>
          <w:szCs w:val="21"/>
          <w:highlight w:val="none"/>
        </w:rPr>
        <w:t>。</w:t>
      </w:r>
    </w:p>
    <w:p>
      <w:pP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33. 投标人信誉的要求</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存在下列情形之一的，招标人可以限制其投标（需在招标文件中明确评定方法）</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（1）被住房城乡建设行政主管部门在全国建筑市场监管一体化工作平台列入建筑市场主体“黑名单”；</w:t>
      </w:r>
    </w:p>
    <w:p>
      <w:pPr>
        <w:pStyle w:val="36"/>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kern w:val="2"/>
          <w:sz w:val="21"/>
          <w:szCs w:val="21"/>
          <w:highlight w:val="none"/>
        </w:rPr>
        <w:t>被发改委、人力资源社会保障、质检总局等有关部门、单位在“信用中国”网站中列入联合惩戒失信黑名单。</w:t>
      </w:r>
    </w:p>
    <w:p>
      <w:pPr>
        <w:rPr>
          <w:rFonts w:ascii="宋体" w:hAnsi="宋体"/>
          <w:color w:val="auto"/>
          <w:szCs w:val="21"/>
          <w:highlight w:val="none"/>
        </w:rPr>
      </w:pPr>
      <w:r>
        <w:rPr>
          <w:rFonts w:hint="eastAsia" w:ascii="宋体" w:hAnsi="宋体"/>
          <w:color w:val="auto"/>
          <w:szCs w:val="21"/>
          <w:highlight w:val="none"/>
        </w:rPr>
        <w:br w:type="page"/>
      </w:r>
    </w:p>
    <w:p>
      <w:pPr>
        <w:pStyle w:val="2"/>
        <w:ind w:left="0" w:firstLine="0" w:firstLineChars="0"/>
        <w:jc w:val="center"/>
        <w:rPr>
          <w:rFonts w:ascii="宋体" w:hAnsi="宋体"/>
          <w:color w:val="auto"/>
          <w:sz w:val="21"/>
          <w:szCs w:val="21"/>
          <w:highlight w:val="none"/>
        </w:rPr>
      </w:pPr>
      <w:bookmarkStart w:id="25" w:name="_Toc3404"/>
      <w:r>
        <w:rPr>
          <w:rFonts w:hint="eastAsia" w:ascii="宋体" w:hAnsi="宋体"/>
          <w:color w:val="auto"/>
          <w:sz w:val="28"/>
          <w:szCs w:val="28"/>
          <w:highlight w:val="none"/>
        </w:rPr>
        <w:t>第二章开标、评标及定标办法</w:t>
      </w:r>
      <w:bookmarkEnd w:id="25"/>
    </w:p>
    <w:p>
      <w:pPr>
        <w:pStyle w:val="2"/>
        <w:ind w:left="0" w:leftChars="0" w:firstLine="0" w:firstLineChars="0"/>
        <w:jc w:val="center"/>
        <w:rPr>
          <w:rFonts w:ascii="宋体" w:hAnsi="宋体"/>
          <w:color w:val="auto"/>
          <w:sz w:val="21"/>
          <w:szCs w:val="21"/>
          <w:highlight w:val="none"/>
        </w:rPr>
      </w:pPr>
      <w:bookmarkStart w:id="26" w:name="_Toc24279"/>
      <w:bookmarkStart w:id="27" w:name="_Toc6493837"/>
      <w:r>
        <w:rPr>
          <w:rFonts w:hint="eastAsia" w:ascii="宋体" w:hAnsi="宋体"/>
          <w:color w:val="auto"/>
          <w:sz w:val="21"/>
          <w:szCs w:val="21"/>
          <w:highlight w:val="none"/>
        </w:rPr>
        <w:t>一、开标、评标及定标办法修改表</w:t>
      </w:r>
      <w:bookmarkEnd w:id="26"/>
      <w:bookmarkEnd w:id="27"/>
    </w:p>
    <w:p>
      <w:pPr>
        <w:pStyle w:val="36"/>
        <w:spacing w:after="0" w:line="5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可选办法一</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可选办法一（适合综合评分法一，技术标与经济标先后分别开启）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可选办法二</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可选办法二（适合综合评分法一，技术标与经济标同时开启）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可选办法三</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可选办法三</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可选办法四</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可选办法四（适合综合评分法二，技术标与经济标同时开启）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可选办法五</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可选办法五（适合综合评分法三，技术标与经济标先后分别开启）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可选办法六</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可选办法六（适合综合评分法三，技术标与经济标同时开启）</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s="宋体"/>
          <w:color w:val="auto"/>
          <w:szCs w:val="21"/>
          <w:highlight w:val="none"/>
        </w:rPr>
        <w:t>可选办法八</w:t>
      </w:r>
      <w:r>
        <w:rPr>
          <w:rFonts w:hint="eastAsia" w:ascii="宋体" w:hAnsi="宋体"/>
          <w:b/>
          <w:color w:val="auto"/>
          <w:szCs w:val="21"/>
          <w:highlight w:val="none"/>
        </w:rPr>
        <w:t>修改类型：删除</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可选办法八（适合经评审的最低投标价法，技术标与经济标同时开启）</w:t>
      </w:r>
      <w:r>
        <w:rPr>
          <w:rFonts w:hint="eastAsia" w:ascii="宋体" w:hAnsi="宋体"/>
          <w:b/>
          <w:color w:val="auto"/>
          <w:szCs w:val="21"/>
          <w:highlight w:val="none"/>
        </w:rPr>
        <w:t>条款号：</w:t>
      </w:r>
      <w:r>
        <w:rPr>
          <w:rFonts w:hint="eastAsia" w:ascii="宋体" w:hAnsi="宋体" w:cs="宋体"/>
          <w:color w:val="auto"/>
          <w:szCs w:val="21"/>
          <w:highlight w:val="none"/>
        </w:rPr>
        <w:t>可选办法八</w:t>
      </w:r>
      <w:r>
        <w:rPr>
          <w:rFonts w:hint="eastAsia" w:ascii="宋体" w:hAnsi="宋体"/>
          <w:b/>
          <w:color w:val="auto"/>
          <w:szCs w:val="21"/>
          <w:highlight w:val="none"/>
        </w:rPr>
        <w:t>修改类型：删除</w:t>
      </w:r>
    </w:p>
    <w:p>
      <w:pPr>
        <w:pBdr>
          <w:bottom w:val="single" w:color="auto" w:sz="6" w:space="1"/>
        </w:pBd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可选办法八（适合经评审的最低投标价法，技术标与经济标同时开启）</w:t>
      </w:r>
    </w:p>
    <w:p>
      <w:pPr>
        <w:spacing w:line="500" w:lineRule="exact"/>
        <w:ind w:firstLine="472" w:firstLineChars="224"/>
        <w:rPr>
          <w:rFonts w:ascii="宋体" w:hAnsi="宋体" w:cs="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 xml:space="preserve">36.1  </w:t>
      </w:r>
      <w:r>
        <w:rPr>
          <w:rFonts w:hint="eastAsia" w:ascii="宋体" w:hAnsi="宋体"/>
          <w:b/>
          <w:color w:val="auto"/>
          <w:szCs w:val="21"/>
          <w:highlight w:val="none"/>
        </w:rPr>
        <w:t>修改类型：修改</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5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500" w:lineRule="exact"/>
        <w:ind w:firstLine="472" w:firstLineChars="224"/>
        <w:rPr>
          <w:rFonts w:ascii="宋体" w:hAnsi="宋体" w:cs="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 xml:space="preserve">36.3  </w:t>
      </w:r>
      <w:r>
        <w:rPr>
          <w:rFonts w:hint="eastAsia" w:ascii="宋体" w:hAnsi="宋体"/>
          <w:b/>
          <w:color w:val="auto"/>
          <w:szCs w:val="21"/>
          <w:highlight w:val="none"/>
        </w:rPr>
        <w:t>修改类型：删除</w:t>
      </w:r>
    </w:p>
    <w:p>
      <w:pPr>
        <w:pBdr>
          <w:bottom w:val="single" w:color="auto" w:sz="6" w:space="1"/>
        </w:pBdr>
        <w:spacing w:line="5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36.</w:t>
      </w:r>
      <w:r>
        <w:rPr>
          <w:rFonts w:hint="eastAsia" w:ascii="宋体" w:hAnsi="宋体"/>
          <w:color w:val="auto"/>
          <w:szCs w:val="21"/>
          <w:highlight w:val="none"/>
        </w:rPr>
        <w:t>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36.5.1</w:t>
      </w:r>
      <w:r>
        <w:rPr>
          <w:rFonts w:hint="eastAsia" w:ascii="宋体" w:hAnsi="宋体"/>
          <w:b/>
          <w:color w:val="auto"/>
          <w:szCs w:val="21"/>
          <w:highlight w:val="none"/>
        </w:rPr>
        <w:t>修改类型：修改</w:t>
      </w:r>
    </w:p>
    <w:p>
      <w:pPr>
        <w:spacing w:line="500" w:lineRule="exact"/>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cs="宋体"/>
          <w:bCs/>
          <w:color w:val="auto"/>
          <w:kern w:val="0"/>
          <w:szCs w:val="21"/>
          <w:highlight w:val="none"/>
        </w:rPr>
        <w:t>；</w:t>
      </w:r>
    </w:p>
    <w:p>
      <w:pPr>
        <w:pBdr>
          <w:bottom w:val="single" w:color="auto" w:sz="6" w:space="1"/>
        </w:pBdr>
        <w:spacing w:line="500" w:lineRule="exact"/>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36.5.1在投标截止时间后</w:t>
      </w:r>
      <w:r>
        <w:rPr>
          <w:rFonts w:hint="eastAsia" w:ascii="宋体" w:hAnsi="宋体"/>
          <w:color w:val="auto"/>
          <w:szCs w:val="21"/>
          <w:highlight w:val="none"/>
          <w:lang w:val="en-US" w:eastAsia="zh-CN"/>
        </w:rPr>
        <w:t>一个</w:t>
      </w:r>
      <w:r>
        <w:rPr>
          <w:rFonts w:hint="eastAsia" w:ascii="宋体" w:hAnsi="宋体"/>
          <w:color w:val="auto"/>
          <w:szCs w:val="21"/>
          <w:highlight w:val="none"/>
        </w:rPr>
        <w:t>小时内，投标人通过</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交易平台对已递交的电子投标文件进行解密。投标人完成解密后，再由招标人进行解密。解密完成后，公布招标项目名称、投标人名称的递交情况、投标报价、工期及其他内容；</w:t>
      </w:r>
    </w:p>
    <w:p>
      <w:pPr>
        <w:tabs>
          <w:tab w:val="left" w:pos="441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36.5.3</w:t>
      </w:r>
      <w:r>
        <w:rPr>
          <w:rFonts w:ascii="宋体" w:hAnsi="宋体" w:cs="宋体"/>
          <w:bCs/>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500" w:lineRule="exact"/>
        <w:ind w:firstLine="527" w:firstLineChars="250"/>
        <w:rPr>
          <w:rFonts w:ascii="宋体" w:hAnsi="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spacing w:line="40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38.1  </w:t>
      </w:r>
      <w:r>
        <w:rPr>
          <w:rFonts w:hint="eastAsia" w:ascii="宋体" w:hAnsi="宋体"/>
          <w:b/>
          <w:color w:val="auto"/>
          <w:szCs w:val="21"/>
          <w:highlight w:val="none"/>
        </w:rPr>
        <w:t>修改类型：修改</w:t>
      </w:r>
    </w:p>
    <w:p>
      <w:pPr>
        <w:spacing w:line="400" w:lineRule="exact"/>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00" w:lineRule="exact"/>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38.1</w:t>
      </w:r>
      <w:r>
        <w:rPr>
          <w:rFonts w:hint="eastAsia" w:ascii="宋体" w:hAnsi="宋体" w:cs="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、对同类问题表述不一致、有明显文字和计算错误的内容以及细微偏差的</w:t>
      </w:r>
      <w:r>
        <w:rPr>
          <w:rFonts w:hint="eastAsia" w:ascii="宋体" w:hAnsi="宋体" w:cs="宋体"/>
          <w:color w:val="auto"/>
          <w:szCs w:val="21"/>
          <w:highlight w:val="none"/>
        </w:rPr>
        <w:t>内容作出澄清。</w:t>
      </w:r>
    </w:p>
    <w:p>
      <w:pPr>
        <w:spacing w:line="4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条款号：</w:t>
      </w:r>
      <w:r>
        <w:rPr>
          <w:rFonts w:hint="eastAsia" w:ascii="宋体" w:hAnsi="宋体"/>
          <w:b/>
          <w:color w:val="auto"/>
          <w:szCs w:val="21"/>
          <w:highlight w:val="none"/>
        </w:rPr>
        <w:t>39.3</w:t>
      </w:r>
      <w:r>
        <w:rPr>
          <w:rFonts w:ascii="宋体" w:hAnsi="宋体"/>
          <w:b/>
          <w:color w:val="auto"/>
          <w:szCs w:val="21"/>
          <w:highlight w:val="none"/>
        </w:rPr>
        <w:t xml:space="preserve">          </w:t>
      </w:r>
      <w:r>
        <w:rPr>
          <w:rFonts w:hint="eastAsia" w:ascii="宋体" w:hAnsi="宋体"/>
          <w:b/>
          <w:bCs/>
          <w:color w:val="auto"/>
          <w:szCs w:val="21"/>
          <w:highlight w:val="none"/>
        </w:rPr>
        <w:t>修改类型：修改</w:t>
      </w:r>
    </w:p>
    <w:p>
      <w:pPr>
        <w:spacing w:line="460" w:lineRule="exact"/>
        <w:ind w:firstLine="422" w:firstLineChars="200"/>
        <w:rPr>
          <w:rFonts w:ascii="宋体" w:hAnsi="宋体"/>
          <w:color w:val="auto"/>
          <w:szCs w:val="21"/>
          <w:highlight w:val="none"/>
        </w:rPr>
      </w:pPr>
      <w:r>
        <w:rPr>
          <w:rFonts w:hint="eastAsia" w:ascii="宋体" w:hAnsi="宋体"/>
          <w:b/>
          <w:bCs/>
          <w:color w:val="auto"/>
          <w:szCs w:val="21"/>
          <w:highlight w:val="none"/>
        </w:rPr>
        <w:t>原文：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400" w:lineRule="exact"/>
        <w:ind w:firstLine="949" w:firstLineChars="450"/>
        <w:rPr>
          <w:rFonts w:ascii="宋体" w:hAnsi="宋体" w:cs="宋体"/>
          <w:color w:val="auto"/>
          <w:kern w:val="0"/>
          <w:szCs w:val="21"/>
          <w:highlight w:val="none"/>
        </w:rPr>
      </w:pPr>
      <w:r>
        <w:rPr>
          <w:rFonts w:hint="eastAsia"/>
          <w:b/>
          <w:bCs/>
          <w:color w:val="auto"/>
          <w:szCs w:val="21"/>
          <w:highlight w:val="none"/>
        </w:rPr>
        <w:t>现文：</w:t>
      </w:r>
      <w:r>
        <w:rPr>
          <w:rFonts w:hint="eastAsia"/>
          <w:color w:val="auto"/>
          <w:highlight w:val="none"/>
        </w:rPr>
        <w:t>39.3</w:t>
      </w:r>
      <w:r>
        <w:rPr>
          <w:rFonts w:hint="eastAsia"/>
          <w:color w:val="auto"/>
          <w:szCs w:val="21"/>
          <w:highlight w:val="none"/>
        </w:rPr>
        <w:t>排名第一的中标候选人放弃中标、或因不可抗力提出不能履行合同，或者招标文件规定应当提交履约担保而在规定的期限内未能提交的</w:t>
      </w:r>
      <w:r>
        <w:rPr>
          <w:rFonts w:hint="eastAsia"/>
          <w:color w:val="auto"/>
          <w:szCs w:val="21"/>
          <w:highlight w:val="none"/>
          <w:u w:val="single"/>
        </w:rPr>
        <w:t>，或经核查发现委派的项目负责人已在其他在建项目中任职的，或者被查实存在影响中标结果的违法行为等情形，不符合中标条件的，</w:t>
      </w:r>
      <w:r>
        <w:rPr>
          <w:rFonts w:hint="eastAsia"/>
          <w:color w:val="auto"/>
          <w:szCs w:val="21"/>
          <w:highlight w:val="none"/>
        </w:rPr>
        <w:t>招标人可以确定排名第二的中标候选人为中标人。</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500" w:lineRule="exact"/>
        <w:ind w:firstLine="460" w:firstLineChars="218"/>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bottom w:val="single" w:color="auto" w:sz="6" w:space="1"/>
        </w:pBdr>
        <w:spacing w:line="400" w:lineRule="exact"/>
        <w:ind w:firstLine="460" w:firstLineChars="218"/>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r>
        <w:rPr>
          <w:rFonts w:hint="eastAsia" w:ascii="宋体" w:hAnsi="宋体" w:cs="宋体"/>
          <w:color w:val="auto"/>
          <w:szCs w:val="21"/>
          <w:highlight w:val="none"/>
          <w:lang w:eastAsia="zh-CN"/>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条款号：41.2.3             修改类型：修改</w:t>
      </w:r>
    </w:p>
    <w:p>
      <w:pPr>
        <w:pBdr>
          <w:bottom w:val="single" w:color="auto" w:sz="6" w:space="1"/>
        </w:pBdr>
        <w:spacing w:line="400" w:lineRule="exact"/>
        <w:ind w:firstLine="460" w:firstLineChars="218"/>
        <w:rPr>
          <w:rFonts w:ascii="宋体" w:hAnsi="宋体" w:cs="宋体"/>
          <w:b w:val="0"/>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开标时，投标人代表有权出席开标会，也可以自主决定不参加开标会，若投标人代表对开标过程提出异议，该投</w:t>
      </w:r>
      <w:r>
        <w:rPr>
          <w:rFonts w:hint="eastAsia" w:ascii="宋体" w:hAnsi="宋体" w:cs="宋体"/>
          <w:b w:val="0"/>
          <w:bCs/>
          <w:color w:val="auto"/>
          <w:szCs w:val="21"/>
          <w:highlight w:val="none"/>
        </w:rPr>
        <w:t>标人代表须同时出示本人身份证原件。</w:t>
      </w:r>
    </w:p>
    <w:p>
      <w:pPr>
        <w:pBdr>
          <w:bottom w:val="single" w:color="auto" w:sz="6" w:space="1"/>
        </w:pBdr>
        <w:spacing w:line="400" w:lineRule="exact"/>
        <w:ind w:firstLine="457" w:firstLineChars="218"/>
        <w:rPr>
          <w:rFonts w:hint="eastAsia" w:ascii="宋体" w:hAnsi="宋体" w:cs="宋体"/>
          <w:b w:val="0"/>
          <w:bCs/>
          <w:color w:val="auto"/>
          <w:kern w:val="0"/>
          <w:szCs w:val="21"/>
          <w:highlight w:val="none"/>
          <w:u w:val="single"/>
        </w:rPr>
      </w:pPr>
      <w:r>
        <w:rPr>
          <w:rFonts w:hint="eastAsia" w:ascii="宋体" w:hAnsi="宋体" w:cs="宋体"/>
          <w:b w:val="0"/>
          <w:bCs/>
          <w:color w:val="auto"/>
          <w:szCs w:val="21"/>
          <w:highlight w:val="none"/>
        </w:rPr>
        <w:t>现文：</w:t>
      </w:r>
      <w:r>
        <w:rPr>
          <w:rFonts w:hint="eastAsia" w:ascii="宋体" w:hAnsi="宋体" w:cs="宋体"/>
          <w:b w:val="0"/>
          <w:bCs/>
          <w:color w:val="auto"/>
          <w:kern w:val="0"/>
          <w:szCs w:val="21"/>
          <w:highlight w:val="none"/>
        </w:rPr>
        <w:t>开标时，投标人代表有权参加现场开标或</w:t>
      </w:r>
      <w:r>
        <w:rPr>
          <w:rFonts w:hint="eastAsia" w:ascii="宋体" w:hAnsi="宋体" w:cs="宋体"/>
          <w:b w:val="0"/>
          <w:bCs/>
          <w:color w:val="auto"/>
          <w:kern w:val="0"/>
          <w:szCs w:val="21"/>
          <w:highlight w:val="none"/>
          <w:u w:val="single"/>
        </w:rPr>
        <w:t>在线开标</w:t>
      </w:r>
      <w:r>
        <w:rPr>
          <w:rFonts w:hint="eastAsia" w:ascii="宋体" w:hAnsi="宋体" w:cs="宋体"/>
          <w:b w:val="0"/>
          <w:bCs/>
          <w:color w:val="auto"/>
          <w:kern w:val="0"/>
          <w:szCs w:val="21"/>
          <w:highlight w:val="none"/>
        </w:rPr>
        <w:t>，也可以自主决定不参加开标，若投标人代表对开标过程有异议的，</w:t>
      </w:r>
      <w:r>
        <w:rPr>
          <w:rFonts w:hint="eastAsia" w:ascii="宋体" w:hAnsi="宋体" w:cs="宋体"/>
          <w:b w:val="0"/>
          <w:bCs/>
          <w:color w:val="auto"/>
          <w:kern w:val="0"/>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修改类型：修改</w:t>
      </w:r>
    </w:p>
    <w:p>
      <w:pPr>
        <w:snapToGrid w:val="0"/>
        <w:spacing w:line="400" w:lineRule="exact"/>
        <w:ind w:firstLine="422" w:firstLineChars="200"/>
        <w:rPr>
          <w:rFonts w:ascii="宋体" w:hAnsi="宋体" w:cs="宋体"/>
          <w:color w:val="auto"/>
          <w:szCs w:val="21"/>
          <w:highlight w:val="none"/>
        </w:rPr>
      </w:pPr>
      <w:r>
        <w:rPr>
          <w:rFonts w:hint="eastAsia" w:ascii="宋体" w:hAnsi="宋体" w:eastAsia="宋体" w:cs="宋体"/>
          <w:b/>
          <w:color w:val="auto"/>
          <w:kern w:val="2"/>
          <w:sz w:val="21"/>
          <w:szCs w:val="21"/>
          <w:highlight w:val="none"/>
        </w:rPr>
        <w:t>原文：</w:t>
      </w:r>
      <w:r>
        <w:rPr>
          <w:rFonts w:hint="eastAsia" w:ascii="宋体" w:hAnsi="宋体" w:cs="宋体"/>
          <w:b w:val="0"/>
          <w:bCs/>
          <w:color w:val="auto"/>
          <w:kern w:val="2"/>
          <w:sz w:val="21"/>
          <w:szCs w:val="21"/>
          <w:highlight w:val="none"/>
          <w:lang w:val="en-US" w:eastAsia="zh-CN"/>
        </w:rPr>
        <w:t>43.1</w:t>
      </w:r>
      <w:r>
        <w:rPr>
          <w:rFonts w:hint="eastAsia" w:ascii="宋体" w:hAnsi="宋体" w:eastAsia="宋体" w:cs="宋体"/>
          <w:b w:val="0"/>
          <w:bCs/>
          <w:color w:val="auto"/>
          <w:kern w:val="2"/>
          <w:sz w:val="21"/>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color w:val="auto"/>
          <w:szCs w:val="21"/>
          <w:highlight w:val="none"/>
        </w:rPr>
        <w:t>。</w:t>
      </w:r>
    </w:p>
    <w:p>
      <w:pPr>
        <w:pBdr>
          <w:bottom w:val="single" w:color="auto" w:sz="6" w:space="1"/>
        </w:pBdr>
        <w:spacing w:line="400" w:lineRule="exact"/>
        <w:ind w:firstLine="460" w:firstLineChars="218"/>
        <w:rPr>
          <w:rFonts w:ascii="宋体" w:hAnsi="宋体" w:cs="宋体"/>
          <w:b w:val="0"/>
          <w:bCs w:val="0"/>
          <w:color w:val="auto"/>
          <w:sz w:val="21"/>
          <w:szCs w:val="21"/>
          <w:highlight w:val="none"/>
          <w:u w:val="single"/>
        </w:rPr>
      </w:pPr>
      <w:r>
        <w:rPr>
          <w:rFonts w:hint="eastAsia" w:ascii="宋体" w:hAnsi="宋体" w:cs="宋体"/>
          <w:b/>
          <w:color w:val="auto"/>
          <w:szCs w:val="21"/>
          <w:highlight w:val="none"/>
        </w:rPr>
        <w:t>现文：</w:t>
      </w:r>
      <w:r>
        <w:rPr>
          <w:rFonts w:hint="eastAsia" w:ascii="宋体" w:hAnsi="宋体" w:eastAsia="宋体" w:cs="宋体"/>
          <w:b w:val="0"/>
          <w:bCs/>
          <w:color w:val="auto"/>
          <w:sz w:val="21"/>
          <w:szCs w:val="21"/>
          <w:highlight w:val="none"/>
          <w:lang w:val="en-US" w:eastAsia="zh-CN"/>
        </w:rPr>
        <w:t>43.1</w:t>
      </w:r>
      <w:r>
        <w:rPr>
          <w:rFonts w:hint="eastAsia" w:ascii="宋体" w:hAnsi="宋体" w:eastAsia="宋体" w:cs="宋体"/>
          <w:bCs/>
          <w:color w:val="auto"/>
          <w:kern w:val="0"/>
          <w:sz w:val="21"/>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val="0"/>
          <w:bCs w:val="0"/>
          <w:color w:val="auto"/>
          <w:kern w:val="0"/>
          <w:sz w:val="21"/>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eastAsia="宋体" w:cs="宋体"/>
          <w:b w:val="0"/>
          <w:bCs w:val="0"/>
          <w:color w:val="auto"/>
          <w:sz w:val="21"/>
          <w:szCs w:val="21"/>
          <w:highlight w:val="none"/>
          <w:u w:val="single"/>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修改类型：修改</w:t>
      </w:r>
    </w:p>
    <w:p>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kern w:val="2"/>
          <w:sz w:val="21"/>
          <w:szCs w:val="21"/>
          <w:highlight w:val="none"/>
        </w:rPr>
        <w:t>原文：</w:t>
      </w:r>
      <w:r>
        <w:rPr>
          <w:rFonts w:hint="eastAsia" w:ascii="宋体" w:hAnsi="宋体" w:eastAsia="宋体" w:cs="宋体"/>
          <w:b w:val="0"/>
          <w:bCs/>
          <w:color w:val="auto"/>
          <w:kern w:val="2"/>
          <w:sz w:val="21"/>
          <w:szCs w:val="21"/>
          <w:highlight w:val="none"/>
          <w:lang w:val="en-US" w:eastAsia="zh-CN"/>
        </w:rPr>
        <w:t>44.1</w:t>
      </w:r>
      <w:r>
        <w:rPr>
          <w:rFonts w:hint="eastAsia" w:ascii="宋体" w:hAnsi="宋体" w:eastAsia="宋体" w:cs="宋体"/>
          <w:b w:val="0"/>
          <w:bCs/>
          <w:color w:val="auto"/>
          <w:kern w:val="0"/>
          <w:sz w:val="21"/>
          <w:szCs w:val="21"/>
          <w:highlight w:val="none"/>
        </w:rPr>
        <w:t>技</w:t>
      </w:r>
      <w:r>
        <w:rPr>
          <w:rFonts w:hint="eastAsia" w:ascii="宋体" w:hAnsi="宋体" w:eastAsia="宋体" w:cs="宋体"/>
          <w:bCs/>
          <w:color w:val="auto"/>
          <w:kern w:val="0"/>
          <w:sz w:val="21"/>
          <w:szCs w:val="21"/>
          <w:highlight w:val="none"/>
        </w:rPr>
        <w:t>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r>
        <w:rPr>
          <w:rFonts w:hint="eastAsia" w:ascii="宋体" w:hAnsi="宋体" w:eastAsia="宋体" w:cs="宋体"/>
          <w:color w:val="auto"/>
          <w:szCs w:val="21"/>
          <w:highlight w:val="none"/>
        </w:rPr>
        <w:t>。</w:t>
      </w:r>
    </w:p>
    <w:p>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44.1</w:t>
      </w:r>
      <w:r>
        <w:rPr>
          <w:rFonts w:hint="eastAsia" w:ascii="宋体" w:hAnsi="宋体" w:eastAsia="宋体" w:cs="宋体"/>
          <w:b w:val="0"/>
          <w:bCs/>
          <w:color w:val="auto"/>
          <w:kern w:val="0"/>
          <w:sz w:val="21"/>
          <w:szCs w:val="21"/>
          <w:highlight w:val="none"/>
        </w:rPr>
        <w:t>技</w:t>
      </w:r>
      <w:r>
        <w:rPr>
          <w:rFonts w:hint="eastAsia" w:ascii="宋体" w:hAnsi="宋体" w:eastAsia="宋体" w:cs="宋体"/>
          <w:bCs/>
          <w:color w:val="auto"/>
          <w:kern w:val="0"/>
          <w:sz w:val="21"/>
          <w:szCs w:val="21"/>
          <w:highlight w:val="none"/>
        </w:rPr>
        <w:t>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eastAsia="宋体" w:cs="宋体"/>
          <w:b w:val="0"/>
          <w:bCs w:val="0"/>
          <w:color w:val="auto"/>
          <w:kern w:val="0"/>
          <w:sz w:val="21"/>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b w:val="0"/>
          <w:bCs w:val="0"/>
          <w:color w:val="auto"/>
          <w:szCs w:val="21"/>
          <w:highlight w:val="none"/>
          <w:u w:val="single"/>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条款号：45.1             修改类型：修改</w:t>
      </w:r>
    </w:p>
    <w:p>
      <w:pPr>
        <w:pStyle w:val="36"/>
        <w:tabs>
          <w:tab w:val="left" w:pos="7380"/>
        </w:tabs>
        <w:spacing w:after="0" w:line="400" w:lineRule="exact"/>
        <w:ind w:firstLine="422" w:firstLineChars="200"/>
        <w:rPr>
          <w:rFonts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原文：</w:t>
      </w:r>
      <w:r>
        <w:rPr>
          <w:rFonts w:hint="eastAsia" w:ascii="宋体" w:hAnsi="宋体" w:cs="宋体"/>
          <w:b w:val="0"/>
          <w:bCs/>
          <w:color w:val="auto"/>
          <w:szCs w:val="21"/>
          <w:highlight w:val="none"/>
        </w:rPr>
        <w:t>45.</w:t>
      </w:r>
      <w:r>
        <w:rPr>
          <w:rFonts w:hint="eastAsia" w:ascii="宋体" w:hAnsi="宋体" w:cs="宋体"/>
          <w:b w:val="0"/>
          <w:bCs/>
          <w:color w:val="auto"/>
          <w:szCs w:val="21"/>
          <w:highlight w:val="none"/>
          <w:lang w:val="en-US" w:eastAsia="zh-CN"/>
        </w:rPr>
        <w:t>1</w:t>
      </w:r>
      <w:r>
        <w:rPr>
          <w:rFonts w:hint="eastAsia" w:ascii="宋体" w:hAnsi="宋体" w:eastAsia="宋体" w:cs="宋体"/>
          <w:color w:val="auto"/>
          <w:kern w:val="2"/>
          <w:sz w:val="21"/>
          <w:szCs w:val="21"/>
          <w:highlight w:val="none"/>
        </w:rPr>
        <w:t>若通过技术标有效性审查的投标人中所有投标报价均大于等于最高投标限价*D%（D的取值范围为[94,100],由招标人自主确定）的（具体金额为：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元），则本项目招标失败，由招标人依法重新招标。</w:t>
      </w:r>
    </w:p>
    <w:p>
      <w:pPr>
        <w:pBdr>
          <w:bottom w:val="single" w:color="auto" w:sz="6" w:space="0"/>
        </w:pBdr>
        <w:spacing w:line="400" w:lineRule="exact"/>
        <w:ind w:firstLine="422" w:firstLineChars="200"/>
        <w:rPr>
          <w:rFonts w:ascii="宋体" w:hAnsi="宋体" w:cs="宋体"/>
          <w:color w:val="auto"/>
          <w:szCs w:val="21"/>
          <w:highlight w:val="none"/>
        </w:rPr>
      </w:pPr>
      <w:r>
        <w:rPr>
          <w:rFonts w:hint="eastAsia" w:ascii="宋体" w:hAnsi="宋体" w:cs="宋体"/>
          <w:b/>
          <w:bCs w:val="0"/>
          <w:color w:val="auto"/>
          <w:szCs w:val="21"/>
          <w:highlight w:val="none"/>
        </w:rPr>
        <w:t>现文：</w:t>
      </w:r>
      <w:r>
        <w:rPr>
          <w:rFonts w:hint="eastAsia" w:ascii="宋体" w:hAnsi="宋体" w:cs="宋体"/>
          <w:b w:val="0"/>
          <w:bCs/>
          <w:color w:val="auto"/>
          <w:szCs w:val="21"/>
          <w:highlight w:val="none"/>
          <w:lang w:val="en-US" w:eastAsia="zh-CN"/>
        </w:rPr>
        <w:t>45.1</w:t>
      </w:r>
      <w:r>
        <w:rPr>
          <w:rFonts w:hint="eastAsia" w:ascii="宋体" w:hAnsi="宋体" w:cs="宋体"/>
          <w:b w:val="0"/>
          <w:bCs/>
          <w:color w:val="auto"/>
          <w:szCs w:val="21"/>
          <w:highlight w:val="none"/>
        </w:rPr>
        <w:t>若通过技术标有效性审查的投标人中所有投标报价均大于等于最高投标限价，则本项目招标失败，由招标人依法重新招标。</w:t>
      </w:r>
      <w:r>
        <w:rPr>
          <w:rFonts w:hint="eastAsia" w:ascii="宋体" w:hAnsi="宋体" w:cs="宋体"/>
          <w:color w:val="auto"/>
          <w:szCs w:val="21"/>
          <w:highlight w:val="none"/>
        </w:rPr>
        <w:t xml:space="preserve"> </w:t>
      </w:r>
    </w:p>
    <w:p>
      <w:pPr>
        <w:tabs>
          <w:tab w:val="left" w:pos="441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条款号：45.2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widowControl/>
        <w:spacing w:line="360" w:lineRule="auto"/>
        <w:ind w:firstLine="422" w:firstLineChars="200"/>
        <w:rPr>
          <w:rFonts w:ascii="宋体" w:hAnsi="宋体"/>
          <w:b/>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b/>
          <w:color w:val="auto"/>
          <w:spacing w:val="2"/>
          <w:szCs w:val="21"/>
          <w:highlight w:val="none"/>
        </w:rPr>
        <w:t>：</w:t>
      </w:r>
      <w:r>
        <w:rPr>
          <w:rFonts w:hint="eastAsia" w:ascii="宋体" w:hAnsi="宋体" w:eastAsia="宋体"/>
          <w:color w:val="auto"/>
          <w:kern w:val="2"/>
          <w:sz w:val="21"/>
          <w:szCs w:val="21"/>
          <w:highlight w:val="none"/>
        </w:rPr>
        <w:t>45.2</w:t>
      </w:r>
      <w:r>
        <w:rPr>
          <w:rFonts w:hint="eastAsia" w:ascii="宋体" w:hAnsi="宋体" w:cs="仿宋"/>
          <w:b w:val="0"/>
          <w:bCs w:val="0"/>
          <w:color w:val="auto"/>
          <w:kern w:val="0"/>
          <w:szCs w:val="21"/>
          <w:highlight w:val="none"/>
        </w:rPr>
        <w:t>区间抽取法</w:t>
      </w:r>
    </w:p>
    <w:p>
      <w:pPr>
        <w:widowControl/>
        <w:snapToGrid w:val="0"/>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napToGrid w:val="0"/>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r>
        <w:rPr>
          <w:rFonts w:ascii="宋体" w:hAnsi="宋体" w:cs="仿宋"/>
          <w:color w:val="auto"/>
          <w:szCs w:val="21"/>
          <w:highlight w:val="none"/>
        </w:rPr>
        <w:t>*D%</w:t>
      </w:r>
      <w:r>
        <w:rPr>
          <w:rFonts w:hint="eastAsia" w:ascii="宋体" w:hAnsi="宋体" w:cs="仿宋"/>
          <w:color w:val="auto"/>
          <w:szCs w:val="21"/>
          <w:highlight w:val="none"/>
        </w:rPr>
        <w:t>）（</w:t>
      </w:r>
      <w:r>
        <w:rPr>
          <w:rFonts w:ascii="宋体" w:hAnsi="宋体" w:cs="仿宋"/>
          <w:color w:val="auto"/>
          <w:szCs w:val="21"/>
          <w:highlight w:val="none"/>
        </w:rPr>
        <w:t>D</w:t>
      </w:r>
      <w:r>
        <w:rPr>
          <w:rFonts w:hint="eastAsia" w:ascii="宋体" w:hAnsi="宋体" w:cs="仿宋"/>
          <w:color w:val="auto"/>
          <w:szCs w:val="21"/>
          <w:highlight w:val="none"/>
        </w:rPr>
        <w:t>的取值范围为</w:t>
      </w:r>
      <w:r>
        <w:rPr>
          <w:rFonts w:ascii="宋体" w:hAnsi="宋体" w:cs="仿宋"/>
          <w:color w:val="auto"/>
          <w:szCs w:val="21"/>
          <w:highlight w:val="none"/>
        </w:rPr>
        <w:t>[94,100],</w:t>
      </w:r>
      <w:r>
        <w:rPr>
          <w:rFonts w:hint="eastAsia" w:ascii="宋体" w:hAnsi="宋体" w:cs="仿宋"/>
          <w:color w:val="auto"/>
          <w:szCs w:val="21"/>
          <w:highlight w:val="none"/>
        </w:rPr>
        <w:t>由招标人自定）</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widowControl/>
        <w:snapToGrid w:val="0"/>
        <w:spacing w:line="360" w:lineRule="auto"/>
        <w:ind w:firstLine="430" w:firstLineChars="200"/>
        <w:rPr>
          <w:rFonts w:ascii="宋体" w:hAnsi="宋体" w:cs="宋体"/>
          <w:b/>
          <w:bCs/>
          <w:color w:val="auto"/>
          <w:kern w:val="0"/>
          <w:szCs w:val="21"/>
          <w:highlight w:val="none"/>
        </w:rPr>
      </w:pPr>
      <w:r>
        <w:rPr>
          <w:rFonts w:hint="eastAsia" w:ascii="宋体" w:hAnsi="宋体" w:cs="宋体"/>
          <w:b/>
          <w:color w:val="auto"/>
          <w:spacing w:val="2"/>
          <w:szCs w:val="21"/>
          <w:highlight w:val="none"/>
        </w:rPr>
        <w:t>现文：</w:t>
      </w:r>
      <w:r>
        <w:rPr>
          <w:rFonts w:hint="eastAsia" w:ascii="宋体" w:hAnsi="宋体" w:cs="宋体"/>
          <w:color w:val="auto"/>
          <w:sz w:val="21"/>
          <w:szCs w:val="21"/>
          <w:highlight w:val="none"/>
        </w:rPr>
        <w:t>45.2</w:t>
      </w:r>
      <w:r>
        <w:rPr>
          <w:rFonts w:hint="eastAsia" w:ascii="宋体" w:hAnsi="宋体" w:eastAsia="宋体" w:cs="宋体"/>
          <w:color w:val="auto"/>
          <w:sz w:val="21"/>
          <w:szCs w:val="21"/>
          <w:highlight w:val="none"/>
        </w:rPr>
        <w:t>按区间抽取法计算评标参考价：</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技术分</w:t>
      </w:r>
      <w:r>
        <w:rPr>
          <w:rFonts w:hint="eastAsia" w:ascii="宋体" w:hAnsi="宋体" w:cs="宋体"/>
          <w:color w:val="auto"/>
          <w:szCs w:val="21"/>
          <w:highlight w:val="none"/>
          <w:u w:val="single"/>
          <w:lang w:val="en-US" w:eastAsia="zh-CN"/>
        </w:rPr>
        <w:t>85</w:t>
      </w:r>
      <w:r>
        <w:rPr>
          <w:rFonts w:hint="eastAsia" w:ascii="宋体" w:hAnsi="宋体" w:cs="宋体"/>
          <w:color w:val="auto"/>
          <w:szCs w:val="21"/>
          <w:highlight w:val="none"/>
          <w:u w:val="single"/>
        </w:rPr>
        <w:t>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X：为等分点值，</w:t>
      </w:r>
      <w:r>
        <w:rPr>
          <w:rFonts w:hint="eastAsia" w:ascii="宋体" w:hAnsi="宋体" w:cs="宋体"/>
          <w:color w:val="auto"/>
          <w:szCs w:val="21"/>
          <w:highlight w:val="none"/>
          <w:u w:val="single"/>
        </w:rPr>
        <w:t>采用广州交易集团有限公司（广州公共资源交易中心）交易平台在线系统</w:t>
      </w:r>
      <w:r>
        <w:rPr>
          <w:rFonts w:hint="eastAsia" w:ascii="宋体" w:hAnsi="宋体" w:cs="宋体"/>
          <w:color w:val="auto"/>
          <w:szCs w:val="21"/>
          <w:highlight w:val="none"/>
        </w:rPr>
        <w:t>在开标前从[0,100]整数中随机抽取。</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条款号：45.3             修改类型：修改</w:t>
      </w:r>
    </w:p>
    <w:p>
      <w:pPr>
        <w:spacing w:line="38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spacing w:line="38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kern w:val="0"/>
          <w:szCs w:val="21"/>
          <w:highlight w:val="none"/>
          <w:u w:val="single"/>
        </w:rPr>
        <w:t>当投标总报价等于评标参考价时得100分，投标总报价每高于评标参考价1%，扣</w:t>
      </w:r>
      <w:r>
        <w:rPr>
          <w:rFonts w:hint="eastAsia" w:ascii="宋体" w:hAnsi="宋体" w:cs="宋体"/>
          <w:color w:val="auto"/>
          <w:kern w:val="0"/>
          <w:szCs w:val="21"/>
          <w:highlight w:val="none"/>
          <w:u w:val="single"/>
          <w:lang w:val="en-US" w:eastAsia="zh-CN"/>
        </w:rPr>
        <w:t>0.5</w:t>
      </w:r>
      <w:r>
        <w:rPr>
          <w:rFonts w:hint="eastAsia" w:ascii="宋体" w:hAnsi="宋体" w:cs="宋体"/>
          <w:color w:val="auto"/>
          <w:kern w:val="0"/>
          <w:szCs w:val="21"/>
          <w:highlight w:val="none"/>
          <w:u w:val="single"/>
        </w:rPr>
        <w:t>分，每低于评标参考价1%，扣0.</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分，扣至0分为止，得出经济分，精确到小数点后两位。</w:t>
      </w:r>
    </w:p>
    <w:p>
      <w:pPr>
        <w:pBdr>
          <w:bottom w:val="single" w:color="auto" w:sz="6" w:space="1"/>
        </w:pBdr>
        <w:spacing w:line="500" w:lineRule="exact"/>
        <w:rPr>
          <w:rFonts w:ascii="宋体" w:hAnsi="宋体"/>
          <w:b/>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条款号：45.4             修改类型：修改</w:t>
      </w:r>
    </w:p>
    <w:p>
      <w:pPr>
        <w:spacing w:line="38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top w:val="none" w:color="auto" w:sz="0" w:space="1"/>
          <w:left w:val="none" w:color="auto" w:sz="0" w:space="4"/>
          <w:bottom w:val="none" w:color="auto" w:sz="0" w:space="1"/>
          <w:right w:val="none" w:color="auto" w:sz="0" w:space="4"/>
        </w:pBdr>
        <w:spacing w:line="3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45.4计算通过技术标有效性审查的投标人总得分。</w:t>
      </w:r>
      <w:r>
        <w:rPr>
          <w:rFonts w:hint="eastAsia" w:ascii="宋体" w:hAnsi="宋体" w:eastAsia="宋体" w:cs="宋体"/>
          <w:color w:val="auto"/>
          <w:kern w:val="2"/>
          <w:sz w:val="21"/>
          <w:szCs w:val="21"/>
          <w:highlight w:val="none"/>
          <w:u w:val="single"/>
        </w:rPr>
        <w:t>投标人总得分=[技术得分</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满分100分</w:t>
      </w:r>
      <w:r>
        <w:rPr>
          <w:rFonts w:hint="eastAsia" w:ascii="宋体" w:hAnsi="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rPr>
        <w:t>×技术得分权重(</w:t>
      </w:r>
      <w:r>
        <w:rPr>
          <w:rFonts w:hint="eastAsia" w:ascii="宋体" w:hAnsi="宋体" w:cs="宋体"/>
          <w:color w:val="auto"/>
          <w:kern w:val="2"/>
          <w:sz w:val="21"/>
          <w:szCs w:val="21"/>
          <w:highlight w:val="none"/>
          <w:u w:val="single"/>
          <w:lang w:val="en-US" w:eastAsia="zh-CN"/>
        </w:rPr>
        <w:t>2</w:t>
      </w:r>
      <w:r>
        <w:rPr>
          <w:rFonts w:hint="eastAsia" w:ascii="宋体" w:hAnsi="宋体" w:eastAsia="宋体" w:cs="宋体"/>
          <w:color w:val="auto"/>
          <w:kern w:val="2"/>
          <w:sz w:val="21"/>
          <w:szCs w:val="21"/>
          <w:highlight w:val="none"/>
          <w:u w:val="single"/>
        </w:rPr>
        <w:t>0%)＋经济得分</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满分100分</w:t>
      </w:r>
      <w:r>
        <w:rPr>
          <w:rFonts w:hint="eastAsia" w:ascii="宋体" w:hAnsi="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rPr>
        <w:t>×经济得分权重(</w:t>
      </w:r>
      <w:r>
        <w:rPr>
          <w:rFonts w:hint="eastAsia" w:ascii="宋体" w:hAnsi="宋体" w:cs="宋体"/>
          <w:color w:val="auto"/>
          <w:kern w:val="2"/>
          <w:sz w:val="21"/>
          <w:szCs w:val="21"/>
          <w:highlight w:val="none"/>
          <w:u w:val="single"/>
          <w:lang w:val="en-US" w:eastAsia="zh-CN"/>
        </w:rPr>
        <w:t>8</w:t>
      </w:r>
      <w:r>
        <w:rPr>
          <w:rFonts w:hint="eastAsia" w:ascii="宋体" w:hAnsi="宋体" w:eastAsia="宋体" w:cs="宋体"/>
          <w:color w:val="auto"/>
          <w:kern w:val="2"/>
          <w:sz w:val="21"/>
          <w:szCs w:val="21"/>
          <w:highlight w:val="none"/>
          <w:u w:val="single"/>
        </w:rPr>
        <w:t>0%)]×80%＋诚信综合评价排名得分×20%。</w:t>
      </w:r>
      <w:r>
        <w:rPr>
          <w:rFonts w:hint="eastAsia" w:ascii="宋体" w:hAnsi="宋体" w:cs="宋体"/>
          <w:color w:val="auto"/>
          <w:szCs w:val="21"/>
          <w:highlight w:val="none"/>
          <w:u w:val="single"/>
        </w:rPr>
        <w:t>总得分四舍五入保留两位小数。总得分相同的投标文件，以报价低的排前；</w:t>
      </w:r>
      <w:r>
        <w:rPr>
          <w:rFonts w:hint="eastAsia" w:ascii="宋体" w:hAnsi="宋体" w:cs="宋体"/>
          <w:color w:val="auto"/>
          <w:szCs w:val="21"/>
          <w:highlight w:val="none"/>
          <w:u w:val="single"/>
          <w:lang w:val="en-US" w:eastAsia="zh-CN"/>
        </w:rPr>
        <w:t>经济</w:t>
      </w:r>
      <w:r>
        <w:rPr>
          <w:rFonts w:hint="eastAsia" w:ascii="宋体" w:hAnsi="宋体" w:cs="宋体"/>
          <w:color w:val="auto"/>
          <w:szCs w:val="21"/>
          <w:highlight w:val="none"/>
          <w:u w:val="single"/>
        </w:rPr>
        <w:t>分均相同的投标文件，以技术分较高的排前；如仍存在相同情况，则对具有相同情况的投标人，由评标委员会采用以差额选举的记名投票方式决定先后顺序，确定投标人的排序。</w:t>
      </w:r>
    </w:p>
    <w:p>
      <w:pPr>
        <w:pBdr>
          <w:bottom w:val="single" w:color="auto" w:sz="6" w:space="1"/>
        </w:pBdr>
        <w:spacing w:line="500" w:lineRule="exact"/>
        <w:rPr>
          <w:rFonts w:ascii="宋体" w:hAnsi="宋体"/>
          <w:b/>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修改类型：修改</w:t>
      </w:r>
    </w:p>
    <w:p>
      <w:pPr>
        <w:spacing w:line="38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auto"/>
          <w:szCs w:val="21"/>
          <w:highlight w:val="none"/>
        </w:rPr>
        <w:t>。</w:t>
      </w:r>
    </w:p>
    <w:p>
      <w:pPr>
        <w:pBdr>
          <w:bottom w:val="single" w:color="auto" w:sz="6" w:space="1"/>
        </w:pBdr>
        <w:spacing w:line="400" w:lineRule="exact"/>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Cs/>
          <w:color w:val="auto"/>
          <w:kern w:val="0"/>
          <w:sz w:val="21"/>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val="0"/>
          <w:bCs w:val="0"/>
          <w:color w:val="auto"/>
          <w:kern w:val="0"/>
          <w:sz w:val="22"/>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b w:val="0"/>
          <w:bCs w:val="0"/>
          <w:color w:val="auto"/>
          <w:kern w:val="0"/>
          <w:sz w:val="22"/>
          <w:highlight w:val="none"/>
          <w:u w:val="single"/>
          <w:lang w:eastAsia="zh-CN"/>
        </w:rPr>
        <w:t>。</w:t>
      </w:r>
    </w:p>
    <w:p>
      <w:pPr>
        <w:spacing w:line="480" w:lineRule="auto"/>
        <w:ind w:firstLine="422" w:firstLineChars="200"/>
        <w:rPr>
          <w:rFonts w:ascii="宋体" w:hAnsi="Calibri" w:cs="宋体"/>
          <w:b/>
          <w:color w:val="auto"/>
          <w:szCs w:val="21"/>
          <w:highlight w:val="none"/>
        </w:rPr>
      </w:pPr>
      <w:r>
        <w:rPr>
          <w:rFonts w:hint="eastAsia" w:ascii="宋体" w:hAnsi="Calibri" w:cs="宋体"/>
          <w:b/>
          <w:color w:val="auto"/>
          <w:szCs w:val="21"/>
          <w:highlight w:val="none"/>
        </w:rPr>
        <w:t>条款号：</w:t>
      </w:r>
      <w:r>
        <w:rPr>
          <w:rFonts w:hint="eastAsia" w:ascii="宋体" w:hAnsi="Calibri" w:cs="宋体"/>
          <w:bCs/>
          <w:color w:val="auto"/>
          <w:szCs w:val="21"/>
          <w:highlight w:val="none"/>
        </w:rPr>
        <w:t>48</w:t>
      </w:r>
      <w:r>
        <w:rPr>
          <w:rFonts w:hint="eastAsia" w:ascii="宋体" w:hAnsi="Calibri" w:cs="宋体"/>
          <w:b/>
          <w:color w:val="auto"/>
          <w:szCs w:val="21"/>
          <w:highlight w:val="none"/>
        </w:rPr>
        <w:t xml:space="preserve">   修改类型：修改</w:t>
      </w:r>
    </w:p>
    <w:p>
      <w:pPr>
        <w:spacing w:line="360" w:lineRule="auto"/>
        <w:ind w:firstLine="422" w:firstLineChars="200"/>
        <w:rPr>
          <w:rFonts w:ascii="宋体" w:hAnsi="Calibri" w:cs="宋体"/>
          <w:color w:val="auto"/>
          <w:szCs w:val="21"/>
          <w:highlight w:val="none"/>
        </w:rPr>
      </w:pPr>
      <w:r>
        <w:rPr>
          <w:rFonts w:hint="eastAsia" w:ascii="宋体" w:hAnsi="Calibri" w:cs="宋体"/>
          <w:b/>
          <w:color w:val="auto"/>
          <w:szCs w:val="21"/>
          <w:highlight w:val="none"/>
        </w:rPr>
        <w:t>原文：</w:t>
      </w:r>
      <w:r>
        <w:rPr>
          <w:rFonts w:hint="eastAsia" w:ascii="宋体" w:hAnsi="Calibri"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400" w:lineRule="exact"/>
        <w:ind w:firstLine="422" w:firstLineChars="200"/>
        <w:rPr>
          <w:rFonts w:ascii="宋体" w:hAnsi="Calibri" w:cs="宋体"/>
          <w:color w:val="auto"/>
          <w:szCs w:val="21"/>
          <w:highlight w:val="none"/>
        </w:rPr>
      </w:pPr>
      <w:r>
        <w:rPr>
          <w:rFonts w:hint="eastAsia" w:ascii="宋体" w:hAnsi="Calibri" w:cs="宋体"/>
          <w:b/>
          <w:color w:val="auto"/>
          <w:szCs w:val="21"/>
          <w:highlight w:val="none"/>
        </w:rPr>
        <w:t>现文：</w:t>
      </w:r>
      <w:r>
        <w:rPr>
          <w:rFonts w:hint="eastAsia" w:ascii="宋体" w:hAnsi="Calibri" w:cs="宋体"/>
          <w:color w:val="auto"/>
          <w:szCs w:val="21"/>
          <w:highlight w:val="none"/>
        </w:rPr>
        <w:t>48.评标委员会应在通过投标文件经济标有效性审查的投标人中，按步骤45.4确定的投标人</w:t>
      </w:r>
      <w:r>
        <w:rPr>
          <w:rFonts w:hint="eastAsia" w:ascii="宋体" w:hAnsi="Calibri" w:cs="宋体"/>
          <w:color w:val="auto"/>
          <w:szCs w:val="21"/>
          <w:highlight w:val="none"/>
          <w:u w:val="single"/>
        </w:rPr>
        <w:t>总得分</w:t>
      </w:r>
      <w:r>
        <w:rPr>
          <w:rFonts w:hint="eastAsia" w:ascii="宋体" w:hAnsi="Calibri" w:cs="宋体"/>
          <w:color w:val="auto"/>
          <w:szCs w:val="21"/>
          <w:highlight w:val="none"/>
        </w:rPr>
        <w:t>排序，推荐前3名依次为第一中标</w:t>
      </w:r>
      <w:r>
        <w:rPr>
          <w:rFonts w:hint="eastAsia" w:ascii="宋体" w:hAnsi="宋体"/>
          <w:color w:val="auto"/>
          <w:szCs w:val="21"/>
          <w:highlight w:val="none"/>
        </w:rPr>
        <w:t>候选人</w:t>
      </w:r>
      <w:r>
        <w:rPr>
          <w:rFonts w:hint="eastAsia" w:ascii="宋体" w:hAnsi="Calibri" w:cs="宋体"/>
          <w:color w:val="auto"/>
          <w:szCs w:val="21"/>
          <w:highlight w:val="none"/>
        </w:rPr>
        <w:t>至第三中标候选人,并编制评标报告。</w:t>
      </w:r>
    </w:p>
    <w:p>
      <w:pPr>
        <w:spacing w:line="5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附表二：《技术标有效性审查表》  附表三：《经济标有效性审查表》  附表四：《技术标详细审查评分表》 修改类型：修改</w:t>
      </w:r>
    </w:p>
    <w:p>
      <w:pPr>
        <w:pBdr>
          <w:bottom w:val="single" w:color="auto" w:sz="6" w:space="1"/>
        </w:pBdr>
        <w:spacing w:line="500" w:lineRule="exact"/>
        <w:ind w:firstLine="413" w:firstLineChars="196"/>
        <w:rPr>
          <w:rFonts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w:t>
      </w:r>
    </w:p>
    <w:p>
      <w:pPr>
        <w:pBdr>
          <w:bottom w:val="single" w:color="auto" w:sz="6" w:space="1"/>
        </w:pBdr>
        <w:spacing w:line="500" w:lineRule="exact"/>
        <w:ind w:firstLine="413" w:firstLineChars="196"/>
        <w:rPr>
          <w:rFonts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详见本招标文件附表一：《资格审查表》    附表二：《技术标有效性审查表》   附表三：《经济标有效性审查表》   附表四：《技术标详细审查评分表》</w:t>
      </w:r>
    </w:p>
    <w:p>
      <w:pPr>
        <w:spacing w:line="5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500" w:lineRule="exact"/>
        <w:rPr>
          <w:rFonts w:ascii="宋体" w:hAnsi="宋体" w:cs="宋体"/>
          <w:color w:val="auto"/>
          <w:szCs w:val="21"/>
          <w:highlight w:val="none"/>
        </w:rPr>
      </w:pPr>
      <w:r>
        <w:rPr>
          <w:rFonts w:hint="eastAsia" w:ascii="宋体" w:hAnsi="宋体" w:cs="宋体"/>
          <w:b/>
          <w:color w:val="auto"/>
          <w:szCs w:val="21"/>
          <w:highlight w:val="none"/>
        </w:rPr>
        <w:t>（以下无正文）</w:t>
      </w:r>
    </w:p>
    <w:p>
      <w:pPr>
        <w:pStyle w:val="2"/>
        <w:ind w:firstLine="186"/>
        <w:jc w:val="center"/>
        <w:rPr>
          <w:rFonts w:ascii="宋体" w:hAnsi="宋体"/>
          <w:color w:val="auto"/>
          <w:sz w:val="21"/>
          <w:szCs w:val="21"/>
          <w:highlight w:val="none"/>
        </w:rPr>
      </w:pPr>
      <w:r>
        <w:rPr>
          <w:rFonts w:hint="eastAsia" w:ascii="宋体" w:hAnsi="宋体" w:cs="宋体"/>
          <w:color w:val="auto"/>
          <w:sz w:val="21"/>
          <w:szCs w:val="21"/>
          <w:highlight w:val="none"/>
        </w:rPr>
        <w:br w:type="page"/>
      </w:r>
      <w:bookmarkStart w:id="28" w:name="_Toc2272556"/>
      <w:bookmarkStart w:id="29" w:name="_Toc21525500"/>
      <w:bookmarkStart w:id="30" w:name="_Toc1309"/>
      <w:bookmarkStart w:id="31" w:name="_Toc2272564"/>
      <w:r>
        <w:rPr>
          <w:rFonts w:hint="eastAsia" w:ascii="宋体" w:hAnsi="宋体"/>
          <w:color w:val="auto"/>
          <w:sz w:val="21"/>
          <w:szCs w:val="21"/>
          <w:highlight w:val="none"/>
        </w:rPr>
        <w:t>二、开标、评标及定标办法通用条款</w:t>
      </w:r>
      <w:bookmarkEnd w:id="28"/>
      <w:bookmarkEnd w:id="29"/>
      <w:bookmarkEnd w:id="30"/>
    </w:p>
    <w:p>
      <w:pPr>
        <w:pStyle w:val="4"/>
        <w:spacing w:before="156" w:after="156"/>
        <w:ind w:firstLine="420" w:firstLineChars="200"/>
        <w:rPr>
          <w:color w:val="auto"/>
          <w:sz w:val="21"/>
          <w:szCs w:val="21"/>
          <w:highlight w:val="none"/>
        </w:rPr>
      </w:pPr>
      <w:bookmarkStart w:id="32" w:name="_Toc4232"/>
      <w:bookmarkStart w:id="33" w:name="_Toc2272557"/>
      <w:bookmarkStart w:id="34" w:name="_Toc21525501"/>
      <w:bookmarkStart w:id="35" w:name="_Toc2272558"/>
      <w:bookmarkStart w:id="36" w:name="_Toc21525502"/>
      <w:r>
        <w:rPr>
          <w:rFonts w:hint="eastAsia"/>
          <w:color w:val="auto"/>
          <w:sz w:val="21"/>
          <w:szCs w:val="21"/>
          <w:highlight w:val="none"/>
        </w:rPr>
        <w:t>（一）总则</w:t>
      </w:r>
      <w:bookmarkEnd w:id="32"/>
      <w:bookmarkEnd w:id="33"/>
      <w:bookmarkEnd w:id="34"/>
    </w:p>
    <w:p>
      <w:pPr>
        <w:spacing w:line="360" w:lineRule="auto"/>
        <w:ind w:firstLine="420" w:firstLineChars="200"/>
        <w:rPr>
          <w:rFonts w:ascii="宋体" w:hAnsi="宋体"/>
          <w:b/>
          <w:color w:val="auto"/>
          <w:szCs w:val="21"/>
          <w:highlight w:val="none"/>
        </w:rPr>
      </w:pPr>
      <w:r>
        <w:rPr>
          <w:rFonts w:ascii="宋体" w:hAnsi="宋体"/>
          <w:color w:val="auto"/>
          <w:szCs w:val="21"/>
          <w:highlight w:val="none"/>
        </w:rPr>
        <w:t xml:space="preserve">35 </w:t>
      </w:r>
      <w:r>
        <w:rPr>
          <w:rFonts w:hint="eastAsia" w:ascii="宋体" w:hAnsi="宋体"/>
          <w:color w:val="auto"/>
          <w:szCs w:val="21"/>
          <w:highlight w:val="none"/>
        </w:rPr>
        <w:t>开标、评标及定标所依据的规则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35.1《中华人民共和国招标投标法》；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35.2《中华人民共和国招标投标法实施条例》；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35.3《评标委员会和评标方法暂行规定》（七部委第12号令）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35.4《工程建设项目施工招标投标办法》（七部委2003年第30号令）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35.5《广东省实施〈中华人民共和国招标投标法〉办法》；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35.6《房屋建筑和市政基础设施工程施工招标投标管理办法》（建设部令第89号）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35.7《财政部 工业和信息化部关于印发〈政府采购促进中小企业发展管理办法〉的通知》（财库〔2020〕46号）；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35.8《广东省加强建设工程招标投标监督管理的若干规定》（粤发[2004]4号）；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35.9《广东省政府采购促进中小企业发展实施细则（试行）》；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35.10《广州市工程建设项目招标投标管理办法》（穗建规字〔2023〕12号）；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35.12本项目招标文件。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36</w:t>
      </w:r>
      <w:r>
        <w:rPr>
          <w:rFonts w:hint="eastAsia" w:ascii="宋体" w:hAnsi="宋体"/>
          <w:color w:val="auto"/>
          <w:szCs w:val="21"/>
          <w:highlight w:val="none"/>
        </w:rPr>
        <w:t>．开标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36.1 </w:t>
      </w:r>
      <w:r>
        <w:rPr>
          <w:rFonts w:hint="eastAsia" w:ascii="宋体" w:hAnsi="宋体"/>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 xml:space="preserve"> 招标人在招标文件要求提交投标文件的截止时间前收到的投标文件，开标时都当众予以解密、公布。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36.4若递交投标文件的投标人不足3家，则重新组织招标。（当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w:t>
      </w:r>
      <w:r>
        <w:rPr>
          <w:rFonts w:hint="eastAsia" w:ascii="宋体" w:hAnsi="宋体"/>
          <w:color w:val="auto"/>
          <w:szCs w:val="21"/>
          <w:highlight w:val="none"/>
        </w:rPr>
        <w:t>2家，则重新组织招标）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36.5按下列程序进行开标：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36.5.1</w:t>
      </w:r>
      <w:r>
        <w:rPr>
          <w:rFonts w:hint="eastAsia" w:ascii="宋体" w:hAnsi="宋体" w:cs="宋体"/>
          <w:bCs/>
          <w:color w:val="auto"/>
          <w:szCs w:val="21"/>
          <w:highlight w:val="none"/>
        </w:rPr>
        <w:t>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36.5.2备用光盘的读取按投标须知前附表第36项的规定执行；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36.5.3投标人代表、招标人代表、监标人、记录人等有关人员在开标记录上签字确认；若有关人员不签字的，不影响开标程序；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36.5.4开标结束。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36.7开标时，两个（含两个）以上的投标人加密打包投标文件电脑机器特征码一致的，不参与下一程序，并由评标委员会否决其投标。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．评标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评标委员会由招标人依法组建。</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评标委员会在开始评标前，应了解评标专家的职责及守则，认真阅读附件1《评标委员会成员声明》的内容并签名，签字后方可进行评标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37.3</w:t>
      </w:r>
      <w:r>
        <w:rPr>
          <w:rFonts w:hint="eastAsia" w:ascii="宋体" w:hAnsi="宋体"/>
          <w:color w:val="auto"/>
          <w:szCs w:val="21"/>
          <w:highlight w:val="none"/>
        </w:rPr>
        <w:t>评标委员会的职责及守则：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.1</w:t>
      </w:r>
      <w:r>
        <w:rPr>
          <w:rFonts w:hint="eastAsia" w:ascii="宋体" w:hAnsi="宋体"/>
          <w:color w:val="auto"/>
          <w:szCs w:val="21"/>
          <w:highlight w:val="none"/>
        </w:rPr>
        <w:t>根据评标细则，对投标文件进行认真评审，完成评审报告；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.2</w:t>
      </w:r>
      <w:r>
        <w:rPr>
          <w:rFonts w:hint="eastAsia" w:ascii="宋体" w:hAnsi="宋体"/>
          <w:color w:val="auto"/>
          <w:szCs w:val="21"/>
          <w:highlight w:val="none"/>
        </w:rPr>
        <w:t>向招标人报告评审意见，推荐合格的中标候选人。</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37.</w:t>
      </w:r>
      <w:r>
        <w:rPr>
          <w:rFonts w:hint="eastAsia" w:ascii="宋体" w:hAnsi="宋体"/>
          <w:bCs/>
          <w:color w:val="auto"/>
          <w:szCs w:val="21"/>
          <w:highlight w:val="none"/>
          <w:lang w:val="en-US" w:eastAsia="zh-CN"/>
        </w:rPr>
        <w:t>3</w:t>
      </w:r>
      <w:r>
        <w:rPr>
          <w:rFonts w:ascii="宋体" w:hAnsi="宋体"/>
          <w:bCs/>
          <w:color w:val="auto"/>
          <w:szCs w:val="21"/>
          <w:highlight w:val="none"/>
        </w:rPr>
        <w:t>.3</w:t>
      </w:r>
      <w:r>
        <w:rPr>
          <w:rFonts w:hint="eastAsia" w:ascii="宋体" w:hAnsi="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.4</w:t>
      </w:r>
      <w:r>
        <w:rPr>
          <w:rFonts w:hint="eastAsia" w:ascii="宋体" w:hAnsi="宋体"/>
          <w:color w:val="auto"/>
          <w:szCs w:val="21"/>
          <w:highlight w:val="none"/>
        </w:rPr>
        <w:t>全体参与评标人员：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.4.1 </w:t>
      </w:r>
      <w:r>
        <w:rPr>
          <w:rFonts w:hint="eastAsia" w:ascii="宋体" w:hAnsi="宋体"/>
          <w:color w:val="auto"/>
          <w:szCs w:val="21"/>
          <w:highlight w:val="none"/>
        </w:rPr>
        <w:t>必须遵守评标纪律、不得泄密；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.4.2 </w:t>
      </w:r>
      <w:r>
        <w:rPr>
          <w:rFonts w:hint="eastAsia" w:ascii="宋体" w:hAnsi="宋体"/>
          <w:color w:val="auto"/>
          <w:szCs w:val="21"/>
          <w:highlight w:val="none"/>
        </w:rPr>
        <w:t>必须公正、不得循私；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.4.3 </w:t>
      </w:r>
      <w:r>
        <w:rPr>
          <w:rFonts w:hint="eastAsia" w:ascii="宋体" w:hAnsi="宋体"/>
          <w:color w:val="auto"/>
          <w:szCs w:val="21"/>
          <w:highlight w:val="none"/>
        </w:rPr>
        <w:t>必须科学、不得草率；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.4.4 </w:t>
      </w:r>
      <w:r>
        <w:rPr>
          <w:rFonts w:hint="eastAsia" w:ascii="宋体" w:hAnsi="宋体"/>
          <w:color w:val="auto"/>
          <w:szCs w:val="21"/>
          <w:highlight w:val="none"/>
        </w:rPr>
        <w:t>必须客观、不得带有成见；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.4.5 </w:t>
      </w:r>
      <w:r>
        <w:rPr>
          <w:rFonts w:hint="eastAsia" w:ascii="宋体" w:hAnsi="宋体"/>
          <w:color w:val="auto"/>
          <w:szCs w:val="21"/>
          <w:highlight w:val="none"/>
        </w:rPr>
        <w:t>必须平等、不得强加于人；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lang w:val="en-US" w:eastAsia="zh-CN"/>
        </w:rPr>
        <w:t>3</w:t>
      </w:r>
      <w:r>
        <w:rPr>
          <w:rFonts w:ascii="宋体" w:hAnsi="宋体"/>
          <w:color w:val="auto"/>
          <w:szCs w:val="21"/>
          <w:highlight w:val="none"/>
        </w:rPr>
        <w:t xml:space="preserve">.4.6 </w:t>
      </w:r>
      <w:r>
        <w:rPr>
          <w:rFonts w:hint="eastAsia" w:ascii="宋体" w:hAnsi="宋体"/>
          <w:color w:val="auto"/>
          <w:szCs w:val="21"/>
          <w:highlight w:val="none"/>
        </w:rPr>
        <w:t>必须严谨、不得随意马虎。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37.5 评标结束后，评标委员会递交评标报告并依法推荐中标候选人。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．投标文件的澄清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38.2 </w:t>
      </w:r>
      <w:r>
        <w:rPr>
          <w:rFonts w:hint="eastAsia" w:ascii="宋体" w:hAnsi="宋体"/>
          <w:color w:val="auto"/>
          <w:szCs w:val="21"/>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38.3 </w:t>
      </w:r>
      <w:r>
        <w:rPr>
          <w:rFonts w:hint="eastAsia" w:ascii="宋体" w:hAnsi="宋体"/>
          <w:color w:val="auto"/>
          <w:szCs w:val="21"/>
          <w:highlight w:val="none"/>
        </w:rPr>
        <w:t>评标委员会或评标委员会专业评审组成员均应当阅读投标人的澄清，但应独立参考澄清对投标文件进行评审。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38.4</w:t>
      </w:r>
      <w:r>
        <w:rPr>
          <w:rFonts w:hint="eastAsia" w:ascii="宋体" w:hAnsi="宋体"/>
          <w:color w:val="auto"/>
          <w:szCs w:val="21"/>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w:t>
      </w:r>
      <w:r>
        <w:rPr>
          <w:rFonts w:hint="eastAsia" w:ascii="宋体" w:hAnsi="宋体"/>
          <w:color w:val="auto"/>
          <w:szCs w:val="21"/>
          <w:highlight w:val="none"/>
        </w:rPr>
        <w:t>．定标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39.1 </w:t>
      </w:r>
      <w:r>
        <w:rPr>
          <w:rFonts w:hint="eastAsia" w:ascii="宋体" w:hAnsi="宋体"/>
          <w:color w:val="auto"/>
          <w:szCs w:val="21"/>
          <w:highlight w:val="none"/>
        </w:rPr>
        <w:t>招标人根据评标委员会递交的评标报告，最终审定中标人。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39.2 </w:t>
      </w:r>
      <w:r>
        <w:rPr>
          <w:rFonts w:hint="eastAsia" w:ascii="宋体" w:hAnsi="宋体"/>
          <w:color w:val="auto"/>
          <w:szCs w:val="21"/>
          <w:highlight w:val="none"/>
        </w:rPr>
        <w:t>依法必须进行公开招标的项目，招标人应当确定排名第一的中标候选人为中标人。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39.4</w:t>
      </w:r>
      <w:r>
        <w:rPr>
          <w:rFonts w:hint="eastAsia" w:ascii="宋体" w:hAnsi="宋体"/>
          <w:color w:val="auto"/>
          <w:szCs w:val="21"/>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bookmarkEnd w:id="35"/>
    <w:bookmarkEnd w:id="36"/>
    <w:p>
      <w:pPr>
        <w:pStyle w:val="4"/>
        <w:spacing w:before="156" w:after="156"/>
        <w:ind w:firstLine="420" w:firstLineChars="200"/>
        <w:rPr>
          <w:color w:val="auto"/>
          <w:sz w:val="21"/>
          <w:szCs w:val="21"/>
          <w:highlight w:val="none"/>
        </w:rPr>
      </w:pPr>
      <w:bookmarkStart w:id="37" w:name="_Toc18118"/>
      <w:r>
        <w:rPr>
          <w:rFonts w:hint="eastAsia"/>
          <w:color w:val="auto"/>
          <w:sz w:val="21"/>
          <w:szCs w:val="21"/>
          <w:highlight w:val="none"/>
        </w:rPr>
        <w:t>（二）开标评标办法程序和细则</w:t>
      </w:r>
      <w:bookmarkEnd w:id="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注：以下八种评标办法所述企业综合诚信评价分数即投标截止当日广州市工程招标代理行业协会网站上公布的企业综合诚信评价</w:t>
      </w:r>
      <w:r>
        <w:rPr>
          <w:rFonts w:ascii="宋体" w:hAnsi="宋体"/>
          <w:color w:val="auto"/>
          <w:szCs w:val="21"/>
          <w:highlight w:val="none"/>
        </w:rPr>
        <w:t>60</w:t>
      </w:r>
      <w:r>
        <w:rPr>
          <w:rFonts w:hint="eastAsia" w:ascii="宋体" w:hAnsi="宋体"/>
          <w:color w:val="auto"/>
          <w:szCs w:val="21"/>
          <w:highlight w:val="none"/>
        </w:rPr>
        <w:t>日诚信分。</w:t>
      </w:r>
    </w:p>
    <w:p>
      <w:pPr>
        <w:ind w:firstLine="186"/>
        <w:jc w:val="center"/>
        <w:rPr>
          <w:rFonts w:ascii="宋体" w:hAnsi="宋体" w:cs="宋体"/>
          <w:color w:val="auto"/>
          <w:szCs w:val="21"/>
          <w:highlight w:val="none"/>
        </w:rPr>
      </w:pPr>
    </w:p>
    <w:bookmarkEnd w:id="31"/>
    <w:p>
      <w:pPr>
        <w:pStyle w:val="4"/>
        <w:spacing w:before="156" w:after="156"/>
        <w:ind w:firstLine="420" w:firstLineChars="200"/>
        <w:rPr>
          <w:color w:val="auto"/>
          <w:sz w:val="21"/>
          <w:szCs w:val="21"/>
          <w:highlight w:val="none"/>
        </w:rPr>
      </w:pPr>
      <w:bookmarkStart w:id="38" w:name="_Toc24831"/>
      <w:bookmarkStart w:id="39" w:name="_Toc21525509"/>
      <w:r>
        <w:rPr>
          <w:rFonts w:hint="eastAsia"/>
          <w:color w:val="auto"/>
          <w:sz w:val="21"/>
          <w:szCs w:val="21"/>
          <w:highlight w:val="none"/>
        </w:rPr>
        <w:t>可选办法七（适合综合评分法四，技术标与经济标同时开启）</w:t>
      </w:r>
      <w:bookmarkEnd w:id="38"/>
      <w:bookmarkEnd w:id="39"/>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40．开标和评标程序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40.1技术标（含资格审查文件）与经济标投标文件同时公开开标；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40.2由评标委员会对所有已公开开标的投标人进行资格审查；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40.3技术标投标文件有效性审查；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40.4技术标详细审查评分；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40.5经济标详细审查评分；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40.6评标委员会按照投标人总得分由高至低排序；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40.7经济标投标文件有效性审查；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40.8评标委员会按排序向招标人推荐中标候选人名单，并递交资格审查报告及评标报告。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41．开标细则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41.1开标由招标人主持；</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 细则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41.2.1投标截止期前，各投标人递交投标文件（包括技术标投标文件、经济标投标文件）至交易平台。有关投标文件提交的事项详见第一章投标须知。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41.2.2开标前，首先由招标人随机抽取确定该工程计算评标参考价的等分点值X。</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41.2.4按36.5.1的规定完成解密后，公布下列内容，并予以记录，记录提交评标委员会评审：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41.3招标人对开标过程进行记录，并存档备查，投标人在技术标开标记录上签字。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41.4 招标人将上述符合要求的投标文件，送至评标委员会进行评审。</w:t>
      </w:r>
    </w:p>
    <w:p>
      <w:pPr>
        <w:pStyle w:val="36"/>
        <w:tabs>
          <w:tab w:val="left" w:pos="7380"/>
        </w:tabs>
        <w:snapToGrid w:val="0"/>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42. 资格审查及评标细则</w:t>
      </w:r>
    </w:p>
    <w:p>
      <w:pPr>
        <w:pStyle w:val="36"/>
        <w:tabs>
          <w:tab w:val="left" w:pos="7380"/>
        </w:tabs>
        <w:snapToGrid w:val="0"/>
        <w:spacing w:after="0" w:line="360" w:lineRule="auto"/>
        <w:ind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42.1资格审查及评标均由招标人依法组建的评标委员会负责。</w:t>
      </w:r>
    </w:p>
    <w:p>
      <w:pPr>
        <w:pStyle w:val="36"/>
        <w:tabs>
          <w:tab w:val="left" w:pos="7380"/>
        </w:tabs>
        <w:snapToGrid w:val="0"/>
        <w:spacing w:after="0" w:line="360" w:lineRule="auto"/>
        <w:ind w:firstLineChars="200"/>
        <w:rPr>
          <w:rFonts w:ascii="宋体" w:hAnsi="宋体" w:eastAsia="宋体"/>
          <w:color w:val="auto"/>
          <w:sz w:val="21"/>
          <w:szCs w:val="21"/>
          <w:highlight w:val="none"/>
        </w:rPr>
      </w:pPr>
      <w:r>
        <w:rPr>
          <w:rFonts w:hint="eastAsia" w:ascii="宋体" w:hAnsi="宋体" w:eastAsia="宋体"/>
          <w:color w:val="auto"/>
          <w:kern w:val="2"/>
          <w:sz w:val="21"/>
          <w:szCs w:val="21"/>
          <w:highlight w:val="none"/>
        </w:rPr>
        <w:t xml:space="preserve">42.2评标委员会的组成：方式  </w:t>
      </w:r>
      <w:r>
        <w:rPr>
          <w:rFonts w:hint="eastAsia" w:ascii="宋体" w:hAnsi="宋体" w:eastAsia="宋体"/>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方式一：评标委员会为综合评标委员会，负责资格审查及评标工作。</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s="宋体"/>
          <w:color w:val="auto"/>
          <w:sz w:val="21"/>
          <w:szCs w:val="21"/>
          <w:highlight w:val="none"/>
        </w:rPr>
        <w:t>方式二：评标委员会由技术评审组和经济评审组组成。</w:t>
      </w:r>
      <w:r>
        <w:rPr>
          <w:rFonts w:hint="eastAsia" w:ascii="宋体" w:hAnsi="宋体" w:eastAsia="宋体"/>
          <w:color w:val="auto"/>
          <w:kern w:val="2"/>
          <w:sz w:val="21"/>
          <w:szCs w:val="21"/>
          <w:highlight w:val="none"/>
        </w:rPr>
        <w:t>其中：资格审查及技术评审由技术评标组负责，经济评审由经济评审组负责。</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43．投标人资格审查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43.2汇总资格审查情况，编写资格审查报告。</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43.3资格审查不合格的投标文件不参加下一阶段的评标，不参与评标参考价的计算。</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43.5资审合格后，投标人的资格发生变化而不满足投标人合格条件，在发出中标通知书前，资格问题仍未解决的，招标人将取消其中标资格。</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43.6资格审查合格的投标人少于3名的（当N个标段同时招标且不允许兼中时，资格审查合格的投标人少于N+2名），则本项目招标失败。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44．技术标评审</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45．经济标评审和得分汇总</w:t>
      </w:r>
    </w:p>
    <w:p>
      <w:pPr>
        <w:pStyle w:val="36"/>
        <w:tabs>
          <w:tab w:val="left" w:pos="7380"/>
        </w:tabs>
        <w:snapToGrid w:val="0"/>
        <w:spacing w:after="0"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45.1若通过技术标有效性审查的投标人中所有投标报价均大于等于最高投标限价*D%（D的取值范围为[94,100],由招标人自主确定）的（具体金额为：元），则本项目招标失败，由招标人依法重新招标。</w:t>
      </w:r>
    </w:p>
    <w:p>
      <w:pPr>
        <w:widowControl/>
        <w:spacing w:line="360" w:lineRule="auto"/>
        <w:ind w:firstLine="420" w:firstLineChars="200"/>
        <w:rPr>
          <w:rFonts w:ascii="宋体" w:hAnsi="宋体"/>
          <w:b/>
          <w:bCs/>
          <w:color w:val="auto"/>
          <w:kern w:val="0"/>
          <w:szCs w:val="21"/>
          <w:highlight w:val="none"/>
        </w:rPr>
      </w:pPr>
      <w:r>
        <w:rPr>
          <w:rFonts w:hint="eastAsia" w:ascii="宋体" w:hAnsi="宋体" w:eastAsia="宋体"/>
          <w:color w:val="auto"/>
          <w:kern w:val="2"/>
          <w:sz w:val="21"/>
          <w:szCs w:val="21"/>
          <w:highlight w:val="none"/>
        </w:rPr>
        <w:t xml:space="preserve"> 45.2</w:t>
      </w:r>
      <w:r>
        <w:rPr>
          <w:rFonts w:hint="eastAsia" w:ascii="宋体" w:hAnsi="宋体" w:cs="仿宋"/>
          <w:b w:val="0"/>
          <w:bCs w:val="0"/>
          <w:color w:val="auto"/>
          <w:kern w:val="0"/>
          <w:szCs w:val="21"/>
          <w:highlight w:val="none"/>
        </w:rPr>
        <w:t>区间抽取法</w:t>
      </w:r>
    </w:p>
    <w:p>
      <w:pPr>
        <w:widowControl/>
        <w:snapToGrid w:val="0"/>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napToGrid w:val="0"/>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r>
        <w:rPr>
          <w:rFonts w:ascii="宋体" w:hAnsi="宋体" w:cs="仿宋"/>
          <w:color w:val="auto"/>
          <w:szCs w:val="21"/>
          <w:highlight w:val="none"/>
        </w:rPr>
        <w:t>*D%</w:t>
      </w:r>
      <w:r>
        <w:rPr>
          <w:rFonts w:hint="eastAsia" w:ascii="宋体" w:hAnsi="宋体" w:cs="仿宋"/>
          <w:color w:val="auto"/>
          <w:szCs w:val="21"/>
          <w:highlight w:val="none"/>
        </w:rPr>
        <w:t>）（</w:t>
      </w:r>
      <w:r>
        <w:rPr>
          <w:rFonts w:ascii="宋体" w:hAnsi="宋体" w:cs="仿宋"/>
          <w:color w:val="auto"/>
          <w:szCs w:val="21"/>
          <w:highlight w:val="none"/>
        </w:rPr>
        <w:t>D</w:t>
      </w:r>
      <w:r>
        <w:rPr>
          <w:rFonts w:hint="eastAsia" w:ascii="宋体" w:hAnsi="宋体" w:cs="仿宋"/>
          <w:color w:val="auto"/>
          <w:szCs w:val="21"/>
          <w:highlight w:val="none"/>
        </w:rPr>
        <w:t>的取值范围为</w:t>
      </w:r>
      <w:r>
        <w:rPr>
          <w:rFonts w:ascii="宋体" w:hAnsi="宋体" w:cs="仿宋"/>
          <w:color w:val="auto"/>
          <w:szCs w:val="21"/>
          <w:highlight w:val="none"/>
        </w:rPr>
        <w:t>[94,100],</w:t>
      </w:r>
      <w:r>
        <w:rPr>
          <w:rFonts w:hint="eastAsia" w:ascii="宋体" w:hAnsi="宋体" w:cs="仿宋"/>
          <w:color w:val="auto"/>
          <w:szCs w:val="21"/>
          <w:highlight w:val="none"/>
        </w:rPr>
        <w:t>由招标人自定）</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pStyle w:val="36"/>
        <w:tabs>
          <w:tab w:val="left" w:pos="7380"/>
        </w:tabs>
        <w:snapToGrid w:val="0"/>
        <w:spacing w:after="0" w:line="360" w:lineRule="auto"/>
        <w:ind w:firstLineChars="200"/>
        <w:rPr>
          <w:rFonts w:ascii="宋体" w:hAnsi="宋体" w:eastAsia="宋体" w:cs="仿宋"/>
          <w:color w:val="auto"/>
          <w:kern w:val="2"/>
          <w:sz w:val="21"/>
          <w:szCs w:val="21"/>
          <w:highlight w:val="none"/>
        </w:rPr>
      </w:pPr>
      <w:r>
        <w:rPr>
          <w:rFonts w:hint="eastAsia" w:ascii="宋体" w:hAnsi="宋体" w:eastAsia="宋体"/>
          <w:color w:val="auto"/>
          <w:sz w:val="21"/>
          <w:szCs w:val="21"/>
          <w:highlight w:val="none"/>
        </w:rPr>
        <w:t>45.4</w:t>
      </w:r>
      <w:r>
        <w:rPr>
          <w:rFonts w:hint="eastAsia" w:ascii="宋体" w:hAnsi="宋体" w:eastAsia="宋体" w:cs="仿宋"/>
          <w:color w:val="auto"/>
          <w:kern w:val="2"/>
          <w:sz w:val="21"/>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36"/>
        <w:tabs>
          <w:tab w:val="left" w:pos="7380"/>
        </w:tabs>
        <w:snapToGrid w:val="0"/>
        <w:spacing w:after="0" w:line="360" w:lineRule="auto"/>
        <w:ind w:firstLineChars="200"/>
        <w:rPr>
          <w:rFonts w:ascii="宋体" w:hAnsi="宋体" w:eastAsia="宋体" w:cs="仿宋"/>
          <w:color w:val="auto"/>
          <w:kern w:val="2"/>
          <w:sz w:val="21"/>
          <w:szCs w:val="21"/>
          <w:highlight w:val="none"/>
        </w:rPr>
      </w:pPr>
      <w:r>
        <w:rPr>
          <w:rFonts w:hint="eastAsia" w:ascii="宋体" w:hAnsi="宋体" w:eastAsia="宋体" w:cs="仿宋"/>
          <w:color w:val="auto"/>
          <w:kern w:val="2"/>
          <w:sz w:val="21"/>
          <w:szCs w:val="21"/>
          <w:highlight w:val="none"/>
        </w:rPr>
        <w:t>46.经济标的有效性审查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6.2经济标的算术校核。评标委员会对进行经济标有效性审查的投标文件投标报价按照就低不就高的原则进行算术校核，具体标准如下：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6.2.1如果数字表示的金额和用文字表示的金额不一致时，应以文字表示的金额为准；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6.2.2经算术复核的投标人报价与其投标报价不一致时，按就低不就高原则确定其最终报价；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4</w:t>
      </w:r>
      <w:r>
        <w:rPr>
          <w:rFonts w:hint="eastAsia" w:ascii="宋体" w:hAnsi="宋体"/>
          <w:color w:val="auto"/>
          <w:szCs w:val="21"/>
          <w:highlight w:val="none"/>
        </w:rPr>
        <w:t>当合价、金额累加错误时，按就低不就高原则，如果累加修正值小于原累加值，则按累加修正值；如果累加修正值大于原累加值，则按原累加值；</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5</w:t>
      </w:r>
      <w:r>
        <w:rPr>
          <w:rFonts w:hint="eastAsia" w:ascii="宋体" w:hAnsi="宋体"/>
          <w:color w:val="auto"/>
          <w:szCs w:val="21"/>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6</w:t>
      </w:r>
      <w:r>
        <w:rPr>
          <w:rFonts w:hint="eastAsia" w:ascii="宋体" w:hAnsi="宋体"/>
          <w:color w:val="auto"/>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7</w:t>
      </w:r>
      <w:r>
        <w:rPr>
          <w:rFonts w:hint="eastAsia" w:ascii="宋体" w:hAnsi="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6.2.</w:t>
      </w:r>
      <w:r>
        <w:rPr>
          <w:rFonts w:ascii="宋体" w:hAnsi="宋体"/>
          <w:color w:val="auto"/>
          <w:szCs w:val="21"/>
          <w:highlight w:val="none"/>
        </w:rPr>
        <w:t>8</w:t>
      </w:r>
      <w:r>
        <w:rPr>
          <w:rFonts w:hint="eastAsia" w:ascii="宋体" w:hAnsi="宋体"/>
          <w:color w:val="auto"/>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8.评标委员会应在通过投标文件经济标有效性审查的投标人中，按步骤45.4确定的投标人第二阶段排序，推荐前</w:t>
      </w:r>
      <w:r>
        <w:rPr>
          <w:rFonts w:ascii="宋体" w:hAnsi="宋体"/>
          <w:color w:val="auto"/>
          <w:szCs w:val="21"/>
          <w:highlight w:val="none"/>
        </w:rPr>
        <w:t>3</w:t>
      </w:r>
      <w:r>
        <w:rPr>
          <w:rFonts w:hint="eastAsia" w:ascii="宋体" w:hAnsi="宋体"/>
          <w:color w:val="auto"/>
          <w:szCs w:val="21"/>
          <w:highlight w:val="none"/>
        </w:rPr>
        <w:t>名依次为第一中标候选人至第三中标候选人</w:t>
      </w:r>
      <w:r>
        <w:rPr>
          <w:rFonts w:ascii="宋体" w:hAnsi="宋体"/>
          <w:color w:val="auto"/>
          <w:szCs w:val="21"/>
          <w:highlight w:val="none"/>
        </w:rPr>
        <w:t>,</w:t>
      </w:r>
      <w:r>
        <w:rPr>
          <w:rFonts w:hint="eastAsia" w:ascii="宋体" w:hAnsi="宋体"/>
          <w:color w:val="auto"/>
          <w:szCs w:val="21"/>
          <w:highlight w:val="none"/>
        </w:rPr>
        <w:t>并编制评标报告。</w:t>
      </w:r>
    </w:p>
    <w:p>
      <w:pPr>
        <w:spacing w:line="360" w:lineRule="auto"/>
        <w:ind w:firstLine="420" w:firstLineChars="200"/>
        <w:rPr>
          <w:rFonts w:hint="eastAsia" w:ascii="宋体" w:hAnsi="宋体"/>
          <w:color w:val="auto"/>
          <w:szCs w:val="21"/>
          <w:highlight w:val="none"/>
        </w:rPr>
        <w:sectPr>
          <w:footerReference r:id="rId9" w:type="first"/>
          <w:footerReference r:id="rId8" w:type="default"/>
          <w:endnotePr>
            <w:numFmt w:val="decimal"/>
          </w:endnotePr>
          <w:pgSz w:w="11906" w:h="16838"/>
          <w:pgMar w:top="1417" w:right="1416" w:bottom="1417" w:left="1417" w:header="851" w:footer="567" w:gutter="0"/>
          <w:pgNumType w:start="1"/>
          <w:cols w:space="720" w:num="1"/>
          <w:titlePg/>
          <w:docGrid w:type="lines" w:linePitch="317" w:charSpace="0"/>
        </w:sectPr>
      </w:pPr>
      <w:r>
        <w:rPr>
          <w:rFonts w:ascii="宋体" w:hAnsi="宋体"/>
          <w:color w:val="auto"/>
          <w:szCs w:val="21"/>
          <w:highlight w:val="none"/>
        </w:rPr>
        <w:t>4</w:t>
      </w:r>
      <w:r>
        <w:rPr>
          <w:rFonts w:hint="eastAsia" w:ascii="宋体" w:hAnsi="宋体"/>
          <w:color w:val="auto"/>
          <w:szCs w:val="21"/>
          <w:highlight w:val="none"/>
        </w:rPr>
        <w:t>9.若通过经济标有效性审查的投标人不足三家，应当依法重新招标。（当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N+2</w:t>
      </w:r>
      <w:r>
        <w:rPr>
          <w:rFonts w:hint="eastAsia" w:ascii="宋体" w:hAnsi="宋体"/>
          <w:color w:val="auto"/>
          <w:szCs w:val="21"/>
          <w:highlight w:val="none"/>
        </w:rPr>
        <w:t>家，应当依法重新招标）</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w:t>
      </w:r>
    </w:p>
    <w:p>
      <w:pPr>
        <w:spacing w:line="360" w:lineRule="auto"/>
        <w:ind w:firstLine="643" w:firstLineChars="20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32"/>
          <w:szCs w:val="32"/>
          <w:highlight w:val="none"/>
        </w:rPr>
        <w:t>评标委员会成员声明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广州港国际港航中心有限公司</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pPr>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声明人：</w:t>
      </w:r>
      <w:r>
        <w:rPr>
          <w:rFonts w:hint="eastAsia" w:ascii="宋体" w:hAnsi="宋体" w:eastAsia="宋体" w:cs="宋体"/>
          <w:color w:val="auto"/>
          <w:sz w:val="24"/>
          <w:szCs w:val="24"/>
          <w:highlight w:val="none"/>
          <w:u w:val="single"/>
        </w:rPr>
        <w:t xml:space="preserve">（签名）  </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080" w:firstLineChars="1700"/>
        <w:rPr>
          <w:color w:val="auto"/>
          <w:highlight w:val="none"/>
        </w:rPr>
      </w:pPr>
      <w:r>
        <w:rPr>
          <w:rFonts w:hint="eastAsia" w:cs="宋体"/>
          <w:color w:val="auto"/>
          <w:sz w:val="24"/>
          <w:szCs w:val="24"/>
          <w:highlight w:val="none"/>
          <w:lang w:eastAsia="zh-CN"/>
        </w:rPr>
        <w:t>日  期：</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年</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月</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日</w:t>
      </w:r>
    </w:p>
    <w:p>
      <w:pPr>
        <w:spacing w:line="240" w:lineRule="exact"/>
        <w:rPr>
          <w:rFonts w:hint="eastAsia" w:ascii="宋体" w:hAnsi="宋体" w:cs="宋体"/>
          <w:color w:val="auto"/>
          <w:szCs w:val="21"/>
          <w:highlight w:val="none"/>
        </w:rPr>
        <w:sectPr>
          <w:endnotePr>
            <w:numFmt w:val="decimal"/>
          </w:endnotePr>
          <w:pgSz w:w="11906" w:h="16838"/>
          <w:pgMar w:top="1417" w:right="1416" w:bottom="1417" w:left="1417" w:header="851" w:footer="567" w:gutter="0"/>
          <w:cols w:space="720" w:num="1"/>
          <w:titlePg/>
          <w:docGrid w:type="lines" w:linePitch="317" w:charSpace="0"/>
        </w:sectPr>
      </w:pPr>
    </w:p>
    <w:p>
      <w:pPr>
        <w:spacing w:line="240" w:lineRule="exact"/>
        <w:rPr>
          <w:rFonts w:ascii="宋体" w:hAnsi="宋体" w:cs="宋体"/>
          <w:color w:val="auto"/>
          <w:szCs w:val="21"/>
          <w:highlight w:val="none"/>
        </w:rPr>
      </w:pPr>
      <w:r>
        <w:rPr>
          <w:rFonts w:hint="eastAsia" w:ascii="宋体" w:hAnsi="宋体" w:cs="宋体"/>
          <w:color w:val="auto"/>
          <w:szCs w:val="21"/>
          <w:highlight w:val="none"/>
        </w:rPr>
        <w:t>附表一：</w:t>
      </w:r>
    </w:p>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资格审查表</w:t>
      </w:r>
    </w:p>
    <w:p>
      <w:pPr>
        <w:spacing w:line="280" w:lineRule="exact"/>
        <w:rPr>
          <w:rFonts w:ascii="宋体" w:hAnsi="宋体" w:cs="宋体"/>
          <w:color w:val="auto"/>
          <w:szCs w:val="21"/>
          <w:highlight w:val="none"/>
        </w:rPr>
      </w:pPr>
      <w:r>
        <w:rPr>
          <w:rFonts w:hint="eastAsia" w:ascii="宋体" w:hAnsi="宋体" w:cs="宋体"/>
          <w:color w:val="auto"/>
          <w:szCs w:val="21"/>
          <w:highlight w:val="none"/>
        </w:rPr>
        <w:t>工程名称：</w:t>
      </w:r>
    </w:p>
    <w:p>
      <w:pPr>
        <w:spacing w:line="280" w:lineRule="exact"/>
        <w:rPr>
          <w:rFonts w:ascii="宋体" w:hAnsi="宋体" w:cs="宋体"/>
          <w:color w:val="auto"/>
          <w:szCs w:val="21"/>
          <w:highlight w:val="none"/>
        </w:rPr>
      </w:pPr>
      <w:r>
        <w:rPr>
          <w:rFonts w:hint="eastAsia" w:ascii="宋体" w:hAnsi="宋体" w:cs="宋体"/>
          <w:color w:val="auto"/>
          <w:szCs w:val="21"/>
          <w:highlight w:val="none"/>
        </w:rPr>
        <w:t>投标人名称：</w:t>
      </w:r>
    </w:p>
    <w:tbl>
      <w:tblPr>
        <w:tblStyle w:val="38"/>
        <w:tblW w:w="102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775"/>
        <w:gridCol w:w="4338"/>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s="宋体"/>
                <w:color w:val="auto"/>
                <w:szCs w:val="21"/>
                <w:highlight w:val="none"/>
                <w:u w:val="single"/>
              </w:rPr>
              <w:t>营业执照扫描件或电子证照</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s="宋体"/>
                <w:color w:val="auto"/>
                <w:szCs w:val="21"/>
                <w:highlight w:val="none"/>
              </w:rPr>
              <w:t>资质证书扫描件或电子证照、安全生产许可证扫描件或电子证照</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有效期内的建造师注册证书扫描件</w:t>
            </w:r>
          </w:p>
          <w:p>
            <w:pPr>
              <w:spacing w:before="120" w:after="60" w:line="240" w:lineRule="exact"/>
              <w:jc w:val="center"/>
              <w:rPr>
                <w:rFonts w:ascii="宋体" w:hAnsi="宋体"/>
                <w:color w:val="auto"/>
                <w:szCs w:val="21"/>
                <w:highlight w:val="none"/>
              </w:rPr>
            </w:pPr>
            <w:r>
              <w:rPr>
                <w:rFonts w:hint="eastAsia" w:ascii="宋体" w:hAnsi="宋体" w:cs="宋体"/>
                <w:color w:val="auto"/>
                <w:szCs w:val="21"/>
                <w:highlight w:val="none"/>
              </w:rPr>
              <w:t>或电子证书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s="宋体"/>
                <w:color w:val="auto"/>
                <w:szCs w:val="21"/>
                <w:highlight w:val="none"/>
              </w:rPr>
              <w:t>项目负责人须具有在有效期内的安全生产考核合格证（B类）或建筑施工企业项目负责人安全生产考核合格证证书扫描件或电子证书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投标人拟担任本工程技术负责人符合公告要求</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s="宋体"/>
                <w:color w:val="auto"/>
                <w:szCs w:val="21"/>
                <w:highlight w:val="none"/>
              </w:rPr>
              <w:t>拟委派技术负责人的职称证书扫描件或电子证书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专职安全员须具有在有效期内的安全生产考核合格证（C类）或建筑施工企业专职安全生产管理人员安全生产考核合格证书</w:t>
            </w:r>
            <w:r>
              <w:rPr>
                <w:rFonts w:hint="eastAsia" w:ascii="宋体" w:hAnsi="宋体"/>
                <w:color w:val="auto"/>
                <w:szCs w:val="21"/>
                <w:highlight w:val="none"/>
              </w:rPr>
              <w:t>（C3）</w:t>
            </w:r>
            <w:r>
              <w:rPr>
                <w:rFonts w:hint="eastAsia" w:ascii="宋体" w:hAnsi="宋体" w:cs="宋体"/>
                <w:color w:val="auto"/>
                <w:szCs w:val="21"/>
                <w:highlight w:val="none"/>
              </w:rPr>
              <w:t>。</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专职安全员须具有在有效期内的安全生产考核合格证（C类）或建筑施工企业专职安全生产管理人员安全生产考核合格证（C3类）扫描件或电子证书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投标人提供的投标人声明符合公告要求</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投标人声明</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u w:val="single"/>
              </w:rPr>
              <w:t>本项目不接受联合体投标</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投标人声明</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47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u w:val="single"/>
              </w:rPr>
            </w:pPr>
            <w:r>
              <w:rPr>
                <w:rFonts w:hint="eastAsia" w:ascii="宋体" w:hAnsi="宋体"/>
                <w:color w:val="auto"/>
                <w:szCs w:val="21"/>
                <w:highlight w:val="none"/>
              </w:rPr>
              <w:t>未被列入拖欠农民工工资失信联合惩戒对象名单</w:t>
            </w:r>
          </w:p>
        </w:tc>
        <w:tc>
          <w:tcPr>
            <w:tcW w:w="4338"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投标人无需提供资料，按交易系统比对的结果进行评审</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bl>
    <w:p>
      <w:pPr>
        <w:spacing w:line="240" w:lineRule="exact"/>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pPr>
        <w:spacing w:line="240" w:lineRule="exact"/>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spacing w:line="240" w:lineRule="exact"/>
        <w:ind w:firstLine="470" w:firstLineChars="224"/>
        <w:rPr>
          <w:rFonts w:ascii="宋体" w:hAnsi="宋体" w:cs="宋体"/>
          <w:color w:val="auto"/>
          <w:szCs w:val="21"/>
          <w:highlight w:val="none"/>
        </w:rPr>
        <w:sectPr>
          <w:footerReference r:id="rId11" w:type="first"/>
          <w:footerReference r:id="rId10" w:type="default"/>
          <w:endnotePr>
            <w:numFmt w:val="decimal"/>
          </w:endnotePr>
          <w:pgSz w:w="11906" w:h="16838"/>
          <w:pgMar w:top="1417" w:right="1416" w:bottom="1417" w:left="1417" w:header="851" w:footer="567" w:gutter="0"/>
          <w:pgNumType w:fmt="decimal"/>
          <w:cols w:space="720" w:num="1"/>
          <w:titlePg/>
          <w:docGrid w:type="lines" w:linePitch="317" w:charSpace="0"/>
        </w:sect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cs="宋体"/>
          <w:color w:val="auto"/>
          <w:szCs w:val="21"/>
          <w:highlight w:val="none"/>
        </w:rPr>
      </w:pPr>
      <w:r>
        <w:rPr>
          <w:rFonts w:hint="eastAsia" w:ascii="宋体" w:hAnsi="宋体" w:cs="宋体"/>
          <w:color w:val="auto"/>
          <w:szCs w:val="21"/>
          <w:highlight w:val="none"/>
        </w:rPr>
        <w:t>附表二</w:t>
      </w:r>
    </w:p>
    <w:p>
      <w:pPr>
        <w:jc w:val="center"/>
        <w:rPr>
          <w:rFonts w:ascii="宋体" w:hAnsi="宋体" w:cs="宋体"/>
          <w:b/>
          <w:color w:val="auto"/>
          <w:szCs w:val="21"/>
          <w:highlight w:val="none"/>
        </w:rPr>
      </w:pPr>
      <w:r>
        <w:rPr>
          <w:rFonts w:hint="eastAsia" w:ascii="宋体" w:hAnsi="宋体" w:cs="宋体"/>
          <w:b/>
          <w:color w:val="auto"/>
          <w:szCs w:val="21"/>
          <w:highlight w:val="none"/>
        </w:rPr>
        <w:t>技术标有效性审查表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14"/>
        <w:gridCol w:w="995"/>
        <w:gridCol w:w="995"/>
        <w:gridCol w:w="99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9714" w:type="dxa"/>
            <w:tcBorders>
              <w:top w:val="single" w:color="auto" w:sz="4" w:space="0"/>
              <w:left w:val="single" w:color="auto" w:sz="4" w:space="0"/>
              <w:bottom w:val="single" w:color="auto" w:sz="4" w:space="0"/>
              <w:right w:val="single" w:color="auto" w:sz="4" w:space="0"/>
              <w:tl2br w:val="single" w:color="auto" w:sz="4" w:space="0"/>
            </w:tcBorders>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p>
          <w:p>
            <w:pPr>
              <w:adjustRightInd w:val="0"/>
              <w:spacing w:line="360" w:lineRule="exact"/>
              <w:rPr>
                <w:rFonts w:ascii="宋体" w:hAnsi="宋体" w:cs="宋体"/>
                <w:color w:val="auto"/>
                <w:szCs w:val="21"/>
                <w:highlight w:val="none"/>
              </w:rPr>
            </w:pP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评审内容</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1</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《广州建设工程施工招标投标书》中的投标总工期不能满足完成投标项目工期的；</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2</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《广州建设工程施工招标投标书》中的工程质量标准不符合招标文件质量标准的；</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投标文件中没有有效的法定代表人证明书</w:t>
            </w:r>
            <w:r>
              <w:rPr>
                <w:rFonts w:hint="eastAsia" w:ascii="宋体" w:hAnsi="宋体" w:cs="宋体"/>
                <w:color w:val="auto"/>
                <w:szCs w:val="21"/>
                <w:highlight w:val="none"/>
              </w:rPr>
              <w:t>，</w:t>
            </w:r>
            <w:r>
              <w:rPr>
                <w:rFonts w:hint="eastAsia" w:ascii="宋体" w:hAnsi="宋体"/>
                <w:color w:val="auto"/>
                <w:szCs w:val="21"/>
                <w:highlight w:val="none"/>
              </w:rPr>
              <w:t>或由委托代理人</w:t>
            </w:r>
            <w:r>
              <w:rPr>
                <w:rFonts w:hint="eastAsia" w:ascii="宋体" w:hAnsi="宋体"/>
                <w:color w:val="auto"/>
                <w:szCs w:val="21"/>
                <w:highlight w:val="none"/>
                <w:u w:val="single"/>
              </w:rPr>
              <w:t>签</w:t>
            </w:r>
            <w:r>
              <w:rPr>
                <w:rFonts w:hint="eastAsia" w:ascii="宋体" w:hAnsi="宋体"/>
                <w:color w:val="auto"/>
                <w:szCs w:val="21"/>
                <w:highlight w:val="none"/>
                <w:u w:val="single"/>
                <w:lang w:val="en-US" w:eastAsia="zh-CN"/>
              </w:rPr>
              <w:t>字</w:t>
            </w:r>
            <w:r>
              <w:rPr>
                <w:rFonts w:hint="eastAsia" w:ascii="宋体" w:hAnsi="宋体"/>
                <w:color w:val="auto"/>
                <w:szCs w:val="21"/>
                <w:highlight w:val="none"/>
                <w:u w:val="single"/>
              </w:rPr>
              <w:t>或盖个人签名章</w:t>
            </w:r>
            <w:r>
              <w:rPr>
                <w:rFonts w:hint="eastAsia" w:ascii="宋体" w:hAnsi="宋体"/>
                <w:color w:val="auto"/>
                <w:szCs w:val="21"/>
                <w:highlight w:val="none"/>
              </w:rPr>
              <w:t>的投标文件中没有法定代表人授权书</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投标文件未按</w:t>
            </w:r>
            <w:r>
              <w:rPr>
                <w:rFonts w:hint="eastAsia" w:ascii="宋体" w:hAnsi="宋体"/>
                <w:color w:val="auto"/>
                <w:szCs w:val="21"/>
                <w:highlight w:val="none"/>
                <w:u w:val="single"/>
              </w:rPr>
              <w:t>招标</w:t>
            </w:r>
            <w:r>
              <w:rPr>
                <w:rFonts w:ascii="宋体" w:hAnsi="宋体"/>
                <w:color w:val="auto"/>
                <w:szCs w:val="21"/>
                <w:highlight w:val="none"/>
                <w:u w:val="single"/>
              </w:rPr>
              <w:t>文件第四章</w:t>
            </w:r>
            <w:r>
              <w:rPr>
                <w:rFonts w:hint="eastAsia" w:ascii="宋体" w:hAnsi="宋体"/>
                <w:color w:val="auto"/>
                <w:szCs w:val="21"/>
                <w:highlight w:val="none"/>
              </w:rPr>
              <w:t>规定的</w:t>
            </w:r>
            <w:r>
              <w:rPr>
                <w:rFonts w:hint="eastAsia" w:ascii="宋体" w:hAnsi="宋体"/>
                <w:b/>
                <w:bCs/>
                <w:color w:val="auto"/>
                <w:szCs w:val="21"/>
                <w:highlight w:val="none"/>
                <w:u w:val="single"/>
              </w:rPr>
              <w:t>（</w:t>
            </w:r>
            <w:r>
              <w:rPr>
                <w:rFonts w:hint="eastAsia" w:ascii="宋体" w:cs="宋体"/>
                <w:b/>
                <w:bCs/>
                <w:color w:val="auto"/>
                <w:sz w:val="22"/>
                <w:highlight w:val="none"/>
                <w:u w:val="single"/>
              </w:rPr>
              <w:t>技术投标文件（含资格审查文件）</w:t>
            </w:r>
            <w:r>
              <w:rPr>
                <w:rFonts w:hint="eastAsia" w:ascii="宋体" w:hAnsi="宋体" w:cs="宋体"/>
                <w:b/>
                <w:bCs/>
                <w:color w:val="auto"/>
                <w:szCs w:val="21"/>
                <w:highlight w:val="none"/>
                <w:u w:val="single"/>
              </w:rPr>
              <w:t>格式二、三</w:t>
            </w:r>
            <w:r>
              <w:rPr>
                <w:rFonts w:hint="eastAsia" w:ascii="宋体" w:hAnsi="宋体"/>
                <w:b/>
                <w:bCs/>
                <w:color w:val="auto"/>
                <w:szCs w:val="21"/>
                <w:highlight w:val="none"/>
                <w:u w:val="single"/>
              </w:rPr>
              <w:t>）</w:t>
            </w:r>
            <w:r>
              <w:rPr>
                <w:rFonts w:hint="eastAsia" w:ascii="宋体" w:hAnsi="宋体"/>
                <w:color w:val="auto"/>
                <w:szCs w:val="21"/>
                <w:highlight w:val="none"/>
              </w:rPr>
              <w:t>填写，或主要内容不全，或关键字迹模糊、无法辨认的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r>
              <w:rPr>
                <w:rFonts w:hint="eastAsia" w:ascii="宋体" w:hAnsi="宋体" w:cs="宋体"/>
                <w:color w:val="auto"/>
                <w:szCs w:val="21"/>
                <w:highlight w:val="none"/>
              </w:rPr>
              <w:t>；</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bookmarkStart w:id="40" w:name="OLE_LINK2"/>
            <w:r>
              <w:rPr>
                <w:rFonts w:hint="eastAsia" w:ascii="宋体" w:hAnsi="宋体"/>
                <w:color w:val="auto"/>
                <w:szCs w:val="21"/>
                <w:highlight w:val="none"/>
              </w:rPr>
              <w:t>无《参与编制技术标投标文件人员名单》的</w:t>
            </w:r>
            <w:r>
              <w:rPr>
                <w:rFonts w:hint="eastAsia" w:ascii="宋体" w:hAnsi="宋体" w:cs="宋体"/>
                <w:color w:val="auto"/>
                <w:szCs w:val="21"/>
                <w:highlight w:val="none"/>
              </w:rPr>
              <w:t>;</w:t>
            </w:r>
            <w:bookmarkEnd w:id="40"/>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投标人未按要求提交投标保证金的</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投标人与</w:t>
            </w:r>
            <w:r>
              <w:rPr>
                <w:rFonts w:hint="eastAsia" w:ascii="宋体" w:hAnsi="宋体" w:cs="宋体"/>
                <w:color w:val="auto"/>
                <w:szCs w:val="21"/>
                <w:highlight w:val="none"/>
                <w:u w:val="singl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color w:val="auto"/>
                <w:szCs w:val="21"/>
                <w:highlight w:val="none"/>
              </w:rPr>
            </w:pPr>
            <w:r>
              <w:rPr>
                <w:rFonts w:hint="eastAsia" w:ascii="宋体" w:hAnsi="宋体"/>
                <w:color w:val="auto"/>
                <w:szCs w:val="24"/>
                <w:highlight w:val="none"/>
                <w:u w:val="single"/>
                <w:lang w:val="en-US" w:eastAsia="zh-CN"/>
              </w:rPr>
              <w:t>存在不同投标人委托同一个人或同一单位的不同个人作为委托代理人的情况</w:t>
            </w: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rFonts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日期：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附表三</w:t>
      </w: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经济标有效性审查表</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587"/>
        <w:gridCol w:w="912"/>
        <w:gridCol w:w="1397"/>
        <w:gridCol w:w="1397"/>
        <w:gridCol w:w="1396"/>
        <w:gridCol w:w="1397"/>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6587" w:type="dxa"/>
            <w:tcBorders>
              <w:top w:val="single" w:color="auto" w:sz="4" w:space="0"/>
              <w:left w:val="single" w:color="auto" w:sz="4" w:space="0"/>
              <w:bottom w:val="single" w:color="auto" w:sz="4" w:space="0"/>
              <w:right w:val="single" w:color="auto" w:sz="4" w:space="0"/>
              <w:tl2br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评审内容</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2</w:t>
            </w:r>
          </w:p>
        </w:tc>
        <w:tc>
          <w:tcPr>
            <w:tcW w:w="65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olor w:val="auto"/>
                <w:szCs w:val="21"/>
                <w:highlight w:val="none"/>
              </w:rPr>
              <w:t>投标报价高于最高投标限价的；</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3</w:t>
            </w:r>
          </w:p>
        </w:tc>
        <w:tc>
          <w:tcPr>
            <w:tcW w:w="65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 w:leftChars="-1"/>
              <w:jc w:val="left"/>
              <w:rPr>
                <w:rFonts w:ascii="宋体" w:hAnsi="宋体" w:cs="宋体"/>
                <w:color w:val="auto"/>
                <w:szCs w:val="21"/>
                <w:highlight w:val="none"/>
              </w:rPr>
            </w:pPr>
            <w:r>
              <w:rPr>
                <w:rFonts w:hint="eastAsia" w:ascii="宋体" w:hAnsi="宋体" w:eastAsia="宋体" w:cs="宋体"/>
                <w:color w:val="auto"/>
                <w:sz w:val="21"/>
                <w:szCs w:val="21"/>
                <w:highlight w:val="none"/>
              </w:rPr>
              <w:t>投标报价低于</w:t>
            </w:r>
            <w:r>
              <w:rPr>
                <w:rFonts w:hint="eastAsia" w:ascii="宋体" w:hAnsi="宋体" w:cs="宋体"/>
                <w:color w:val="auto"/>
                <w:sz w:val="21"/>
                <w:szCs w:val="21"/>
                <w:highlight w:val="none"/>
                <w:lang w:val="en-US" w:eastAsia="zh-CN"/>
              </w:rPr>
              <w:t>成本的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投标文件未按</w:t>
            </w:r>
            <w:r>
              <w:rPr>
                <w:rFonts w:hint="eastAsia" w:ascii="宋体" w:hAnsi="宋体"/>
                <w:color w:val="auto"/>
                <w:szCs w:val="21"/>
                <w:highlight w:val="none"/>
                <w:u w:val="single"/>
              </w:rPr>
              <w:t>招标</w:t>
            </w:r>
            <w:r>
              <w:rPr>
                <w:rFonts w:ascii="宋体" w:hAnsi="宋体"/>
                <w:color w:val="auto"/>
                <w:szCs w:val="21"/>
                <w:highlight w:val="none"/>
                <w:u w:val="single"/>
              </w:rPr>
              <w:t>文件第四章</w:t>
            </w:r>
            <w:r>
              <w:rPr>
                <w:rFonts w:hint="eastAsia" w:ascii="宋体" w:hAnsi="宋体"/>
                <w:color w:val="auto"/>
                <w:szCs w:val="21"/>
                <w:highlight w:val="none"/>
              </w:rPr>
              <w:t>规定的</w:t>
            </w:r>
            <w:r>
              <w:rPr>
                <w:rFonts w:hint="eastAsia" w:ascii="宋体" w:hAnsi="宋体"/>
                <w:color w:val="auto"/>
                <w:szCs w:val="21"/>
                <w:highlight w:val="none"/>
                <w:u w:val="single"/>
              </w:rPr>
              <w:t>（</w:t>
            </w:r>
            <w:r>
              <w:rPr>
                <w:rFonts w:hint="eastAsia" w:ascii="宋体" w:hAnsi="宋体" w:cs="宋体"/>
                <w:b/>
                <w:bCs/>
                <w:color w:val="auto"/>
                <w:kern w:val="0"/>
                <w:szCs w:val="21"/>
                <w:highlight w:val="none"/>
                <w:u w:val="single"/>
              </w:rPr>
              <w:t>经济标投标文件格式三、四</w:t>
            </w:r>
            <w:r>
              <w:rPr>
                <w:rFonts w:hint="eastAsia" w:ascii="宋体" w:hAnsi="宋体"/>
                <w:color w:val="auto"/>
                <w:szCs w:val="21"/>
                <w:highlight w:val="none"/>
                <w:u w:val="single"/>
              </w:rPr>
              <w:t>）</w:t>
            </w:r>
            <w:r>
              <w:rPr>
                <w:rFonts w:hint="eastAsia" w:ascii="宋体" w:hAnsi="宋体"/>
                <w:color w:val="auto"/>
                <w:szCs w:val="21"/>
                <w:highlight w:val="none"/>
              </w:rPr>
              <w:t>填写，或主要内容不全，或关键字迹模糊、无法辨认的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无《参与编制经济标投标文件人员名单》的</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olor w:val="auto"/>
                <w:szCs w:val="21"/>
                <w:highlight w:val="none"/>
              </w:rPr>
              <w:t>无《对投标文件编制的承诺》</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5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u w:val="none"/>
              </w:rPr>
              <w:t>投标人与</w:t>
            </w:r>
            <w:r>
              <w:rPr>
                <w:rFonts w:hint="eastAsia" w:ascii="宋体" w:hAnsi="宋体" w:cs="宋体"/>
                <w:color w:val="auto"/>
                <w:szCs w:val="21"/>
                <w:highlight w:val="none"/>
                <w:u w:val="single"/>
              </w:rPr>
              <w:t>本项目</w:t>
            </w:r>
            <w:r>
              <w:rPr>
                <w:rFonts w:hint="eastAsia" w:ascii="宋体" w:hAnsi="宋体" w:cs="宋体"/>
                <w:color w:val="auto"/>
                <w:szCs w:val="21"/>
                <w:highlight w:val="none"/>
                <w:u w:val="none"/>
              </w:rPr>
              <w:t>其他投标人的投标文件工程量清单编制机器硬件信息一致的（以</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u w:val="none"/>
              </w:rPr>
              <w:t>交易平台评标系统的检索信息为准）</w:t>
            </w:r>
            <w:r>
              <w:rPr>
                <w:rFonts w:hint="eastAsia" w:ascii="宋体" w:hAnsi="宋体" w:cs="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trike/>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6"/>
        <w:ind w:firstLine="458"/>
        <w:rPr>
          <w:rFonts w:ascii="宋体" w:hAnsi="宋体" w:eastAsia="宋体"/>
          <w:color w:val="auto"/>
          <w:sz w:val="21"/>
          <w:szCs w:val="21"/>
          <w:highlight w:val="none"/>
        </w:rPr>
        <w:sectPr>
          <w:footerReference r:id="rId13" w:type="first"/>
          <w:footerReference r:id="rId12" w:type="default"/>
          <w:endnotePr>
            <w:numFmt w:val="decimal"/>
          </w:endnotePr>
          <w:pgSz w:w="16838" w:h="11906" w:orient="landscape"/>
          <w:pgMar w:top="1418" w:right="1247" w:bottom="1418" w:left="1134" w:header="851" w:footer="907" w:gutter="0"/>
          <w:pgNumType w:fmt="decimal"/>
          <w:cols w:space="720" w:num="1"/>
          <w:titlePg/>
          <w:docGrid w:type="lines" w:linePitch="312" w:charSpace="0"/>
        </w:sectPr>
      </w:pPr>
      <w:r>
        <w:rPr>
          <w:rFonts w:hint="eastAsia" w:ascii="宋体" w:hAnsi="宋体" w:eastAsia="宋体"/>
          <w:color w:val="auto"/>
          <w:kern w:val="2"/>
          <w:sz w:val="21"/>
          <w:szCs w:val="21"/>
          <w:highlight w:val="none"/>
        </w:rPr>
        <w:t>评委签名</w:t>
      </w:r>
      <w:r>
        <w:rPr>
          <w:rFonts w:hint="eastAsia" w:ascii="宋体" w:hAnsi="宋体" w:eastAsia="宋体"/>
          <w:color w:val="auto"/>
          <w:sz w:val="21"/>
          <w:szCs w:val="21"/>
          <w:highlight w:val="none"/>
        </w:rPr>
        <w:t>：</w:t>
      </w:r>
    </w:p>
    <w:p>
      <w:pPr>
        <w:spacing w:line="320" w:lineRule="exact"/>
        <w:rPr>
          <w:rFonts w:ascii="宋体" w:hAnsi="宋体"/>
          <w:b/>
          <w:color w:val="auto"/>
          <w:szCs w:val="21"/>
          <w:highlight w:val="none"/>
        </w:rPr>
      </w:pPr>
      <w:r>
        <w:rPr>
          <w:rFonts w:hint="eastAsia" w:ascii="宋体" w:hAnsi="宋体" w:cs="宋体"/>
          <w:color w:val="auto"/>
          <w:szCs w:val="21"/>
          <w:highlight w:val="none"/>
        </w:rPr>
        <w:t>附表四</w:t>
      </w:r>
    </w:p>
    <w:p>
      <w:pPr>
        <w:adjustRightInd w:val="0"/>
        <w:snapToGrid w:val="0"/>
        <w:jc w:val="center"/>
        <w:rPr>
          <w:rFonts w:ascii="宋体" w:hAnsi="Calibri"/>
          <w:b/>
          <w:color w:val="auto"/>
          <w:sz w:val="36"/>
          <w:szCs w:val="36"/>
          <w:highlight w:val="none"/>
        </w:rPr>
      </w:pPr>
      <w:r>
        <w:rPr>
          <w:rFonts w:hint="eastAsia" w:ascii="宋体" w:hAnsi="Calibri"/>
          <w:b/>
          <w:color w:val="auto"/>
          <w:sz w:val="36"/>
          <w:szCs w:val="36"/>
          <w:highlight w:val="none"/>
        </w:rPr>
        <w:t>技术标详细审查评分表</w:t>
      </w:r>
    </w:p>
    <w:p>
      <w:pPr>
        <w:rPr>
          <w:rFonts w:ascii="Calibri" w:hAnsi="Calibri"/>
          <w:color w:val="auto"/>
          <w:szCs w:val="21"/>
          <w:highlight w:val="none"/>
          <w:lang w:val="zh-CN"/>
        </w:rPr>
      </w:pPr>
    </w:p>
    <w:tbl>
      <w:tblPr>
        <w:tblStyle w:val="38"/>
        <w:tblW w:w="1477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88"/>
        <w:gridCol w:w="1718"/>
        <w:gridCol w:w="900"/>
        <w:gridCol w:w="11464"/>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7" w:hRule="atLeast"/>
          <w:tblHeader/>
          <w:jc w:val="center"/>
        </w:trPr>
        <w:tc>
          <w:tcPr>
            <w:tcW w:w="688" w:type="dxa"/>
            <w:shd w:val="clear" w:color="auto" w:fill="FFFFFF"/>
            <w:vAlign w:val="center"/>
          </w:tcPr>
          <w:p>
            <w:pPr>
              <w:widowControl/>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18" w:type="dxa"/>
            <w:shd w:val="clear" w:color="auto" w:fill="FFFFFF"/>
            <w:vAlign w:val="center"/>
          </w:tcPr>
          <w:p>
            <w:pPr>
              <w:widowControl/>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评分项目</w:t>
            </w:r>
          </w:p>
        </w:tc>
        <w:tc>
          <w:tcPr>
            <w:tcW w:w="900" w:type="dxa"/>
            <w:shd w:val="clear" w:color="auto" w:fill="FFFFFF"/>
            <w:vAlign w:val="center"/>
          </w:tcPr>
          <w:p>
            <w:pPr>
              <w:widowControl/>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11464" w:type="dxa"/>
            <w:shd w:val="clear" w:color="auto" w:fill="FFFFFF"/>
            <w:vAlign w:val="center"/>
          </w:tcPr>
          <w:p>
            <w:pPr>
              <w:widowControl/>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18" w:type="dxa"/>
            <w:shd w:val="clear" w:color="auto" w:fill="FFFFFF"/>
            <w:vAlign w:val="center"/>
          </w:tcPr>
          <w:p>
            <w:pPr>
              <w:adjustRightInd w:val="0"/>
              <w:snapToGrid w:val="0"/>
              <w:spacing w:line="360" w:lineRule="auto"/>
              <w:ind w:left="-65" w:leftChars="-31" w:right="-48" w:rightChars="-23"/>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施工组织设计</w:t>
            </w:r>
          </w:p>
        </w:tc>
        <w:tc>
          <w:tcPr>
            <w:tcW w:w="900" w:type="dxa"/>
            <w:shd w:val="clear" w:color="auto" w:fill="FFFFFF"/>
            <w:vAlign w:val="center"/>
          </w:tcPr>
          <w:p>
            <w:pPr>
              <w:adjustRightInd w:val="0"/>
              <w:snapToGrid w:val="0"/>
              <w:spacing w:line="360" w:lineRule="auto"/>
              <w:ind w:left="-59" w:leftChars="-28" w:right="-50" w:rightChars="-24"/>
              <w:jc w:val="center"/>
              <w:rPr>
                <w:rFonts w:ascii="宋体" w:hAnsi="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718" w:type="dxa"/>
            <w:shd w:val="clear" w:color="auto" w:fill="FFFFFF"/>
            <w:vAlign w:val="center"/>
          </w:tcPr>
          <w:p>
            <w:pPr>
              <w:adjustRightInd w:val="0"/>
              <w:snapToGrid w:val="0"/>
              <w:spacing w:line="360" w:lineRule="auto"/>
              <w:ind w:left="-65" w:leftChars="-31" w:right="-48" w:rightChars="-23"/>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工期计划</w:t>
            </w:r>
          </w:p>
        </w:tc>
        <w:tc>
          <w:tcPr>
            <w:tcW w:w="900" w:type="dxa"/>
            <w:shd w:val="clear" w:color="auto" w:fill="FFFFFF"/>
            <w:vAlign w:val="center"/>
          </w:tcPr>
          <w:p>
            <w:pPr>
              <w:adjustRightInd w:val="0"/>
              <w:snapToGrid w:val="0"/>
              <w:spacing w:line="360" w:lineRule="auto"/>
              <w:ind w:left="-59" w:leftChars="-28" w:right="-50" w:rightChars="-2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【优】制定了施工进度计划并有进度计划保证措施，</w:t>
            </w:r>
            <w:r>
              <w:rPr>
                <w:rFonts w:hint="eastAsia" w:ascii="宋体" w:hAnsi="宋体" w:cs="宋体"/>
                <w:color w:val="auto"/>
                <w:szCs w:val="21"/>
                <w:highlight w:val="none"/>
                <w:lang w:val="en-US" w:eastAsia="zh-CN"/>
              </w:rPr>
              <w:t>可行性强的，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【良】制定了施工进度计划并有进度计划保证措施，</w:t>
            </w:r>
            <w:r>
              <w:rPr>
                <w:rFonts w:hint="eastAsia" w:ascii="宋体" w:hAnsi="宋体" w:cs="宋体"/>
                <w:color w:val="auto"/>
                <w:szCs w:val="21"/>
                <w:highlight w:val="none"/>
                <w:lang w:val="en-US" w:eastAsia="zh-CN"/>
              </w:rPr>
              <w:t>可行性较强的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制定</w:t>
            </w:r>
            <w:r>
              <w:rPr>
                <w:rFonts w:hint="eastAsia" w:ascii="宋体" w:hAnsi="宋体" w:cs="宋体"/>
                <w:color w:val="auto"/>
                <w:kern w:val="2"/>
                <w:sz w:val="21"/>
                <w:szCs w:val="21"/>
                <w:highlight w:val="none"/>
              </w:rPr>
              <w:t>了施工进度计划并有进度计划保证措施，</w:t>
            </w:r>
            <w:r>
              <w:rPr>
                <w:rFonts w:hint="eastAsia" w:ascii="宋体" w:hAnsi="宋体" w:cs="宋体"/>
                <w:color w:val="auto"/>
                <w:kern w:val="2"/>
                <w:sz w:val="21"/>
                <w:szCs w:val="21"/>
                <w:highlight w:val="none"/>
                <w:lang w:val="en-US" w:eastAsia="zh-CN"/>
              </w:rPr>
              <w:t>可行性一般的</w:t>
            </w:r>
            <w:r>
              <w:rPr>
                <w:rFonts w:hint="eastAsia" w:ascii="宋体" w:hAnsi="宋体" w:cs="宋体"/>
                <w:color w:val="auto"/>
                <w:kern w:val="2"/>
                <w:sz w:val="21"/>
                <w:szCs w:val="21"/>
                <w:highlight w:val="none"/>
              </w:rPr>
              <w:t>，得</w:t>
            </w:r>
            <w:r>
              <w:rPr>
                <w:rFonts w:hint="eastAsia" w:ascii="宋体" w:hAnsi="宋体" w:cs="宋体"/>
                <w:color w:val="auto"/>
                <w:kern w:val="2"/>
                <w:sz w:val="21"/>
                <w:szCs w:val="21"/>
                <w:highlight w:val="none"/>
                <w:lang w:val="en-US" w:eastAsia="zh-CN"/>
              </w:rPr>
              <w:t>[5,2)</w:t>
            </w:r>
            <w:r>
              <w:rPr>
                <w:rFonts w:hint="eastAsia" w:ascii="宋体" w:hAnsi="宋体" w:cs="宋体"/>
                <w:color w:val="auto"/>
                <w:kern w:val="2"/>
                <w:sz w:val="21"/>
                <w:szCs w:val="21"/>
                <w:highlight w:val="none"/>
              </w:rPr>
              <w:t>分</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制定</w:t>
            </w:r>
            <w:r>
              <w:rPr>
                <w:rFonts w:hint="eastAsia" w:ascii="宋体" w:hAnsi="宋体" w:cs="宋体"/>
                <w:color w:val="auto"/>
                <w:kern w:val="2"/>
                <w:sz w:val="21"/>
                <w:szCs w:val="21"/>
                <w:highlight w:val="none"/>
              </w:rPr>
              <w:t>了施工进度计划并有进度计划保证措施，</w:t>
            </w:r>
            <w:r>
              <w:rPr>
                <w:rFonts w:hint="eastAsia" w:ascii="宋体" w:hAnsi="宋体" w:cs="宋体"/>
                <w:color w:val="auto"/>
                <w:kern w:val="2"/>
                <w:sz w:val="21"/>
                <w:szCs w:val="21"/>
                <w:highlight w:val="none"/>
                <w:lang w:val="en-US" w:eastAsia="zh-CN"/>
              </w:rPr>
              <w:t>可行性较差或</w:t>
            </w:r>
            <w:r>
              <w:rPr>
                <w:rFonts w:hint="eastAsia" w:ascii="宋体" w:hAnsi="宋体" w:cs="宋体"/>
                <w:color w:val="auto"/>
                <w:kern w:val="2"/>
                <w:sz w:val="21"/>
                <w:szCs w:val="21"/>
                <w:highlight w:val="none"/>
              </w:rPr>
              <w:t>无施工进度计划和进度计划保证措施</w:t>
            </w:r>
            <w:r>
              <w:rPr>
                <w:rFonts w:hint="eastAsia" w:ascii="宋体" w:hAnsi="宋体" w:cs="宋体"/>
                <w:color w:val="auto"/>
                <w:kern w:val="2"/>
                <w:sz w:val="21"/>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cs="宋体"/>
                <w:color w:val="auto"/>
                <w:szCs w:val="21"/>
                <w:highlight w:val="none"/>
              </w:rPr>
            </w:pPr>
            <w:r>
              <w:rPr>
                <w:rFonts w:hint="eastAsia" w:ascii="宋体" w:hAnsi="宋体" w:cs="宋体"/>
                <w:color w:val="auto"/>
                <w:szCs w:val="21"/>
                <w:highlight w:val="none"/>
              </w:rPr>
              <w:t>劳动力投入措施</w:t>
            </w:r>
          </w:p>
        </w:tc>
        <w:tc>
          <w:tcPr>
            <w:tcW w:w="900" w:type="dxa"/>
            <w:shd w:val="clear" w:color="auto" w:fill="FFFFFF"/>
            <w:vAlign w:val="center"/>
          </w:tcPr>
          <w:p>
            <w:pPr>
              <w:adjustRightInd w:val="0"/>
              <w:snapToGrid w:val="0"/>
              <w:spacing w:line="360" w:lineRule="auto"/>
              <w:ind w:left="-59" w:leftChars="-28" w:right="-50" w:rightChars="-2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【优】有劳动力保证措施、专业劳务队伍投入计划，配有施工高峰期拟投入的劳动力专项方案，</w:t>
            </w:r>
            <w:r>
              <w:rPr>
                <w:rFonts w:hint="eastAsia" w:ascii="宋体" w:hAnsi="宋体" w:cs="宋体"/>
                <w:color w:val="auto"/>
                <w:szCs w:val="21"/>
                <w:highlight w:val="none"/>
                <w:lang w:val="en-US" w:eastAsia="zh-CN"/>
              </w:rPr>
              <w:t>可行性强的，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【良】有劳动力保证措施、专业劳务队伍投入计划的，</w:t>
            </w:r>
            <w:r>
              <w:rPr>
                <w:rFonts w:hint="eastAsia" w:ascii="宋体" w:hAnsi="宋体" w:cs="宋体"/>
                <w:color w:val="auto"/>
                <w:szCs w:val="21"/>
                <w:highlight w:val="none"/>
                <w:lang w:val="en-US" w:eastAsia="zh-CN"/>
              </w:rPr>
              <w:t>可行性较强的，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【中】仅有劳动力保证措施，</w:t>
            </w:r>
            <w:r>
              <w:rPr>
                <w:rFonts w:hint="eastAsia" w:ascii="宋体" w:hAnsi="宋体" w:cs="宋体"/>
                <w:color w:val="auto"/>
                <w:szCs w:val="21"/>
                <w:highlight w:val="none"/>
                <w:lang w:val="en-US" w:eastAsia="zh-CN"/>
              </w:rPr>
              <w:t>可行性一般的，</w:t>
            </w:r>
            <w:r>
              <w:rPr>
                <w:rFonts w:hint="eastAsia" w:ascii="宋体" w:hAnsi="宋体" w:cs="宋体"/>
                <w:color w:val="auto"/>
                <w:szCs w:val="21"/>
                <w:highlight w:val="none"/>
              </w:rPr>
              <w:t>得</w:t>
            </w:r>
            <w:r>
              <w:rPr>
                <w:rFonts w:hint="eastAsia" w:ascii="宋体" w:hAnsi="宋体" w:cs="宋体"/>
                <w:color w:val="auto"/>
                <w:kern w:val="2"/>
                <w:sz w:val="21"/>
                <w:szCs w:val="21"/>
                <w:highlight w:val="none"/>
                <w:lang w:val="en-US" w:eastAsia="zh-CN"/>
              </w:rPr>
              <w:t>[5,2)</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【差】仅有劳动力保证措施，</w:t>
            </w:r>
            <w:r>
              <w:rPr>
                <w:rFonts w:hint="eastAsia" w:ascii="宋体" w:hAnsi="宋体" w:cs="宋体"/>
                <w:color w:val="auto"/>
                <w:szCs w:val="21"/>
                <w:highlight w:val="none"/>
                <w:lang w:val="en-US" w:eastAsia="zh-CN"/>
              </w:rPr>
              <w:t>可行性较差或</w:t>
            </w:r>
            <w:r>
              <w:rPr>
                <w:rFonts w:hint="eastAsia" w:ascii="宋体" w:hAnsi="宋体" w:cs="宋体"/>
                <w:color w:val="auto"/>
                <w:kern w:val="2"/>
                <w:sz w:val="21"/>
                <w:szCs w:val="21"/>
                <w:highlight w:val="none"/>
              </w:rPr>
              <w:t>无劳动力保证措施</w:t>
            </w:r>
            <w:r>
              <w:rPr>
                <w:rFonts w:hint="eastAsia" w:ascii="宋体" w:hAnsi="宋体" w:cs="宋体"/>
                <w:color w:val="auto"/>
                <w:kern w:val="2"/>
                <w:sz w:val="21"/>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718" w:type="dxa"/>
            <w:shd w:val="clear" w:color="auto" w:fill="FFFFFF"/>
            <w:vAlign w:val="center"/>
          </w:tcPr>
          <w:p>
            <w:pPr>
              <w:widowControl/>
              <w:adjustRightInd w:val="0"/>
              <w:snapToGrid w:val="0"/>
              <w:spacing w:line="360" w:lineRule="auto"/>
              <w:ind w:left="-65" w:leftChars="-31" w:right="-48" w:rightChars="-23"/>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重点难点</w:t>
            </w:r>
          </w:p>
          <w:p>
            <w:pPr>
              <w:adjustRightInd w:val="0"/>
              <w:snapToGrid w:val="0"/>
              <w:spacing w:line="360" w:lineRule="auto"/>
              <w:ind w:left="-65" w:leftChars="-31" w:right="-48" w:rightChars="-23"/>
              <w:jc w:val="center"/>
              <w:rPr>
                <w:rFonts w:hint="eastAsia" w:ascii="宋体" w:hAnsi="宋体" w:cs="宋体"/>
                <w:color w:val="auto"/>
                <w:szCs w:val="21"/>
                <w:highlight w:val="none"/>
              </w:rPr>
            </w:pPr>
            <w:r>
              <w:rPr>
                <w:rFonts w:hint="eastAsia" w:ascii="宋体" w:hAnsi="宋体" w:cs="宋体"/>
                <w:color w:val="auto"/>
                <w:kern w:val="2"/>
                <w:sz w:val="21"/>
                <w:szCs w:val="21"/>
                <w:highlight w:val="none"/>
              </w:rPr>
              <w:t>分析</w:t>
            </w:r>
          </w:p>
        </w:tc>
        <w:tc>
          <w:tcPr>
            <w:tcW w:w="900" w:type="dxa"/>
            <w:shd w:val="clear" w:color="auto" w:fill="FFFFFF"/>
            <w:vAlign w:val="center"/>
          </w:tcPr>
          <w:p>
            <w:pPr>
              <w:adjustRightInd w:val="0"/>
              <w:snapToGrid w:val="0"/>
              <w:spacing w:line="360" w:lineRule="auto"/>
              <w:ind w:left="-59" w:leftChars="-28" w:right="-50" w:rightChars="-2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【优】根据项目现场情况及特点，提出项目实施的重点、难点及采取的相应措施。针对强、措施具体可行的，得</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【良】根据项目现场情况及特点，提出项目实施的重点、难点及采取的相应措施。针对较好、措施较可行的，得</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【中】根据项目现场情况及特点，提出项目实施的重点、难点及采取的相应措施。针对一般、措施一般的，得</w:t>
            </w:r>
            <w:r>
              <w:rPr>
                <w:rFonts w:hint="eastAsia" w:ascii="宋体" w:hAnsi="宋体" w:cs="宋体"/>
                <w:color w:val="auto"/>
                <w:kern w:val="2"/>
                <w:sz w:val="21"/>
                <w:szCs w:val="21"/>
                <w:highlight w:val="none"/>
                <w:lang w:val="en-US" w:eastAsia="zh-CN"/>
              </w:rPr>
              <w:t>[5,2)</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【差】根据项目现场情况及特点，提出项目实施的重点、难点及采取的相应措施。针对</w:t>
            </w:r>
            <w:r>
              <w:rPr>
                <w:rFonts w:hint="eastAsia" w:ascii="宋体" w:hAnsi="宋体" w:cs="宋体"/>
                <w:color w:val="auto"/>
                <w:szCs w:val="21"/>
                <w:highlight w:val="none"/>
                <w:lang w:val="en-US" w:eastAsia="zh-CN"/>
              </w:rPr>
              <w:t>较差</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较差或无重难点分析的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cs="宋体"/>
                <w:color w:val="auto"/>
                <w:szCs w:val="21"/>
                <w:highlight w:val="none"/>
              </w:rPr>
            </w:pPr>
            <w:r>
              <w:rPr>
                <w:rFonts w:hint="eastAsia" w:ascii="宋体" w:hAnsi="宋体" w:cs="宋体"/>
                <w:color w:val="auto"/>
                <w:kern w:val="2"/>
                <w:sz w:val="21"/>
                <w:szCs w:val="21"/>
                <w:highlight w:val="none"/>
              </w:rPr>
              <w:t>质量管理水平及保证措施</w:t>
            </w:r>
          </w:p>
        </w:tc>
        <w:tc>
          <w:tcPr>
            <w:tcW w:w="900" w:type="dxa"/>
            <w:shd w:val="clear" w:color="auto" w:fill="FFFFFF"/>
            <w:vAlign w:val="center"/>
          </w:tcPr>
          <w:p>
            <w:pPr>
              <w:adjustRightInd w:val="0"/>
              <w:snapToGrid w:val="0"/>
              <w:spacing w:line="360" w:lineRule="auto"/>
              <w:ind w:left="-59" w:leftChars="-28" w:right="-50" w:rightChars="-2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kern w:val="2"/>
                <w:sz w:val="21"/>
                <w:szCs w:val="21"/>
                <w:highlight w:val="none"/>
              </w:rPr>
              <w:t>有质量目标保证措施且质量目标符合招标文件要求，有质量保证体系</w:t>
            </w:r>
            <w:r>
              <w:rPr>
                <w:rFonts w:hint="eastAsia" w:ascii="宋体" w:hAnsi="宋体" w:cs="宋体"/>
                <w:color w:val="auto"/>
                <w:kern w:val="2"/>
                <w:sz w:val="21"/>
                <w:szCs w:val="21"/>
                <w:highlight w:val="none"/>
                <w:lang w:eastAsia="zh-CN"/>
              </w:rPr>
              <w:t>，</w:t>
            </w:r>
            <w:r>
              <w:rPr>
                <w:rFonts w:hint="eastAsia" w:ascii="宋体" w:hAnsi="宋体" w:cs="宋体"/>
                <w:color w:val="auto"/>
                <w:szCs w:val="21"/>
                <w:highlight w:val="none"/>
                <w:lang w:val="en-US" w:eastAsia="zh-CN"/>
              </w:rPr>
              <w:t>可行性强的，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kern w:val="2"/>
                <w:sz w:val="21"/>
                <w:szCs w:val="21"/>
                <w:highlight w:val="none"/>
              </w:rPr>
              <w:t>有质量目标保证措施且质量目标符合招标文件要求，有质量保证体系</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可行性较强的，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kern w:val="2"/>
                <w:sz w:val="21"/>
                <w:szCs w:val="21"/>
                <w:highlight w:val="none"/>
              </w:rPr>
              <w:t>有质量目标保证措施且质量目标符合招标文件要求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可行性一般的，</w:t>
            </w:r>
            <w:r>
              <w:rPr>
                <w:rFonts w:hint="eastAsia" w:ascii="宋体" w:hAnsi="宋体" w:cs="宋体"/>
                <w:color w:val="auto"/>
                <w:szCs w:val="21"/>
                <w:highlight w:val="none"/>
              </w:rPr>
              <w:t>得</w:t>
            </w:r>
            <w:r>
              <w:rPr>
                <w:rFonts w:hint="eastAsia" w:ascii="宋体" w:hAnsi="宋体" w:cs="宋体"/>
                <w:color w:val="auto"/>
                <w:kern w:val="2"/>
                <w:sz w:val="21"/>
                <w:szCs w:val="21"/>
                <w:highlight w:val="none"/>
                <w:lang w:val="en-US" w:eastAsia="zh-CN"/>
              </w:rPr>
              <w:t>[5,2)</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kern w:val="2"/>
                <w:sz w:val="21"/>
                <w:szCs w:val="21"/>
                <w:highlight w:val="none"/>
              </w:rPr>
              <w:t>有质量目标保证措施且质量目标符合招标文件要求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可行性较差或</w:t>
            </w:r>
            <w:r>
              <w:rPr>
                <w:rFonts w:hint="eastAsia" w:ascii="宋体" w:hAnsi="宋体" w:cs="宋体"/>
                <w:color w:val="auto"/>
                <w:kern w:val="2"/>
                <w:sz w:val="21"/>
                <w:szCs w:val="21"/>
                <w:highlight w:val="none"/>
              </w:rPr>
              <w:t>无质量保证措施</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cs="宋体"/>
                <w:color w:val="auto"/>
                <w:szCs w:val="21"/>
                <w:highlight w:val="none"/>
              </w:rPr>
            </w:pPr>
            <w:r>
              <w:rPr>
                <w:rFonts w:hint="eastAsia" w:ascii="宋体" w:hAnsi="宋体" w:cs="宋体"/>
                <w:color w:val="auto"/>
                <w:szCs w:val="21"/>
                <w:highlight w:val="none"/>
              </w:rPr>
              <w:t>安全文明施工措施</w:t>
            </w:r>
          </w:p>
        </w:tc>
        <w:tc>
          <w:tcPr>
            <w:tcW w:w="900" w:type="dxa"/>
            <w:shd w:val="clear" w:color="auto" w:fill="FFFFFF"/>
            <w:vAlign w:val="center"/>
          </w:tcPr>
          <w:p>
            <w:pPr>
              <w:adjustRightInd w:val="0"/>
              <w:snapToGrid w:val="0"/>
              <w:spacing w:line="360" w:lineRule="auto"/>
              <w:ind w:left="-59" w:leftChars="-28" w:right="-50" w:rightChars="-2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kern w:val="2"/>
                <w:sz w:val="21"/>
                <w:szCs w:val="21"/>
                <w:highlight w:val="none"/>
              </w:rPr>
              <w:t>制定了安全、文明施工保证体系和保证措施，</w:t>
            </w:r>
            <w:r>
              <w:rPr>
                <w:rFonts w:hint="eastAsia" w:ascii="宋体" w:hAnsi="宋体" w:cs="宋体"/>
                <w:color w:val="auto"/>
                <w:szCs w:val="21"/>
                <w:highlight w:val="none"/>
                <w:lang w:val="en-US" w:eastAsia="zh-CN"/>
              </w:rPr>
              <w:t>可行性强的，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kern w:val="2"/>
                <w:sz w:val="21"/>
                <w:szCs w:val="21"/>
                <w:highlight w:val="none"/>
              </w:rPr>
              <w:t>制定了安全、文明施工保证体系和保证措施，</w:t>
            </w:r>
            <w:r>
              <w:rPr>
                <w:rFonts w:hint="eastAsia" w:ascii="宋体" w:hAnsi="宋体" w:cs="宋体"/>
                <w:color w:val="auto"/>
                <w:szCs w:val="21"/>
                <w:highlight w:val="none"/>
                <w:lang w:val="en-US" w:eastAsia="zh-CN"/>
              </w:rPr>
              <w:t>可行性较强的，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kern w:val="2"/>
                <w:sz w:val="21"/>
                <w:szCs w:val="21"/>
                <w:highlight w:val="none"/>
              </w:rPr>
              <w:t>制定了安全、文明施工保证体系和保证措施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可行性一般的，</w:t>
            </w:r>
            <w:r>
              <w:rPr>
                <w:rFonts w:hint="eastAsia" w:ascii="宋体" w:hAnsi="宋体" w:cs="宋体"/>
                <w:color w:val="auto"/>
                <w:szCs w:val="21"/>
                <w:highlight w:val="none"/>
              </w:rPr>
              <w:t>得</w:t>
            </w:r>
            <w:r>
              <w:rPr>
                <w:rFonts w:hint="eastAsia" w:ascii="宋体" w:hAnsi="宋体" w:cs="宋体"/>
                <w:color w:val="auto"/>
                <w:kern w:val="2"/>
                <w:sz w:val="21"/>
                <w:szCs w:val="21"/>
                <w:highlight w:val="none"/>
                <w:lang w:val="en-US" w:eastAsia="zh-CN"/>
              </w:rPr>
              <w:t>[5,2)</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kern w:val="2"/>
                <w:sz w:val="21"/>
                <w:szCs w:val="21"/>
                <w:highlight w:val="none"/>
              </w:rPr>
              <w:t>制定了安全、文明施工保证体系和保证措施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可行性较差或</w:t>
            </w:r>
            <w:r>
              <w:rPr>
                <w:rFonts w:hint="eastAsia" w:ascii="宋体" w:hAnsi="宋体" w:cs="宋体"/>
                <w:color w:val="auto"/>
                <w:kern w:val="2"/>
                <w:sz w:val="21"/>
                <w:szCs w:val="21"/>
                <w:highlight w:val="none"/>
              </w:rPr>
              <w:t>无安全文明施工保证措施</w:t>
            </w:r>
            <w:r>
              <w:rPr>
                <w:rFonts w:hint="eastAsia" w:ascii="宋体" w:hAnsi="宋体" w:cs="宋体"/>
                <w:color w:val="auto"/>
                <w:kern w:val="2"/>
                <w:sz w:val="21"/>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688" w:type="dxa"/>
            <w:shd w:val="clear" w:color="auto" w:fill="FFFFFF"/>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项目管理机构</w:t>
            </w:r>
          </w:p>
        </w:tc>
        <w:tc>
          <w:tcPr>
            <w:tcW w:w="900" w:type="dxa"/>
            <w:shd w:val="clear" w:color="auto" w:fill="FFFFFF"/>
            <w:vAlign w:val="center"/>
          </w:tcPr>
          <w:p>
            <w:pPr>
              <w:adjustRightInd w:val="0"/>
              <w:snapToGrid w:val="0"/>
              <w:spacing w:line="360" w:lineRule="auto"/>
              <w:ind w:left="-59" w:leftChars="-28" w:right="-50" w:rightChars="-24"/>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6" w:hRule="atLeast"/>
          <w:jc w:val="center"/>
        </w:trPr>
        <w:tc>
          <w:tcPr>
            <w:tcW w:w="688" w:type="dxa"/>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p>
        </w:tc>
        <w:tc>
          <w:tcPr>
            <w:tcW w:w="1718" w:type="dxa"/>
            <w:shd w:val="clear" w:color="auto" w:fill="FFFFFF"/>
            <w:vAlign w:val="center"/>
          </w:tcPr>
          <w:p>
            <w:pPr>
              <w:adjustRightInd w:val="0"/>
              <w:snapToGrid w:val="0"/>
              <w:spacing w:line="360" w:lineRule="auto"/>
              <w:ind w:left="-65" w:leftChars="-31" w:right="-48" w:rightChars="-23"/>
              <w:jc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负责人</w:t>
            </w:r>
          </w:p>
        </w:tc>
        <w:tc>
          <w:tcPr>
            <w:tcW w:w="900" w:type="dxa"/>
            <w:shd w:val="clear" w:color="auto" w:fill="FFFFFF"/>
            <w:vAlign w:val="center"/>
          </w:tcPr>
          <w:p>
            <w:pPr>
              <w:adjustRightInd w:val="0"/>
              <w:snapToGrid w:val="0"/>
              <w:spacing w:line="360" w:lineRule="auto"/>
              <w:ind w:left="-59" w:leftChars="-28" w:right="-50" w:rightChars="-24"/>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（1）具有建筑工程相关专业</w:t>
            </w:r>
            <w:r>
              <w:rPr>
                <w:rFonts w:hint="eastAsia" w:ascii="宋体" w:hAnsi="宋体" w:cs="宋体"/>
                <w:color w:val="auto"/>
                <w:highlight w:val="none"/>
              </w:rPr>
              <w:t>高级或以上</w:t>
            </w:r>
            <w:r>
              <w:rPr>
                <w:rFonts w:hint="eastAsia" w:ascii="宋体" w:hAnsi="宋体" w:cs="宋体"/>
                <w:color w:val="auto"/>
                <w:highlight w:val="none"/>
                <w:lang w:val="en-US" w:eastAsia="zh-CN"/>
              </w:rPr>
              <w:t>技术</w:t>
            </w:r>
            <w:r>
              <w:rPr>
                <w:rFonts w:hint="eastAsia" w:ascii="宋体" w:hAnsi="宋体" w:cs="宋体"/>
                <w:color w:val="auto"/>
                <w:highlight w:val="none"/>
              </w:rPr>
              <w:t>职称的，得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具有建筑工程相关专业中级技术</w:t>
            </w:r>
            <w:r>
              <w:rPr>
                <w:rFonts w:hint="eastAsia" w:ascii="宋体" w:hAnsi="宋体" w:cs="宋体"/>
                <w:color w:val="auto"/>
                <w:highlight w:val="none"/>
              </w:rPr>
              <w:t>职称的，得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（2）具有10</w:t>
            </w:r>
            <w:r>
              <w:rPr>
                <w:rFonts w:hint="eastAsia" w:ascii="宋体" w:hAnsi="宋体" w:cs="宋体"/>
                <w:color w:val="auto"/>
                <w:highlight w:val="none"/>
              </w:rPr>
              <w:t>年</w:t>
            </w:r>
            <w:r>
              <w:rPr>
                <w:rFonts w:hint="eastAsia" w:ascii="宋体" w:hAnsi="宋体" w:cs="宋体"/>
                <w:color w:val="auto"/>
                <w:highlight w:val="none"/>
                <w:lang w:val="en-US" w:eastAsia="zh-CN"/>
              </w:rPr>
              <w:t>或以上工作年限</w:t>
            </w:r>
            <w:r>
              <w:rPr>
                <w:rFonts w:hint="eastAsia" w:ascii="宋体" w:hAnsi="宋体" w:cs="宋体"/>
                <w:color w:val="auto"/>
                <w:highlight w:val="none"/>
              </w:rPr>
              <w:t>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color w:val="auto"/>
                <w:szCs w:val="21"/>
                <w:highlight w:val="none"/>
              </w:rPr>
              <w:t>自</w:t>
            </w:r>
            <w:r>
              <w:rPr>
                <w:rFonts w:ascii="宋体" w:hAnsi="宋体" w:cs="宋体"/>
                <w:color w:val="auto"/>
                <w:szCs w:val="21"/>
                <w:highlight w:val="none"/>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日至投标截止日止，</w:t>
            </w:r>
            <w:r>
              <w:rPr>
                <w:rFonts w:hint="eastAsia" w:ascii="宋体" w:hAnsi="宋体" w:cs="宋体"/>
                <w:color w:val="auto"/>
                <w:szCs w:val="21"/>
                <w:highlight w:val="none"/>
                <w:lang w:val="en-US" w:eastAsia="zh-CN"/>
              </w:rPr>
              <w:t>担任过</w:t>
            </w:r>
            <w:r>
              <w:rPr>
                <w:rFonts w:hint="eastAsia" w:ascii="宋体" w:hAnsi="宋体" w:cs="宋体"/>
                <w:color w:val="auto"/>
                <w:szCs w:val="21"/>
                <w:highlight w:val="none"/>
              </w:rPr>
              <w:t>质量合格且单项合同金额</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rPr>
              <w:t>0万元或以上的建筑工程施工总承包</w:t>
            </w:r>
            <w:r>
              <w:rPr>
                <w:rFonts w:hint="eastAsia" w:ascii="宋体" w:hAnsi="宋体" w:cs="宋体"/>
                <w:color w:val="auto"/>
                <w:szCs w:val="21"/>
                <w:highlight w:val="none"/>
                <w:lang w:val="en-US" w:eastAsia="zh-CN"/>
              </w:rPr>
              <w:t>项目负责人</w:t>
            </w:r>
            <w:r>
              <w:rPr>
                <w:rFonts w:hint="eastAsia" w:ascii="宋体" w:hAnsi="宋体" w:cs="宋体"/>
                <w:color w:val="auto"/>
                <w:kern w:val="0"/>
                <w:szCs w:val="21"/>
                <w:highlight w:val="none"/>
              </w:rPr>
              <w:t>或工程总承包项目施工</w:t>
            </w:r>
            <w:r>
              <w:rPr>
                <w:rFonts w:hint="eastAsia" w:ascii="宋体" w:hAnsi="宋体" w:cs="宋体"/>
                <w:color w:val="auto"/>
                <w:kern w:val="0"/>
                <w:szCs w:val="21"/>
                <w:highlight w:val="none"/>
                <w:lang w:val="en-US" w:eastAsia="zh-CN"/>
              </w:rPr>
              <w:t>负责人的得3分。</w:t>
            </w:r>
          </w:p>
          <w:p>
            <w:pPr>
              <w:keepNext w:val="0"/>
              <w:keepLines w:val="0"/>
              <w:pageBreakBefore w:val="0"/>
              <w:kinsoku/>
              <w:wordWrap/>
              <w:overflowPunct/>
              <w:topLinePunct w:val="0"/>
              <w:autoSpaceDE/>
              <w:autoSpaceDN/>
              <w:bidi w:val="0"/>
              <w:adjustRightInd/>
              <w:spacing w:line="240" w:lineRule="auto"/>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以上三项</w:t>
            </w:r>
            <w:r>
              <w:rPr>
                <w:rFonts w:hint="eastAsia" w:ascii="宋体" w:hAnsi="宋体" w:cs="宋体"/>
                <w:color w:val="auto"/>
                <w:highlight w:val="none"/>
              </w:rPr>
              <w:t>最高</w:t>
            </w:r>
            <w:r>
              <w:rPr>
                <w:rFonts w:hint="eastAsia" w:ascii="宋体" w:hAnsi="宋体" w:cs="宋体"/>
                <w:color w:val="auto"/>
                <w:highlight w:val="none"/>
                <w:lang w:val="en-US" w:eastAsia="zh-CN"/>
              </w:rPr>
              <w:t>得8</w:t>
            </w:r>
            <w:r>
              <w:rPr>
                <w:rFonts w:hint="eastAsia" w:ascii="宋体" w:hAnsi="宋体" w:cs="宋体"/>
                <w:color w:val="auto"/>
                <w:highlight w:val="none"/>
              </w:rPr>
              <w:t>分。无提供或不满足上述要求的不得分。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6" w:hRule="atLeast"/>
          <w:jc w:val="center"/>
        </w:trPr>
        <w:tc>
          <w:tcPr>
            <w:tcW w:w="688" w:type="dxa"/>
            <w:shd w:val="clear" w:color="auto" w:fill="FFFFFF"/>
            <w:vAlign w:val="center"/>
          </w:tcPr>
          <w:p>
            <w:pPr>
              <w:adjustRightInd w:val="0"/>
              <w:snapToGrid w:val="0"/>
              <w:spacing w:line="360" w:lineRule="auto"/>
              <w:jc w:val="center"/>
              <w:rPr>
                <w:rFonts w:hint="eastAsia" w:ascii="Times New Roman" w:hAnsi="Times New Roman" w:eastAsia="宋体" w:cs="Times New Roman"/>
                <w:color w:val="auto"/>
                <w:kern w:val="2"/>
                <w:sz w:val="20"/>
                <w:szCs w:val="22"/>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技术负责人</w:t>
            </w:r>
          </w:p>
        </w:tc>
        <w:tc>
          <w:tcPr>
            <w:tcW w:w="900" w:type="dxa"/>
            <w:shd w:val="clear" w:color="auto" w:fill="FFFFFF"/>
            <w:vAlign w:val="center"/>
          </w:tcPr>
          <w:p>
            <w:pPr>
              <w:adjustRightInd w:val="0"/>
              <w:snapToGrid w:val="0"/>
              <w:spacing w:line="360" w:lineRule="auto"/>
              <w:ind w:left="-59" w:leftChars="-28" w:right="-50" w:rightChars="-24"/>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（1）具有建筑工程相关专业</w:t>
            </w:r>
            <w:r>
              <w:rPr>
                <w:rFonts w:hint="eastAsia" w:ascii="宋体" w:hAnsi="宋体" w:cs="宋体"/>
                <w:color w:val="auto"/>
                <w:highlight w:val="none"/>
              </w:rPr>
              <w:t>高级或以上</w:t>
            </w:r>
            <w:r>
              <w:rPr>
                <w:rFonts w:hint="eastAsia" w:ascii="宋体" w:hAnsi="宋体" w:cs="宋体"/>
                <w:color w:val="auto"/>
                <w:highlight w:val="none"/>
                <w:lang w:val="en-US" w:eastAsia="zh-CN"/>
              </w:rPr>
              <w:t>技术</w:t>
            </w:r>
            <w:r>
              <w:rPr>
                <w:rFonts w:hint="eastAsia" w:ascii="宋体" w:hAnsi="宋体" w:cs="宋体"/>
                <w:color w:val="auto"/>
                <w:highlight w:val="none"/>
              </w:rPr>
              <w:t>职称的，得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（2）具有10</w:t>
            </w:r>
            <w:r>
              <w:rPr>
                <w:rFonts w:hint="eastAsia" w:ascii="宋体" w:hAnsi="宋体" w:cs="宋体"/>
                <w:color w:val="auto"/>
                <w:highlight w:val="none"/>
              </w:rPr>
              <w:t>年</w:t>
            </w:r>
            <w:r>
              <w:rPr>
                <w:rFonts w:hint="eastAsia" w:ascii="宋体" w:hAnsi="宋体" w:cs="宋体"/>
                <w:color w:val="auto"/>
                <w:highlight w:val="none"/>
                <w:lang w:val="en-US" w:eastAsia="zh-CN"/>
              </w:rPr>
              <w:t>或以上工作年限</w:t>
            </w:r>
            <w:r>
              <w:rPr>
                <w:rFonts w:hint="eastAsia" w:ascii="宋体" w:hAnsi="宋体" w:cs="宋体"/>
                <w:color w:val="auto"/>
                <w:highlight w:val="none"/>
              </w:rPr>
              <w:t>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color w:val="auto"/>
                <w:szCs w:val="21"/>
                <w:highlight w:val="none"/>
              </w:rPr>
              <w:t>自</w:t>
            </w:r>
            <w:r>
              <w:rPr>
                <w:rFonts w:ascii="宋体" w:hAnsi="宋体" w:cs="宋体"/>
                <w:color w:val="auto"/>
                <w:szCs w:val="21"/>
                <w:highlight w:val="none"/>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日至投标截止日止，</w:t>
            </w:r>
            <w:r>
              <w:rPr>
                <w:rFonts w:hint="eastAsia" w:ascii="宋体" w:hAnsi="宋体" w:cs="宋体"/>
                <w:color w:val="auto"/>
                <w:szCs w:val="21"/>
                <w:highlight w:val="none"/>
                <w:lang w:val="en-US" w:eastAsia="zh-CN"/>
              </w:rPr>
              <w:t>担任过</w:t>
            </w:r>
            <w:r>
              <w:rPr>
                <w:rFonts w:hint="eastAsia" w:ascii="宋体" w:hAnsi="宋体" w:cs="宋体"/>
                <w:color w:val="auto"/>
                <w:szCs w:val="21"/>
                <w:highlight w:val="none"/>
              </w:rPr>
              <w:t>质量合格且单项合同金额</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rPr>
              <w:t>0万元或以上的建筑工程施工总承包</w:t>
            </w:r>
            <w:r>
              <w:rPr>
                <w:rFonts w:hint="eastAsia" w:ascii="宋体" w:hAnsi="宋体" w:cs="宋体"/>
                <w:color w:val="auto"/>
                <w:szCs w:val="21"/>
                <w:highlight w:val="none"/>
                <w:lang w:val="en-US" w:eastAsia="zh-CN"/>
              </w:rPr>
              <w:t>项目负责人或技术负责人、</w:t>
            </w:r>
            <w:r>
              <w:rPr>
                <w:rFonts w:hint="eastAsia" w:ascii="宋体" w:hAnsi="宋体" w:cs="宋体"/>
                <w:color w:val="auto"/>
                <w:kern w:val="0"/>
                <w:szCs w:val="21"/>
                <w:highlight w:val="none"/>
              </w:rPr>
              <w:t>或工程总承包项目施工</w:t>
            </w:r>
            <w:r>
              <w:rPr>
                <w:rFonts w:hint="eastAsia" w:ascii="宋体" w:hAnsi="宋体" w:cs="宋体"/>
                <w:color w:val="auto"/>
                <w:kern w:val="0"/>
                <w:szCs w:val="21"/>
                <w:highlight w:val="none"/>
                <w:lang w:val="en-US" w:eastAsia="zh-CN"/>
              </w:rPr>
              <w:t>负责人的得3分。</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以上三项</w:t>
            </w:r>
            <w:r>
              <w:rPr>
                <w:rFonts w:hint="eastAsia" w:ascii="宋体" w:hAnsi="宋体" w:cs="宋体"/>
                <w:color w:val="auto"/>
                <w:highlight w:val="none"/>
              </w:rPr>
              <w:t>最高</w:t>
            </w:r>
            <w:r>
              <w:rPr>
                <w:rFonts w:hint="eastAsia" w:ascii="宋体" w:hAnsi="宋体" w:cs="宋体"/>
                <w:color w:val="auto"/>
                <w:highlight w:val="none"/>
                <w:lang w:val="en-US" w:eastAsia="zh-CN"/>
              </w:rPr>
              <w:t>得8</w:t>
            </w:r>
            <w:r>
              <w:rPr>
                <w:rFonts w:hint="eastAsia" w:ascii="宋体" w:hAnsi="宋体" w:cs="宋体"/>
                <w:color w:val="auto"/>
                <w:highlight w:val="none"/>
              </w:rPr>
              <w:t>分。无提供或不满足上述要求的不得分。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6"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2.3</w:t>
            </w:r>
          </w:p>
        </w:tc>
        <w:tc>
          <w:tcPr>
            <w:tcW w:w="1718" w:type="dxa"/>
            <w:shd w:val="clear" w:color="auto" w:fill="FFFFFF"/>
            <w:vAlign w:val="center"/>
          </w:tcPr>
          <w:p>
            <w:pPr>
              <w:widowControl/>
              <w:spacing w:before="100" w:beforeAutospacing="1" w:after="100" w:afterAutospacing="1" w:line="408"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质量</w:t>
            </w:r>
            <w:r>
              <w:rPr>
                <w:rFonts w:hint="eastAsia" w:ascii="宋体" w:hAnsi="宋体" w:cs="宋体"/>
                <w:color w:val="auto"/>
                <w:kern w:val="0"/>
                <w:szCs w:val="21"/>
                <w:highlight w:val="none"/>
                <w:lang w:val="en-US" w:eastAsia="zh-CN"/>
              </w:rPr>
              <w:t>负责人</w:t>
            </w:r>
          </w:p>
        </w:tc>
        <w:tc>
          <w:tcPr>
            <w:tcW w:w="900" w:type="dxa"/>
            <w:shd w:val="clear" w:color="auto" w:fill="FFFFFF"/>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（1）具有建筑工程相关专业</w:t>
            </w:r>
            <w:r>
              <w:rPr>
                <w:rFonts w:hint="eastAsia" w:ascii="宋体" w:hAnsi="宋体" w:cs="宋体"/>
                <w:color w:val="auto"/>
                <w:highlight w:val="none"/>
              </w:rPr>
              <w:t>高级或以上</w:t>
            </w:r>
            <w:r>
              <w:rPr>
                <w:rFonts w:hint="eastAsia" w:ascii="宋体" w:hAnsi="宋体" w:cs="宋体"/>
                <w:color w:val="auto"/>
                <w:highlight w:val="none"/>
                <w:lang w:val="en-US" w:eastAsia="zh-CN"/>
              </w:rPr>
              <w:t>技术</w:t>
            </w:r>
            <w:r>
              <w:rPr>
                <w:rFonts w:hint="eastAsia" w:ascii="宋体" w:hAnsi="宋体" w:cs="宋体"/>
                <w:color w:val="auto"/>
                <w:highlight w:val="none"/>
              </w:rPr>
              <w:t>职称的，得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具有建筑工程相关专业中级技术</w:t>
            </w:r>
            <w:r>
              <w:rPr>
                <w:rFonts w:hint="eastAsia" w:ascii="宋体" w:hAnsi="宋体" w:cs="宋体"/>
                <w:color w:val="auto"/>
                <w:highlight w:val="none"/>
              </w:rPr>
              <w:t>职称的，得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（2）具有10</w:t>
            </w:r>
            <w:r>
              <w:rPr>
                <w:rFonts w:hint="eastAsia" w:ascii="宋体" w:hAnsi="宋体" w:cs="宋体"/>
                <w:color w:val="auto"/>
                <w:highlight w:val="none"/>
              </w:rPr>
              <w:t>年</w:t>
            </w:r>
            <w:r>
              <w:rPr>
                <w:rFonts w:hint="eastAsia" w:ascii="宋体" w:hAnsi="宋体" w:cs="宋体"/>
                <w:color w:val="auto"/>
                <w:highlight w:val="none"/>
                <w:lang w:val="en-US" w:eastAsia="zh-CN"/>
              </w:rPr>
              <w:t>或以上工作年限</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w:t>
            </w:r>
          </w:p>
          <w:p>
            <w:pPr>
              <w:keepNext w:val="0"/>
              <w:keepLines w:val="0"/>
              <w:pageBreakBefore w:val="0"/>
              <w:widowControl/>
              <w:kinsoku/>
              <w:wordWrap/>
              <w:overflowPunct/>
              <w:topLinePunct w:val="0"/>
              <w:autoSpaceDE/>
              <w:autoSpaceDN/>
              <w:bidi w:val="0"/>
              <w:adjustRightInd/>
              <w:spacing w:line="240" w:lineRule="auto"/>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以上两项</w:t>
            </w:r>
            <w:r>
              <w:rPr>
                <w:rFonts w:hint="eastAsia" w:ascii="宋体" w:hAnsi="宋体" w:cs="宋体"/>
                <w:color w:val="auto"/>
                <w:highlight w:val="none"/>
              </w:rPr>
              <w:t>最高</w:t>
            </w:r>
            <w:r>
              <w:rPr>
                <w:rFonts w:hint="eastAsia" w:ascii="宋体" w:hAnsi="宋体" w:cs="宋体"/>
                <w:color w:val="auto"/>
                <w:highlight w:val="none"/>
                <w:lang w:val="en-US" w:eastAsia="zh-CN"/>
              </w:rPr>
              <w:t>3</w:t>
            </w:r>
            <w:r>
              <w:rPr>
                <w:rFonts w:hint="eastAsia" w:ascii="宋体" w:hAnsi="宋体" w:cs="宋体"/>
                <w:color w:val="auto"/>
                <w:highlight w:val="none"/>
              </w:rPr>
              <w:t>分。无提供或不满足上述要求的不得分。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6" w:hRule="atLeast"/>
          <w:jc w:val="center"/>
        </w:trPr>
        <w:tc>
          <w:tcPr>
            <w:tcW w:w="688" w:type="dxa"/>
            <w:shd w:val="clear" w:color="auto" w:fill="FFFFFF"/>
            <w:vAlign w:val="center"/>
          </w:tcPr>
          <w:p>
            <w:pPr>
              <w:jc w:val="center"/>
              <w:rPr>
                <w:rFonts w:hint="eastAsia" w:ascii="Times New Roman" w:hAnsi="Times New Roman" w:eastAsia="宋体" w:cs="Times New Roman"/>
                <w:color w:val="auto"/>
                <w:kern w:val="2"/>
                <w:sz w:val="20"/>
                <w:szCs w:val="22"/>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安全</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rPr>
              <w:t>（与专职安全员不为同一人）</w:t>
            </w:r>
          </w:p>
        </w:tc>
        <w:tc>
          <w:tcPr>
            <w:tcW w:w="900" w:type="dxa"/>
            <w:shd w:val="clear" w:color="auto" w:fill="FFFFFF"/>
            <w:vAlign w:val="center"/>
          </w:tcPr>
          <w:p>
            <w:pPr>
              <w:adjustRightInd w:val="0"/>
              <w:snapToGrid w:val="0"/>
              <w:spacing w:line="360" w:lineRule="auto"/>
              <w:ind w:left="-59" w:leftChars="-28" w:right="-50" w:rightChars="-24"/>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（1）具有建筑工程相关专业</w:t>
            </w:r>
            <w:r>
              <w:rPr>
                <w:rFonts w:hint="eastAsia" w:ascii="宋体" w:hAnsi="宋体" w:cs="宋体"/>
                <w:color w:val="auto"/>
                <w:highlight w:val="none"/>
              </w:rPr>
              <w:t>高级或以上</w:t>
            </w:r>
            <w:r>
              <w:rPr>
                <w:rFonts w:hint="eastAsia" w:ascii="宋体" w:hAnsi="宋体" w:cs="宋体"/>
                <w:color w:val="auto"/>
                <w:highlight w:val="none"/>
                <w:lang w:val="en-US" w:eastAsia="zh-CN"/>
              </w:rPr>
              <w:t>技术</w:t>
            </w:r>
            <w:r>
              <w:rPr>
                <w:rFonts w:hint="eastAsia" w:ascii="宋体" w:hAnsi="宋体" w:cs="宋体"/>
                <w:color w:val="auto"/>
                <w:highlight w:val="none"/>
              </w:rPr>
              <w:t>职称的，得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具有建筑工程相关专业中级技术</w:t>
            </w:r>
            <w:r>
              <w:rPr>
                <w:rFonts w:hint="eastAsia" w:ascii="宋体" w:hAnsi="宋体" w:cs="宋体"/>
                <w:color w:val="auto"/>
                <w:highlight w:val="none"/>
              </w:rPr>
              <w:t>职称的，得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具有有效期内的注册安全工程师（建筑施工安全专业）执业资格证书，得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以上两项</w:t>
            </w:r>
            <w:r>
              <w:rPr>
                <w:rFonts w:hint="eastAsia" w:ascii="宋体" w:hAnsi="宋体" w:cs="宋体"/>
                <w:color w:val="auto"/>
                <w:highlight w:val="none"/>
              </w:rPr>
              <w:t>最高</w:t>
            </w:r>
            <w:r>
              <w:rPr>
                <w:rFonts w:hint="eastAsia" w:ascii="宋体" w:hAnsi="宋体" w:cs="宋体"/>
                <w:color w:val="auto"/>
                <w:highlight w:val="none"/>
                <w:lang w:val="en-US" w:eastAsia="zh-CN"/>
              </w:rPr>
              <w:t>3</w:t>
            </w:r>
            <w:r>
              <w:rPr>
                <w:rFonts w:hint="eastAsia" w:ascii="宋体" w:hAnsi="宋体" w:cs="宋体"/>
                <w:color w:val="auto"/>
                <w:highlight w:val="none"/>
              </w:rPr>
              <w:t>分。无提供或不满足上述要求的不得分。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37" w:hRule="atLeast"/>
          <w:jc w:val="center"/>
        </w:trPr>
        <w:tc>
          <w:tcPr>
            <w:tcW w:w="688" w:type="dxa"/>
            <w:shd w:val="clear" w:color="auto" w:fill="FFFFFF"/>
            <w:vAlign w:val="center"/>
          </w:tcPr>
          <w:p>
            <w:pPr>
              <w:jc w:val="center"/>
              <w:rPr>
                <w:rFonts w:hint="eastAsia" w:ascii="Times New Roman" w:hAnsi="Times New Roman" w:eastAsia="宋体" w:cs="Times New Roman"/>
                <w:color w:val="auto"/>
                <w:kern w:val="2"/>
                <w:sz w:val="20"/>
                <w:szCs w:val="22"/>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tc>
        <w:tc>
          <w:tcPr>
            <w:tcW w:w="1718" w:type="dxa"/>
            <w:shd w:val="clear" w:color="auto" w:fill="FFFFFF"/>
            <w:vAlign w:val="center"/>
          </w:tcPr>
          <w:p>
            <w:pPr>
              <w:adjustRightInd w:val="0"/>
              <w:snapToGrid w:val="0"/>
              <w:spacing w:line="360" w:lineRule="auto"/>
              <w:ind w:left="-65" w:leftChars="-31" w:right="-48" w:rightChars="-23"/>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造价</w:t>
            </w:r>
            <w:r>
              <w:rPr>
                <w:rFonts w:hint="eastAsia" w:ascii="宋体" w:hAnsi="宋体" w:cs="宋体"/>
                <w:color w:val="auto"/>
                <w:szCs w:val="21"/>
                <w:highlight w:val="none"/>
                <w:lang w:val="en-US" w:eastAsia="zh-CN"/>
              </w:rPr>
              <w:t>负责人</w:t>
            </w:r>
          </w:p>
        </w:tc>
        <w:tc>
          <w:tcPr>
            <w:tcW w:w="900" w:type="dxa"/>
            <w:shd w:val="clear" w:color="auto" w:fill="FFFFFF"/>
            <w:vAlign w:val="center"/>
          </w:tcPr>
          <w:p>
            <w:pPr>
              <w:widowControl/>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（1）具有建筑工程相关专业</w:t>
            </w:r>
            <w:r>
              <w:rPr>
                <w:rFonts w:hint="eastAsia" w:ascii="宋体" w:hAnsi="宋体" w:cs="宋体"/>
                <w:color w:val="auto"/>
                <w:highlight w:val="none"/>
              </w:rPr>
              <w:t>高级或以上</w:t>
            </w:r>
            <w:r>
              <w:rPr>
                <w:rFonts w:hint="eastAsia" w:ascii="宋体" w:hAnsi="宋体" w:cs="宋体"/>
                <w:color w:val="auto"/>
                <w:highlight w:val="none"/>
                <w:lang w:val="en-US" w:eastAsia="zh-CN"/>
              </w:rPr>
              <w:t>技术</w:t>
            </w:r>
            <w:r>
              <w:rPr>
                <w:rFonts w:hint="eastAsia" w:ascii="宋体" w:hAnsi="宋体" w:cs="宋体"/>
                <w:color w:val="auto"/>
                <w:highlight w:val="none"/>
              </w:rPr>
              <w:t>职称的，得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具有建筑工程相关专业中级技术</w:t>
            </w:r>
            <w:r>
              <w:rPr>
                <w:rFonts w:hint="eastAsia" w:ascii="宋体" w:hAnsi="宋体" w:cs="宋体"/>
                <w:color w:val="auto"/>
                <w:highlight w:val="none"/>
              </w:rPr>
              <w:t>职称的，得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color w:val="auto"/>
                <w:highlight w:val="none"/>
              </w:rPr>
            </w:pPr>
            <w:r>
              <w:rPr>
                <w:rFonts w:hint="eastAsia" w:ascii="宋体" w:hAnsi="宋体" w:cs="宋体"/>
                <w:color w:val="auto"/>
                <w:highlight w:val="none"/>
                <w:lang w:val="en-US" w:eastAsia="zh-CN"/>
              </w:rPr>
              <w:t>（2）具有有效期内的一级造价工程师注册证书</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具有有效期内的二级造价工程师注册证书</w:t>
            </w:r>
            <w:r>
              <w:rPr>
                <w:rFonts w:hint="eastAsia" w:ascii="宋体" w:hAnsi="宋体" w:cs="宋体"/>
                <w:color w:val="auto"/>
                <w:highlight w:val="none"/>
              </w:rPr>
              <w:t>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以上两项</w:t>
            </w:r>
            <w:r>
              <w:rPr>
                <w:rFonts w:hint="eastAsia" w:ascii="宋体" w:hAnsi="宋体" w:cs="宋体"/>
                <w:color w:val="auto"/>
                <w:highlight w:val="none"/>
              </w:rPr>
              <w:t>最高</w:t>
            </w:r>
            <w:r>
              <w:rPr>
                <w:rFonts w:hint="eastAsia" w:ascii="宋体" w:hAnsi="宋体" w:cs="宋体"/>
                <w:color w:val="auto"/>
                <w:highlight w:val="none"/>
                <w:lang w:val="en-US" w:eastAsia="zh-CN"/>
              </w:rPr>
              <w:t>3</w:t>
            </w:r>
            <w:r>
              <w:rPr>
                <w:rFonts w:hint="eastAsia" w:ascii="宋体" w:hAnsi="宋体" w:cs="宋体"/>
                <w:color w:val="auto"/>
                <w:highlight w:val="none"/>
              </w:rPr>
              <w:t>分。无提供或不满足上述要求的不得分。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688" w:type="dxa"/>
            <w:shd w:val="clear" w:color="auto" w:fill="FFFFFF"/>
            <w:vAlign w:val="center"/>
          </w:tcPr>
          <w:p>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718" w:type="dxa"/>
            <w:shd w:val="clear" w:color="auto" w:fill="FFFFFF"/>
            <w:vAlign w:val="center"/>
          </w:tcPr>
          <w:p>
            <w:pPr>
              <w:adjustRightInd w:val="0"/>
              <w:snapToGrid w:val="0"/>
              <w:spacing w:line="360" w:lineRule="auto"/>
              <w:ind w:left="-65" w:leftChars="-31" w:right="-48" w:rightChars="-23"/>
              <w:jc w:val="center"/>
              <w:rPr>
                <w:rFonts w:ascii="宋体" w:hAnsi="宋体" w:cs="宋体"/>
                <w:color w:val="auto"/>
                <w:szCs w:val="21"/>
                <w:highlight w:val="none"/>
              </w:rPr>
            </w:pPr>
            <w:r>
              <w:rPr>
                <w:rFonts w:hint="eastAsia" w:ascii="宋体" w:hAnsi="宋体" w:cs="宋体"/>
                <w:color w:val="auto"/>
                <w:szCs w:val="21"/>
                <w:highlight w:val="none"/>
              </w:rPr>
              <w:t>企业资信</w:t>
            </w:r>
          </w:p>
        </w:tc>
        <w:tc>
          <w:tcPr>
            <w:tcW w:w="900" w:type="dxa"/>
            <w:shd w:val="clear" w:color="auto" w:fill="FFFFFF"/>
            <w:vAlign w:val="center"/>
          </w:tcPr>
          <w:p>
            <w:pPr>
              <w:adjustRightInd w:val="0"/>
              <w:snapToGrid w:val="0"/>
              <w:spacing w:line="360" w:lineRule="auto"/>
              <w:ind w:left="-59" w:leftChars="-28" w:right="-50" w:rightChars="-24"/>
              <w:jc w:val="center"/>
              <w:rPr>
                <w:rFonts w:ascii="宋体" w:hAnsi="宋体" w:cs="宋体"/>
                <w:color w:val="auto"/>
                <w:szCs w:val="21"/>
                <w:highlight w:val="none"/>
              </w:rPr>
            </w:pPr>
            <w:r>
              <w:rPr>
                <w:rFonts w:hint="eastAsia" w:ascii="宋体" w:hAnsi="宋体" w:cs="宋体"/>
                <w:color w:val="auto"/>
                <w:szCs w:val="21"/>
                <w:highlight w:val="none"/>
              </w:rPr>
              <w:t>30</w:t>
            </w:r>
            <w:r>
              <w:rPr>
                <w:rFonts w:ascii="宋体" w:hAnsi="宋体" w:cs="宋体"/>
                <w:color w:val="auto"/>
                <w:szCs w:val="21"/>
                <w:highlight w:val="none"/>
              </w:rPr>
              <w:t>分</w:t>
            </w:r>
          </w:p>
        </w:tc>
        <w:tc>
          <w:tcPr>
            <w:tcW w:w="1146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Cs w:val="21"/>
                <w:highlight w:val="none"/>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6" w:hRule="atLeast"/>
          <w:jc w:val="center"/>
        </w:trPr>
        <w:tc>
          <w:tcPr>
            <w:tcW w:w="688" w:type="dxa"/>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.1</w:t>
            </w:r>
          </w:p>
        </w:tc>
        <w:tc>
          <w:tcPr>
            <w:tcW w:w="1718" w:type="dxa"/>
            <w:shd w:val="clear" w:color="auto" w:fill="FFFFFF"/>
            <w:vAlign w:val="center"/>
          </w:tcPr>
          <w:p>
            <w:pPr>
              <w:adjustRightInd w:val="0"/>
              <w:snapToGrid w:val="0"/>
              <w:spacing w:line="360" w:lineRule="auto"/>
              <w:ind w:left="-65" w:leftChars="-31" w:right="-48" w:rightChars="-23"/>
              <w:jc w:val="center"/>
              <w:rPr>
                <w:rFonts w:ascii="宋体" w:hAnsi="宋体" w:cs="宋体"/>
                <w:color w:val="auto"/>
                <w:szCs w:val="21"/>
                <w:highlight w:val="none"/>
              </w:rPr>
            </w:pPr>
            <w:r>
              <w:rPr>
                <w:rFonts w:hint="eastAsia" w:ascii="宋体" w:hAnsi="宋体" w:cs="宋体"/>
                <w:color w:val="auto"/>
                <w:szCs w:val="21"/>
                <w:highlight w:val="none"/>
              </w:rPr>
              <w:t>类似工程业绩</w:t>
            </w:r>
          </w:p>
        </w:tc>
        <w:tc>
          <w:tcPr>
            <w:tcW w:w="900" w:type="dxa"/>
            <w:shd w:val="clear" w:color="auto" w:fill="FFFFFF"/>
            <w:vAlign w:val="center"/>
          </w:tcPr>
          <w:p>
            <w:pPr>
              <w:adjustRightInd w:val="0"/>
              <w:snapToGrid w:val="0"/>
              <w:spacing w:line="360" w:lineRule="auto"/>
              <w:ind w:left="-59" w:leftChars="-28" w:right="-50" w:rightChars="-24"/>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ascii="宋体" w:hAnsi="宋体" w:cs="宋体"/>
                <w:color w:val="auto"/>
                <w:szCs w:val="21"/>
                <w:highlight w:val="none"/>
              </w:rPr>
              <w:t>分</w:t>
            </w:r>
          </w:p>
        </w:tc>
        <w:tc>
          <w:tcPr>
            <w:tcW w:w="11464" w:type="dxa"/>
            <w:shd w:val="clear" w:color="auto" w:fill="FFFFFF"/>
            <w:vAlign w:val="center"/>
          </w:tcPr>
          <w:p>
            <w:pPr>
              <w:keepNext w:val="0"/>
              <w:keepLines w:val="0"/>
              <w:pageBreakBefore w:val="0"/>
              <w:kinsoku/>
              <w:wordWrap/>
              <w:overflowPunct/>
              <w:topLinePunct w:val="0"/>
              <w:autoSpaceDE/>
              <w:autoSpaceDN/>
              <w:bidi w:val="0"/>
              <w:adjustRightInd/>
              <w:spacing w:line="240" w:lineRule="auto"/>
              <w:textAlignment w:val="auto"/>
              <w:rPr>
                <w:rFonts w:ascii="宋体" w:hAnsi="宋体" w:cs="宋体"/>
                <w:color w:val="auto"/>
                <w:szCs w:val="21"/>
                <w:highlight w:val="none"/>
              </w:rPr>
            </w:pPr>
            <w:r>
              <w:rPr>
                <w:rFonts w:hint="eastAsia" w:ascii="宋体" w:hAnsi="宋体" w:cs="宋体"/>
                <w:color w:val="auto"/>
                <w:highlight w:val="none"/>
              </w:rPr>
              <w:t>投标人</w:t>
            </w:r>
            <w:r>
              <w:rPr>
                <w:rFonts w:hint="eastAsia" w:ascii="宋体" w:hAnsi="宋体" w:cs="宋体"/>
                <w:color w:val="auto"/>
                <w:szCs w:val="21"/>
                <w:highlight w:val="none"/>
              </w:rPr>
              <w:t>自</w:t>
            </w:r>
            <w:r>
              <w:rPr>
                <w:rFonts w:ascii="宋体" w:hAnsi="宋体" w:cs="宋体"/>
                <w:color w:val="auto"/>
                <w:szCs w:val="21"/>
                <w:highlight w:val="none"/>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日至投标截止日止，完成过质量合格且单项合同金额</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rPr>
              <w:t>0万元或以上的建筑工程施工总承包</w:t>
            </w:r>
            <w:r>
              <w:rPr>
                <w:rFonts w:hint="eastAsia" w:ascii="宋体" w:hAnsi="宋体" w:cs="宋体"/>
                <w:color w:val="auto"/>
                <w:szCs w:val="21"/>
                <w:highlight w:val="none"/>
                <w:lang w:val="en-US" w:eastAsia="zh-CN"/>
              </w:rPr>
              <w:t>业绩</w:t>
            </w:r>
            <w:r>
              <w:rPr>
                <w:rFonts w:hint="eastAsia" w:ascii="宋体" w:hAnsi="宋体" w:cs="宋体"/>
                <w:color w:val="auto"/>
                <w:kern w:val="0"/>
                <w:szCs w:val="21"/>
                <w:highlight w:val="none"/>
              </w:rPr>
              <w:t>或工程总承包项目施工部分业绩（工程总承包项目包括勘察设计施工总承包或设计施工总承包或设计采购施工总承包或勘察设计采购施工总承包）</w:t>
            </w:r>
            <w:r>
              <w:rPr>
                <w:rFonts w:hint="eastAsia" w:ascii="宋体" w:hAnsi="宋体" w:cs="宋体"/>
                <w:color w:val="auto"/>
                <w:szCs w:val="21"/>
                <w:highlight w:val="none"/>
              </w:rPr>
              <w:t>，每项得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8" w:hRule="atLeast"/>
          <w:jc w:val="center"/>
        </w:trPr>
        <w:tc>
          <w:tcPr>
            <w:tcW w:w="688" w:type="dxa"/>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.2</w:t>
            </w:r>
          </w:p>
        </w:tc>
        <w:tc>
          <w:tcPr>
            <w:tcW w:w="1718" w:type="dxa"/>
            <w:shd w:val="clear" w:color="auto" w:fill="FFFFFF"/>
            <w:vAlign w:val="center"/>
          </w:tcPr>
          <w:p>
            <w:pPr>
              <w:spacing w:line="300" w:lineRule="exact"/>
              <w:jc w:val="center"/>
              <w:rPr>
                <w:rFonts w:ascii="宋体" w:hAnsi="宋体" w:cs="宋体"/>
                <w:color w:val="auto"/>
                <w:szCs w:val="21"/>
                <w:highlight w:val="none"/>
              </w:rPr>
            </w:pPr>
            <w:r>
              <w:rPr>
                <w:rFonts w:hint="eastAsia" w:eastAsia="宋体" w:cs="Times New Roman"/>
                <w:color w:val="auto"/>
                <w:highlight w:val="none"/>
              </w:rPr>
              <w:t>工程奖项</w:t>
            </w:r>
          </w:p>
        </w:tc>
        <w:tc>
          <w:tcPr>
            <w:tcW w:w="900" w:type="dxa"/>
            <w:shd w:val="clear" w:color="auto" w:fill="FFFFFF"/>
            <w:vAlign w:val="center"/>
          </w:tcPr>
          <w:p>
            <w:pPr>
              <w:spacing w:line="300" w:lineRule="exact"/>
              <w:jc w:val="center"/>
              <w:rPr>
                <w:rFonts w:ascii="宋体" w:hAnsi="宋体" w:cs="宋体"/>
                <w:color w:val="auto"/>
                <w:szCs w:val="21"/>
                <w:highlight w:val="none"/>
              </w:rPr>
            </w:pPr>
            <w:r>
              <w:rPr>
                <w:rFonts w:hint="eastAsia" w:cs="Times New Roman"/>
                <w:color w:val="auto"/>
                <w:highlight w:val="none"/>
                <w:lang w:val="en-US" w:eastAsia="zh-CN"/>
              </w:rPr>
              <w:t>15</w:t>
            </w:r>
            <w:r>
              <w:rPr>
                <w:rFonts w:hint="eastAsia" w:eastAsia="宋体" w:cs="Times New Roman"/>
                <w:color w:val="auto"/>
                <w:highlight w:val="none"/>
              </w:rPr>
              <w:t>分</w:t>
            </w:r>
          </w:p>
        </w:tc>
        <w:tc>
          <w:tcPr>
            <w:tcW w:w="11464"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（1）投标人自2022年1月1日至投标截止时间止以承建单位完成的建筑工程项目获得过省级或以上优质工程奖项，每项得5分，本项最高得15分；</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（2）投标人自2022年1月1日至投标截止时间止以承建单位完成的建筑工程项目获得过市级（含副省级）优质工程奖项，每项得3分，本项最高得15分。</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color w:val="auto"/>
                <w:highlight w:val="none"/>
                <w:lang w:val="zh-TW"/>
              </w:rPr>
            </w:pPr>
            <w:r>
              <w:rPr>
                <w:rFonts w:hint="eastAsia" w:ascii="宋体" w:hAnsi="宋体" w:cs="宋体"/>
                <w:color w:val="auto"/>
                <w:highlight w:val="none"/>
                <w:lang w:val="en-US" w:eastAsia="zh-CN"/>
              </w:rPr>
              <w:t>以上两项单项或合计最高得15分。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8"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1718" w:type="dxa"/>
            <w:shd w:val="clear" w:color="auto" w:fill="FFFFFF"/>
            <w:vAlign w:val="center"/>
          </w:tcPr>
          <w:p>
            <w:pPr>
              <w:spacing w:line="30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财务指标</w:t>
            </w:r>
          </w:p>
        </w:tc>
        <w:tc>
          <w:tcPr>
            <w:tcW w:w="900" w:type="dxa"/>
            <w:shd w:val="clear" w:color="auto" w:fill="FFFFFF"/>
            <w:vAlign w:val="center"/>
          </w:tcPr>
          <w:p>
            <w:pPr>
              <w:spacing w:line="300" w:lineRule="exact"/>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11464"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8"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1718" w:type="dxa"/>
            <w:shd w:val="clear" w:color="auto" w:fill="FFFFFF"/>
            <w:vAlign w:val="center"/>
          </w:tcPr>
          <w:p>
            <w:pPr>
              <w:spacing w:line="30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工程研发能力</w:t>
            </w:r>
          </w:p>
        </w:tc>
        <w:tc>
          <w:tcPr>
            <w:tcW w:w="900" w:type="dxa"/>
            <w:shd w:val="clear" w:color="auto" w:fill="FFFFFF"/>
            <w:vAlign w:val="center"/>
          </w:tcPr>
          <w:p>
            <w:pPr>
              <w:spacing w:line="300" w:lineRule="exact"/>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11464"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8" w:hRule="atLeast"/>
          <w:jc w:val="center"/>
        </w:trPr>
        <w:tc>
          <w:tcPr>
            <w:tcW w:w="688" w:type="dxa"/>
            <w:shd w:val="clear" w:color="auto" w:fill="FFFFFF"/>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718" w:type="dxa"/>
            <w:shd w:val="clear" w:color="auto" w:fill="FFFFFF"/>
            <w:vAlign w:val="center"/>
          </w:tcPr>
          <w:p>
            <w:pPr>
              <w:spacing w:line="30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第三方评价</w:t>
            </w:r>
          </w:p>
        </w:tc>
        <w:tc>
          <w:tcPr>
            <w:tcW w:w="900" w:type="dxa"/>
            <w:shd w:val="clear" w:color="auto" w:fill="FFFFFF"/>
            <w:vAlign w:val="center"/>
          </w:tcPr>
          <w:p>
            <w:pPr>
              <w:spacing w:line="300" w:lineRule="exact"/>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11464"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1" w:hRule="atLeast"/>
          <w:jc w:val="center"/>
        </w:trPr>
        <w:tc>
          <w:tcPr>
            <w:tcW w:w="2406" w:type="dxa"/>
            <w:gridSpan w:val="2"/>
            <w:shd w:val="clear" w:color="auto" w:fill="FFFFFF"/>
            <w:vAlign w:val="center"/>
          </w:tcPr>
          <w:p>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900" w:type="dxa"/>
            <w:shd w:val="clear" w:color="auto" w:fill="FFFFFF"/>
            <w:vAlign w:val="center"/>
          </w:tcPr>
          <w:p>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100分</w:t>
            </w:r>
          </w:p>
        </w:tc>
        <w:tc>
          <w:tcPr>
            <w:tcW w:w="11464" w:type="dxa"/>
            <w:shd w:val="clear" w:color="auto" w:fill="FFFFFF"/>
            <w:vAlign w:val="center"/>
          </w:tcPr>
          <w:p>
            <w:pPr>
              <w:adjustRightInd w:val="0"/>
              <w:snapToGrid w:val="0"/>
              <w:spacing w:line="360" w:lineRule="auto"/>
              <w:jc w:val="center"/>
              <w:rPr>
                <w:rFonts w:ascii="宋体" w:hAnsi="宋体" w:cs="宋体"/>
                <w:color w:val="auto"/>
                <w:szCs w:val="21"/>
                <w:highlight w:val="none"/>
              </w:rPr>
            </w:pPr>
          </w:p>
        </w:tc>
      </w:tr>
    </w:tbl>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注：</w:t>
      </w:r>
    </w:p>
    <w:p>
      <w:pPr>
        <w:keepNext w:val="0"/>
        <w:keepLines w:val="0"/>
        <w:pageBreakBefore w:val="0"/>
        <w:widowControl w:val="0"/>
        <w:tabs>
          <w:tab w:val="left" w:pos="360"/>
        </w:tabs>
        <w:kinsoku/>
        <w:wordWrap/>
        <w:overflowPunct/>
        <w:topLinePunct w:val="0"/>
        <w:autoSpaceDE/>
        <w:autoSpaceDN/>
        <w:bidi w:val="0"/>
        <w:adjustRightInd/>
        <w:snapToGrid w:val="0"/>
        <w:spacing w:line="240" w:lineRule="auto"/>
        <w:contextualSpacing/>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w:t>
      </w:r>
      <w:r>
        <w:rPr>
          <w:rFonts w:hint="eastAsia" w:ascii="宋体" w:hAnsi="宋体" w:cs="宋体"/>
          <w:b/>
          <w:bCs/>
          <w:color w:val="auto"/>
          <w:kern w:val="0"/>
          <w:szCs w:val="21"/>
          <w:highlight w:val="none"/>
        </w:rPr>
        <w:t>项目管理机构能力</w:t>
      </w:r>
      <w:r>
        <w:rPr>
          <w:rFonts w:hint="eastAsia" w:ascii="宋体" w:hAnsi="宋体" w:cs="宋体"/>
          <w:b/>
          <w:color w:val="auto"/>
          <w:szCs w:val="21"/>
          <w:highlight w:val="none"/>
        </w:rPr>
        <w:t>】：</w:t>
      </w:r>
      <w:r>
        <w:rPr>
          <w:rFonts w:hint="eastAsia" w:ascii="宋体" w:hAnsi="宋体" w:eastAsia="宋体" w:cs="宋体"/>
          <w:color w:val="auto"/>
          <w:kern w:val="0"/>
          <w:szCs w:val="21"/>
          <w:highlight w:val="none"/>
        </w:rPr>
        <w:t>（1）项目管理机构人员仅指注册在本公司人员，不含子母公司人员，如投标申请人为集团公司，则不含集团下属子公司，专指集团本部人员，同样下属子公司也不得使用集团公司的人员。项目管理机构人员不能兼任，不重复计算得分。</w:t>
      </w:r>
    </w:p>
    <w:p>
      <w:pPr>
        <w:keepNext w:val="0"/>
        <w:keepLines w:val="0"/>
        <w:pageBreakBefore w:val="0"/>
        <w:widowControl w:val="0"/>
        <w:tabs>
          <w:tab w:val="left" w:pos="360"/>
        </w:tabs>
        <w:kinsoku/>
        <w:wordWrap/>
        <w:overflowPunct/>
        <w:topLinePunct w:val="0"/>
        <w:autoSpaceDE/>
        <w:autoSpaceDN/>
        <w:bidi w:val="0"/>
        <w:adjustRightInd/>
        <w:snapToGrid w:val="0"/>
        <w:spacing w:line="240" w:lineRule="auto"/>
        <w:contextualSpacing/>
        <w:textAlignment w:val="auto"/>
        <w:rPr>
          <w:rFonts w:hint="default" w:ascii="宋体" w:hAnsi="宋体" w:eastAsia="宋体" w:cs="宋体"/>
          <w:color w:val="auto"/>
          <w:highlight w:val="none"/>
          <w:lang w:val="en-US" w:eastAsia="zh-CN"/>
        </w:rPr>
      </w:pPr>
      <w:r>
        <w:rPr>
          <w:rFonts w:hint="eastAsia" w:ascii="宋体" w:hAnsi="宋体" w:eastAsia="宋体" w:cs="宋体"/>
          <w:color w:val="auto"/>
          <w:kern w:val="0"/>
          <w:szCs w:val="21"/>
          <w:highlight w:val="none"/>
        </w:rPr>
        <w:t>（2）①所有人员必须按要求提供相应证件证明；②职称专业以职称证书上注明的专业为准，高级职称证书以地市级以上人社部门核发为准，若不是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③其中：注册造价工程师专业以全国建筑市场监督公共服务平台查询为准，须同时提供全国建筑市场监督公共服务平台“http://jzsc.mohurd.gov.cn/data/person查询”网页截图（包括有效期及注册专业）；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注册证书、注册造价工程师注册信息查询网站（http://zaojiasys.jianshe99.com/cecaopsys/queryAndSearch/view.do?op=queryUserInfoInit）查询结果网上截图，且执业状态栏显示“正常”的才计分，不提供或者提供资料不齐全的不计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④</w:t>
      </w:r>
      <w:r>
        <w:rPr>
          <w:rFonts w:hint="eastAsia" w:ascii="宋体" w:hAnsi="宋体" w:eastAsia="宋体" w:cs="宋体"/>
          <w:color w:val="auto"/>
          <w:kern w:val="0"/>
          <w:szCs w:val="21"/>
          <w:highlight w:val="none"/>
        </w:rPr>
        <w:t>注册安全工程师执业资格须同时提供注册安全工程师注册管理系统网站（</w:t>
      </w:r>
      <w:r>
        <w:rPr>
          <w:rFonts w:hint="eastAsia" w:ascii="宋体" w:hAnsi="宋体" w:eastAsia="宋体" w:cs="宋体"/>
          <w:color w:val="auto"/>
          <w:kern w:val="0"/>
          <w:szCs w:val="21"/>
          <w:highlight w:val="none"/>
          <w:lang w:eastAsia="zh-CN"/>
        </w:rPr>
        <w:t>http://rmocse.chinasafety.ac.cn/</w:t>
      </w:r>
      <w:r>
        <w:rPr>
          <w:rFonts w:hint="eastAsia" w:ascii="宋体" w:hAnsi="宋体" w:eastAsia="宋体" w:cs="宋体"/>
          <w:color w:val="auto"/>
          <w:kern w:val="0"/>
          <w:szCs w:val="21"/>
          <w:highlight w:val="none"/>
        </w:rPr>
        <w:t>）查询结果网页截图；</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所有人员应提供</w:t>
      </w:r>
      <w:bookmarkStart w:id="41" w:name="OLE_LINK1"/>
      <w:r>
        <w:rPr>
          <w:rFonts w:hint="eastAsia" w:ascii="宋体" w:hAnsi="宋体" w:cs="宋体"/>
          <w:color w:val="auto"/>
          <w:szCs w:val="21"/>
          <w:highlight w:val="none"/>
        </w:rPr>
        <w:t>近1个月（202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月），由社保行政主管部门出具的社保证明资料原件扫描件；如为退休人员需提供退休证及返聘协议并符合国家法律规定内的返聘年龄</w:t>
      </w:r>
      <w:bookmarkEnd w:id="41"/>
      <w:r>
        <w:rPr>
          <w:rFonts w:hint="eastAsia" w:ascii="宋体" w:hAnsi="宋体" w:cs="宋体"/>
          <w:color w:val="auto"/>
          <w:szCs w:val="21"/>
          <w:highlight w:val="none"/>
        </w:rPr>
        <w:t>。</w:t>
      </w:r>
    </w:p>
    <w:p>
      <w:pPr>
        <w:ind w:firstLine="420" w:firstLineChars="200"/>
        <w:rPr>
          <w:rFonts w:ascii="宋体" w:hAnsi="宋体" w:cs="仿宋"/>
          <w:color w:val="auto"/>
          <w:kern w:val="0"/>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w:t>
      </w:r>
      <w:r>
        <w:rPr>
          <w:rFonts w:hint="eastAsia" w:ascii="宋体" w:hAnsi="宋体" w:cs="宋体"/>
          <w:b/>
          <w:bCs/>
          <w:color w:val="auto"/>
          <w:kern w:val="0"/>
          <w:szCs w:val="21"/>
          <w:highlight w:val="none"/>
        </w:rPr>
        <w:t>类似工程业绩</w:t>
      </w:r>
      <w:r>
        <w:rPr>
          <w:rFonts w:hint="eastAsia" w:ascii="宋体" w:hAnsi="宋体" w:cs="宋体"/>
          <w:b/>
          <w:color w:val="auto"/>
          <w:szCs w:val="21"/>
          <w:highlight w:val="none"/>
        </w:rPr>
        <w:t>】：</w:t>
      </w:r>
      <w:r>
        <w:rPr>
          <w:rFonts w:hint="eastAsia" w:ascii="宋体" w:hAnsi="宋体" w:cs="仿宋"/>
          <w:color w:val="auto"/>
          <w:kern w:val="0"/>
          <w:szCs w:val="21"/>
          <w:highlight w:val="none"/>
        </w:rPr>
        <w:t>建筑工程项目：业绩取自</w:t>
      </w:r>
      <w:r>
        <w:rPr>
          <w:rFonts w:hint="eastAsia" w:ascii="宋体" w:hAnsi="宋体" w:cs="仿宋"/>
          <w:b/>
          <w:bCs/>
          <w:color w:val="auto"/>
          <w:kern w:val="0"/>
          <w:szCs w:val="21"/>
          <w:highlight w:val="none"/>
        </w:rPr>
        <w:t>广州市住建行业信用管理平台</w:t>
      </w:r>
      <w:r>
        <w:rPr>
          <w:rFonts w:hint="eastAsia" w:ascii="宋体" w:hAnsi="宋体" w:cs="仿宋"/>
          <w:color w:val="auto"/>
          <w:kern w:val="0"/>
          <w:szCs w:val="21"/>
          <w:highlight w:val="none"/>
        </w:rPr>
        <w:t>。投标人须提供类似工程业绩的项目名称及业绩在</w:t>
      </w:r>
      <w:r>
        <w:rPr>
          <w:rFonts w:hint="eastAsia" w:ascii="宋体" w:hAnsi="宋体" w:cs="仿宋"/>
          <w:b/>
          <w:bCs/>
          <w:color w:val="auto"/>
          <w:kern w:val="0"/>
          <w:szCs w:val="21"/>
          <w:highlight w:val="none"/>
        </w:rPr>
        <w:t>广州市住建行业信用管理平台</w:t>
      </w:r>
      <w:r>
        <w:rPr>
          <w:rFonts w:hint="eastAsia" w:ascii="宋体" w:hAnsi="宋体" w:cs="仿宋"/>
          <w:color w:val="auto"/>
          <w:kern w:val="0"/>
          <w:szCs w:val="21"/>
          <w:highlight w:val="none"/>
        </w:rPr>
        <w:t>中项目编号。不提供项目名称及项目编号的业绩不予评审。若投标人提供的项目名称与项目编号不一致：①项目名称和项目编号在</w:t>
      </w:r>
      <w:r>
        <w:rPr>
          <w:rFonts w:hint="eastAsia" w:ascii="宋体" w:hAnsi="宋体" w:cs="仿宋"/>
          <w:b/>
          <w:bCs/>
          <w:color w:val="auto"/>
          <w:kern w:val="0"/>
          <w:szCs w:val="21"/>
          <w:highlight w:val="none"/>
          <w:u w:val="single"/>
        </w:rPr>
        <w:t>广州市住建行业信用管理</w:t>
      </w:r>
      <w:r>
        <w:rPr>
          <w:rFonts w:hint="eastAsia" w:ascii="宋体" w:hAnsi="宋体" w:cs="仿宋"/>
          <w:b/>
          <w:bCs/>
          <w:color w:val="auto"/>
          <w:kern w:val="0"/>
          <w:szCs w:val="21"/>
          <w:highlight w:val="none"/>
        </w:rPr>
        <w:t>平台内</w:t>
      </w:r>
      <w:r>
        <w:rPr>
          <w:rFonts w:hint="eastAsia" w:ascii="宋体" w:hAnsi="宋体" w:cs="仿宋"/>
          <w:color w:val="auto"/>
          <w:kern w:val="0"/>
          <w:szCs w:val="21"/>
          <w:highlight w:val="none"/>
        </w:rPr>
        <w:t>分别对应不同业绩的，以项目名称对应的业绩为准；②项目名称存在对应业绩的，项目编号在</w:t>
      </w:r>
      <w:r>
        <w:rPr>
          <w:rFonts w:hint="eastAsia" w:ascii="宋体" w:hAnsi="宋体" w:cs="仿宋"/>
          <w:b/>
          <w:bCs/>
          <w:color w:val="auto"/>
          <w:kern w:val="0"/>
          <w:szCs w:val="21"/>
          <w:highlight w:val="none"/>
          <w:u w:val="single"/>
        </w:rPr>
        <w:t>广州市住建行业信用管理</w:t>
      </w:r>
      <w:r>
        <w:rPr>
          <w:rFonts w:hint="eastAsia" w:ascii="宋体" w:hAnsi="宋体" w:cs="仿宋"/>
          <w:b/>
          <w:bCs/>
          <w:color w:val="auto"/>
          <w:kern w:val="0"/>
          <w:szCs w:val="21"/>
          <w:highlight w:val="none"/>
        </w:rPr>
        <w:t>平台内</w:t>
      </w:r>
      <w:r>
        <w:rPr>
          <w:rFonts w:hint="eastAsia" w:ascii="宋体" w:hAnsi="宋体" w:cs="仿宋"/>
          <w:color w:val="auto"/>
          <w:kern w:val="0"/>
          <w:szCs w:val="21"/>
          <w:highlight w:val="none"/>
        </w:rPr>
        <w:t>不存在对应业绩，以项目名称对应的业绩为准；③项目名称在</w:t>
      </w:r>
      <w:r>
        <w:rPr>
          <w:rFonts w:hint="eastAsia" w:ascii="宋体" w:hAnsi="宋体" w:cs="仿宋"/>
          <w:b/>
          <w:bCs/>
          <w:color w:val="auto"/>
          <w:kern w:val="0"/>
          <w:szCs w:val="21"/>
          <w:highlight w:val="none"/>
          <w:u w:val="single"/>
        </w:rPr>
        <w:t>广州市住建行业信用管理</w:t>
      </w:r>
      <w:r>
        <w:rPr>
          <w:rFonts w:hint="eastAsia" w:ascii="宋体" w:hAnsi="宋体" w:cs="仿宋"/>
          <w:b/>
          <w:bCs/>
          <w:color w:val="auto"/>
          <w:kern w:val="0"/>
          <w:szCs w:val="21"/>
          <w:highlight w:val="none"/>
        </w:rPr>
        <w:t>平台内</w:t>
      </w:r>
      <w:r>
        <w:rPr>
          <w:rFonts w:hint="eastAsia" w:ascii="宋体" w:hAnsi="宋体" w:cs="仿宋"/>
          <w:color w:val="auto"/>
          <w:kern w:val="0"/>
          <w:szCs w:val="21"/>
          <w:highlight w:val="none"/>
        </w:rPr>
        <w:t>不存在对应业绩，项目编号存在对应业绩的，以项目编号对应的业绩为准。评标委员会对业绩的评审以递交投标文件截止时间投标人在</w:t>
      </w:r>
      <w:r>
        <w:rPr>
          <w:rFonts w:hint="eastAsia" w:ascii="宋体" w:hAnsi="宋体" w:cs="仿宋"/>
          <w:b/>
          <w:bCs/>
          <w:color w:val="auto"/>
          <w:kern w:val="0"/>
          <w:szCs w:val="21"/>
          <w:highlight w:val="none"/>
          <w:u w:val="single"/>
        </w:rPr>
        <w:t>广州市住建行业信用管理</w:t>
      </w:r>
      <w:r>
        <w:rPr>
          <w:rFonts w:hint="eastAsia" w:ascii="宋体" w:hAnsi="宋体" w:cs="仿宋"/>
          <w:b/>
          <w:bCs/>
          <w:color w:val="auto"/>
          <w:kern w:val="0"/>
          <w:szCs w:val="21"/>
          <w:highlight w:val="none"/>
        </w:rPr>
        <w:t>平台内</w:t>
      </w:r>
      <w:r>
        <w:rPr>
          <w:rFonts w:hint="eastAsia" w:ascii="宋体" w:hAnsi="宋体" w:cs="仿宋"/>
          <w:color w:val="auto"/>
          <w:kern w:val="0"/>
          <w:szCs w:val="21"/>
          <w:highlight w:val="none"/>
        </w:rPr>
        <w:t>业绩上传件为依据。其中：工程总承包业绩包括勘察设计施工总承包或设计施工总承包或设计采购施工总承包或勘察设计采购施工总承包业绩等。</w:t>
      </w:r>
    </w:p>
    <w:p>
      <w:pPr>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a.适用于施工总承包及工程总承包项目：金额以中标通知书（其中工程总承包业绩以施工费中标金额）为准，中标通知书上没有金额或免招标的，以施工合同或工程总承包合同（不含补充合同，其中工程总承包业绩以施工费合同金额）为准。在广州市住建行业信用管理平台中“工程对应的企业资质”栏中须登记有与本项目要求相对应的资质【具体资质要求：建筑工程施工总承包（原房屋建筑工程施工总承包）】。</w:t>
      </w:r>
    </w:p>
    <w:p>
      <w:pPr>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b.技术指标（如有，具体要求在招标公告中明确）需在</w:t>
      </w:r>
      <w:r>
        <w:rPr>
          <w:rFonts w:hint="eastAsia" w:ascii="宋体" w:hAnsi="宋体" w:cs="仿宋"/>
          <w:b/>
          <w:bCs/>
          <w:color w:val="auto"/>
          <w:kern w:val="0"/>
          <w:szCs w:val="21"/>
          <w:highlight w:val="none"/>
        </w:rPr>
        <w:t>广州市住建行业信用管理平台</w:t>
      </w:r>
      <w:r>
        <w:rPr>
          <w:rFonts w:hint="eastAsia" w:ascii="宋体" w:hAnsi="宋体" w:cs="仿宋"/>
          <w:color w:val="auto"/>
          <w:kern w:val="0"/>
          <w:szCs w:val="21"/>
          <w:highlight w:val="none"/>
        </w:rPr>
        <w:t>业绩上传件中反映。</w:t>
      </w:r>
    </w:p>
    <w:p>
      <w:pPr>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c.完成时间以竣工验收文件为准。验收文件至少具有建设单位、设计、施工和监理单位盖章。</w:t>
      </w:r>
    </w:p>
    <w:p>
      <w:pPr>
        <w:keepNext w:val="0"/>
        <w:keepLines w:val="0"/>
        <w:pageBreakBefore w:val="0"/>
        <w:widowControl w:val="0"/>
        <w:tabs>
          <w:tab w:val="left" w:pos="360"/>
        </w:tabs>
        <w:kinsoku/>
        <w:wordWrap/>
        <w:overflowPunct/>
        <w:topLinePunct w:val="0"/>
        <w:autoSpaceDE/>
        <w:autoSpaceDN/>
        <w:bidi w:val="0"/>
        <w:adjustRightInd/>
        <w:snapToGrid w:val="0"/>
        <w:spacing w:line="24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cs="仿宋"/>
          <w:color w:val="auto"/>
          <w:szCs w:val="21"/>
          <w:highlight w:val="none"/>
        </w:rPr>
        <w:t>d</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广州市住建行业信用管理</w:t>
      </w:r>
      <w:r>
        <w:rPr>
          <w:rFonts w:hint="eastAsia" w:ascii="宋体" w:hAnsi="宋体" w:eastAsia="宋体" w:cs="宋体"/>
          <w:color w:val="auto"/>
          <w:szCs w:val="21"/>
          <w:highlight w:val="none"/>
        </w:rPr>
        <w:t>平台内业绩上传件不符合上述要求的或登记的工程资质内容与施工合同或工程总承包合同等业绩证明资料不相符的，该项业绩不予认定</w:t>
      </w:r>
      <w:r>
        <w:rPr>
          <w:rFonts w:hint="eastAsia" w:ascii="宋体" w:hAnsi="宋体" w:eastAsia="宋体" w:cs="宋体"/>
          <w:color w:val="auto"/>
          <w:kern w:val="0"/>
          <w:szCs w:val="21"/>
          <w:highlight w:val="none"/>
        </w:rPr>
        <w:t>。</w:t>
      </w:r>
    </w:p>
    <w:p>
      <w:pPr>
        <w:pStyle w:val="145"/>
        <w:ind w:firstLine="36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【工程获奖】：</w:t>
      </w:r>
      <w:r>
        <w:rPr>
          <w:rFonts w:hint="eastAsia" w:ascii="宋体" w:hAnsi="宋体" w:eastAsia="宋体" w:cs="宋体"/>
          <w:color w:val="auto"/>
          <w:sz w:val="21"/>
          <w:szCs w:val="21"/>
          <w:highlight w:val="none"/>
        </w:rPr>
        <w:t>建筑工程项目：只评质量奖项。</w:t>
      </w:r>
    </w:p>
    <w:p>
      <w:pPr>
        <w:pStyle w:val="14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①工程获奖可取自广州市住建行业信用管理平台或提供获奖证书。a.国家级奖项包括中国建设工程鲁班奖、国家优质工程金奖、国家优质工程奖、中国土木工程詹天佑奖；省（含自治区、直辖市）或市级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副省级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奖项包括：由省（含自治区、直辖市）、市级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副省级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设行政主管部门或行业协会（行业协会须在民政管理部门登记备案）颁发的质量类工程奖项，其它如装修类、幕墙类、安全文明、绿色施工、技术创新、QC成果、钢结构、机电安装、科技进步及技术应用类奖项不参与计分；b.只计算建筑工程类获得的质量奖项。同一项目获得多个奖项的，该项目获奖只按其中一个奖项所在最高级别计算一次分数，不得重复计算。</w:t>
      </w:r>
    </w:p>
    <w:p>
      <w:pPr>
        <w:pStyle w:val="14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取自信用平台的：投标人须提供广州市住建行业信用管理平台的网页信息截图（网页信息截图须能清晰显示带有“住建行业信用管理平台”名称，并至少包含“项目基本信息”、“奖项信息”等信息），时间以获奖证书颁发时间为准，并加盖投标人电子印章。</w:t>
      </w:r>
    </w:p>
    <w:p>
      <w:pPr>
        <w:pStyle w:val="14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③如提供获奖证书的：投标人须提供获奖证书扫描件及该获奖工程在“全国建筑市场监管公共服务平台”的网页信息截图，时间以获奖证书颁发时间为准，并加盖投标人电子印章。</w:t>
      </w:r>
    </w:p>
    <w:p>
      <w:pPr>
        <w:pStyle w:val="145"/>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④投标人须为该获奖项目的施工总承包单位，须提供相关证明材料（如施工合同或竣工验收文件等）体现其为施工总承包单位身份，否则不予计分。</w:t>
      </w:r>
    </w:p>
    <w:p>
      <w:pPr>
        <w:pStyle w:val="14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若奖项颁发机构非政府相关部门，还需提供该组织在“中国社会组织政务服务平台（全国社会组织信用信息公示平台）”网站（https://xxgs.chinanpo.mca.gov.cn/gsxt/newList）（注：平台名称及网址若有更新，以最新发布的为准。）“社会组织”栏查询结果网页截图（需显示网址），同时须提供其查询结果必须为“正常”，证明其有登记备案。</w:t>
      </w:r>
    </w:p>
    <w:p>
      <w:pPr>
        <w:keepNext w:val="0"/>
        <w:keepLines w:val="0"/>
        <w:pageBreakBefore w:val="0"/>
        <w:widowControl w:val="0"/>
        <w:tabs>
          <w:tab w:val="left" w:pos="360"/>
        </w:tabs>
        <w:kinsoku/>
        <w:wordWrap/>
        <w:overflowPunct/>
        <w:topLinePunct w:val="0"/>
        <w:autoSpaceDE/>
        <w:autoSpaceDN/>
        <w:bidi w:val="0"/>
        <w:adjustRightInd/>
        <w:snapToGrid w:val="0"/>
        <w:spacing w:line="240" w:lineRule="auto"/>
        <w:ind w:firstLine="420" w:firstLineChars="200"/>
        <w:contextualSpacing/>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⑥不符合上述要求的或未按要求提供上述资料的奖项不计分</w:t>
      </w:r>
      <w:r>
        <w:rPr>
          <w:rFonts w:hint="eastAsia" w:ascii="宋体" w:hAnsi="宋体" w:eastAsia="宋体" w:cs="宋体"/>
          <w:color w:val="auto"/>
          <w:kern w:val="0"/>
          <w:szCs w:val="21"/>
          <w:highlight w:val="none"/>
        </w:rPr>
        <w:t>。</w:t>
      </w:r>
    </w:p>
    <w:p>
      <w:pPr>
        <w:keepNext w:val="0"/>
        <w:keepLines w:val="0"/>
        <w:pageBreakBefore w:val="0"/>
        <w:widowControl w:val="0"/>
        <w:tabs>
          <w:tab w:val="left" w:pos="360"/>
        </w:tabs>
        <w:kinsoku/>
        <w:wordWrap/>
        <w:overflowPunct/>
        <w:topLinePunct w:val="0"/>
        <w:autoSpaceDE/>
        <w:autoSpaceDN/>
        <w:bidi w:val="0"/>
        <w:adjustRightInd/>
        <w:snapToGrid w:val="0"/>
        <w:spacing w:line="240" w:lineRule="auto"/>
        <w:ind w:firstLine="420" w:firstLineChars="200"/>
        <w:contextualSpacing/>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、评标委员会成员评分的算术平均值，即为该投标人的评审得分（若分数出现小数点时，保留到小数点后两位，第三位小数四舍五入）。</w:t>
      </w:r>
    </w:p>
    <w:p>
      <w:pPr>
        <w:spacing w:line="360" w:lineRule="auto"/>
        <w:jc w:val="left"/>
        <w:rPr>
          <w:rFonts w:hint="eastAsia" w:ascii="宋体" w:hAnsi="宋体" w:cs="宋体"/>
          <w:color w:val="auto"/>
          <w:szCs w:val="21"/>
          <w:highlight w:val="none"/>
        </w:rPr>
      </w:pPr>
    </w:p>
    <w:p>
      <w:pPr>
        <w:spacing w:line="360" w:lineRule="auto"/>
        <w:jc w:val="left"/>
        <w:rPr>
          <w:color w:val="auto"/>
          <w:highlight w:val="none"/>
        </w:rPr>
        <w:sectPr>
          <w:headerReference r:id="rId15" w:type="first"/>
          <w:footerReference r:id="rId17" w:type="first"/>
          <w:headerReference r:id="rId14" w:type="default"/>
          <w:footerReference r:id="rId16" w:type="default"/>
          <w:endnotePr>
            <w:numFmt w:val="decimal"/>
          </w:endnotePr>
          <w:pgSz w:w="16838" w:h="11906" w:orient="landscape"/>
          <w:pgMar w:top="1417" w:right="1418" w:bottom="1417" w:left="1418" w:header="851" w:footer="567" w:gutter="0"/>
          <w:pgNumType w:fmt="decimal"/>
          <w:cols w:space="720" w:num="1"/>
          <w:titlePg/>
          <w:docGrid w:linePitch="317" w:charSpace="0"/>
        </w:sectPr>
      </w:pPr>
      <w:r>
        <w:rPr>
          <w:rFonts w:hint="eastAsia" w:ascii="宋体" w:hAnsi="宋体" w:cs="宋体"/>
          <w:color w:val="auto"/>
          <w:szCs w:val="21"/>
          <w:highlight w:val="none"/>
        </w:rPr>
        <w:t xml:space="preserve">评委签名：                     日期：  </w:t>
      </w:r>
      <w:r>
        <w:rPr>
          <w:rFonts w:hint="eastAsia"/>
          <w:color w:val="auto"/>
          <w:highlight w:val="none"/>
        </w:rPr>
        <w:tab/>
      </w:r>
      <w:r>
        <w:rPr>
          <w:rFonts w:hint="eastAsia" w:ascii="宋体" w:hAnsi="宋体" w:cs="宋体"/>
          <w:color w:val="auto"/>
          <w:szCs w:val="21"/>
          <w:highlight w:val="none"/>
        </w:rPr>
        <w:t xml:space="preserve"> </w:t>
      </w:r>
      <w:r>
        <w:rPr>
          <w:rFonts w:hint="eastAsia"/>
          <w:color w:val="auto"/>
          <w:highlight w:val="none"/>
        </w:rPr>
        <w:tab/>
      </w:r>
    </w:p>
    <w:p>
      <w:pPr>
        <w:rPr>
          <w:rFonts w:ascii="宋体" w:hAnsi="宋体"/>
          <w:color w:val="auto"/>
          <w:szCs w:val="21"/>
          <w:highlight w:val="none"/>
        </w:rPr>
      </w:pPr>
      <w:r>
        <w:rPr>
          <w:rFonts w:hint="eastAsia" w:ascii="宋体" w:hAnsi="宋体"/>
          <w:color w:val="auto"/>
          <w:szCs w:val="21"/>
          <w:highlight w:val="none"/>
        </w:rPr>
        <w:t>附表五（适用于区间抽取法）</w:t>
      </w:r>
    </w:p>
    <w:p>
      <w:pPr>
        <w:jc w:val="center"/>
        <w:rPr>
          <w:rFonts w:ascii="宋体" w:hAnsi="宋体"/>
          <w:b/>
          <w:color w:val="auto"/>
          <w:szCs w:val="21"/>
          <w:highlight w:val="none"/>
        </w:rPr>
      </w:pPr>
      <w:r>
        <w:rPr>
          <w:rFonts w:hint="eastAsia" w:ascii="宋体" w:hAnsi="宋体"/>
          <w:b/>
          <w:color w:val="auto"/>
          <w:szCs w:val="21"/>
          <w:highlight w:val="none"/>
        </w:rPr>
        <w:t>经济标评分表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908"/>
        <w:gridCol w:w="908"/>
        <w:gridCol w:w="908"/>
        <w:gridCol w:w="909"/>
        <w:gridCol w:w="909"/>
        <w:gridCol w:w="909"/>
        <w:gridCol w:w="909"/>
        <w:gridCol w:w="909"/>
        <w:gridCol w:w="909"/>
        <w:gridCol w:w="909"/>
        <w:gridCol w:w="90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pStyle w:val="19"/>
        <w:rPr>
          <w:rFonts w:hAnsi="宋体"/>
          <w:color w:val="auto"/>
          <w:sz w:val="21"/>
          <w:szCs w:val="21"/>
          <w:highlight w:val="none"/>
        </w:rPr>
      </w:pPr>
    </w:p>
    <w:p>
      <w:pPr>
        <w:rPr>
          <w:rFonts w:ascii="宋体" w:hAnsi="宋体"/>
          <w:color w:val="auto"/>
          <w:szCs w:val="21"/>
          <w:highlight w:val="none"/>
        </w:rPr>
      </w:pPr>
    </w:p>
    <w:p>
      <w:pPr>
        <w:pStyle w:val="19"/>
        <w:rPr>
          <w:rFonts w:hAnsi="宋体"/>
          <w:color w:val="auto"/>
          <w:sz w:val="21"/>
          <w:szCs w:val="21"/>
          <w:highlight w:val="none"/>
        </w:rPr>
      </w:pPr>
    </w:p>
    <w:p>
      <w:pPr>
        <w:rPr>
          <w:rFonts w:ascii="宋体" w:hAnsi="宋体" w:cs="宋体"/>
          <w:color w:val="auto"/>
          <w:szCs w:val="21"/>
          <w:highlight w:val="none"/>
        </w:rPr>
      </w:pPr>
    </w:p>
    <w:p>
      <w:pPr>
        <w:pStyle w:val="19"/>
        <w:rPr>
          <w:rFonts w:hAnsi="宋体"/>
          <w:color w:val="auto"/>
          <w:sz w:val="21"/>
          <w:szCs w:val="21"/>
          <w:highlight w:val="none"/>
        </w:rPr>
      </w:pPr>
    </w:p>
    <w:p>
      <w:pPr>
        <w:rPr>
          <w:rFonts w:ascii="等线" w:hAnsi="等线" w:eastAsia="等线"/>
          <w:color w:val="auto"/>
          <w:highlight w:val="none"/>
        </w:rPr>
      </w:pPr>
    </w:p>
    <w:p>
      <w:pPr>
        <w:rPr>
          <w:rFonts w:ascii="宋体" w:hAnsi="宋体" w:cs="宋体"/>
          <w:color w:val="auto"/>
          <w:szCs w:val="21"/>
          <w:highlight w:val="none"/>
        </w:rPr>
      </w:pPr>
    </w:p>
    <w:p>
      <w:pPr>
        <w:rPr>
          <w:rFonts w:ascii="宋体" w:hAnsi="宋体"/>
          <w:b/>
          <w:color w:val="auto"/>
          <w:szCs w:val="21"/>
          <w:highlight w:val="none"/>
        </w:rPr>
      </w:pPr>
      <w:r>
        <w:rPr>
          <w:rFonts w:hint="eastAsia" w:ascii="宋体" w:hAnsi="宋体"/>
          <w:color w:val="auto"/>
          <w:szCs w:val="21"/>
          <w:highlight w:val="none"/>
        </w:rPr>
        <w:t>附表六</w:t>
      </w:r>
    </w:p>
    <w:p>
      <w:pPr>
        <w:jc w:val="center"/>
        <w:rPr>
          <w:rFonts w:ascii="宋体" w:hAnsi="宋体"/>
          <w:b/>
          <w:color w:val="auto"/>
          <w:szCs w:val="21"/>
          <w:highlight w:val="none"/>
        </w:rPr>
      </w:pPr>
      <w:r>
        <w:rPr>
          <w:rFonts w:hint="eastAsia" w:ascii="宋体" w:hAnsi="宋体"/>
          <w:b/>
          <w:color w:val="auto"/>
          <w:szCs w:val="21"/>
          <w:highlight w:val="none"/>
        </w:rPr>
        <w:t>算术复核表</w:t>
      </w:r>
    </w:p>
    <w:p>
      <w:pPr>
        <w:rPr>
          <w:rFonts w:ascii="宋体" w:hAnsi="宋体"/>
          <w:color w:val="auto"/>
          <w:kern w:val="0"/>
          <w:szCs w:val="21"/>
          <w:highlight w:val="none"/>
        </w:rPr>
      </w:pPr>
      <w:r>
        <w:rPr>
          <w:rFonts w:hint="eastAsia" w:ascii="宋体" w:hAnsi="宋体"/>
          <w:color w:val="auto"/>
          <w:kern w:val="0"/>
          <w:szCs w:val="21"/>
          <w:highlight w:val="none"/>
        </w:rPr>
        <w:t>工程名称：</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8"/>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p>
          <w:p>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color w:val="auto"/>
          <w:kern w:val="0"/>
          <w:szCs w:val="21"/>
          <w:highlight w:val="none"/>
        </w:rPr>
        <w:tab/>
      </w:r>
    </w:p>
    <w:p>
      <w:pPr>
        <w:rPr>
          <w:rFonts w:ascii="宋体" w:hAnsi="宋体"/>
          <w:color w:val="auto"/>
          <w:kern w:val="0"/>
          <w:szCs w:val="21"/>
          <w:highlight w:val="none"/>
        </w:rPr>
      </w:pPr>
      <w:r>
        <w:rPr>
          <w:rFonts w:hint="eastAsia" w:ascii="宋体" w:hAnsi="宋体"/>
          <w:color w:val="auto"/>
          <w:kern w:val="0"/>
          <w:szCs w:val="21"/>
          <w:highlight w:val="none"/>
        </w:rPr>
        <w:t>评委签名：</w:t>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ascii="宋体" w:hAnsi="宋体"/>
          <w:color w:val="auto"/>
          <w:kern w:val="0"/>
          <w:szCs w:val="21"/>
          <w:highlight w:val="none"/>
        </w:rPr>
        <w:tab/>
      </w:r>
      <w:r>
        <w:rPr>
          <w:rFonts w:hint="eastAsia" w:ascii="宋体" w:hAnsi="宋体"/>
          <w:color w:val="auto"/>
          <w:kern w:val="0"/>
          <w:szCs w:val="21"/>
          <w:highlight w:val="none"/>
        </w:rPr>
        <w:t>日期：</w:t>
      </w:r>
    </w:p>
    <w:p>
      <w:pPr>
        <w:rPr>
          <w:rFonts w:ascii="宋体" w:hAnsi="宋体"/>
          <w:color w:val="auto"/>
          <w:szCs w:val="21"/>
          <w:highlight w:val="none"/>
        </w:rPr>
      </w:pPr>
    </w:p>
    <w:p>
      <w:pPr>
        <w:rPr>
          <w:rFonts w:ascii="宋体" w:hAnsi="宋体"/>
          <w:color w:val="auto"/>
          <w:szCs w:val="21"/>
          <w:highlight w:val="none"/>
        </w:rPr>
      </w:pPr>
      <w:r>
        <w:rPr>
          <w:rFonts w:ascii="宋体" w:hAnsi="宋体"/>
          <w:color w:val="auto"/>
          <w:szCs w:val="21"/>
          <w:highlight w:val="none"/>
        </w:rPr>
        <w:br w:type="page"/>
      </w:r>
    </w:p>
    <w:p>
      <w:pPr>
        <w:rPr>
          <w:rFonts w:ascii="宋体" w:hAnsi="宋体" w:cs="宋体"/>
          <w:color w:val="auto"/>
          <w:szCs w:val="21"/>
          <w:highlight w:val="none"/>
        </w:rPr>
      </w:pPr>
    </w:p>
    <w:p>
      <w:pPr>
        <w:jc w:val="center"/>
        <w:rPr>
          <w:rFonts w:ascii="宋体" w:hAnsi="宋体"/>
          <w:b/>
          <w:color w:val="auto"/>
          <w:szCs w:val="21"/>
          <w:highlight w:val="none"/>
        </w:rPr>
      </w:pPr>
      <w:r>
        <w:rPr>
          <w:rFonts w:hint="eastAsia" w:ascii="宋体" w:hAnsi="宋体"/>
          <w:b/>
          <w:color w:val="auto"/>
          <w:szCs w:val="21"/>
          <w:highlight w:val="none"/>
        </w:rPr>
        <w:t>算术复核表</w:t>
      </w:r>
    </w:p>
    <w:p>
      <w:pPr>
        <w:rPr>
          <w:rFonts w:ascii="宋体" w:hAnsi="宋体"/>
          <w:color w:val="auto"/>
          <w:szCs w:val="21"/>
          <w:highlight w:val="none"/>
        </w:rPr>
      </w:pPr>
      <w:r>
        <w:rPr>
          <w:rFonts w:hint="eastAsia" w:ascii="宋体" w:hAnsi="宋体"/>
          <w:color w:val="auto"/>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原投标报价（</w:t>
            </w:r>
            <w:r>
              <w:rPr>
                <w:rFonts w:ascii="宋体" w:hAnsi="宋体"/>
                <w:b/>
                <w:color w:val="auto"/>
                <w:szCs w:val="21"/>
                <w:highlight w:val="none"/>
              </w:rPr>
              <w:t>A</w:t>
            </w:r>
            <w:r>
              <w:rPr>
                <w:rFonts w:hint="eastAsia" w:ascii="宋体" w:hAnsi="宋体"/>
                <w:b/>
                <w:color w:val="auto"/>
                <w:szCs w:val="21"/>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算数复核后投标报价（</w:t>
            </w:r>
            <w:r>
              <w:rPr>
                <w:rFonts w:ascii="宋体" w:hAnsi="宋体"/>
                <w:b/>
                <w:color w:val="auto"/>
                <w:szCs w:val="21"/>
                <w:highlight w:val="none"/>
              </w:rPr>
              <w:t>B</w:t>
            </w:r>
            <w:r>
              <w:rPr>
                <w:rFonts w:hint="eastAsia" w:ascii="宋体" w:hAnsi="宋体"/>
                <w:b/>
                <w:color w:val="auto"/>
                <w:szCs w:val="21"/>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ascii="宋体" w:hAnsi="宋体"/>
                <w:b/>
                <w:color w:val="auto"/>
                <w:szCs w:val="21"/>
                <w:highlight w:val="none"/>
              </w:rPr>
              <w:t>误差率（</w:t>
            </w:r>
            <w:r>
              <w:rPr>
                <w:rFonts w:ascii="宋体" w:hAnsi="宋体"/>
                <w:b/>
                <w:color w:val="auto"/>
                <w:szCs w:val="21"/>
                <w:highlight w:val="none"/>
              </w:rPr>
              <w:t>r=|A-B|/A*100%</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rPr>
          <w:rFonts w:ascii="宋体" w:hAnsi="宋体" w:cs="宋体"/>
          <w:color w:val="auto"/>
          <w:szCs w:val="21"/>
          <w:highlight w:val="none"/>
        </w:rPr>
        <w:sectPr>
          <w:headerReference r:id="rId18" w:type="default"/>
          <w:footerReference r:id="rId19" w:type="default"/>
          <w:pgSz w:w="16838" w:h="11906" w:orient="landscape"/>
          <w:pgMar w:top="1418" w:right="1418" w:bottom="1418" w:left="1418" w:header="851" w:footer="567" w:gutter="0"/>
          <w:pgNumType w:fmt="decimal"/>
          <w:cols w:space="720" w:num="1"/>
          <w:docGrid w:linePitch="317" w:charSpace="0"/>
        </w:sectPr>
      </w:pPr>
      <w:r>
        <w:rPr>
          <w:rFonts w:hint="eastAsia" w:ascii="宋体" w:hAnsi="宋体"/>
          <w:color w:val="auto"/>
          <w:szCs w:val="21"/>
          <w:highlight w:val="none"/>
        </w:rPr>
        <w:t>评委签名：</w:t>
      </w:r>
    </w:p>
    <w:p>
      <w:pPr>
        <w:pStyle w:val="3"/>
        <w:jc w:val="center"/>
        <w:rPr>
          <w:rFonts w:ascii="宋体" w:hAnsi="宋体" w:cs="宋体"/>
          <w:b/>
          <w:bCs/>
          <w:color w:val="auto"/>
          <w:sz w:val="21"/>
          <w:szCs w:val="21"/>
          <w:highlight w:val="none"/>
        </w:rPr>
      </w:pPr>
      <w:bookmarkStart w:id="42" w:name="_Toc18472"/>
      <w:r>
        <w:rPr>
          <w:rFonts w:hint="eastAsia" w:ascii="宋体" w:hAnsi="宋体" w:cs="宋体"/>
          <w:b/>
          <w:bCs/>
          <w:color w:val="auto"/>
          <w:sz w:val="28"/>
          <w:szCs w:val="28"/>
          <w:highlight w:val="none"/>
        </w:rPr>
        <w:t>第三章  合同条款</w:t>
      </w:r>
      <w:bookmarkEnd w:id="42"/>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pStyle w:val="36"/>
        <w:spacing w:line="360" w:lineRule="auto"/>
        <w:ind w:firstLine="0"/>
        <w:rPr>
          <w:rFonts w:ascii="宋体" w:hAnsi="宋体" w:eastAsia="宋体" w:cs="宋体"/>
          <w:color w:val="auto"/>
          <w:sz w:val="21"/>
          <w:szCs w:val="21"/>
          <w:highlight w:val="none"/>
        </w:rPr>
      </w:pPr>
    </w:p>
    <w:p>
      <w:pPr>
        <w:rPr>
          <w:rFonts w:ascii="宋体" w:hAnsi="宋体" w:cs="宋体"/>
          <w:color w:val="auto"/>
          <w:szCs w:val="21"/>
          <w:highlight w:val="none"/>
        </w:rPr>
      </w:pPr>
      <w:r>
        <w:rPr>
          <w:rFonts w:ascii="宋体" w:hAnsi="宋体" w:cs="宋体"/>
          <w:color w:val="auto"/>
          <w:szCs w:val="21"/>
          <w:highlight w:val="none"/>
        </w:rPr>
        <w:br w:type="page"/>
      </w:r>
    </w:p>
    <w:p>
      <w:pPr>
        <w:pStyle w:val="3"/>
        <w:spacing w:line="400" w:lineRule="exact"/>
        <w:jc w:val="center"/>
        <w:rPr>
          <w:rFonts w:ascii="宋体" w:hAnsi="宋体" w:cs="宋体"/>
          <w:b/>
          <w:bCs/>
          <w:color w:val="auto"/>
          <w:sz w:val="21"/>
          <w:szCs w:val="21"/>
          <w:highlight w:val="none"/>
        </w:rPr>
      </w:pPr>
      <w:bookmarkStart w:id="43" w:name="_Toc27420"/>
      <w:r>
        <w:rPr>
          <w:rFonts w:hint="eastAsia" w:ascii="宋体" w:hAnsi="宋体" w:cs="宋体"/>
          <w:b/>
          <w:bCs/>
          <w:color w:val="auto"/>
          <w:sz w:val="28"/>
          <w:szCs w:val="28"/>
          <w:highlight w:val="none"/>
        </w:rPr>
        <w:t>第四章  投标文件格式</w:t>
      </w:r>
      <w:bookmarkEnd w:id="43"/>
    </w:p>
    <w:p>
      <w:pPr>
        <w:rPr>
          <w:rFonts w:ascii="宋体" w:cs="宋体"/>
          <w:b/>
          <w:bCs/>
          <w:color w:val="auto"/>
          <w:sz w:val="22"/>
          <w:highlight w:val="none"/>
        </w:rPr>
      </w:pPr>
      <w:bookmarkStart w:id="44" w:name="_Toc478044835"/>
      <w:bookmarkStart w:id="45" w:name="_Toc358370576"/>
      <w:bookmarkStart w:id="46" w:name="_Toc369536768"/>
      <w:bookmarkStart w:id="47" w:name="_Toc395261097"/>
      <w:bookmarkStart w:id="48" w:name="_Toc19235"/>
    </w:p>
    <w:bookmarkEnd w:id="44"/>
    <w:bookmarkEnd w:id="45"/>
    <w:bookmarkEnd w:id="46"/>
    <w:bookmarkEnd w:id="47"/>
    <w:bookmarkEnd w:id="48"/>
    <w:p>
      <w:pPr>
        <w:rPr>
          <w:rFonts w:ascii="宋体" w:cs="宋体"/>
          <w:b/>
          <w:bCs/>
          <w:color w:val="auto"/>
          <w:sz w:val="22"/>
          <w:highlight w:val="none"/>
        </w:rPr>
      </w:pPr>
      <w:bookmarkStart w:id="49" w:name="_Toc358370595"/>
      <w:bookmarkStart w:id="50" w:name="_Toc352240542"/>
      <w:bookmarkStart w:id="51" w:name="_Toc239216051"/>
      <w:bookmarkStart w:id="52" w:name="_Toc226209024"/>
      <w:bookmarkStart w:id="53" w:name="_Toc395261115"/>
      <w:bookmarkStart w:id="54" w:name="_Toc352623440"/>
      <w:bookmarkStart w:id="55" w:name="_Toc318924516"/>
      <w:bookmarkStart w:id="56" w:name="_Toc6612"/>
      <w:bookmarkStart w:id="57" w:name="_Toc239311766"/>
      <w:bookmarkStart w:id="58" w:name="_Toc478044857"/>
      <w:bookmarkStart w:id="59" w:name="_Toc163337642"/>
      <w:bookmarkStart w:id="60" w:name="_Toc369536787"/>
      <w:bookmarkStart w:id="61" w:name="_Toc337720110"/>
    </w:p>
    <w:p>
      <w:pPr>
        <w:jc w:val="center"/>
        <w:rPr>
          <w:rFonts w:ascii="宋体" w:cs="宋体"/>
          <w:b/>
          <w:bCs/>
          <w:color w:val="auto"/>
          <w:sz w:val="22"/>
          <w:highlight w:val="none"/>
        </w:rPr>
      </w:pPr>
      <w:r>
        <w:rPr>
          <w:rFonts w:hint="eastAsia" w:ascii="宋体" w:cs="宋体"/>
          <w:b/>
          <w:bCs/>
          <w:color w:val="auto"/>
          <w:sz w:val="22"/>
          <w:highlight w:val="none"/>
        </w:rPr>
        <w:t>第一部分、技术投标文件（含资格审查文件）</w:t>
      </w:r>
    </w:p>
    <w:p>
      <w:pPr>
        <w:pStyle w:val="124"/>
        <w:spacing w:beforeLines="0" w:after="120" w:line="400" w:lineRule="exact"/>
        <w:jc w:val="center"/>
        <w:rPr>
          <w:rFonts w:hint="eastAsia" w:ascii="宋体" w:cs="宋体"/>
          <w:bCs/>
          <w:color w:val="auto"/>
          <w:sz w:val="22"/>
          <w:highlight w:val="none"/>
        </w:rPr>
      </w:pPr>
      <w:bookmarkStart w:id="62" w:name="OLE_LINK3"/>
      <w:r>
        <w:rPr>
          <w:rFonts w:hint="eastAsia" w:ascii="宋体" w:cs="宋体"/>
          <w:bCs/>
          <w:color w:val="auto"/>
          <w:sz w:val="22"/>
          <w:highlight w:val="none"/>
        </w:rPr>
        <w:t>技术投标文件（含资格审查文件）</w:t>
      </w:r>
    </w:p>
    <w:bookmarkEnd w:id="62"/>
    <w:p>
      <w:pPr>
        <w:pStyle w:val="124"/>
        <w:spacing w:beforeLines="0" w:after="120" w:line="400" w:lineRule="exact"/>
        <w:jc w:val="both"/>
        <w:rPr>
          <w:rFonts w:ascii="宋体" w:eastAsia="宋体" w:cs="宋体"/>
          <w:b w:val="0"/>
          <w:color w:val="auto"/>
          <w:sz w:val="21"/>
          <w:szCs w:val="21"/>
          <w:highlight w:val="none"/>
        </w:rPr>
      </w:pPr>
      <w:r>
        <w:rPr>
          <w:rFonts w:hint="eastAsia" w:ascii="宋体" w:eastAsia="宋体" w:cs="宋体"/>
          <w:color w:val="auto"/>
          <w:sz w:val="21"/>
          <w:szCs w:val="21"/>
          <w:highlight w:val="none"/>
        </w:rPr>
        <w:t>格式一：</w:t>
      </w:r>
      <w:r>
        <w:rPr>
          <w:rFonts w:hint="eastAsia" w:ascii="宋体" w:cs="宋体"/>
          <w:bCs/>
          <w:color w:val="auto"/>
          <w:sz w:val="22"/>
          <w:highlight w:val="none"/>
        </w:rPr>
        <w:t>技术投标文件（含资格审查文件）</w:t>
      </w:r>
      <w:r>
        <w:rPr>
          <w:rFonts w:hint="eastAsia" w:ascii="宋体" w:eastAsia="宋体" w:cs="宋体"/>
          <w:color w:val="auto"/>
          <w:sz w:val="21"/>
          <w:szCs w:val="21"/>
          <w:highlight w:val="none"/>
        </w:rPr>
        <w:t>封面</w:t>
      </w: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ind w:firstLine="498"/>
        <w:rPr>
          <w:rFonts w:ascii="宋体" w:hAnsi="宋体" w:eastAsia="宋体" w:cs="宋体"/>
          <w:b w:val="0"/>
          <w:color w:val="auto"/>
          <w:sz w:val="21"/>
          <w:szCs w:val="21"/>
          <w:highlight w:val="none"/>
          <w:u w:val="single"/>
        </w:rPr>
      </w:pPr>
    </w:p>
    <w:p>
      <w:pPr>
        <w:pStyle w:val="118"/>
        <w:spacing w:line="400" w:lineRule="exact"/>
        <w:jc w:val="both"/>
        <w:rPr>
          <w:rFonts w:ascii="宋体" w:hAnsi="宋体" w:eastAsia="宋体" w:cs="宋体"/>
          <w:b w:val="0"/>
          <w:color w:val="auto"/>
          <w:sz w:val="21"/>
          <w:szCs w:val="21"/>
          <w:highlight w:val="none"/>
          <w:u w:val="single"/>
        </w:rPr>
      </w:pPr>
    </w:p>
    <w:p>
      <w:pPr>
        <w:pStyle w:val="118"/>
        <w:spacing w:line="480" w:lineRule="exact"/>
        <w:ind w:firstLine="499"/>
        <w:rPr>
          <w:rFonts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u w:val="single"/>
        </w:rPr>
        <w:t xml:space="preserve">[工程名称] </w:t>
      </w:r>
    </w:p>
    <w:p>
      <w:pPr>
        <w:pStyle w:val="82"/>
        <w:spacing w:line="400" w:lineRule="exact"/>
        <w:ind w:firstLine="436"/>
        <w:rPr>
          <w:rFonts w:ascii="宋体" w:hAnsi="宋体" w:cs="宋体"/>
          <w:color w:val="auto"/>
          <w:sz w:val="21"/>
          <w:szCs w:val="21"/>
          <w:highlight w:val="none"/>
        </w:rPr>
      </w:pPr>
    </w:p>
    <w:p>
      <w:pPr>
        <w:pStyle w:val="139"/>
        <w:spacing w:line="400" w:lineRule="exact"/>
        <w:rPr>
          <w:rFonts w:ascii="宋体" w:hAnsi="宋体" w:eastAsia="宋体" w:cs="宋体"/>
          <w:b w:val="0"/>
          <w:color w:val="auto"/>
          <w:sz w:val="21"/>
          <w:szCs w:val="21"/>
          <w:highlight w:val="none"/>
        </w:rPr>
      </w:pPr>
    </w:p>
    <w:p>
      <w:pPr>
        <w:pStyle w:val="82"/>
        <w:ind w:firstLine="438"/>
        <w:rPr>
          <w:rFonts w:ascii="宋体" w:hAnsi="宋体" w:cs="宋体"/>
          <w:b/>
          <w:color w:val="auto"/>
          <w:sz w:val="21"/>
          <w:szCs w:val="21"/>
          <w:highlight w:val="none"/>
        </w:rPr>
      </w:pPr>
    </w:p>
    <w:p>
      <w:pPr>
        <w:pStyle w:val="82"/>
        <w:ind w:firstLine="438"/>
        <w:rPr>
          <w:rFonts w:ascii="宋体" w:hAnsi="宋体" w:cs="宋体"/>
          <w:b/>
          <w:color w:val="auto"/>
          <w:sz w:val="21"/>
          <w:szCs w:val="21"/>
          <w:highlight w:val="none"/>
        </w:rPr>
      </w:pPr>
    </w:p>
    <w:p>
      <w:pPr>
        <w:pStyle w:val="139"/>
        <w:spacing w:line="400" w:lineRule="exact"/>
        <w:rPr>
          <w:rFonts w:ascii="宋体" w:hAnsi="宋体" w:eastAsia="宋体" w:cs="宋体"/>
          <w:b w:val="0"/>
          <w:color w:val="auto"/>
          <w:sz w:val="21"/>
          <w:szCs w:val="21"/>
          <w:highlight w:val="none"/>
        </w:rPr>
      </w:pPr>
    </w:p>
    <w:p>
      <w:pPr>
        <w:pStyle w:val="139"/>
        <w:spacing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w:t>
      </w:r>
    </w:p>
    <w:p>
      <w:pPr>
        <w:pStyle w:val="118"/>
        <w:spacing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第一部分  【技术标投标文件（含资格审查文件）】</w:t>
      </w: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0" w:firstLineChars="0"/>
        <w:rPr>
          <w:rFonts w:ascii="宋体" w:hAnsi="宋体" w:cs="宋体"/>
          <w:color w:val="auto"/>
          <w:sz w:val="21"/>
          <w:szCs w:val="21"/>
          <w:highlight w:val="none"/>
        </w:rPr>
      </w:pPr>
    </w:p>
    <w:p>
      <w:pPr>
        <w:pStyle w:val="82"/>
        <w:spacing w:line="400" w:lineRule="exact"/>
        <w:ind w:firstLine="436"/>
        <w:rPr>
          <w:rFonts w:ascii="宋体" w:hAnsi="宋体" w:cs="宋体"/>
          <w:color w:val="auto"/>
          <w:sz w:val="21"/>
          <w:szCs w:val="21"/>
          <w:highlight w:val="none"/>
        </w:rPr>
      </w:pPr>
    </w:p>
    <w:p>
      <w:pPr>
        <w:pStyle w:val="120"/>
        <w:spacing w:line="400" w:lineRule="exact"/>
        <w:ind w:firstLine="4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p>
    <w:p>
      <w:pPr>
        <w:pStyle w:val="120"/>
        <w:spacing w:line="400" w:lineRule="exact"/>
        <w:ind w:firstLine="4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124"/>
        <w:spacing w:beforeLines="0" w:after="120" w:line="400" w:lineRule="exact"/>
        <w:outlineLvl w:val="9"/>
        <w:rPr>
          <w:rFonts w:ascii="宋体" w:eastAsia="宋体" w:cs="宋体"/>
          <w:b w:val="0"/>
          <w:color w:val="auto"/>
          <w:sz w:val="21"/>
          <w:szCs w:val="21"/>
          <w:highlight w:val="none"/>
        </w:rPr>
      </w:pPr>
    </w:p>
    <w:p>
      <w:pPr>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rPr>
          <w:rFonts w:ascii="宋体" w:hAnsi="宋体"/>
          <w:bCs/>
          <w:color w:val="auto"/>
          <w:szCs w:val="21"/>
          <w:highlight w:val="none"/>
        </w:rPr>
      </w:pPr>
      <w:r>
        <w:rPr>
          <w:rFonts w:hint="eastAsia" w:ascii="宋体" w:cs="宋体"/>
          <w:b/>
          <w:bCs/>
          <w:color w:val="auto"/>
          <w:sz w:val="22"/>
          <w:highlight w:val="none"/>
        </w:rPr>
        <w:t>技术投标文件（含资格审查文件）</w:t>
      </w:r>
      <w:r>
        <w:rPr>
          <w:rFonts w:hint="eastAsia" w:ascii="宋体" w:hAnsi="宋体" w:cs="宋体"/>
          <w:b/>
          <w:bCs/>
          <w:color w:val="auto"/>
          <w:kern w:val="0"/>
          <w:szCs w:val="21"/>
          <w:highlight w:val="none"/>
        </w:rPr>
        <w:t>格式二</w:t>
      </w:r>
    </w:p>
    <w:p>
      <w:pPr>
        <w:autoSpaceDE w:val="0"/>
        <w:autoSpaceDN w:val="0"/>
        <w:adjustRightInd w:val="0"/>
        <w:rPr>
          <w:rFonts w:ascii="宋体" w:hAnsi="宋体" w:cs="宋体"/>
          <w:b/>
          <w:bCs/>
          <w:color w:val="auto"/>
          <w:szCs w:val="21"/>
          <w:highlight w:val="none"/>
          <w:lang w:val="zh-CN"/>
        </w:rPr>
      </w:pPr>
      <w:r>
        <w:rPr>
          <w:rFonts w:hint="eastAsia" w:ascii="宋体" w:hAnsi="宋体"/>
          <w:bCs/>
          <w:color w:val="auto"/>
          <w:szCs w:val="21"/>
          <w:highlight w:val="none"/>
        </w:rPr>
        <w:t>（适用于技术标与经济标同时开启）</w:t>
      </w:r>
    </w:p>
    <w:p>
      <w:pPr>
        <w:autoSpaceDE w:val="0"/>
        <w:autoSpaceDN w:val="0"/>
        <w:adjustRightInd w:val="0"/>
        <w:ind w:left="-540" w:leftChars="-257" w:firstLine="542" w:firstLineChars="257"/>
        <w:jc w:val="center"/>
        <w:rPr>
          <w:rFonts w:ascii="宋体" w:hAnsi="宋体" w:cs="宋体"/>
          <w:b/>
          <w:bCs/>
          <w:color w:val="auto"/>
          <w:szCs w:val="21"/>
          <w:highlight w:val="none"/>
          <w:lang w:val="zh-CN"/>
        </w:rPr>
      </w:pPr>
    </w:p>
    <w:p>
      <w:pPr>
        <w:autoSpaceDE w:val="0"/>
        <w:autoSpaceDN w:val="0"/>
        <w:adjustRightInd w:val="0"/>
        <w:ind w:left="-540" w:leftChars="-257" w:firstLine="542" w:firstLineChars="257"/>
        <w:jc w:val="center"/>
        <w:rPr>
          <w:rFonts w:ascii="宋体" w:hAnsi="宋体"/>
          <w:b/>
          <w:bCs/>
          <w:color w:val="auto"/>
          <w:szCs w:val="21"/>
          <w:highlight w:val="none"/>
        </w:rPr>
      </w:pPr>
      <w:r>
        <w:rPr>
          <w:rFonts w:hint="eastAsia" w:ascii="宋体" w:hAnsi="宋体" w:cs="宋体"/>
          <w:b/>
          <w:bCs/>
          <w:color w:val="auto"/>
          <w:szCs w:val="21"/>
          <w:highlight w:val="none"/>
          <w:lang w:val="zh-CN"/>
        </w:rPr>
        <w:t>广州建设工程施工招标投标书</w:t>
      </w:r>
    </w:p>
    <w:tbl>
      <w:tblPr>
        <w:tblStyle w:val="3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工程名称</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投标总报价（元）</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其中：</w:t>
            </w:r>
            <w:r>
              <w:rPr>
                <w:rFonts w:hint="eastAsia" w:ascii="宋体" w:hAnsi="宋体" w:cs="宋体"/>
                <w:b/>
                <w:bCs/>
                <w:color w:val="auto"/>
                <w:szCs w:val="21"/>
                <w:highlight w:val="none"/>
                <w:lang w:val="zh-CN"/>
              </w:rPr>
              <w:t>人工费</w:t>
            </w:r>
            <w:r>
              <w:rPr>
                <w:rFonts w:hint="eastAsia" w:ascii="宋体" w:hAnsi="宋体" w:cs="宋体"/>
                <w:b/>
                <w:color w:val="auto"/>
                <w:szCs w:val="21"/>
                <w:highlight w:val="none"/>
                <w:lang w:val="zh-CN"/>
              </w:rPr>
              <w:t>（元）</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其中：</w:t>
            </w:r>
            <w:r>
              <w:rPr>
                <w:rFonts w:hint="eastAsia" w:ascii="宋体" w:hAnsi="宋体" w:cs="宋体"/>
                <w:b/>
                <w:color w:val="auto"/>
                <w:szCs w:val="21"/>
                <w:highlight w:val="none"/>
                <w:lang w:val="zh-CN"/>
              </w:rPr>
              <w:t>绿色施工安全防护措施费（元）</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lang w:val="zh-CN"/>
              </w:rPr>
            </w:pPr>
            <w:r>
              <w:rPr>
                <w:rFonts w:hint="eastAsia" w:ascii="宋体" w:hAnsi="宋体" w:cs="宋体"/>
                <w:b/>
                <w:color w:val="auto"/>
                <w:szCs w:val="21"/>
                <w:highlight w:val="none"/>
                <w:lang w:val="zh-CN"/>
              </w:rPr>
              <w:t>投标总工期</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工程质量标准</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Cs w:val="21"/>
                <w:highlight w:val="none"/>
                <w:lang w:val="zh-CN"/>
              </w:rPr>
            </w:pPr>
            <w:r>
              <w:rPr>
                <w:rFonts w:hint="eastAsia"/>
                <w:b/>
                <w:bCs/>
                <w:color w:val="auto"/>
                <w:highlight w:val="none"/>
                <w:lang w:val="zh-CN"/>
              </w:rPr>
              <w:t>保修期限</w:t>
            </w:r>
          </w:p>
        </w:tc>
        <w:tc>
          <w:tcPr>
            <w:tcW w:w="4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lang w:val="zh-CN"/>
              </w:rPr>
            </w:pPr>
            <w:r>
              <w:rPr>
                <w:rFonts w:hint="eastAsia"/>
                <w:b/>
                <w:bCs/>
                <w:color w:val="auto"/>
                <w:highlight w:val="none"/>
                <w:lang w:val="en-US" w:eastAsia="zh-CN"/>
              </w:rPr>
              <w:t>项目负责人</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b/>
                <w:bCs/>
                <w:color w:val="auto"/>
                <w:highlight w:val="none"/>
                <w:lang w:val="en-US" w:eastAsia="zh-CN"/>
              </w:rPr>
              <w:t>专职安全员</w:t>
            </w:r>
          </w:p>
        </w:tc>
        <w:tc>
          <w:tcPr>
            <w:tcW w:w="457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Cs w:val="21"/>
                <w:highlight w:val="none"/>
                <w:lang w:val="zh-CN"/>
              </w:rPr>
            </w:pPr>
          </w:p>
        </w:tc>
      </w:tr>
    </w:tbl>
    <w:p>
      <w:pPr>
        <w:tabs>
          <w:tab w:val="left" w:pos="720"/>
        </w:tabs>
        <w:snapToGrid w:val="0"/>
        <w:spacing w:line="360" w:lineRule="auto"/>
        <w:jc w:val="center"/>
        <w:rPr>
          <w:rFonts w:ascii="宋体" w:hAnsi="宋体"/>
          <w:b/>
          <w:color w:val="auto"/>
          <w:szCs w:val="21"/>
          <w:highlight w:val="none"/>
        </w:rPr>
      </w:pPr>
    </w:p>
    <w:p>
      <w:pPr>
        <w:pStyle w:val="19"/>
        <w:rPr>
          <w:color w:val="auto"/>
          <w:highlight w:val="none"/>
        </w:rPr>
      </w:pPr>
    </w:p>
    <w:p>
      <w:pPr>
        <w:rPr>
          <w:rFonts w:ascii="宋体" w:hAnsi="宋体"/>
          <w:color w:val="auto"/>
          <w:szCs w:val="21"/>
          <w:highlight w:val="none"/>
        </w:rPr>
      </w:pPr>
      <w:bookmarkStart w:id="67" w:name="_GoBack"/>
      <w:bookmarkEnd w:id="67"/>
      <w:r>
        <w:rPr>
          <w:rFonts w:hint="eastAsia" w:ascii="宋体" w:hAnsi="宋体"/>
          <w:color w:val="auto"/>
          <w:szCs w:val="21"/>
          <w:highlight w:val="none"/>
        </w:rPr>
        <w:br w:type="page"/>
      </w:r>
    </w:p>
    <w:p>
      <w:pPr>
        <w:autoSpaceDE w:val="0"/>
        <w:autoSpaceDN w:val="0"/>
        <w:adjustRightInd w:val="0"/>
        <w:rPr>
          <w:rFonts w:ascii="宋体" w:hAnsi="宋体"/>
          <w:b/>
          <w:color w:val="auto"/>
          <w:szCs w:val="21"/>
          <w:highlight w:val="none"/>
        </w:rPr>
      </w:pPr>
      <w:r>
        <w:rPr>
          <w:rFonts w:hint="eastAsia" w:ascii="宋体" w:cs="宋体"/>
          <w:b/>
          <w:bCs/>
          <w:color w:val="auto"/>
          <w:sz w:val="22"/>
          <w:highlight w:val="none"/>
        </w:rPr>
        <w:t>技术投标文件（含资格审查文件）</w:t>
      </w:r>
      <w:r>
        <w:rPr>
          <w:rFonts w:hint="eastAsia" w:ascii="宋体" w:hAnsi="宋体" w:cs="宋体"/>
          <w:b/>
          <w:bCs/>
          <w:color w:val="auto"/>
          <w:kern w:val="0"/>
          <w:szCs w:val="21"/>
          <w:highlight w:val="none"/>
        </w:rPr>
        <w:t>格式三</w:t>
      </w:r>
    </w:p>
    <w:p>
      <w:pPr>
        <w:tabs>
          <w:tab w:val="left" w:pos="720"/>
        </w:tabs>
        <w:snapToGrid w:val="0"/>
        <w:spacing w:line="360" w:lineRule="auto"/>
        <w:jc w:val="center"/>
        <w:rPr>
          <w:rFonts w:ascii="宋体" w:hAnsi="宋体"/>
          <w:b/>
          <w:bCs/>
          <w:color w:val="auto"/>
          <w:szCs w:val="21"/>
          <w:highlight w:val="none"/>
        </w:rPr>
      </w:pPr>
    </w:p>
    <w:p>
      <w:pPr>
        <w:tabs>
          <w:tab w:val="left" w:pos="720"/>
        </w:tabs>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参与编制技术标投标文件人员名单</w:t>
      </w:r>
    </w:p>
    <w:tbl>
      <w:tblPr>
        <w:tblStyle w:val="3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pStyle w:val="82"/>
        <w:ind w:firstLine="0" w:firstLineChars="0"/>
        <w:rPr>
          <w:rFonts w:ascii="宋体" w:hAnsi="宋体" w:cs="宋体"/>
          <w:color w:val="auto"/>
          <w:sz w:val="21"/>
          <w:szCs w:val="21"/>
          <w:highlight w:val="none"/>
        </w:rPr>
      </w:pPr>
    </w:p>
    <w:p>
      <w:pPr>
        <w:tabs>
          <w:tab w:val="left" w:pos="720"/>
        </w:tabs>
        <w:snapToGrid w:val="0"/>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cs="宋体"/>
          <w:color w:val="auto"/>
          <w:szCs w:val="21"/>
          <w:highlight w:val="none"/>
          <w:lang w:val="en-US" w:eastAsia="zh-CN"/>
        </w:rPr>
        <w:t>1.附以上人员的近1个月（2025年4月），由社保行政主管部门出具的社保证明资料原件扫描件；如为退休人员需提供退休证及返聘协议并符合国家法律规定内的返聘年龄。</w:t>
      </w:r>
    </w:p>
    <w:p>
      <w:pPr>
        <w:tabs>
          <w:tab w:val="left" w:pos="720"/>
        </w:tabs>
        <w:snapToGrid w:val="0"/>
        <w:spacing w:line="360" w:lineRule="auto"/>
        <w:rPr>
          <w:rFonts w:ascii="宋体" w:hAnsi="宋体"/>
          <w:color w:val="auto"/>
          <w:szCs w:val="21"/>
          <w:highlight w:val="none"/>
        </w:rPr>
      </w:pPr>
    </w:p>
    <w:p>
      <w:pPr>
        <w:pStyle w:val="147"/>
        <w:rPr>
          <w:color w:val="auto"/>
          <w:highlight w:val="none"/>
        </w:rPr>
      </w:pPr>
    </w:p>
    <w:p>
      <w:pPr>
        <w:tabs>
          <w:tab w:val="left" w:pos="720"/>
        </w:tabs>
        <w:snapToGrid w:val="0"/>
        <w:spacing w:line="360" w:lineRule="auto"/>
        <w:rPr>
          <w:rFonts w:ascii="宋体" w:hAnsi="宋体"/>
          <w:color w:val="auto"/>
          <w:szCs w:val="21"/>
          <w:highlight w:val="none"/>
        </w:rPr>
      </w:pPr>
      <w:r>
        <w:rPr>
          <w:rFonts w:hint="eastAsia" w:ascii="宋体" w:hAnsi="宋体" w:cs="宋体"/>
          <w:color w:val="auto"/>
          <w:szCs w:val="21"/>
          <w:highlight w:val="none"/>
        </w:rPr>
        <w:br w:type="page"/>
      </w:r>
      <w:r>
        <w:rPr>
          <w:rFonts w:hint="eastAsia" w:ascii="宋体" w:cs="宋体"/>
          <w:b/>
          <w:bCs/>
          <w:color w:val="auto"/>
          <w:sz w:val="22"/>
          <w:highlight w:val="none"/>
        </w:rPr>
        <w:t>技术投标文件（含资格审查文件）</w:t>
      </w:r>
      <w:r>
        <w:rPr>
          <w:rFonts w:hint="eastAsia" w:ascii="宋体" w:hAnsi="宋体" w:cs="宋体"/>
          <w:b/>
          <w:bCs/>
          <w:color w:val="auto"/>
          <w:kern w:val="0"/>
          <w:szCs w:val="21"/>
          <w:highlight w:val="none"/>
        </w:rPr>
        <w:t>格式四</w:t>
      </w:r>
    </w:p>
    <w:p>
      <w:pPr>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资格审查文件</w:t>
      </w:r>
    </w:p>
    <w:p>
      <w:pPr>
        <w:pStyle w:val="14"/>
        <w:rPr>
          <w:rFonts w:ascii="宋体" w:hAnsi="宋体" w:cs="宋体"/>
          <w:color w:val="auto"/>
          <w:sz w:val="21"/>
          <w:szCs w:val="21"/>
          <w:highlight w:val="none"/>
        </w:rPr>
      </w:pPr>
      <w:r>
        <w:rPr>
          <w:rFonts w:hint="eastAsia" w:ascii="宋体" w:hAnsi="宋体" w:cs="宋体"/>
          <w:snapToGrid w:val="0"/>
          <w:color w:val="auto"/>
          <w:spacing w:val="4"/>
          <w:sz w:val="21"/>
          <w:szCs w:val="21"/>
          <w:highlight w:val="none"/>
        </w:rPr>
        <w:t>注：按投标须知修改表11.2.2条款及《资格审查表》要求提交，格式自拟。</w:t>
      </w:r>
    </w:p>
    <w:p>
      <w:pPr>
        <w:rPr>
          <w:color w:val="auto"/>
          <w:sz w:val="24"/>
          <w:szCs w:val="24"/>
          <w:highlight w:val="none"/>
        </w:rPr>
      </w:pPr>
      <w:r>
        <w:rPr>
          <w:color w:val="auto"/>
          <w:sz w:val="24"/>
          <w:szCs w:val="24"/>
          <w:highlight w:val="none"/>
        </w:rPr>
        <w:br w:type="page"/>
      </w:r>
    </w:p>
    <w:p>
      <w:pPr>
        <w:pStyle w:val="19"/>
        <w:rPr>
          <w:color w:val="auto"/>
          <w:highlight w:val="none"/>
        </w:rPr>
      </w:pPr>
      <w:r>
        <w:rPr>
          <w:rFonts w:hint="eastAsia" w:cs="宋体"/>
          <w:b/>
          <w:bCs/>
          <w:color w:val="auto"/>
          <w:sz w:val="22"/>
          <w:highlight w:val="none"/>
        </w:rPr>
        <w:t>技术投标文件（含资格审查文件）</w:t>
      </w:r>
      <w:r>
        <w:rPr>
          <w:rFonts w:hint="eastAsia" w:hAnsi="宋体" w:cs="宋体"/>
          <w:b/>
          <w:bCs/>
          <w:color w:val="auto"/>
          <w:sz w:val="21"/>
          <w:szCs w:val="21"/>
          <w:highlight w:val="none"/>
        </w:rPr>
        <w:t>格式五</w:t>
      </w:r>
    </w:p>
    <w:p>
      <w:pPr>
        <w:autoSpaceDE w:val="0"/>
        <w:autoSpaceDN w:val="0"/>
        <w:adjustRightInd w:val="0"/>
        <w:jc w:val="center"/>
        <w:rPr>
          <w:rFonts w:ascii="宋体" w:hAnsi="宋体" w:cs="宋体"/>
          <w:b/>
          <w:snapToGrid w:val="0"/>
          <w:color w:val="auto"/>
          <w:spacing w:val="4"/>
          <w:kern w:val="0"/>
          <w:sz w:val="32"/>
          <w:szCs w:val="32"/>
          <w:highlight w:val="none"/>
        </w:rPr>
      </w:pPr>
    </w:p>
    <w:p>
      <w:pPr>
        <w:autoSpaceDE w:val="0"/>
        <w:autoSpaceDN w:val="0"/>
        <w:adjustRightInd w:val="0"/>
        <w:jc w:val="center"/>
        <w:rPr>
          <w:rFonts w:ascii="宋体" w:hAnsi="宋体" w:cs="宋体"/>
          <w:color w:val="auto"/>
          <w:szCs w:val="21"/>
          <w:highlight w:val="none"/>
        </w:rPr>
      </w:pPr>
      <w:r>
        <w:rPr>
          <w:rFonts w:hint="eastAsia" w:ascii="宋体" w:hAnsi="宋体" w:cs="宋体"/>
          <w:b/>
          <w:snapToGrid w:val="0"/>
          <w:color w:val="auto"/>
          <w:spacing w:val="4"/>
          <w:kern w:val="0"/>
          <w:szCs w:val="21"/>
          <w:highlight w:val="none"/>
        </w:rPr>
        <w:t>技术评审资料</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snapToGrid w:val="0"/>
          <w:color w:val="auto"/>
          <w:spacing w:val="4"/>
          <w:kern w:val="0"/>
          <w:szCs w:val="21"/>
          <w:highlight w:val="none"/>
        </w:rPr>
        <w:t>注：按《技术标有效性审查表》及《技术标详细审查评分表》要求提交</w:t>
      </w:r>
      <w:r>
        <w:rPr>
          <w:rFonts w:hint="eastAsia" w:ascii="宋体" w:hAnsi="宋体" w:cs="宋体"/>
          <w:snapToGrid w:val="0"/>
          <w:color w:val="auto"/>
          <w:spacing w:val="4"/>
          <w:szCs w:val="21"/>
          <w:highlight w:val="none"/>
        </w:rPr>
        <w:t>，格式如无要求可自拟。</w:t>
      </w:r>
    </w:p>
    <w:p>
      <w:pPr>
        <w:pStyle w:val="124"/>
        <w:spacing w:beforeLines="0" w:after="120" w:line="360" w:lineRule="auto"/>
        <w:outlineLvl w:val="9"/>
        <w:rPr>
          <w:rFonts w:ascii="宋体" w:eastAsia="宋体" w:cs="宋体"/>
          <w:b w:val="0"/>
          <w:color w:val="auto"/>
          <w:sz w:val="21"/>
          <w:szCs w:val="21"/>
          <w:highlight w:val="none"/>
        </w:rPr>
      </w:pPr>
    </w:p>
    <w:p>
      <w:pPr>
        <w:rPr>
          <w:rFonts w:ascii="宋体" w:hAnsi="宋体" w:cs="宋体"/>
          <w:bCs/>
          <w:color w:val="auto"/>
          <w:kern w:val="44"/>
          <w:szCs w:val="21"/>
          <w:highlight w:val="none"/>
        </w:rPr>
      </w:pPr>
      <w:r>
        <w:rPr>
          <w:rFonts w:hint="eastAsia" w:ascii="宋体" w:hAnsi="宋体" w:cs="宋体"/>
          <w:bCs/>
          <w:color w:val="auto"/>
          <w:kern w:val="44"/>
          <w:szCs w:val="21"/>
          <w:highlight w:val="none"/>
        </w:rPr>
        <w:br w:type="page"/>
      </w:r>
    </w:p>
    <w:p>
      <w:pPr>
        <w:tabs>
          <w:tab w:val="left" w:pos="720"/>
        </w:tabs>
        <w:snapToGrid w:val="0"/>
        <w:spacing w:line="360" w:lineRule="auto"/>
        <w:jc w:val="left"/>
        <w:rPr>
          <w:rFonts w:ascii="宋体" w:hAnsi="宋体" w:cs="宋体"/>
          <w:bCs/>
          <w:color w:val="auto"/>
          <w:kern w:val="44"/>
          <w:szCs w:val="21"/>
          <w:highlight w:val="none"/>
        </w:rPr>
      </w:pPr>
      <w:r>
        <w:rPr>
          <w:rFonts w:hint="eastAsia" w:ascii="宋体" w:cs="宋体"/>
          <w:b/>
          <w:bCs/>
          <w:color w:val="auto"/>
          <w:sz w:val="22"/>
          <w:highlight w:val="none"/>
        </w:rPr>
        <w:t>技术投标文件（含资格审查文件）</w:t>
      </w:r>
      <w:r>
        <w:rPr>
          <w:rFonts w:hint="eastAsia" w:ascii="宋体" w:hAnsi="宋体" w:cs="宋体"/>
          <w:b/>
          <w:bCs/>
          <w:color w:val="auto"/>
          <w:kern w:val="0"/>
          <w:szCs w:val="21"/>
          <w:highlight w:val="none"/>
        </w:rPr>
        <w:t>格式六</w:t>
      </w:r>
    </w:p>
    <w:tbl>
      <w:tblPr>
        <w:tblStyle w:val="38"/>
        <w:tblW w:w="9044" w:type="dxa"/>
        <w:tblInd w:w="0" w:type="dxa"/>
        <w:tblLayout w:type="fixed"/>
        <w:tblCellMar>
          <w:top w:w="0" w:type="dxa"/>
          <w:left w:w="0" w:type="dxa"/>
          <w:bottom w:w="0" w:type="dxa"/>
          <w:right w:w="0" w:type="dxa"/>
        </w:tblCellMar>
      </w:tblPr>
      <w:tblGrid>
        <w:gridCol w:w="810"/>
        <w:gridCol w:w="1620"/>
        <w:gridCol w:w="1875"/>
        <w:gridCol w:w="845"/>
        <w:gridCol w:w="1464"/>
        <w:gridCol w:w="1005"/>
        <w:gridCol w:w="1425"/>
      </w:tblGrid>
      <w:tr>
        <w:tblPrEx>
          <w:tblCellMar>
            <w:top w:w="0" w:type="dxa"/>
            <w:left w:w="0" w:type="dxa"/>
            <w:bottom w:w="0" w:type="dxa"/>
            <w:right w:w="0" w:type="dxa"/>
          </w:tblCellMar>
        </w:tblPrEx>
        <w:trPr>
          <w:trHeight w:val="540" w:hRule="atLeast"/>
        </w:trPr>
        <w:tc>
          <w:tcPr>
            <w:tcW w:w="9044" w:type="dxa"/>
            <w:gridSpan w:val="7"/>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Cs/>
                <w:color w:val="auto"/>
                <w:kern w:val="0"/>
                <w:szCs w:val="21"/>
                <w:highlight w:val="none"/>
              </w:rPr>
              <w:t>《投标人投入主要人员基本要求表》</w:t>
            </w:r>
          </w:p>
        </w:tc>
      </w:tr>
      <w:tr>
        <w:tblPrEx>
          <w:tblCellMar>
            <w:top w:w="0" w:type="dxa"/>
            <w:left w:w="0" w:type="dxa"/>
            <w:bottom w:w="0" w:type="dxa"/>
            <w:right w:w="0" w:type="dxa"/>
          </w:tblCellMar>
        </w:tblPrEx>
        <w:trPr>
          <w:trHeight w:val="256"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序号</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姓名</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岗位</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rPr>
              <w:t>职称</w:t>
            </w:r>
          </w:p>
        </w:tc>
        <w:tc>
          <w:tcPr>
            <w:tcW w:w="1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职称证书或资格证书编号</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kern w:val="0"/>
                <w:szCs w:val="21"/>
                <w:highlight w:val="none"/>
              </w:rPr>
            </w:pPr>
            <w:r>
              <w:rPr>
                <w:rFonts w:hint="eastAsia" w:ascii="宋体" w:hAnsi="宋体" w:cs="宋体"/>
                <w:bCs/>
                <w:color w:val="auto"/>
                <w:kern w:val="0"/>
                <w:szCs w:val="21"/>
                <w:highlight w:val="none"/>
              </w:rPr>
              <w:t>学历</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highlight w:val="none"/>
              </w:rPr>
              <w:t>从事项目经验年限</w:t>
            </w: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olor w:val="auto"/>
                <w:szCs w:val="21"/>
                <w:highlight w:val="none"/>
              </w:rPr>
              <w:t>技术负责人</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olor w:val="auto"/>
                <w:szCs w:val="21"/>
                <w:highlight w:val="none"/>
              </w:rPr>
              <w:t>质量负责人</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olor w:val="auto"/>
                <w:szCs w:val="21"/>
                <w:highlight w:val="none"/>
              </w:rPr>
              <w:t>安全负责人</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olor w:val="auto"/>
                <w:szCs w:val="21"/>
                <w:highlight w:val="none"/>
              </w:rPr>
              <w:t>造价负责人</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800" w:hRule="atLeast"/>
        </w:trPr>
        <w:tc>
          <w:tcPr>
            <w:tcW w:w="904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87"/>
                <w:rFonts w:hint="default" w:ascii="宋体" w:hAnsi="宋体" w:eastAsia="宋体" w:cs="宋体"/>
                <w:color w:val="auto"/>
                <w:sz w:val="21"/>
                <w:szCs w:val="21"/>
                <w:highlight w:val="none"/>
              </w:rPr>
            </w:pPr>
            <w:r>
              <w:rPr>
                <w:rStyle w:val="87"/>
                <w:rFonts w:hint="default" w:ascii="宋体" w:hAnsi="宋体" w:eastAsia="宋体" w:cs="宋体"/>
                <w:color w:val="auto"/>
                <w:sz w:val="21"/>
                <w:szCs w:val="21"/>
                <w:highlight w:val="none"/>
              </w:rPr>
              <w:t>备注：</w:t>
            </w:r>
          </w:p>
          <w:p>
            <w:pPr>
              <w:pStyle w:val="140"/>
              <w:snapToGrid w:val="0"/>
              <w:spacing w:before="60" w:beforeLines="25" w:line="24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u w:val="single"/>
              </w:rPr>
              <w:t>“岗位”要求（除项目负责人和专职安全员外）：拟派驻施工现场的技术负责人、质量负责人、安全负责人、造价负责人</w:t>
            </w:r>
            <w:r>
              <w:rPr>
                <w:rFonts w:hint="eastAsia" w:ascii="宋体" w:hAnsi="宋体" w:eastAsia="宋体"/>
                <w:color w:val="auto"/>
                <w:sz w:val="21"/>
                <w:szCs w:val="21"/>
                <w:highlight w:val="none"/>
              </w:rPr>
              <w:t>。以上项目管理团队人员信息将由交易系统提取后供各相关单位在履约时比对、查核。</w:t>
            </w:r>
          </w:p>
          <w:p>
            <w:pPr>
              <w:pStyle w:val="140"/>
              <w:snapToGrid w:val="0"/>
              <w:spacing w:before="60" w:beforeLines="25" w:line="24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ascii="宋体" w:hAnsi="宋体" w:cs="宋体"/>
                <w:color w:val="auto"/>
                <w:szCs w:val="21"/>
                <w:highlight w:val="none"/>
              </w:rPr>
            </w:pPr>
            <w:r>
              <w:rPr>
                <w:rFonts w:hint="eastAsia" w:ascii="宋体" w:hAnsi="宋体"/>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24"/>
        <w:rPr>
          <w:rFonts w:ascii="宋体" w:hAnsi="宋体" w:cs="宋体"/>
          <w:b/>
          <w:color w:val="auto"/>
          <w:kern w:val="44"/>
          <w:sz w:val="21"/>
          <w:szCs w:val="21"/>
          <w:highlight w:val="none"/>
        </w:rPr>
      </w:pPr>
    </w:p>
    <w:p>
      <w:pPr>
        <w:tabs>
          <w:tab w:val="left" w:pos="720"/>
        </w:tabs>
        <w:snapToGrid w:val="0"/>
        <w:spacing w:line="360" w:lineRule="auto"/>
        <w:jc w:val="left"/>
        <w:rPr>
          <w:rFonts w:ascii="宋体"/>
          <w:color w:val="auto"/>
          <w:szCs w:val="21"/>
          <w:highlight w:val="none"/>
        </w:rPr>
        <w:sectPr>
          <w:headerReference r:id="rId20" w:type="default"/>
          <w:footerReference r:id="rId21" w:type="default"/>
          <w:pgSz w:w="11906" w:h="16838"/>
          <w:pgMar w:top="1418" w:right="1418" w:bottom="1418" w:left="1418" w:header="851" w:footer="992" w:gutter="0"/>
          <w:pgNumType w:fmt="decimal"/>
          <w:cols w:space="720" w:num="1"/>
          <w:docGrid w:linePitch="312" w:charSpace="0"/>
        </w:sectPr>
      </w:pPr>
      <w:r>
        <w:rPr>
          <w:rFonts w:ascii="宋体"/>
          <w:color w:val="auto"/>
          <w:szCs w:val="21"/>
          <w:highlight w:val="none"/>
        </w:rPr>
        <w:br w:type="page"/>
      </w:r>
    </w:p>
    <w:p>
      <w:pPr>
        <w:tabs>
          <w:tab w:val="left" w:pos="720"/>
        </w:tabs>
        <w:snapToGrid w:val="0"/>
        <w:spacing w:line="360" w:lineRule="auto"/>
        <w:rPr>
          <w:rFonts w:hint="eastAsia" w:ascii="宋体" w:hAnsi="宋体" w:eastAsia="宋体" w:cs="宋体"/>
          <w:color w:val="auto"/>
          <w:szCs w:val="21"/>
          <w:highlight w:val="none"/>
          <w:lang w:eastAsia="zh-CN"/>
        </w:rPr>
      </w:pPr>
      <w:r>
        <w:rPr>
          <w:rFonts w:hint="eastAsia" w:ascii="宋体" w:cs="宋体"/>
          <w:b/>
          <w:bCs/>
          <w:color w:val="auto"/>
          <w:sz w:val="22"/>
          <w:highlight w:val="none"/>
        </w:rPr>
        <w:t>技术投标文件（含资格审查文件）</w:t>
      </w:r>
      <w:r>
        <w:rPr>
          <w:rFonts w:hint="eastAsia" w:ascii="宋体" w:hAnsi="宋体" w:cs="宋体"/>
          <w:b/>
          <w:bCs/>
          <w:color w:val="auto"/>
          <w:kern w:val="0"/>
          <w:szCs w:val="21"/>
          <w:highlight w:val="none"/>
        </w:rPr>
        <w:t>格式</w:t>
      </w:r>
      <w:r>
        <w:rPr>
          <w:rFonts w:hint="eastAsia" w:ascii="宋体" w:hAnsi="宋体" w:cs="宋体"/>
          <w:b/>
          <w:bCs/>
          <w:color w:val="auto"/>
          <w:kern w:val="0"/>
          <w:szCs w:val="21"/>
          <w:highlight w:val="none"/>
          <w:lang w:val="en-US" w:eastAsia="zh-CN"/>
        </w:rPr>
        <w:t>七</w:t>
      </w:r>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危险性较大的分部分项工程安全管理措施</w:t>
      </w:r>
    </w:p>
    <w:p>
      <w:pPr>
        <w:numPr>
          <w:ilvl w:val="0"/>
          <w:numId w:val="3"/>
        </w:numPr>
        <w:autoSpaceDE w:val="0"/>
        <w:autoSpaceDN w:val="0"/>
        <w:adjustRightInd w:val="0"/>
        <w:spacing w:line="400" w:lineRule="exact"/>
        <w:ind w:left="0" w:firstLine="420" w:firstLineChars="200"/>
        <w:jc w:val="left"/>
        <w:rPr>
          <w:rFonts w:hint="eastAsia" w:ascii="宋体" w:hAnsi="宋体" w:eastAsia="宋体" w:cs="宋体"/>
          <w:b/>
          <w:color w:val="auto"/>
          <w:spacing w:val="4"/>
          <w:kern w:val="0"/>
          <w:szCs w:val="21"/>
          <w:highlight w:val="none"/>
        </w:rPr>
      </w:pPr>
      <w:r>
        <w:rPr>
          <w:rFonts w:hint="eastAsia" w:ascii="宋体" w:hAnsi="宋体" w:eastAsia="宋体" w:cs="宋体"/>
          <w:color w:val="auto"/>
          <w:szCs w:val="21"/>
          <w:highlight w:val="none"/>
        </w:rPr>
        <w:t>根据中华人民共和国住房和城乡建设部令第37号《危险性较大的分部分项工程安全管理规定》（以下简称“37号文”），</w:t>
      </w:r>
      <w:r>
        <w:rPr>
          <w:rFonts w:hint="eastAsia" w:ascii="宋体" w:hAnsi="宋体" w:eastAsia="宋体" w:cs="宋体"/>
          <w:b/>
          <w:color w:val="auto"/>
          <w:szCs w:val="21"/>
          <w:highlight w:val="none"/>
        </w:rPr>
        <w:t>投标人在投标时须补充完善危大工程清单并</w:t>
      </w:r>
      <w:r>
        <w:rPr>
          <w:rFonts w:hint="eastAsia" w:ascii="宋体" w:hAnsi="宋体" w:eastAsia="宋体" w:cs="宋体"/>
          <w:b/>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招标人根据设计文件的要求及37号文的规定列出“危险性较大的分部分项工程清单及超过一定规模的危险性较大的分部分项工程清单”中与本招标项目相关的清单项，具体详见第5点“打√”标识。</w:t>
      </w:r>
    </w:p>
    <w:p>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投标单位同意建设单位在清单中标识的该项请在对应项打“√”标识，并与投标文件中提供相应的安全管理措施。</w:t>
      </w:r>
    </w:p>
    <w:p>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投标单位对清单中认为需要补充的该项请在对应项打“√”标识，并与投标文件中提供相应的安全管理措施。</w:t>
      </w:r>
    </w:p>
    <w:p>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投标单位不同意建设单位在清单中标识的该项请在对应项打“×”标识，并在备注栏填上相关说明。</w:t>
      </w:r>
    </w:p>
    <w:p>
      <w:pPr>
        <w:numPr>
          <w:ilvl w:val="0"/>
          <w:numId w:val="3"/>
        </w:numPr>
        <w:autoSpaceDE w:val="0"/>
        <w:autoSpaceDN w:val="0"/>
        <w:adjustRightInd w:val="0"/>
        <w:spacing w:line="400" w:lineRule="exact"/>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投标单位应当在投标时根据招标人提供的下述第5点清单，在投标文件中编制专项施工方案。</w:t>
      </w:r>
    </w:p>
    <w:p>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危险性较大的分部分项工程清单及超过一定规模的危险性较大的分部分项工程清单（参考版）：</w:t>
      </w:r>
    </w:p>
    <w:tbl>
      <w:tblPr>
        <w:tblStyle w:val="38"/>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8"/>
        <w:gridCol w:w="1075"/>
        <w:gridCol w:w="111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一、危险性较大的分部分项工程清单</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w:t>
            </w: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一、基坑支护</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（一）开挖深度超过3m（含3m）的基坑（槽）的土方开挖、支护、降水工程。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kern w:val="0"/>
                <w:sz w:val="24"/>
                <w:szCs w:val="36"/>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（二）开挖深度虽未超过3m，但地质条件、周围环境和地下管线复杂，或影响毗邻建、构筑物安全的基坑（槽）的土方开挖、支护、降水工程。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二、模板工程及支撑体系</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（一）各类工具式模板工程：包括滑模、爬模、飞模、隧道模等工程。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（三）承重支撑体系：用于钢结构安装等满堂支撑体系。</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三、起重吊装及起重机械安装拆卸工程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（一）采用非常规起重设备、方法，且单件起吊重量在10kN及以上的起重吊装工程。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（二）采用起重机械进行安装的工程。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（三）起重机械安装和拆卸工程。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（一）搭设高度24m及以上的落地式钢管脚手架工程（包括采光井、电梯井脚手架）。</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（二）附着式升降脚手架工程。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（三）悬挑式脚手架工程。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（四）高处作业吊篮。</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（五）卸料平台、操作平台工程。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（六）异型脚手架工程。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五、拆除工程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可能影响行人、交通、电力设施、通讯设施或其它建、构筑物安全的拆除工程。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六、暗挖工程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采用矿山法、盾构法、顶管法施工的隧道、洞室工程。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七、其它</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（一）建筑幕墙安装工程。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（二）钢结构、网架和索膜结构安装工程。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（三）人工挖孔桩工程。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（四）水下作业工程。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（五）装配式建筑混凝土预制构件安装工程。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（六）采用新技术、新工艺、新材料、新设备可能影响工程施工安全，尚无国家、行业及地方技术标准的分部分项工程。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二、超过一定规模的危险性较大的分部分项工程清单</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一、深基坑工程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开挖深度超过5m（含5m）的基坑（槽）的土方开挖、支护、降水工程。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kern w:val="0"/>
                <w:sz w:val="24"/>
                <w:szCs w:val="36"/>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二、模板工程及支撑体系</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（一）各类工具式模板工程：包括滑模、爬模、飞模、隧道模等工程。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（二）混凝土模板支撑工程：搭设高度8m及以上，或搭设跨度18m及以上，或施工总荷载（设计值）15kN/m2及以上，或集中线荷载（设计值）20kN/m及以上。</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（三）承重支撑体系：用于钢结构安装等满堂支撑体系，承受单点集中荷载7kN及以上。</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三、起重吊装及起重机械安装拆卸工程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（一）采用非常规起重设备、方法，且单件起吊重量在100kN及以上的起重吊装工程。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（二）起重量300kN及以上，或搭设总高度200m及以上，或搭设基础标高在200m及以上的起重机械安装和拆卸工程。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（一）搭设高度50m及以上的落地式钢管脚手架工程。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（二）提升高度在150m及以上的附着式升降脚手架工程或附着式升降操作平台工程。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（三）分段架体搭设高度20m及以上的悬挑式脚手架工程。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五、拆除工程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（一）码头、桥梁、高架、烟囱、水塔或拆除中容易引起有毒有害气（液）体或粉尘扩散、易燃易爆事故发生的特殊建、构筑物的拆除工程。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（二）文物保护建筑、优秀历史建筑或历史文化风貌区影响范围内的拆除工程。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六、暗挖工程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采用矿山法、盾构法、顶管法施工的隧道、洞室工程。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七、其它</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（一）施工高度50m及以上的建筑幕墙安装工程。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（二）跨度36m及以上的钢结构安装工程，或跨度60m及以上的网架和索膜结构安装工程。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（三）开挖深度16m及以上的人工挖孔桩工程。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（四）水下作业工程。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（五）重量1000kN及以上的大型结构整体顶升、平移、转体等施工工艺。</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（六）采用新技术、新工艺、新材料、新设备可能影响工程施工安全，尚无国家、行业及地方技术标准的分部分项工程。</w:t>
            </w:r>
          </w:p>
        </w:tc>
        <w:tc>
          <w:tcPr>
            <w:tcW w:w="10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p>
        </w:tc>
        <w:tc>
          <w:tcPr>
            <w:tcW w:w="11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tc>
        <w:tc>
          <w:tcPr>
            <w:tcW w:w="9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rPr>
            </w:pPr>
          </w:p>
        </w:tc>
      </w:tr>
    </w:tbl>
    <w:p>
      <w:pPr>
        <w:spacing w:line="400" w:lineRule="exact"/>
        <w:ind w:firstLine="420" w:firstLineChars="200"/>
        <w:jc w:val="left"/>
        <w:rPr>
          <w:rFonts w:hint="eastAsia" w:ascii="宋体" w:hAnsi="宋体" w:eastAsia="宋体" w:cs="宋体"/>
          <w:color w:val="auto"/>
          <w:highlight w:val="none"/>
        </w:rPr>
      </w:pPr>
    </w:p>
    <w:p>
      <w:pPr>
        <w:topLinePunct/>
        <w:adjustRightInd w:val="0"/>
        <w:snapToGrid w:val="0"/>
        <w:spacing w:line="400" w:lineRule="exact"/>
        <w:jc w:val="center"/>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 xml:space="preserve">                         </w:t>
      </w:r>
      <w:r>
        <w:rPr>
          <w:rFonts w:hint="eastAsia" w:ascii="宋体" w:hAnsi="宋体" w:eastAsia="宋体" w:cs="宋体"/>
          <w:snapToGrid w:val="0"/>
          <w:color w:val="auto"/>
          <w:spacing w:val="4"/>
          <w:kern w:val="0"/>
          <w:sz w:val="24"/>
          <w:szCs w:val="24"/>
          <w:highlight w:val="none"/>
        </w:rPr>
        <w:t xml:space="preserve">投 标 人：    </w:t>
      </w:r>
    </w:p>
    <w:p>
      <w:pPr>
        <w:tabs>
          <w:tab w:val="left" w:pos="720"/>
        </w:tabs>
        <w:snapToGrid w:val="0"/>
        <w:spacing w:line="360" w:lineRule="auto"/>
        <w:ind w:firstLine="4620" w:firstLineChars="2200"/>
        <w:jc w:val="left"/>
        <w:rPr>
          <w:rFonts w:hint="eastAsia" w:ascii="宋体" w:cs="宋体"/>
          <w:bCs/>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eastAsia="宋体" w:cs="宋体"/>
          <w:snapToGrid w:val="0"/>
          <w:color w:val="auto"/>
          <w:highlight w:val="none"/>
        </w:rPr>
        <w:t>日    期：    年    月    日</w:t>
      </w:r>
    </w:p>
    <w:p>
      <w:pPr>
        <w:tabs>
          <w:tab w:val="left" w:pos="720"/>
        </w:tabs>
        <w:snapToGrid w:val="0"/>
        <w:spacing w:line="360" w:lineRule="auto"/>
        <w:jc w:val="left"/>
        <w:rPr>
          <w:rFonts w:ascii="宋体" w:cs="宋体"/>
          <w:b/>
          <w:color w:val="auto"/>
          <w:szCs w:val="21"/>
          <w:highlight w:val="none"/>
        </w:rPr>
      </w:pPr>
      <w:r>
        <w:rPr>
          <w:rFonts w:hint="eastAsia" w:ascii="宋体" w:cs="宋体"/>
          <w:bCs/>
          <w:color w:val="auto"/>
          <w:szCs w:val="21"/>
          <w:highlight w:val="none"/>
        </w:rPr>
        <w:t>第二部分经济标投标文件</w:t>
      </w:r>
    </w:p>
    <w:p>
      <w:pPr>
        <w:pStyle w:val="82"/>
        <w:ind w:firstLine="422"/>
        <w:rPr>
          <w:rFonts w:ascii="宋体" w:hAnsi="宋体" w:cs="宋体"/>
          <w:b/>
          <w:bCs/>
          <w:color w:val="auto"/>
          <w:spacing w:val="0"/>
          <w:sz w:val="21"/>
          <w:szCs w:val="21"/>
          <w:highlight w:val="none"/>
        </w:rPr>
      </w:pPr>
      <w:r>
        <w:rPr>
          <w:rFonts w:hint="eastAsia" w:ascii="宋体" w:hAnsi="宋体" w:cs="宋体"/>
          <w:b/>
          <w:bCs/>
          <w:color w:val="auto"/>
          <w:spacing w:val="0"/>
          <w:sz w:val="21"/>
          <w:szCs w:val="21"/>
          <w:highlight w:val="none"/>
        </w:rPr>
        <w:t>经济标投标文件格式一：经济标投标文件封面</w:t>
      </w: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118"/>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[工程名称] </w:t>
      </w: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13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pPr>
        <w:pStyle w:val="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第二部分（经济标）</w:t>
      </w: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82"/>
        <w:ind w:firstLine="436"/>
        <w:rPr>
          <w:rFonts w:ascii="宋体" w:hAnsi="宋体" w:cs="宋体"/>
          <w:color w:val="auto"/>
          <w:sz w:val="21"/>
          <w:szCs w:val="21"/>
          <w:highlight w:val="none"/>
        </w:rPr>
      </w:pPr>
    </w:p>
    <w:p>
      <w:pPr>
        <w:pStyle w:val="120"/>
        <w:ind w:firstLine="1443" w:firstLineChars="662"/>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w:t>
      </w:r>
    </w:p>
    <w:p>
      <w:pPr>
        <w:pStyle w:val="120"/>
        <w:ind w:firstLine="1443" w:firstLineChars="662"/>
        <w:rPr>
          <w:rFonts w:ascii="宋体" w:hAnsi="宋体"/>
          <w:color w:val="auto"/>
          <w:highlight w:val="none"/>
          <w:u w:val="single"/>
        </w:rPr>
      </w:pPr>
      <w:r>
        <w:rPr>
          <w:rFonts w:hint="eastAsia" w:ascii="宋体" w:hAnsi="宋体" w:eastAsia="宋体" w:cs="宋体"/>
          <w:color w:val="auto"/>
          <w:sz w:val="21"/>
          <w:szCs w:val="21"/>
          <w:highlight w:val="none"/>
        </w:rPr>
        <w:t>日  期：</w:t>
      </w:r>
    </w:p>
    <w:p>
      <w:pPr>
        <w:tabs>
          <w:tab w:val="left" w:pos="720"/>
        </w:tabs>
        <w:snapToGrid w:val="0"/>
        <w:spacing w:line="360" w:lineRule="auto"/>
        <w:rPr>
          <w:color w:val="auto"/>
          <w:sz w:val="24"/>
          <w:szCs w:val="24"/>
          <w:highlight w:val="none"/>
        </w:rPr>
      </w:pPr>
    </w:p>
    <w:p>
      <w:pPr>
        <w:widowControl/>
        <w:jc w:val="left"/>
        <w:rPr>
          <w:color w:val="auto"/>
          <w:sz w:val="24"/>
          <w:szCs w:val="24"/>
          <w:highlight w:val="none"/>
        </w:rPr>
      </w:pPr>
      <w:r>
        <w:rPr>
          <w:color w:val="auto"/>
          <w:sz w:val="24"/>
          <w:szCs w:val="24"/>
          <w:highlight w:val="none"/>
        </w:rPr>
        <w:br w:type="page"/>
      </w:r>
    </w:p>
    <w:p>
      <w:p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经济标投标文件格式二：</w:t>
      </w:r>
    </w:p>
    <w:p>
      <w:pPr>
        <w:pStyle w:val="1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工程量清单计价表</w:t>
      </w:r>
    </w:p>
    <w:p>
      <w:pPr>
        <w:pStyle w:val="82"/>
        <w:ind w:firstLine="436"/>
        <w:rPr>
          <w:rFonts w:ascii="宋体" w:hAnsi="宋体" w:cs="宋体"/>
          <w:color w:val="auto"/>
          <w:sz w:val="21"/>
          <w:szCs w:val="21"/>
          <w:highlight w:val="none"/>
        </w:rPr>
      </w:pPr>
    </w:p>
    <w:p>
      <w:pPr>
        <w:pStyle w:val="82"/>
        <w:jc w:val="center"/>
        <w:rPr>
          <w:rFonts w:ascii="宋体" w:hAnsi="宋体" w:cs="宋体"/>
          <w:color w:val="auto"/>
          <w:sz w:val="21"/>
          <w:szCs w:val="21"/>
          <w:highlight w:val="none"/>
        </w:rPr>
      </w:pPr>
      <w:r>
        <w:rPr>
          <w:rFonts w:hint="eastAsia" w:ascii="宋体" w:hAnsi="宋体" w:cs="宋体"/>
          <w:color w:val="auto"/>
          <w:sz w:val="21"/>
          <w:szCs w:val="21"/>
          <w:highlight w:val="none"/>
        </w:rPr>
        <w:t>本部分内容详见招标文件第七章工程量清单</w:t>
      </w:r>
    </w:p>
    <w:p>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p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经济标投标文件格式三：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参与编制经济标投标文件人员名单</w:t>
      </w:r>
    </w:p>
    <w:tbl>
      <w:tblPr>
        <w:tblStyle w:val="38"/>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bl>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参与编制投标文件所有人员名单应包括如编制各种专业工程量清单投标报价、负责清样校对、负责打印及复印等所有人员在内的人员名单。</w:t>
      </w:r>
    </w:p>
    <w:p>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2.附以上人员的近1个月（2025年4月），由社保行政主管部门出具的社保证明资料原件扫描件；如为退休人员需提供退休证及返聘协议并符合国家法律规定内的返聘年龄。</w:t>
      </w: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kern w:val="0"/>
          <w:szCs w:val="21"/>
          <w:highlight w:val="none"/>
        </w:rPr>
        <w:t>经济标投标文件格式四：</w:t>
      </w:r>
    </w:p>
    <w:p>
      <w:pPr>
        <w:pStyle w:val="36"/>
        <w:spacing w:after="0" w:line="360" w:lineRule="auto"/>
        <w:ind w:firstLine="0"/>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对投标文件编制的承诺</w:t>
      </w:r>
    </w:p>
    <w:p>
      <w:pPr>
        <w:pStyle w:val="36"/>
        <w:spacing w:after="0" w:line="360" w:lineRule="auto"/>
        <w:ind w:left="-2" w:leftChars="-1" w:firstLine="472" w:firstLineChars="2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本公司授权</w:t>
      </w:r>
      <w:r>
        <w:rPr>
          <w:rFonts w:hint="eastAsia" w:ascii="宋体" w:hAnsi="宋体" w:eastAsia="宋体" w:cs="宋体"/>
          <w:color w:val="auto"/>
          <w:sz w:val="21"/>
          <w:szCs w:val="21"/>
          <w:highlight w:val="none"/>
          <w:u w:val="single"/>
        </w:rPr>
        <w:t xml:space="preserve">         （身份证号：               ）</w:t>
      </w:r>
      <w:r>
        <w:rPr>
          <w:rFonts w:hint="eastAsia" w:ascii="宋体" w:hAnsi="宋体" w:eastAsia="宋体" w:cs="宋体"/>
          <w:color w:val="auto"/>
          <w:sz w:val="21"/>
          <w:szCs w:val="21"/>
          <w:highlight w:val="none"/>
        </w:rPr>
        <w:t>负责对投标文件的编制及内容进行解释、说明，并承诺以下事项：</w:t>
      </w:r>
    </w:p>
    <w:p>
      <w:pPr>
        <w:pStyle w:val="36"/>
        <w:spacing w:after="0" w:line="360" w:lineRule="auto"/>
        <w:ind w:left="-2" w:leftChars="-1" w:firstLine="472" w:firstLineChars="2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1.被授权人清楚投标文件编制的具体情况，包括技术方案文件、工程量清单、以及投标文件的加密打包的理解；</w:t>
      </w:r>
    </w:p>
    <w:p>
      <w:pPr>
        <w:pStyle w:val="36"/>
        <w:spacing w:after="0" w:line="360" w:lineRule="auto"/>
        <w:ind w:left="-2" w:leftChars="-1" w:firstLine="472" w:firstLineChars="2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2.在本项目开标至评标结束前，努力确保被授权人在项目评标所在地附近；</w:t>
      </w:r>
    </w:p>
    <w:p>
      <w:pPr>
        <w:pStyle w:val="36"/>
        <w:spacing w:after="0" w:line="360" w:lineRule="auto"/>
        <w:ind w:left="-2" w:leftChars="-1" w:firstLine="472" w:firstLineChars="2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3.从评标委员会要求澄清起二小时内，被授权人应如实地书面澄清。</w:t>
      </w:r>
    </w:p>
    <w:p>
      <w:pPr>
        <w:pStyle w:val="36"/>
        <w:spacing w:after="0" w:line="360" w:lineRule="auto"/>
        <w:ind w:left="-2" w:leftChars="-1" w:firstLine="472" w:firstLineChars="2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如由于未遵守上述承诺内容之一导致无法进行澄清的，我公司认可和接受评标委员会作出的评审结论。                                 </w:t>
      </w:r>
    </w:p>
    <w:p>
      <w:pPr>
        <w:pStyle w:val="36"/>
        <w:spacing w:after="0" w:line="360" w:lineRule="auto"/>
        <w:ind w:firstLine="315" w:firstLineChars="150"/>
        <w:rPr>
          <w:rFonts w:ascii="宋体" w:hAnsi="宋体" w:eastAsia="宋体" w:cs="宋体"/>
          <w:color w:val="auto"/>
          <w:sz w:val="21"/>
          <w:szCs w:val="21"/>
          <w:highlight w:val="none"/>
        </w:rPr>
      </w:pP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附件：《投标文件编制情况》</w:t>
      </w:r>
    </w:p>
    <w:p>
      <w:pPr>
        <w:spacing w:line="360" w:lineRule="auto"/>
        <w:ind w:right="90" w:firstLine="2835" w:firstLineChars="135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投标人名称：</w:t>
      </w:r>
      <w:r>
        <w:rPr>
          <w:rFonts w:hint="eastAsia" w:ascii="宋体" w:hAnsi="宋体" w:cs="宋体"/>
          <w:color w:val="auto"/>
          <w:szCs w:val="21"/>
          <w:highlight w:val="none"/>
          <w:u w:val="single"/>
          <w:lang w:val="en-US" w:eastAsia="zh-CN"/>
        </w:rPr>
        <w:t xml:space="preserve">         </w:t>
      </w:r>
    </w:p>
    <w:p>
      <w:pPr>
        <w:spacing w:line="360" w:lineRule="auto"/>
        <w:ind w:firstLine="3885" w:firstLineChars="1850"/>
        <w:jc w:val="center"/>
        <w:rPr>
          <w:rFonts w:ascii="宋体" w:hAnsi="宋体" w:cs="宋体"/>
          <w:color w:val="auto"/>
          <w:szCs w:val="21"/>
          <w:highlight w:val="none"/>
        </w:rPr>
      </w:pPr>
      <w:r>
        <w:rPr>
          <w:rFonts w:hint="eastAsia" w:ascii="宋体" w:hAnsi="宋体" w:cs="宋体"/>
          <w:color w:val="auto"/>
          <w:szCs w:val="21"/>
          <w:highlight w:val="none"/>
        </w:rPr>
        <w:t>日期：  年  月  日</w:t>
      </w:r>
    </w:p>
    <w:p>
      <w:pPr>
        <w:pStyle w:val="36"/>
        <w:spacing w:after="0" w:line="360" w:lineRule="auto"/>
        <w:ind w:firstLine="0"/>
        <w:rPr>
          <w:rFonts w:ascii="宋体" w:hAnsi="宋体" w:eastAsia="宋体" w:cs="宋体"/>
          <w:b/>
          <w:color w:val="auto"/>
          <w:sz w:val="21"/>
          <w:szCs w:val="21"/>
          <w:highlight w:val="none"/>
        </w:rPr>
      </w:pPr>
    </w:p>
    <w:p>
      <w:pPr>
        <w:pStyle w:val="36"/>
        <w:spacing w:after="0" w:line="360" w:lineRule="auto"/>
        <w:ind w:firstLine="422" w:firstLineChars="200"/>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投标文件编制情况</w:t>
      </w:r>
    </w:p>
    <w:p>
      <w:pPr>
        <w:pStyle w:val="36"/>
        <w:spacing w:after="0" w:line="360" w:lineRule="auto"/>
        <w:ind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1.投标文件报价编制方式: □自行编制的，编制的负责人：</w:t>
      </w:r>
      <w:r>
        <w:rPr>
          <w:rFonts w:hint="eastAsia" w:ascii="宋体" w:hAnsi="宋体" w:eastAsia="宋体" w:cs="宋体"/>
          <w:color w:val="auto"/>
          <w:sz w:val="21"/>
          <w:szCs w:val="21"/>
          <w:highlight w:val="none"/>
          <w:u w:val="single"/>
        </w:rPr>
        <w:t xml:space="preserve"> （盖造价工程师执业专用章或全国建设工程造价员章，执业单位应与投标人一致） </w:t>
      </w:r>
      <w:r>
        <w:rPr>
          <w:rFonts w:hint="eastAsia" w:ascii="宋体" w:hAnsi="宋体" w:eastAsia="宋体" w:cs="宋体"/>
          <w:color w:val="auto"/>
          <w:sz w:val="21"/>
          <w:szCs w:val="21"/>
          <w:highlight w:val="none"/>
        </w:rPr>
        <w:t>。□委托编制的，受委托单位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，编制的负责人：</w:t>
      </w:r>
      <w:r>
        <w:rPr>
          <w:rFonts w:hint="eastAsia" w:ascii="宋体" w:hAnsi="宋体" w:eastAsia="宋体" w:cs="宋体"/>
          <w:color w:val="auto"/>
          <w:sz w:val="21"/>
          <w:szCs w:val="21"/>
          <w:highlight w:val="none"/>
          <w:u w:val="single"/>
        </w:rPr>
        <w:t xml:space="preserve"> （盖造价工程师执业专用章或全国建设工程造价员章，执业单位应与受委托单位一致） </w:t>
      </w:r>
      <w:r>
        <w:rPr>
          <w:rFonts w:hint="eastAsia" w:ascii="宋体" w:hAnsi="宋体" w:eastAsia="宋体" w:cs="宋体"/>
          <w:color w:val="auto"/>
          <w:sz w:val="21"/>
          <w:szCs w:val="21"/>
          <w:highlight w:val="none"/>
        </w:rPr>
        <w:t>。</w:t>
      </w:r>
    </w:p>
    <w:p>
      <w:pPr>
        <w:pStyle w:val="36"/>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2.投标文件加密打包的电脑情况</w:t>
      </w:r>
    </w:p>
    <w:tbl>
      <w:tblPr>
        <w:tblStyle w:val="38"/>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投标文件加密打包的电脑     自有    □      外包    □     其他    □</w:t>
            </w:r>
          </w:p>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电脑类型</w:t>
            </w:r>
          </w:p>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电脑所属单位</w:t>
            </w:r>
          </w:p>
          <w:p>
            <w:pPr>
              <w:pStyle w:val="36"/>
              <w:spacing w:after="0"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电脑所在地址    （如××市××区(县) ××街（路）××号××大厦××房）</w:t>
            </w:r>
          </w:p>
        </w:tc>
      </w:tr>
    </w:tbl>
    <w:p>
      <w:pPr>
        <w:pStyle w:val="124"/>
        <w:spacing w:beforeLines="0" w:after="120" w:line="400" w:lineRule="exact"/>
        <w:rPr>
          <w:rFonts w:ascii="宋体" w:eastAsia="宋体" w:cs="宋体"/>
          <w:bCs/>
          <w:color w:val="auto"/>
          <w:sz w:val="22"/>
          <w:szCs w:val="22"/>
          <w:highlight w:val="none"/>
        </w:rPr>
      </w:pPr>
    </w:p>
    <w:p>
      <w:pPr>
        <w:pStyle w:val="124"/>
        <w:spacing w:beforeLines="0" w:after="120" w:line="400" w:lineRule="exact"/>
        <w:rPr>
          <w:rFonts w:ascii="宋体" w:eastAsia="宋体" w:cs="宋体"/>
          <w:bCs/>
          <w:color w:val="auto"/>
          <w:sz w:val="22"/>
          <w:szCs w:val="22"/>
          <w:highlight w:val="none"/>
        </w:rPr>
      </w:pPr>
    </w:p>
    <w:p>
      <w:pPr>
        <w:pStyle w:val="124"/>
        <w:spacing w:beforeLines="0" w:after="120" w:line="400" w:lineRule="exact"/>
        <w:rPr>
          <w:rFonts w:ascii="宋体" w:eastAsia="宋体" w:cs="宋体"/>
          <w:bCs/>
          <w:color w:val="auto"/>
          <w:sz w:val="22"/>
          <w:szCs w:val="22"/>
          <w:highlight w:val="none"/>
        </w:rPr>
      </w:pPr>
    </w:p>
    <w:p>
      <w:pPr>
        <w:pStyle w:val="124"/>
        <w:spacing w:beforeLines="0" w:after="120" w:line="400" w:lineRule="exact"/>
        <w:rPr>
          <w:rFonts w:ascii="宋体" w:eastAsia="宋体" w:cs="宋体"/>
          <w:bCs/>
          <w:color w:val="auto"/>
          <w:sz w:val="22"/>
          <w:szCs w:val="22"/>
          <w:highlight w:val="none"/>
        </w:rPr>
      </w:pPr>
    </w:p>
    <w:p>
      <w:pPr>
        <w:rPr>
          <w:color w:val="auto"/>
          <w:highlight w:val="none"/>
        </w:rPr>
      </w:pPr>
      <w:r>
        <w:rPr>
          <w:rFonts w:hint="eastAsia" w:ascii="宋体" w:cs="宋体"/>
          <w:bCs/>
          <w:color w:val="auto"/>
          <w:sz w:val="22"/>
          <w:highlight w:val="none"/>
        </w:rPr>
        <w:br w:type="page"/>
      </w:r>
    </w:p>
    <w:bookmarkEnd w:id="49"/>
    <w:bookmarkEnd w:id="50"/>
    <w:bookmarkEnd w:id="51"/>
    <w:bookmarkEnd w:id="52"/>
    <w:bookmarkEnd w:id="53"/>
    <w:bookmarkEnd w:id="54"/>
    <w:bookmarkEnd w:id="55"/>
    <w:bookmarkEnd w:id="56"/>
    <w:bookmarkEnd w:id="57"/>
    <w:bookmarkEnd w:id="58"/>
    <w:bookmarkEnd w:id="59"/>
    <w:bookmarkEnd w:id="60"/>
    <w:bookmarkEnd w:id="61"/>
    <w:p>
      <w:pPr>
        <w:pStyle w:val="3"/>
        <w:jc w:val="center"/>
        <w:rPr>
          <w:rFonts w:ascii="宋体" w:hAnsi="宋体" w:cs="宋体"/>
          <w:b/>
          <w:color w:val="auto"/>
          <w:sz w:val="21"/>
          <w:szCs w:val="21"/>
          <w:highlight w:val="none"/>
        </w:rPr>
      </w:pPr>
      <w:bookmarkStart w:id="63" w:name="_Toc17698"/>
      <w:r>
        <w:rPr>
          <w:rFonts w:hint="eastAsia" w:ascii="宋体" w:hAnsi="宋体" w:cs="宋体"/>
          <w:b/>
          <w:color w:val="auto"/>
          <w:sz w:val="28"/>
          <w:szCs w:val="28"/>
          <w:highlight w:val="none"/>
        </w:rPr>
        <w:t>第五章  技术条件（工程建设标准）</w:t>
      </w:r>
      <w:bookmarkEnd w:id="63"/>
    </w:p>
    <w:p>
      <w:pPr>
        <w:spacing w:line="360" w:lineRule="auto"/>
        <w:rPr>
          <w:rFonts w:ascii="宋体" w:hAnsi="Calibri"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、具体按施工图纸</w:t>
      </w:r>
      <w:r>
        <w:rPr>
          <w:rFonts w:hint="eastAsia" w:ascii="宋体" w:hAnsi="宋体" w:cs="宋体"/>
          <w:color w:val="auto"/>
          <w:sz w:val="24"/>
          <w:szCs w:val="24"/>
          <w:highlight w:val="none"/>
          <w:u w:val="single"/>
          <w:lang w:eastAsia="zh-CN"/>
        </w:rPr>
        <w:t>、</w:t>
      </w:r>
      <w:r>
        <w:rPr>
          <w:rFonts w:hint="eastAsia" w:ascii="宋体" w:hAnsi="宋体" w:cs="宋体"/>
          <w:b w:val="0"/>
          <w:bCs w:val="0"/>
          <w:color w:val="auto"/>
          <w:kern w:val="2"/>
          <w:sz w:val="24"/>
          <w:szCs w:val="22"/>
          <w:highlight w:val="none"/>
          <w:u w:val="single"/>
          <w:lang w:val="en-US" w:eastAsia="zh-CN" w:bidi="ar-SA"/>
        </w:rPr>
        <w:t>地质勘察报告、物探报告</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、施工现场建筑垃圾源头减量的具体要求和建筑垃圾综合利用产品的使用要求。</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3、依据设计文件的要求，本招标工程项目的材料、设备、施工须达到中华人民共和国以及省、市或行业的工程建设标准、规范的要求。</w:t>
      </w:r>
    </w:p>
    <w:p>
      <w:pPr>
        <w:spacing w:line="350" w:lineRule="exact"/>
        <w:rPr>
          <w:rFonts w:ascii="宋体" w:hAnsi="宋体" w:cs="宋体"/>
          <w:color w:val="auto"/>
          <w:szCs w:val="21"/>
          <w:highlight w:val="none"/>
        </w:rPr>
      </w:pPr>
    </w:p>
    <w:p>
      <w:pPr>
        <w:rPr>
          <w:rFonts w:ascii="宋体" w:hAnsi="宋体" w:cs="宋体"/>
          <w:color w:val="auto"/>
          <w:szCs w:val="21"/>
          <w:highlight w:val="none"/>
        </w:rPr>
      </w:pPr>
      <w:r>
        <w:rPr>
          <w:rFonts w:ascii="宋体" w:hAnsi="宋体" w:cs="宋体"/>
          <w:color w:val="auto"/>
          <w:szCs w:val="21"/>
          <w:highlight w:val="none"/>
        </w:rPr>
        <w:br w:type="page"/>
      </w:r>
    </w:p>
    <w:p>
      <w:pPr>
        <w:pStyle w:val="36"/>
        <w:ind w:firstLine="0"/>
        <w:rPr>
          <w:rFonts w:ascii="宋体" w:hAnsi="宋体" w:cs="宋体"/>
          <w:color w:val="auto"/>
          <w:szCs w:val="21"/>
          <w:highlight w:val="none"/>
        </w:rPr>
      </w:pPr>
    </w:p>
    <w:p>
      <w:pPr>
        <w:pStyle w:val="3"/>
        <w:jc w:val="center"/>
        <w:rPr>
          <w:rFonts w:ascii="宋体" w:hAnsi="宋体" w:cs="宋体"/>
          <w:b/>
          <w:bCs/>
          <w:color w:val="auto"/>
          <w:sz w:val="28"/>
          <w:szCs w:val="28"/>
          <w:highlight w:val="none"/>
        </w:rPr>
      </w:pPr>
      <w:bookmarkStart w:id="64" w:name="_Toc4616"/>
      <w:r>
        <w:rPr>
          <w:rFonts w:hint="eastAsia" w:ascii="宋体" w:hAnsi="宋体" w:cs="宋体"/>
          <w:b/>
          <w:bCs/>
          <w:color w:val="auto"/>
          <w:sz w:val="28"/>
          <w:szCs w:val="28"/>
          <w:highlight w:val="none"/>
        </w:rPr>
        <w:t>第六章  图纸及勘察资料</w:t>
      </w:r>
      <w:bookmarkEnd w:id="64"/>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
        <w:jc w:val="center"/>
        <w:rPr>
          <w:rFonts w:ascii="宋体" w:hAnsi="宋体" w:cs="宋体"/>
          <w:color w:val="auto"/>
          <w:sz w:val="21"/>
          <w:szCs w:val="21"/>
          <w:highlight w:val="none"/>
        </w:rPr>
      </w:pPr>
      <w:r>
        <w:rPr>
          <w:rFonts w:hint="eastAsia" w:ascii="宋体" w:hAnsi="宋体" w:cs="宋体"/>
          <w:color w:val="auto"/>
          <w:sz w:val="21"/>
          <w:szCs w:val="21"/>
          <w:highlight w:val="none"/>
        </w:rPr>
        <w:br w:type="page"/>
      </w:r>
      <w:bookmarkStart w:id="65" w:name="_Toc16409"/>
      <w:r>
        <w:rPr>
          <w:rFonts w:hint="eastAsia" w:ascii="宋体" w:hAnsi="宋体" w:cs="宋体"/>
          <w:b/>
          <w:bCs/>
          <w:color w:val="auto"/>
          <w:sz w:val="28"/>
          <w:szCs w:val="28"/>
          <w:highlight w:val="none"/>
        </w:rPr>
        <w:t>第七章  工程量清单</w:t>
      </w:r>
      <w:bookmarkEnd w:id="65"/>
    </w:p>
    <w:p>
      <w:pPr>
        <w:jc w:val="center"/>
        <w:rPr>
          <w:rFonts w:ascii="宋体" w:hAnsi="宋体" w:cs="宋体"/>
          <w:b/>
          <w:color w:val="auto"/>
          <w:szCs w:val="21"/>
          <w:highlight w:val="none"/>
        </w:rPr>
      </w:pPr>
      <w:r>
        <w:rPr>
          <w:rFonts w:hint="eastAsia" w:ascii="宋体" w:hAnsi="宋体" w:cs="宋体"/>
          <w:color w:val="auto"/>
          <w:szCs w:val="21"/>
          <w:highlight w:val="none"/>
        </w:rPr>
        <w:t>注：另册。</w:t>
      </w:r>
    </w:p>
    <w:p>
      <w:pPr>
        <w:pStyle w:val="36"/>
        <w:spacing w:after="0" w:line="360" w:lineRule="auto"/>
        <w:ind w:left="-2" w:leftChars="-1" w:firstLine="840" w:firstLineChars="400"/>
        <w:rPr>
          <w:rFonts w:ascii="宋体" w:hAnsi="宋体" w:eastAsia="宋体" w:cs="宋体"/>
          <w:color w:val="auto"/>
          <w:sz w:val="21"/>
          <w:szCs w:val="21"/>
          <w:highlight w:val="none"/>
        </w:rPr>
      </w:pPr>
    </w:p>
    <w:p>
      <w:pPr>
        <w:rPr>
          <w:rFonts w:ascii="宋体" w:hAnsi="宋体" w:cs="宋体"/>
          <w:color w:val="auto"/>
          <w:szCs w:val="21"/>
          <w:highlight w:val="none"/>
        </w:rPr>
      </w:pPr>
    </w:p>
    <w:p>
      <w:pPr>
        <w:pStyle w:val="3"/>
        <w:jc w:val="center"/>
        <w:rPr>
          <w:rFonts w:ascii="宋体" w:hAnsi="宋体" w:cs="宋体"/>
          <w:color w:val="auto"/>
          <w:sz w:val="21"/>
          <w:szCs w:val="21"/>
          <w:highlight w:val="none"/>
        </w:rPr>
      </w:pPr>
      <w:r>
        <w:rPr>
          <w:rFonts w:hint="eastAsia" w:ascii="宋体" w:hAnsi="宋体" w:cs="宋体"/>
          <w:color w:val="auto"/>
          <w:sz w:val="21"/>
          <w:szCs w:val="21"/>
          <w:highlight w:val="none"/>
        </w:rPr>
        <w:br w:type="page"/>
      </w:r>
      <w:bookmarkStart w:id="66" w:name="_Toc13320"/>
      <w:r>
        <w:rPr>
          <w:rFonts w:hint="eastAsia" w:ascii="宋体" w:hAnsi="宋体" w:cs="宋体"/>
          <w:b/>
          <w:bCs/>
          <w:color w:val="auto"/>
          <w:sz w:val="28"/>
          <w:szCs w:val="28"/>
          <w:highlight w:val="none"/>
        </w:rPr>
        <w:t>第八章  最高投标限价</w:t>
      </w:r>
      <w:bookmarkEnd w:id="66"/>
    </w:p>
    <w:p>
      <w:pPr>
        <w:spacing w:line="360" w:lineRule="auto"/>
        <w:ind w:firstLine="480"/>
        <w:jc w:val="center"/>
        <w:rPr>
          <w:rFonts w:ascii="宋体" w:hAnsi="宋体" w:cs="宋体"/>
          <w:color w:val="auto"/>
          <w:szCs w:val="21"/>
          <w:highlight w:val="none"/>
          <w:u w:val="single"/>
        </w:rPr>
      </w:pPr>
      <w:r>
        <w:rPr>
          <w:rFonts w:hint="eastAsia" w:ascii="宋体" w:hAnsi="宋体" w:cs="宋体"/>
          <w:color w:val="auto"/>
          <w:szCs w:val="21"/>
          <w:highlight w:val="none"/>
        </w:rPr>
        <w:t>注：另册</w:t>
      </w:r>
    </w:p>
    <w:p>
      <w:pPr>
        <w:rPr>
          <w:rFonts w:ascii="宋体" w:hAnsi="宋体" w:cs="宋体"/>
          <w:color w:val="auto"/>
          <w:szCs w:val="21"/>
          <w:highlight w:val="none"/>
        </w:rPr>
      </w:pPr>
    </w:p>
    <w:p>
      <w:pPr>
        <w:rPr>
          <w:rFonts w:ascii="宋体" w:hAnsi="宋体"/>
          <w:color w:val="auto"/>
          <w:szCs w:val="21"/>
          <w:highlight w:val="none"/>
        </w:rPr>
      </w:pPr>
    </w:p>
    <w:p>
      <w:pPr>
        <w:pStyle w:val="6"/>
        <w:spacing w:line="360" w:lineRule="auto"/>
        <w:rPr>
          <w:rFonts w:ascii="宋体" w:hAnsi="宋体" w:eastAsia="宋体"/>
          <w:color w:val="auto"/>
          <w:szCs w:val="21"/>
          <w:highlight w:val="none"/>
        </w:rPr>
      </w:pPr>
    </w:p>
    <w:bookmarkEnd w:id="0"/>
    <w:p>
      <w:pPr>
        <w:rPr>
          <w:rFonts w:ascii="宋体" w:hAnsi="宋体"/>
          <w:color w:val="auto"/>
          <w:szCs w:val="21"/>
          <w:highlight w:val="none"/>
        </w:rPr>
      </w:pPr>
    </w:p>
    <w:sectPr>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059080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rPr>
                              <w:rStyle w:val="43"/>
                            </w:rPr>
                            <w:instrText xml:space="preserve"> PAGE </w:instrText>
                          </w:r>
                          <w:r>
                            <w:fldChar w:fldCharType="separate"/>
                          </w:r>
                          <w:r>
                            <w:rPr>
                              <w:rStyle w:val="43"/>
                            </w:rPr>
                            <w:t>48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&#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gS0bV1QEAAK8DAAAOAAAAAAAAAAEAIAAAAB4B&#10;AABkcnMvZTJvRG9jLnhtbFBLBQYAAAAABgAGAFkBAABlBQAAAAA=&#10;">
              <v:fill on="f" focussize="0,0"/>
              <v:stroke on="f"/>
              <v:imagedata o:title=""/>
              <o:lock v:ext="edit" aspectratio="f"/>
              <v:textbox inset="0mm,0mm,0mm,0mm" style="mso-fit-shape-to-text:t;">
                <w:txbxContent>
                  <w:p>
                    <w:pPr>
                      <w:pStyle w:val="24"/>
                      <w:jc w:val="center"/>
                    </w:pPr>
                    <w:r>
                      <w:fldChar w:fldCharType="begin"/>
                    </w:r>
                    <w:r>
                      <w:rPr>
                        <w:rStyle w:val="43"/>
                      </w:rPr>
                      <w:instrText xml:space="preserve"> PAGE </w:instrText>
                    </w:r>
                    <w:r>
                      <w:fldChar w:fldCharType="separate"/>
                    </w:r>
                    <w:r>
                      <w:rPr>
                        <w:rStyle w:val="43"/>
                      </w:rP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by84BAACoAwAADgAAAGRycy9lMm9Eb2MueG1srVPNjtMwEL4j8Q6W&#10;7zRpk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8JozJyy9+OX7t8uPX5efX9nL&#10;pE/vsaKyO0+FcXgLA9XOcaRgoj20waYvEWKUJ3XPV3XVEJlMl9ar9bqklKTc7BB+8XDdB4zvFFiW&#10;jJoHer6sqjh9wDiWziWpm4NbbUx+QuP+ChDmGFF5B6bbick4cbLisB8mentozsSupz2ouaO158y8&#10;dyRzWpnZCLOxn42jD/rQ0aDLPCX6N8dII+VJU4cRlhgmhx4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nfm8vOAQAAqAMAAA4AAAAAAAAAAQAgAAAAHgEAAGRycy9l&#10;Mm9Eb2MueG1sUEsFBgAAAAAGAAYAWQEAAF4FAAAAAA==&#10;">
              <v:fill on="f" focussize="0,0"/>
              <v:stroke on="f"/>
              <v:imagedata o:title=""/>
              <o:lock v:ext="edit" aspectratio="f"/>
              <v:textbox inset="0mm,0mm,0mm,0mm" style="mso-fit-shape-to-text:t;">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rPr>
                              <w:rStyle w:val="43"/>
                            </w:rPr>
                          </w:pPr>
                          <w:r>
                            <w:fldChar w:fldCharType="begin"/>
                          </w:r>
                          <w:r>
                            <w:rPr>
                              <w:rStyle w:val="43"/>
                            </w:rPr>
                            <w:instrText xml:space="preserve">PAGE  </w:instrText>
                          </w:r>
                          <w:r>
                            <w:fldChar w:fldCharType="separate"/>
                          </w:r>
                          <w:r>
                            <w:rPr>
                              <w:rStyle w:val="43"/>
                            </w:rPr>
                            <w:t>68</w:t>
                          </w:r>
                          <w:r>
                            <w:fldChar w:fldCharType="end"/>
                          </w:r>
                        </w:p>
                        <w:p>
                          <w:pPr>
                            <w:pStyle w:val="24"/>
                            <w:ind w:left="-4410" w:leftChars="-2100" w:right="-4439" w:rightChars="-2114"/>
                            <w:rPr>
                              <w:rStyle w:val="43"/>
                            </w:rPr>
                          </w:pP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xwIZbIAQAAnQMAAA4AAAAAAAAAAQAgAAAAHgEAAGRycy9lMm9Eb2Mu&#10;eG1sUEsFBgAAAAAGAAYAWQEAAFgFAAAAAA==&#10;">
              <v:fill on="f" focussize="0,0"/>
              <v:stroke on="f"/>
              <v:imagedata o:title=""/>
              <o:lock v:ext="edit" aspectratio="f"/>
              <v:textbox inset="0mm,0mm,0mm,0mm" style="mso-fit-shape-to-text:t;">
                <w:txbxContent>
                  <w:p>
                    <w:pPr>
                      <w:pStyle w:val="24"/>
                      <w:jc w:val="center"/>
                      <w:rPr>
                        <w:rStyle w:val="43"/>
                      </w:rPr>
                    </w:pPr>
                    <w:r>
                      <w:fldChar w:fldCharType="begin"/>
                    </w:r>
                    <w:r>
                      <w:rPr>
                        <w:rStyle w:val="43"/>
                      </w:rPr>
                      <w:instrText xml:space="preserve">PAGE  </w:instrText>
                    </w:r>
                    <w:r>
                      <w:fldChar w:fldCharType="separate"/>
                    </w:r>
                    <w:r>
                      <w:rPr>
                        <w:rStyle w:val="43"/>
                      </w:rPr>
                      <w:t>68</w:t>
                    </w:r>
                    <w:r>
                      <w:fldChar w:fldCharType="end"/>
                    </w:r>
                  </w:p>
                  <w:p>
                    <w:pPr>
                      <w:pStyle w:val="24"/>
                      <w:ind w:left="-4410" w:leftChars="-2100" w:right="-4439" w:rightChars="-2114"/>
                      <w:rPr>
                        <w:rStyle w:val="4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hPNc4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asmZE5Ze/PL92+XHr8vPr+xN&#10;0qcPWFHZQ6DCONz5gbZmjiMFE+2hBZu+RIhRntQ9X9VVQ2QyXVqv1uuSUpJys0P4xeP1ABjfKm9Z&#10;MmoO9HxZVXF6j3EsnUtSN+fvtTH5CY37K0CYY0TlHZhuJybjxMmKw36Y6O19cyZ2Pe1BzR2tPWfm&#10;nSOZ08rMBszGfjaOAfSho0GXeUoMt8dII+VJU4cRlhgmhx4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mYTzXOAQAAqAMAAA4AAAAAAAAAAQAgAAAAHgEAAGRycy9l&#10;Mm9Eb2MueG1sUEsFBgAAAAAGAAYAWQEAAF4FAAAAAA==&#10;">
              <v:fill on="f" focussize="0,0"/>
              <v:stroke on="f"/>
              <v:imagedata o:title=""/>
              <o:lock v:ext="edit" aspectratio="f"/>
              <v:textbox inset="0mm,0mm,0mm,0mm" style="mso-fit-shape-to-text:t;">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2mZF7OAQAAqQMAAA4AAAAAAAAAAQAgAAAAHgEAAGRycy9l&#10;Mm9Eb2MueG1sUEsFBgAAAAAGAAYAWQEAAF4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43"/>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4"/>
                      <w:ind w:firstLine="392"/>
                      <w:jc w:val="right"/>
                    </w:pPr>
                    <w:r>
                      <w:fldChar w:fldCharType="begin"/>
                    </w:r>
                    <w:r>
                      <w:rPr>
                        <w:rStyle w:val="43"/>
                      </w:rPr>
                      <w:instrText xml:space="preserve">PAGE  </w:instrText>
                    </w:r>
                    <w:r>
                      <w:fldChar w:fldCharType="separate"/>
                    </w:r>
                    <w:r>
                      <w:rPr>
                        <w:rStyle w:val="43"/>
                      </w:rP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A3rcwBAACoAwAADgAAAGRycy9lMm9Eb2MueG1srVNNrtMwEN4jcQfL&#10;e5q0Qq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puYvObPC0INfvn+7/Ph1+fmVLbM+&#10;vceKyh48FcbhjRtoa5JuKY4UTLSHNpj0JUKM8qTu+aouDJHJdGm9Wq9LSknKzQ7hFLfrPmB8C86w&#10;ZNQ80PNlVcXpPcaxdC5J3ay7V1rnJ9T2rwBhjhHIOzDdvk2crDjsh4nG3jVnYtfTHtTc0tpzpt9Z&#10;kjmtzGyE2djPxtEHdeho0GWeEv3rY6SR8qSpwwhLDJNDD5i5TsuWNuRPP1fdfrD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v4DetzAEAAKgDAAAOAAAAAAAAAAEAIAAAAB4BAABkcnMvZTJv&#10;RG9jLnhtbFBLBQYAAAAABgAGAFkBAABc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751510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osAIJ1QEAAK8DAAAOAAAAAAAAAAEAIAAAAB4B&#10;AABkcnMvZTJvRG9jLnhtbFBLBQYAAAAABgAGAFkBAABlBQAAAAA=&#10;">
              <v:fill on="f" focussize="0,0"/>
              <v:stroke on="f"/>
              <v:imagedata o:title=""/>
              <o:lock v:ext="edit" aspectratio="f"/>
              <v:textbox inset="0mm,0mm,0mm,0mm" style="mso-fit-shape-to-text:t;">
                <w:txbxContent>
                  <w:p>
                    <w:pPr>
                      <w:pStyle w:val="24"/>
                      <w:jc w:val="center"/>
                      <w:rPr>
                        <w:rStyle w:val="43"/>
                      </w:rPr>
                    </w:pPr>
                    <w:r>
                      <w:fldChar w:fldCharType="begin"/>
                    </w:r>
                    <w:r>
                      <w:rPr>
                        <w:rStyle w:val="43"/>
                      </w:rPr>
                      <w:instrText xml:space="preserve">PAGE  </w:instrText>
                    </w:r>
                    <w:r>
                      <w:fldChar w:fldCharType="separate"/>
                    </w:r>
                    <w:r>
                      <w:rPr>
                        <w:rStyle w:val="43"/>
                      </w:rPr>
                      <w:t>49</w:t>
                    </w:r>
                    <w:r>
                      <w:fldChar w:fldCharType="end"/>
                    </w:r>
                  </w:p>
                  <w:p>
                    <w:pPr>
                      <w:pStyle w:val="24"/>
                      <w:ind w:left="-4410" w:leftChars="-2100" w:right="-4439" w:rightChars="-2114"/>
                      <w:rPr>
                        <w:rStyle w:val="4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AB9D"/>
    <w:multiLevelType w:val="multilevel"/>
    <w:tmpl w:val="930FAB9D"/>
    <w:lvl w:ilvl="0" w:tentative="0">
      <w:start w:val="1"/>
      <w:numFmt w:val="decimal"/>
      <w:suff w:val="nothing"/>
      <w:lvlText w:val="（%1）"/>
      <w:lvlJc w:val="left"/>
      <w:pPr>
        <w:tabs>
          <w:tab w:val="left" w:pos="420"/>
        </w:tabs>
        <w:ind w:left="1080" w:hanging="720"/>
      </w:pPr>
      <w:rPr>
        <w:rFonts w:hint="default" w:ascii="Times New Roman" w:hAnsi="Times New Roman" w:cs="Times New Roman"/>
        <w:color w:val="000000"/>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1">
    <w:nsid w:val="00000001"/>
    <w:multiLevelType w:val="multilevel"/>
    <w:tmpl w:val="00000001"/>
    <w:lvl w:ilvl="0" w:tentative="0">
      <w:start w:val="1"/>
      <w:numFmt w:val="chineseCountingThousand"/>
      <w:pStyle w:val="12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00000002"/>
    <w:multiLevelType w:val="multilevel"/>
    <w:tmpl w:val="00000002"/>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64916458"/>
    <w:multiLevelType w:val="multilevel"/>
    <w:tmpl w:val="64916458"/>
    <w:lvl w:ilvl="0" w:tentative="0">
      <w:start w:val="1"/>
      <w:numFmt w:val="decimal"/>
      <w:suff w:val="nothing"/>
      <w:lvlText w:val="%1、"/>
      <w:lvlJc w:val="left"/>
      <w:pPr>
        <w:tabs>
          <w:tab w:val="left" w:pos="420"/>
        </w:tabs>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removePersonalInformation/>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doNotShadeFormData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MzYxZGY3ZWY0NTMwZTJiNDdhMGZlOTEyMDY5ZmQifQ=="/>
  </w:docVars>
  <w:rsids>
    <w:rsidRoot w:val="00172A27"/>
    <w:rsid w:val="00001142"/>
    <w:rsid w:val="000028A7"/>
    <w:rsid w:val="000056DB"/>
    <w:rsid w:val="000062B0"/>
    <w:rsid w:val="00006567"/>
    <w:rsid w:val="00006CFA"/>
    <w:rsid w:val="00006E37"/>
    <w:rsid w:val="000071DE"/>
    <w:rsid w:val="000076B6"/>
    <w:rsid w:val="00007959"/>
    <w:rsid w:val="0001017B"/>
    <w:rsid w:val="00010694"/>
    <w:rsid w:val="0001079E"/>
    <w:rsid w:val="000123EF"/>
    <w:rsid w:val="00013CBE"/>
    <w:rsid w:val="00013E8E"/>
    <w:rsid w:val="0001563A"/>
    <w:rsid w:val="00017C6E"/>
    <w:rsid w:val="00020651"/>
    <w:rsid w:val="000218C3"/>
    <w:rsid w:val="00021949"/>
    <w:rsid w:val="00021973"/>
    <w:rsid w:val="00022BE9"/>
    <w:rsid w:val="00023436"/>
    <w:rsid w:val="00024A89"/>
    <w:rsid w:val="00025B94"/>
    <w:rsid w:val="00026B85"/>
    <w:rsid w:val="00026E1B"/>
    <w:rsid w:val="00027067"/>
    <w:rsid w:val="0003068E"/>
    <w:rsid w:val="000309D6"/>
    <w:rsid w:val="00031305"/>
    <w:rsid w:val="00031440"/>
    <w:rsid w:val="000349EA"/>
    <w:rsid w:val="00034CDF"/>
    <w:rsid w:val="00036E3E"/>
    <w:rsid w:val="000377B6"/>
    <w:rsid w:val="00037D98"/>
    <w:rsid w:val="00040158"/>
    <w:rsid w:val="00040477"/>
    <w:rsid w:val="00042AF5"/>
    <w:rsid w:val="00042FB9"/>
    <w:rsid w:val="00046EE3"/>
    <w:rsid w:val="00047019"/>
    <w:rsid w:val="00047527"/>
    <w:rsid w:val="00052FED"/>
    <w:rsid w:val="00054B43"/>
    <w:rsid w:val="00055237"/>
    <w:rsid w:val="00055DF7"/>
    <w:rsid w:val="00057533"/>
    <w:rsid w:val="00057EBA"/>
    <w:rsid w:val="00060122"/>
    <w:rsid w:val="0006031F"/>
    <w:rsid w:val="00061D32"/>
    <w:rsid w:val="00062D16"/>
    <w:rsid w:val="00064014"/>
    <w:rsid w:val="00064AA9"/>
    <w:rsid w:val="000652EC"/>
    <w:rsid w:val="000664FF"/>
    <w:rsid w:val="00066946"/>
    <w:rsid w:val="000746D4"/>
    <w:rsid w:val="00081FBE"/>
    <w:rsid w:val="00082916"/>
    <w:rsid w:val="00083326"/>
    <w:rsid w:val="000848FA"/>
    <w:rsid w:val="00084917"/>
    <w:rsid w:val="00084A50"/>
    <w:rsid w:val="00084BB7"/>
    <w:rsid w:val="00085A98"/>
    <w:rsid w:val="00085C9A"/>
    <w:rsid w:val="00086134"/>
    <w:rsid w:val="0008672C"/>
    <w:rsid w:val="00086BB0"/>
    <w:rsid w:val="00086DBD"/>
    <w:rsid w:val="00086FA7"/>
    <w:rsid w:val="000908B5"/>
    <w:rsid w:val="000924F6"/>
    <w:rsid w:val="000938D2"/>
    <w:rsid w:val="00094C33"/>
    <w:rsid w:val="000959CA"/>
    <w:rsid w:val="00096449"/>
    <w:rsid w:val="00096877"/>
    <w:rsid w:val="000968DC"/>
    <w:rsid w:val="00097DEE"/>
    <w:rsid w:val="000A024E"/>
    <w:rsid w:val="000A0AAD"/>
    <w:rsid w:val="000A0BFC"/>
    <w:rsid w:val="000A16B9"/>
    <w:rsid w:val="000A232F"/>
    <w:rsid w:val="000A348A"/>
    <w:rsid w:val="000A4116"/>
    <w:rsid w:val="000B025B"/>
    <w:rsid w:val="000B0601"/>
    <w:rsid w:val="000B0CE2"/>
    <w:rsid w:val="000B1BC3"/>
    <w:rsid w:val="000B3946"/>
    <w:rsid w:val="000B56D5"/>
    <w:rsid w:val="000B6597"/>
    <w:rsid w:val="000B70A2"/>
    <w:rsid w:val="000B743E"/>
    <w:rsid w:val="000B777B"/>
    <w:rsid w:val="000C02D0"/>
    <w:rsid w:val="000C040D"/>
    <w:rsid w:val="000C0E14"/>
    <w:rsid w:val="000C1B5D"/>
    <w:rsid w:val="000C37C7"/>
    <w:rsid w:val="000C46F0"/>
    <w:rsid w:val="000C5F01"/>
    <w:rsid w:val="000C6DFE"/>
    <w:rsid w:val="000D07D5"/>
    <w:rsid w:val="000D115A"/>
    <w:rsid w:val="000D2420"/>
    <w:rsid w:val="000D3661"/>
    <w:rsid w:val="000D38F9"/>
    <w:rsid w:val="000D4432"/>
    <w:rsid w:val="000D4C25"/>
    <w:rsid w:val="000E21B6"/>
    <w:rsid w:val="000E3E56"/>
    <w:rsid w:val="000E570B"/>
    <w:rsid w:val="000E6C9B"/>
    <w:rsid w:val="000E6EC4"/>
    <w:rsid w:val="000F2019"/>
    <w:rsid w:val="000F211E"/>
    <w:rsid w:val="000F2798"/>
    <w:rsid w:val="000F59DA"/>
    <w:rsid w:val="000F7FB9"/>
    <w:rsid w:val="001002F6"/>
    <w:rsid w:val="001004E9"/>
    <w:rsid w:val="001008F7"/>
    <w:rsid w:val="00100E22"/>
    <w:rsid w:val="001011EB"/>
    <w:rsid w:val="001032F1"/>
    <w:rsid w:val="00103962"/>
    <w:rsid w:val="00104001"/>
    <w:rsid w:val="00104752"/>
    <w:rsid w:val="0010554E"/>
    <w:rsid w:val="001060A2"/>
    <w:rsid w:val="001061E7"/>
    <w:rsid w:val="001067F1"/>
    <w:rsid w:val="00106C25"/>
    <w:rsid w:val="00110410"/>
    <w:rsid w:val="00110925"/>
    <w:rsid w:val="00110C5A"/>
    <w:rsid w:val="00111AB3"/>
    <w:rsid w:val="00113538"/>
    <w:rsid w:val="00114DC3"/>
    <w:rsid w:val="001153B4"/>
    <w:rsid w:val="00116E92"/>
    <w:rsid w:val="00117447"/>
    <w:rsid w:val="001179AF"/>
    <w:rsid w:val="00120656"/>
    <w:rsid w:val="001211FF"/>
    <w:rsid w:val="00121D27"/>
    <w:rsid w:val="00121F3B"/>
    <w:rsid w:val="00122C2F"/>
    <w:rsid w:val="00123EDB"/>
    <w:rsid w:val="001252B6"/>
    <w:rsid w:val="00126555"/>
    <w:rsid w:val="001267E3"/>
    <w:rsid w:val="00126DF5"/>
    <w:rsid w:val="0013183D"/>
    <w:rsid w:val="00134113"/>
    <w:rsid w:val="001343A5"/>
    <w:rsid w:val="001366DA"/>
    <w:rsid w:val="001368BD"/>
    <w:rsid w:val="0013711F"/>
    <w:rsid w:val="001378C1"/>
    <w:rsid w:val="00140436"/>
    <w:rsid w:val="0014147C"/>
    <w:rsid w:val="001432DA"/>
    <w:rsid w:val="00143A22"/>
    <w:rsid w:val="001451AF"/>
    <w:rsid w:val="001477B2"/>
    <w:rsid w:val="00147843"/>
    <w:rsid w:val="00153D87"/>
    <w:rsid w:val="00153E56"/>
    <w:rsid w:val="00153F37"/>
    <w:rsid w:val="00155E65"/>
    <w:rsid w:val="0015654F"/>
    <w:rsid w:val="0015688A"/>
    <w:rsid w:val="00157474"/>
    <w:rsid w:val="001616FD"/>
    <w:rsid w:val="00163B16"/>
    <w:rsid w:val="00164D68"/>
    <w:rsid w:val="0016705C"/>
    <w:rsid w:val="001716D6"/>
    <w:rsid w:val="00171CE0"/>
    <w:rsid w:val="00171F6E"/>
    <w:rsid w:val="00172A27"/>
    <w:rsid w:val="001749E8"/>
    <w:rsid w:val="0017520F"/>
    <w:rsid w:val="001752B3"/>
    <w:rsid w:val="00176C14"/>
    <w:rsid w:val="00177BA9"/>
    <w:rsid w:val="001812E3"/>
    <w:rsid w:val="00181F49"/>
    <w:rsid w:val="001834EC"/>
    <w:rsid w:val="00183579"/>
    <w:rsid w:val="00183AC3"/>
    <w:rsid w:val="00184068"/>
    <w:rsid w:val="00184DE6"/>
    <w:rsid w:val="00185429"/>
    <w:rsid w:val="001857C5"/>
    <w:rsid w:val="00185C38"/>
    <w:rsid w:val="00186997"/>
    <w:rsid w:val="00190E8E"/>
    <w:rsid w:val="00191319"/>
    <w:rsid w:val="0019149A"/>
    <w:rsid w:val="00191F9F"/>
    <w:rsid w:val="0019439F"/>
    <w:rsid w:val="001948F5"/>
    <w:rsid w:val="00194B60"/>
    <w:rsid w:val="00194CE6"/>
    <w:rsid w:val="001951E6"/>
    <w:rsid w:val="00195608"/>
    <w:rsid w:val="001967D0"/>
    <w:rsid w:val="001975E0"/>
    <w:rsid w:val="00197E17"/>
    <w:rsid w:val="001A0C18"/>
    <w:rsid w:val="001A21EC"/>
    <w:rsid w:val="001A38FB"/>
    <w:rsid w:val="001A46A7"/>
    <w:rsid w:val="001A5B87"/>
    <w:rsid w:val="001A607A"/>
    <w:rsid w:val="001A664D"/>
    <w:rsid w:val="001A66B3"/>
    <w:rsid w:val="001A78DB"/>
    <w:rsid w:val="001B0554"/>
    <w:rsid w:val="001B09C3"/>
    <w:rsid w:val="001B11AF"/>
    <w:rsid w:val="001B14E8"/>
    <w:rsid w:val="001B1AD5"/>
    <w:rsid w:val="001B4BAF"/>
    <w:rsid w:val="001B4C98"/>
    <w:rsid w:val="001B5415"/>
    <w:rsid w:val="001B58CA"/>
    <w:rsid w:val="001B5C89"/>
    <w:rsid w:val="001B5EFE"/>
    <w:rsid w:val="001B6D36"/>
    <w:rsid w:val="001B7323"/>
    <w:rsid w:val="001C0E7E"/>
    <w:rsid w:val="001C187D"/>
    <w:rsid w:val="001C6170"/>
    <w:rsid w:val="001C655D"/>
    <w:rsid w:val="001D07E4"/>
    <w:rsid w:val="001D2385"/>
    <w:rsid w:val="001D2E25"/>
    <w:rsid w:val="001D37F9"/>
    <w:rsid w:val="001D4ABE"/>
    <w:rsid w:val="001D6FE8"/>
    <w:rsid w:val="001D7BB0"/>
    <w:rsid w:val="001E0C77"/>
    <w:rsid w:val="001E12E0"/>
    <w:rsid w:val="001E14E6"/>
    <w:rsid w:val="001E2209"/>
    <w:rsid w:val="001E2776"/>
    <w:rsid w:val="001E4D99"/>
    <w:rsid w:val="001E5A2C"/>
    <w:rsid w:val="001E5DB3"/>
    <w:rsid w:val="001E6ABB"/>
    <w:rsid w:val="001F078F"/>
    <w:rsid w:val="001F26A4"/>
    <w:rsid w:val="001F3AA2"/>
    <w:rsid w:val="001F465F"/>
    <w:rsid w:val="001F4E79"/>
    <w:rsid w:val="001F5417"/>
    <w:rsid w:val="001F607E"/>
    <w:rsid w:val="001F6978"/>
    <w:rsid w:val="001F7503"/>
    <w:rsid w:val="00203152"/>
    <w:rsid w:val="002048F4"/>
    <w:rsid w:val="0020625D"/>
    <w:rsid w:val="00210A6E"/>
    <w:rsid w:val="002113F5"/>
    <w:rsid w:val="0021566D"/>
    <w:rsid w:val="002162EE"/>
    <w:rsid w:val="00216750"/>
    <w:rsid w:val="00220823"/>
    <w:rsid w:val="00222881"/>
    <w:rsid w:val="00222BC0"/>
    <w:rsid w:val="00222C01"/>
    <w:rsid w:val="0022318D"/>
    <w:rsid w:val="00223629"/>
    <w:rsid w:val="002240B1"/>
    <w:rsid w:val="002252A2"/>
    <w:rsid w:val="00225521"/>
    <w:rsid w:val="002258EB"/>
    <w:rsid w:val="002267B7"/>
    <w:rsid w:val="00230B55"/>
    <w:rsid w:val="00230DFB"/>
    <w:rsid w:val="00231330"/>
    <w:rsid w:val="00232AF9"/>
    <w:rsid w:val="00233D99"/>
    <w:rsid w:val="00234D33"/>
    <w:rsid w:val="002365DE"/>
    <w:rsid w:val="0023710A"/>
    <w:rsid w:val="00237910"/>
    <w:rsid w:val="00237997"/>
    <w:rsid w:val="00237CBA"/>
    <w:rsid w:val="00237DF7"/>
    <w:rsid w:val="002405AE"/>
    <w:rsid w:val="00241080"/>
    <w:rsid w:val="00241D0E"/>
    <w:rsid w:val="00246A6D"/>
    <w:rsid w:val="002503A5"/>
    <w:rsid w:val="0025160E"/>
    <w:rsid w:val="00251DC3"/>
    <w:rsid w:val="00251FEF"/>
    <w:rsid w:val="00255F97"/>
    <w:rsid w:val="0025686D"/>
    <w:rsid w:val="002579CE"/>
    <w:rsid w:val="002600EF"/>
    <w:rsid w:val="00261630"/>
    <w:rsid w:val="00262116"/>
    <w:rsid w:val="00262406"/>
    <w:rsid w:val="0026280C"/>
    <w:rsid w:val="0026357B"/>
    <w:rsid w:val="002635CB"/>
    <w:rsid w:val="00265160"/>
    <w:rsid w:val="002654A5"/>
    <w:rsid w:val="00265C2A"/>
    <w:rsid w:val="00266188"/>
    <w:rsid w:val="00266ADF"/>
    <w:rsid w:val="00266B0A"/>
    <w:rsid w:val="00266F73"/>
    <w:rsid w:val="00267562"/>
    <w:rsid w:val="00270E63"/>
    <w:rsid w:val="00271F95"/>
    <w:rsid w:val="00272CF5"/>
    <w:rsid w:val="002736FF"/>
    <w:rsid w:val="002745F4"/>
    <w:rsid w:val="00275A36"/>
    <w:rsid w:val="00277D07"/>
    <w:rsid w:val="002801C7"/>
    <w:rsid w:val="00280B69"/>
    <w:rsid w:val="00282DE9"/>
    <w:rsid w:val="00283773"/>
    <w:rsid w:val="0028411D"/>
    <w:rsid w:val="00286B2A"/>
    <w:rsid w:val="0028736C"/>
    <w:rsid w:val="0029146A"/>
    <w:rsid w:val="002919EF"/>
    <w:rsid w:val="00291C73"/>
    <w:rsid w:val="0029200E"/>
    <w:rsid w:val="00292554"/>
    <w:rsid w:val="002935A8"/>
    <w:rsid w:val="00293BAA"/>
    <w:rsid w:val="00295ABC"/>
    <w:rsid w:val="002A12D4"/>
    <w:rsid w:val="002A2212"/>
    <w:rsid w:val="002A26CC"/>
    <w:rsid w:val="002A290A"/>
    <w:rsid w:val="002A2F45"/>
    <w:rsid w:val="002A3EC8"/>
    <w:rsid w:val="002A507C"/>
    <w:rsid w:val="002A5204"/>
    <w:rsid w:val="002A52F3"/>
    <w:rsid w:val="002A5375"/>
    <w:rsid w:val="002A63B6"/>
    <w:rsid w:val="002A66D1"/>
    <w:rsid w:val="002A7098"/>
    <w:rsid w:val="002A7DC3"/>
    <w:rsid w:val="002A7FFB"/>
    <w:rsid w:val="002B0532"/>
    <w:rsid w:val="002B13CF"/>
    <w:rsid w:val="002B1ED0"/>
    <w:rsid w:val="002B2873"/>
    <w:rsid w:val="002B3A9F"/>
    <w:rsid w:val="002B444F"/>
    <w:rsid w:val="002B4977"/>
    <w:rsid w:val="002B578D"/>
    <w:rsid w:val="002B582C"/>
    <w:rsid w:val="002B7146"/>
    <w:rsid w:val="002C1122"/>
    <w:rsid w:val="002C1172"/>
    <w:rsid w:val="002C21BA"/>
    <w:rsid w:val="002C26BF"/>
    <w:rsid w:val="002C50EF"/>
    <w:rsid w:val="002C5ECB"/>
    <w:rsid w:val="002D0177"/>
    <w:rsid w:val="002D121C"/>
    <w:rsid w:val="002D26B0"/>
    <w:rsid w:val="002D2B52"/>
    <w:rsid w:val="002D2E34"/>
    <w:rsid w:val="002D3296"/>
    <w:rsid w:val="002D4376"/>
    <w:rsid w:val="002D5260"/>
    <w:rsid w:val="002D6E17"/>
    <w:rsid w:val="002D71BB"/>
    <w:rsid w:val="002E07E4"/>
    <w:rsid w:val="002E1CE4"/>
    <w:rsid w:val="002E1D05"/>
    <w:rsid w:val="002E3C01"/>
    <w:rsid w:val="002E44F4"/>
    <w:rsid w:val="002E48A6"/>
    <w:rsid w:val="002E48B3"/>
    <w:rsid w:val="002E55DE"/>
    <w:rsid w:val="002E5AE8"/>
    <w:rsid w:val="002E6479"/>
    <w:rsid w:val="002E6BC2"/>
    <w:rsid w:val="002E7FBA"/>
    <w:rsid w:val="002F0161"/>
    <w:rsid w:val="002F01A6"/>
    <w:rsid w:val="002F0C8E"/>
    <w:rsid w:val="002F10B1"/>
    <w:rsid w:val="002F1D76"/>
    <w:rsid w:val="002F330D"/>
    <w:rsid w:val="002F4BC2"/>
    <w:rsid w:val="002F5A04"/>
    <w:rsid w:val="0030197D"/>
    <w:rsid w:val="00302392"/>
    <w:rsid w:val="003044FA"/>
    <w:rsid w:val="00305911"/>
    <w:rsid w:val="00305DDC"/>
    <w:rsid w:val="003066B7"/>
    <w:rsid w:val="00307641"/>
    <w:rsid w:val="00307E3D"/>
    <w:rsid w:val="003115D8"/>
    <w:rsid w:val="00312176"/>
    <w:rsid w:val="00313A9D"/>
    <w:rsid w:val="00313B74"/>
    <w:rsid w:val="00314909"/>
    <w:rsid w:val="00317A3E"/>
    <w:rsid w:val="003219B6"/>
    <w:rsid w:val="00321A6D"/>
    <w:rsid w:val="00321C85"/>
    <w:rsid w:val="00321DAC"/>
    <w:rsid w:val="0032282C"/>
    <w:rsid w:val="00323EC7"/>
    <w:rsid w:val="00324160"/>
    <w:rsid w:val="003247B7"/>
    <w:rsid w:val="00325687"/>
    <w:rsid w:val="00325E9B"/>
    <w:rsid w:val="003266AD"/>
    <w:rsid w:val="00327338"/>
    <w:rsid w:val="00327776"/>
    <w:rsid w:val="00327E1F"/>
    <w:rsid w:val="00330FFC"/>
    <w:rsid w:val="0033141A"/>
    <w:rsid w:val="00331D48"/>
    <w:rsid w:val="00331DAC"/>
    <w:rsid w:val="003325BA"/>
    <w:rsid w:val="003342C9"/>
    <w:rsid w:val="00334376"/>
    <w:rsid w:val="0033545B"/>
    <w:rsid w:val="00335463"/>
    <w:rsid w:val="00340232"/>
    <w:rsid w:val="003418E5"/>
    <w:rsid w:val="00343120"/>
    <w:rsid w:val="00345278"/>
    <w:rsid w:val="003455A2"/>
    <w:rsid w:val="00346718"/>
    <w:rsid w:val="003508A9"/>
    <w:rsid w:val="00350AF3"/>
    <w:rsid w:val="003529CE"/>
    <w:rsid w:val="00353BD6"/>
    <w:rsid w:val="003541FA"/>
    <w:rsid w:val="00354B3A"/>
    <w:rsid w:val="00354F3E"/>
    <w:rsid w:val="003566C8"/>
    <w:rsid w:val="00356B2D"/>
    <w:rsid w:val="00356E17"/>
    <w:rsid w:val="003579C5"/>
    <w:rsid w:val="00360E35"/>
    <w:rsid w:val="00361034"/>
    <w:rsid w:val="00362089"/>
    <w:rsid w:val="00363839"/>
    <w:rsid w:val="00364D27"/>
    <w:rsid w:val="0036574C"/>
    <w:rsid w:val="003659A4"/>
    <w:rsid w:val="00366E3F"/>
    <w:rsid w:val="00367315"/>
    <w:rsid w:val="003714B5"/>
    <w:rsid w:val="0037160B"/>
    <w:rsid w:val="00372CE3"/>
    <w:rsid w:val="0037319D"/>
    <w:rsid w:val="00374698"/>
    <w:rsid w:val="00374A14"/>
    <w:rsid w:val="003754B2"/>
    <w:rsid w:val="00375558"/>
    <w:rsid w:val="00375952"/>
    <w:rsid w:val="0037744F"/>
    <w:rsid w:val="003775CF"/>
    <w:rsid w:val="00381B36"/>
    <w:rsid w:val="00382651"/>
    <w:rsid w:val="00384A07"/>
    <w:rsid w:val="00384F4A"/>
    <w:rsid w:val="00385F9E"/>
    <w:rsid w:val="00386701"/>
    <w:rsid w:val="00387EA0"/>
    <w:rsid w:val="003909FF"/>
    <w:rsid w:val="00390A2B"/>
    <w:rsid w:val="00391508"/>
    <w:rsid w:val="003932D1"/>
    <w:rsid w:val="003932D7"/>
    <w:rsid w:val="003943F3"/>
    <w:rsid w:val="0039553A"/>
    <w:rsid w:val="00395829"/>
    <w:rsid w:val="00396221"/>
    <w:rsid w:val="003963E9"/>
    <w:rsid w:val="003972E4"/>
    <w:rsid w:val="00397904"/>
    <w:rsid w:val="00397A19"/>
    <w:rsid w:val="003A1D59"/>
    <w:rsid w:val="003A2109"/>
    <w:rsid w:val="003A2FDB"/>
    <w:rsid w:val="003A32E6"/>
    <w:rsid w:val="003A4800"/>
    <w:rsid w:val="003A7A87"/>
    <w:rsid w:val="003A7D8A"/>
    <w:rsid w:val="003B0072"/>
    <w:rsid w:val="003B0BEA"/>
    <w:rsid w:val="003B14E5"/>
    <w:rsid w:val="003B3D7F"/>
    <w:rsid w:val="003B4D47"/>
    <w:rsid w:val="003B59EB"/>
    <w:rsid w:val="003B5C00"/>
    <w:rsid w:val="003B651F"/>
    <w:rsid w:val="003B6CC2"/>
    <w:rsid w:val="003C201C"/>
    <w:rsid w:val="003C3418"/>
    <w:rsid w:val="003C3881"/>
    <w:rsid w:val="003C39B9"/>
    <w:rsid w:val="003C3F7E"/>
    <w:rsid w:val="003C42C3"/>
    <w:rsid w:val="003C520C"/>
    <w:rsid w:val="003D0D05"/>
    <w:rsid w:val="003D1378"/>
    <w:rsid w:val="003D2367"/>
    <w:rsid w:val="003D3C74"/>
    <w:rsid w:val="003D4A1E"/>
    <w:rsid w:val="003D4B4C"/>
    <w:rsid w:val="003D7345"/>
    <w:rsid w:val="003D7D9E"/>
    <w:rsid w:val="003E1A6E"/>
    <w:rsid w:val="003E2FEE"/>
    <w:rsid w:val="003E55A6"/>
    <w:rsid w:val="003E602F"/>
    <w:rsid w:val="003E629B"/>
    <w:rsid w:val="003E64B1"/>
    <w:rsid w:val="003E72CB"/>
    <w:rsid w:val="003E7B4B"/>
    <w:rsid w:val="003E7EAF"/>
    <w:rsid w:val="003F11D2"/>
    <w:rsid w:val="003F1FDA"/>
    <w:rsid w:val="003F2387"/>
    <w:rsid w:val="003F4509"/>
    <w:rsid w:val="003F4A44"/>
    <w:rsid w:val="003F5BE5"/>
    <w:rsid w:val="003F661D"/>
    <w:rsid w:val="003F6624"/>
    <w:rsid w:val="003F73B8"/>
    <w:rsid w:val="003F7A56"/>
    <w:rsid w:val="004008F4"/>
    <w:rsid w:val="00404D9F"/>
    <w:rsid w:val="004054E1"/>
    <w:rsid w:val="00405BAF"/>
    <w:rsid w:val="00405C7B"/>
    <w:rsid w:val="004060C2"/>
    <w:rsid w:val="00406611"/>
    <w:rsid w:val="00407CD7"/>
    <w:rsid w:val="00407F09"/>
    <w:rsid w:val="0041159C"/>
    <w:rsid w:val="004126E3"/>
    <w:rsid w:val="0041369F"/>
    <w:rsid w:val="00413742"/>
    <w:rsid w:val="00413BEF"/>
    <w:rsid w:val="0041543F"/>
    <w:rsid w:val="00417B43"/>
    <w:rsid w:val="00417CBB"/>
    <w:rsid w:val="00423DC4"/>
    <w:rsid w:val="00424162"/>
    <w:rsid w:val="0042503D"/>
    <w:rsid w:val="004254CB"/>
    <w:rsid w:val="00430358"/>
    <w:rsid w:val="00431898"/>
    <w:rsid w:val="00431F90"/>
    <w:rsid w:val="004335B9"/>
    <w:rsid w:val="0043434B"/>
    <w:rsid w:val="00435328"/>
    <w:rsid w:val="004357E9"/>
    <w:rsid w:val="004413CC"/>
    <w:rsid w:val="00441B21"/>
    <w:rsid w:val="0044239D"/>
    <w:rsid w:val="00444059"/>
    <w:rsid w:val="00444AC5"/>
    <w:rsid w:val="00445AA7"/>
    <w:rsid w:val="0044617C"/>
    <w:rsid w:val="0044664D"/>
    <w:rsid w:val="00447B93"/>
    <w:rsid w:val="00447CD4"/>
    <w:rsid w:val="00450908"/>
    <w:rsid w:val="0045183E"/>
    <w:rsid w:val="004524E1"/>
    <w:rsid w:val="00453AAD"/>
    <w:rsid w:val="00454AF1"/>
    <w:rsid w:val="00456C08"/>
    <w:rsid w:val="00457242"/>
    <w:rsid w:val="00460BE1"/>
    <w:rsid w:val="00460F94"/>
    <w:rsid w:val="00461904"/>
    <w:rsid w:val="004628E4"/>
    <w:rsid w:val="00463DEB"/>
    <w:rsid w:val="00464515"/>
    <w:rsid w:val="00464F47"/>
    <w:rsid w:val="00465AA4"/>
    <w:rsid w:val="00467520"/>
    <w:rsid w:val="004675B9"/>
    <w:rsid w:val="00467C0C"/>
    <w:rsid w:val="004712EF"/>
    <w:rsid w:val="00471502"/>
    <w:rsid w:val="004720B5"/>
    <w:rsid w:val="004724DE"/>
    <w:rsid w:val="0047273E"/>
    <w:rsid w:val="004729B2"/>
    <w:rsid w:val="004740A8"/>
    <w:rsid w:val="0047446E"/>
    <w:rsid w:val="00477173"/>
    <w:rsid w:val="00481002"/>
    <w:rsid w:val="0048241B"/>
    <w:rsid w:val="00482423"/>
    <w:rsid w:val="004837DF"/>
    <w:rsid w:val="004838EF"/>
    <w:rsid w:val="0048446C"/>
    <w:rsid w:val="00484B14"/>
    <w:rsid w:val="00485CC7"/>
    <w:rsid w:val="0048639A"/>
    <w:rsid w:val="00486E16"/>
    <w:rsid w:val="004903FB"/>
    <w:rsid w:val="004906A7"/>
    <w:rsid w:val="0049147D"/>
    <w:rsid w:val="00491592"/>
    <w:rsid w:val="00491AD4"/>
    <w:rsid w:val="00491D6E"/>
    <w:rsid w:val="00492249"/>
    <w:rsid w:val="004945B5"/>
    <w:rsid w:val="00494EE8"/>
    <w:rsid w:val="00495348"/>
    <w:rsid w:val="00495819"/>
    <w:rsid w:val="00495891"/>
    <w:rsid w:val="004968CC"/>
    <w:rsid w:val="004A0016"/>
    <w:rsid w:val="004A3860"/>
    <w:rsid w:val="004A45E7"/>
    <w:rsid w:val="004A5B86"/>
    <w:rsid w:val="004A6678"/>
    <w:rsid w:val="004B0B25"/>
    <w:rsid w:val="004B0CFE"/>
    <w:rsid w:val="004B1211"/>
    <w:rsid w:val="004B2536"/>
    <w:rsid w:val="004B2EE5"/>
    <w:rsid w:val="004B2F9F"/>
    <w:rsid w:val="004B457F"/>
    <w:rsid w:val="004B57CC"/>
    <w:rsid w:val="004B5FB4"/>
    <w:rsid w:val="004C1A1B"/>
    <w:rsid w:val="004C1F50"/>
    <w:rsid w:val="004C2BEE"/>
    <w:rsid w:val="004C35D6"/>
    <w:rsid w:val="004C7F5D"/>
    <w:rsid w:val="004D0744"/>
    <w:rsid w:val="004D09D6"/>
    <w:rsid w:val="004D0F22"/>
    <w:rsid w:val="004D1DC6"/>
    <w:rsid w:val="004D23A5"/>
    <w:rsid w:val="004D25E6"/>
    <w:rsid w:val="004D28AD"/>
    <w:rsid w:val="004D45AD"/>
    <w:rsid w:val="004D5029"/>
    <w:rsid w:val="004D6505"/>
    <w:rsid w:val="004E07C6"/>
    <w:rsid w:val="004E2007"/>
    <w:rsid w:val="004E2A7B"/>
    <w:rsid w:val="004E36C6"/>
    <w:rsid w:val="004E4A0E"/>
    <w:rsid w:val="004E4F51"/>
    <w:rsid w:val="004E63D9"/>
    <w:rsid w:val="004F0577"/>
    <w:rsid w:val="004F1630"/>
    <w:rsid w:val="004F255E"/>
    <w:rsid w:val="004F39D1"/>
    <w:rsid w:val="004F3C72"/>
    <w:rsid w:val="004F618A"/>
    <w:rsid w:val="004F6E1A"/>
    <w:rsid w:val="004F7C1A"/>
    <w:rsid w:val="0050066F"/>
    <w:rsid w:val="00501F69"/>
    <w:rsid w:val="005028D7"/>
    <w:rsid w:val="00503247"/>
    <w:rsid w:val="00503499"/>
    <w:rsid w:val="00503E65"/>
    <w:rsid w:val="00504906"/>
    <w:rsid w:val="00504E18"/>
    <w:rsid w:val="00505662"/>
    <w:rsid w:val="005061A9"/>
    <w:rsid w:val="00510305"/>
    <w:rsid w:val="00510C70"/>
    <w:rsid w:val="00511673"/>
    <w:rsid w:val="0051262A"/>
    <w:rsid w:val="0051271B"/>
    <w:rsid w:val="00513E52"/>
    <w:rsid w:val="0051474C"/>
    <w:rsid w:val="0051593A"/>
    <w:rsid w:val="00515F75"/>
    <w:rsid w:val="005213B9"/>
    <w:rsid w:val="0052253C"/>
    <w:rsid w:val="00531A40"/>
    <w:rsid w:val="00532173"/>
    <w:rsid w:val="00532B17"/>
    <w:rsid w:val="005340BD"/>
    <w:rsid w:val="00535B74"/>
    <w:rsid w:val="00536198"/>
    <w:rsid w:val="00536441"/>
    <w:rsid w:val="0053765E"/>
    <w:rsid w:val="00537F21"/>
    <w:rsid w:val="00540B6E"/>
    <w:rsid w:val="00540C73"/>
    <w:rsid w:val="0054155F"/>
    <w:rsid w:val="005415C7"/>
    <w:rsid w:val="00542AFC"/>
    <w:rsid w:val="00544886"/>
    <w:rsid w:val="005451B1"/>
    <w:rsid w:val="00546EAD"/>
    <w:rsid w:val="005478C6"/>
    <w:rsid w:val="00551F48"/>
    <w:rsid w:val="0055204C"/>
    <w:rsid w:val="005563FA"/>
    <w:rsid w:val="00556F39"/>
    <w:rsid w:val="00557FF3"/>
    <w:rsid w:val="0056039C"/>
    <w:rsid w:val="0056041F"/>
    <w:rsid w:val="00562F13"/>
    <w:rsid w:val="00563C6E"/>
    <w:rsid w:val="00564D4F"/>
    <w:rsid w:val="00564FFA"/>
    <w:rsid w:val="00567855"/>
    <w:rsid w:val="00571C61"/>
    <w:rsid w:val="005731BB"/>
    <w:rsid w:val="00573B4B"/>
    <w:rsid w:val="005740BA"/>
    <w:rsid w:val="00575EDC"/>
    <w:rsid w:val="00577A7C"/>
    <w:rsid w:val="00577B0A"/>
    <w:rsid w:val="00580611"/>
    <w:rsid w:val="00580F8E"/>
    <w:rsid w:val="005816FF"/>
    <w:rsid w:val="00581DEE"/>
    <w:rsid w:val="0058277C"/>
    <w:rsid w:val="0058374C"/>
    <w:rsid w:val="005837E2"/>
    <w:rsid w:val="005855F8"/>
    <w:rsid w:val="0058676E"/>
    <w:rsid w:val="0058691B"/>
    <w:rsid w:val="00586AE0"/>
    <w:rsid w:val="005877C5"/>
    <w:rsid w:val="00592F96"/>
    <w:rsid w:val="005930FD"/>
    <w:rsid w:val="0059452E"/>
    <w:rsid w:val="00594A37"/>
    <w:rsid w:val="005A0B4D"/>
    <w:rsid w:val="005A0F10"/>
    <w:rsid w:val="005A29AC"/>
    <w:rsid w:val="005A2C5E"/>
    <w:rsid w:val="005A3033"/>
    <w:rsid w:val="005A3766"/>
    <w:rsid w:val="005A3AF9"/>
    <w:rsid w:val="005A3B6C"/>
    <w:rsid w:val="005A4CBE"/>
    <w:rsid w:val="005A6314"/>
    <w:rsid w:val="005A7902"/>
    <w:rsid w:val="005B13EB"/>
    <w:rsid w:val="005B2909"/>
    <w:rsid w:val="005B35C2"/>
    <w:rsid w:val="005B41D3"/>
    <w:rsid w:val="005B683A"/>
    <w:rsid w:val="005B75D7"/>
    <w:rsid w:val="005C1119"/>
    <w:rsid w:val="005C1B07"/>
    <w:rsid w:val="005C3471"/>
    <w:rsid w:val="005C3904"/>
    <w:rsid w:val="005C3A8D"/>
    <w:rsid w:val="005C4B14"/>
    <w:rsid w:val="005C512F"/>
    <w:rsid w:val="005C5904"/>
    <w:rsid w:val="005C6AFF"/>
    <w:rsid w:val="005C6B69"/>
    <w:rsid w:val="005D1F86"/>
    <w:rsid w:val="005D2909"/>
    <w:rsid w:val="005D401B"/>
    <w:rsid w:val="005D4EEB"/>
    <w:rsid w:val="005D694E"/>
    <w:rsid w:val="005E0203"/>
    <w:rsid w:val="005E1CAA"/>
    <w:rsid w:val="005E214D"/>
    <w:rsid w:val="005E2F34"/>
    <w:rsid w:val="005E47CC"/>
    <w:rsid w:val="005E54D5"/>
    <w:rsid w:val="005E5730"/>
    <w:rsid w:val="005E5D1F"/>
    <w:rsid w:val="005E67E2"/>
    <w:rsid w:val="005F375B"/>
    <w:rsid w:val="005F4025"/>
    <w:rsid w:val="005F4742"/>
    <w:rsid w:val="005F640D"/>
    <w:rsid w:val="005F6DF0"/>
    <w:rsid w:val="005F7A8B"/>
    <w:rsid w:val="005F7D09"/>
    <w:rsid w:val="00600E33"/>
    <w:rsid w:val="0060156C"/>
    <w:rsid w:val="00602B22"/>
    <w:rsid w:val="0060311B"/>
    <w:rsid w:val="006036EE"/>
    <w:rsid w:val="0060477F"/>
    <w:rsid w:val="00605754"/>
    <w:rsid w:val="00605AF8"/>
    <w:rsid w:val="00606313"/>
    <w:rsid w:val="00607D69"/>
    <w:rsid w:val="00610B54"/>
    <w:rsid w:val="00610C6C"/>
    <w:rsid w:val="00610D78"/>
    <w:rsid w:val="006119D4"/>
    <w:rsid w:val="0061326C"/>
    <w:rsid w:val="0061373B"/>
    <w:rsid w:val="00613934"/>
    <w:rsid w:val="00613B44"/>
    <w:rsid w:val="00615CBC"/>
    <w:rsid w:val="00620C50"/>
    <w:rsid w:val="0062166A"/>
    <w:rsid w:val="006216B7"/>
    <w:rsid w:val="006228CF"/>
    <w:rsid w:val="006229CB"/>
    <w:rsid w:val="006230CB"/>
    <w:rsid w:val="00623AE5"/>
    <w:rsid w:val="00623B00"/>
    <w:rsid w:val="006262E3"/>
    <w:rsid w:val="00627534"/>
    <w:rsid w:val="00627952"/>
    <w:rsid w:val="00630316"/>
    <w:rsid w:val="00631193"/>
    <w:rsid w:val="0063193F"/>
    <w:rsid w:val="00631B42"/>
    <w:rsid w:val="006324B6"/>
    <w:rsid w:val="006325E4"/>
    <w:rsid w:val="006340E8"/>
    <w:rsid w:val="006373E0"/>
    <w:rsid w:val="0064117C"/>
    <w:rsid w:val="00641368"/>
    <w:rsid w:val="00641DAB"/>
    <w:rsid w:val="00642DE7"/>
    <w:rsid w:val="00643206"/>
    <w:rsid w:val="0064364F"/>
    <w:rsid w:val="00644A2C"/>
    <w:rsid w:val="006469B9"/>
    <w:rsid w:val="006476BE"/>
    <w:rsid w:val="006478E7"/>
    <w:rsid w:val="00650C85"/>
    <w:rsid w:val="006512F1"/>
    <w:rsid w:val="00651D10"/>
    <w:rsid w:val="00652F37"/>
    <w:rsid w:val="00655AB1"/>
    <w:rsid w:val="00661546"/>
    <w:rsid w:val="0066197A"/>
    <w:rsid w:val="0066228F"/>
    <w:rsid w:val="00662947"/>
    <w:rsid w:val="00662C14"/>
    <w:rsid w:val="00663E16"/>
    <w:rsid w:val="00664989"/>
    <w:rsid w:val="00666B9E"/>
    <w:rsid w:val="0066759A"/>
    <w:rsid w:val="00667860"/>
    <w:rsid w:val="006700EF"/>
    <w:rsid w:val="00671B1E"/>
    <w:rsid w:val="00673B4D"/>
    <w:rsid w:val="00674994"/>
    <w:rsid w:val="006750A6"/>
    <w:rsid w:val="00680556"/>
    <w:rsid w:val="006807CF"/>
    <w:rsid w:val="00680EC2"/>
    <w:rsid w:val="006820D1"/>
    <w:rsid w:val="00682E48"/>
    <w:rsid w:val="006840E6"/>
    <w:rsid w:val="0068573E"/>
    <w:rsid w:val="0068603E"/>
    <w:rsid w:val="006871A7"/>
    <w:rsid w:val="00687E89"/>
    <w:rsid w:val="00690673"/>
    <w:rsid w:val="00691856"/>
    <w:rsid w:val="00692AE3"/>
    <w:rsid w:val="00693927"/>
    <w:rsid w:val="0069449A"/>
    <w:rsid w:val="0069488C"/>
    <w:rsid w:val="00695BE1"/>
    <w:rsid w:val="006971E9"/>
    <w:rsid w:val="0069730A"/>
    <w:rsid w:val="00697407"/>
    <w:rsid w:val="006A1611"/>
    <w:rsid w:val="006A3644"/>
    <w:rsid w:val="006A3BF2"/>
    <w:rsid w:val="006A481F"/>
    <w:rsid w:val="006A5004"/>
    <w:rsid w:val="006A5452"/>
    <w:rsid w:val="006A69DD"/>
    <w:rsid w:val="006B03EE"/>
    <w:rsid w:val="006B1C6D"/>
    <w:rsid w:val="006B4D70"/>
    <w:rsid w:val="006B4F12"/>
    <w:rsid w:val="006B5C6B"/>
    <w:rsid w:val="006B6B0D"/>
    <w:rsid w:val="006C01B5"/>
    <w:rsid w:val="006C04C1"/>
    <w:rsid w:val="006C1A1E"/>
    <w:rsid w:val="006C1CD7"/>
    <w:rsid w:val="006C1D5E"/>
    <w:rsid w:val="006C256C"/>
    <w:rsid w:val="006C3EAA"/>
    <w:rsid w:val="006C6167"/>
    <w:rsid w:val="006C62E0"/>
    <w:rsid w:val="006C7D74"/>
    <w:rsid w:val="006D1D17"/>
    <w:rsid w:val="006D21E2"/>
    <w:rsid w:val="006D3CE2"/>
    <w:rsid w:val="006D4737"/>
    <w:rsid w:val="006D57F9"/>
    <w:rsid w:val="006D5890"/>
    <w:rsid w:val="006D6A8B"/>
    <w:rsid w:val="006E00E1"/>
    <w:rsid w:val="006E0B41"/>
    <w:rsid w:val="006E1A9D"/>
    <w:rsid w:val="006E275A"/>
    <w:rsid w:val="006E2E3E"/>
    <w:rsid w:val="006E35E4"/>
    <w:rsid w:val="006E3A0B"/>
    <w:rsid w:val="006E3E59"/>
    <w:rsid w:val="006E46C5"/>
    <w:rsid w:val="006E4C4B"/>
    <w:rsid w:val="006E71B7"/>
    <w:rsid w:val="006E7910"/>
    <w:rsid w:val="006E7F66"/>
    <w:rsid w:val="006F17C5"/>
    <w:rsid w:val="006F1822"/>
    <w:rsid w:val="006F7744"/>
    <w:rsid w:val="007012CA"/>
    <w:rsid w:val="00701B86"/>
    <w:rsid w:val="007036E7"/>
    <w:rsid w:val="00703910"/>
    <w:rsid w:val="007043AC"/>
    <w:rsid w:val="007047B2"/>
    <w:rsid w:val="0070571A"/>
    <w:rsid w:val="00707ABD"/>
    <w:rsid w:val="00707EE5"/>
    <w:rsid w:val="00713443"/>
    <w:rsid w:val="007136EF"/>
    <w:rsid w:val="00714923"/>
    <w:rsid w:val="00716374"/>
    <w:rsid w:val="007178BE"/>
    <w:rsid w:val="00721083"/>
    <w:rsid w:val="0072129A"/>
    <w:rsid w:val="00721E1F"/>
    <w:rsid w:val="00723F01"/>
    <w:rsid w:val="00724AE8"/>
    <w:rsid w:val="00724F78"/>
    <w:rsid w:val="00725EA1"/>
    <w:rsid w:val="0072667E"/>
    <w:rsid w:val="0072734A"/>
    <w:rsid w:val="00730663"/>
    <w:rsid w:val="007312AF"/>
    <w:rsid w:val="00732839"/>
    <w:rsid w:val="00733245"/>
    <w:rsid w:val="00734B6C"/>
    <w:rsid w:val="00735F02"/>
    <w:rsid w:val="007370AA"/>
    <w:rsid w:val="0074159F"/>
    <w:rsid w:val="00741BDC"/>
    <w:rsid w:val="00741DFD"/>
    <w:rsid w:val="00742095"/>
    <w:rsid w:val="007423D8"/>
    <w:rsid w:val="007437B8"/>
    <w:rsid w:val="00744369"/>
    <w:rsid w:val="00744DA4"/>
    <w:rsid w:val="00744EF7"/>
    <w:rsid w:val="00745376"/>
    <w:rsid w:val="00745C90"/>
    <w:rsid w:val="00745E61"/>
    <w:rsid w:val="00747959"/>
    <w:rsid w:val="00752244"/>
    <w:rsid w:val="00755E00"/>
    <w:rsid w:val="00756233"/>
    <w:rsid w:val="00756DC5"/>
    <w:rsid w:val="00756E24"/>
    <w:rsid w:val="00757AB2"/>
    <w:rsid w:val="0076051C"/>
    <w:rsid w:val="007606EF"/>
    <w:rsid w:val="007606FC"/>
    <w:rsid w:val="00760D9B"/>
    <w:rsid w:val="007610E8"/>
    <w:rsid w:val="007626AB"/>
    <w:rsid w:val="007660DC"/>
    <w:rsid w:val="007667C8"/>
    <w:rsid w:val="00770CDC"/>
    <w:rsid w:val="007727BE"/>
    <w:rsid w:val="00772C2D"/>
    <w:rsid w:val="00773272"/>
    <w:rsid w:val="00773A40"/>
    <w:rsid w:val="00773A77"/>
    <w:rsid w:val="00773AF2"/>
    <w:rsid w:val="00775AE9"/>
    <w:rsid w:val="00776F92"/>
    <w:rsid w:val="007775DB"/>
    <w:rsid w:val="00781CF3"/>
    <w:rsid w:val="00782A21"/>
    <w:rsid w:val="00783396"/>
    <w:rsid w:val="00786162"/>
    <w:rsid w:val="00790B61"/>
    <w:rsid w:val="00792C35"/>
    <w:rsid w:val="00792F45"/>
    <w:rsid w:val="007937A9"/>
    <w:rsid w:val="00794337"/>
    <w:rsid w:val="00794FC7"/>
    <w:rsid w:val="0079513C"/>
    <w:rsid w:val="00795CA4"/>
    <w:rsid w:val="00795EE3"/>
    <w:rsid w:val="007960A3"/>
    <w:rsid w:val="00797540"/>
    <w:rsid w:val="007A03E9"/>
    <w:rsid w:val="007A0533"/>
    <w:rsid w:val="007A0EF9"/>
    <w:rsid w:val="007A45CE"/>
    <w:rsid w:val="007A5534"/>
    <w:rsid w:val="007A744A"/>
    <w:rsid w:val="007A7AAE"/>
    <w:rsid w:val="007B024F"/>
    <w:rsid w:val="007B1D96"/>
    <w:rsid w:val="007B3BBE"/>
    <w:rsid w:val="007B41BE"/>
    <w:rsid w:val="007B45FB"/>
    <w:rsid w:val="007B5A64"/>
    <w:rsid w:val="007B5EBB"/>
    <w:rsid w:val="007B616D"/>
    <w:rsid w:val="007B7479"/>
    <w:rsid w:val="007B7BE3"/>
    <w:rsid w:val="007C084C"/>
    <w:rsid w:val="007C13EB"/>
    <w:rsid w:val="007C1418"/>
    <w:rsid w:val="007C3910"/>
    <w:rsid w:val="007C4548"/>
    <w:rsid w:val="007C4E96"/>
    <w:rsid w:val="007C57BC"/>
    <w:rsid w:val="007C651C"/>
    <w:rsid w:val="007C7B31"/>
    <w:rsid w:val="007D0971"/>
    <w:rsid w:val="007D0E69"/>
    <w:rsid w:val="007D4277"/>
    <w:rsid w:val="007D4564"/>
    <w:rsid w:val="007D48A0"/>
    <w:rsid w:val="007D5E0D"/>
    <w:rsid w:val="007D6B1D"/>
    <w:rsid w:val="007D7895"/>
    <w:rsid w:val="007D7AD7"/>
    <w:rsid w:val="007D7CBB"/>
    <w:rsid w:val="007E088B"/>
    <w:rsid w:val="007E0C16"/>
    <w:rsid w:val="007E0D8E"/>
    <w:rsid w:val="007E1CDF"/>
    <w:rsid w:val="007E226F"/>
    <w:rsid w:val="007E3033"/>
    <w:rsid w:val="007E4B2C"/>
    <w:rsid w:val="007E4C92"/>
    <w:rsid w:val="007E54F4"/>
    <w:rsid w:val="007E665C"/>
    <w:rsid w:val="007F15F8"/>
    <w:rsid w:val="007F22F2"/>
    <w:rsid w:val="007F335F"/>
    <w:rsid w:val="007F425C"/>
    <w:rsid w:val="007F433A"/>
    <w:rsid w:val="007F53B5"/>
    <w:rsid w:val="007F5B2C"/>
    <w:rsid w:val="007F73C2"/>
    <w:rsid w:val="007F74EF"/>
    <w:rsid w:val="008006B5"/>
    <w:rsid w:val="0080224E"/>
    <w:rsid w:val="0080250C"/>
    <w:rsid w:val="00806E8E"/>
    <w:rsid w:val="008101C5"/>
    <w:rsid w:val="008103BE"/>
    <w:rsid w:val="00811C4B"/>
    <w:rsid w:val="00812087"/>
    <w:rsid w:val="00812200"/>
    <w:rsid w:val="008123A0"/>
    <w:rsid w:val="00812DEB"/>
    <w:rsid w:val="00813BD0"/>
    <w:rsid w:val="0081611D"/>
    <w:rsid w:val="00816C0C"/>
    <w:rsid w:val="00817DAE"/>
    <w:rsid w:val="00817E87"/>
    <w:rsid w:val="0082094E"/>
    <w:rsid w:val="0082197D"/>
    <w:rsid w:val="00823419"/>
    <w:rsid w:val="0082491E"/>
    <w:rsid w:val="00824930"/>
    <w:rsid w:val="00824EC1"/>
    <w:rsid w:val="00825C2E"/>
    <w:rsid w:val="00826D2D"/>
    <w:rsid w:val="00827E68"/>
    <w:rsid w:val="00830ED0"/>
    <w:rsid w:val="00831238"/>
    <w:rsid w:val="0083193A"/>
    <w:rsid w:val="0083218C"/>
    <w:rsid w:val="008332D2"/>
    <w:rsid w:val="008344E4"/>
    <w:rsid w:val="00835EB6"/>
    <w:rsid w:val="0083636C"/>
    <w:rsid w:val="008366E3"/>
    <w:rsid w:val="008367E5"/>
    <w:rsid w:val="008368D2"/>
    <w:rsid w:val="00836F57"/>
    <w:rsid w:val="00837CF1"/>
    <w:rsid w:val="008400C5"/>
    <w:rsid w:val="00840945"/>
    <w:rsid w:val="00842CE1"/>
    <w:rsid w:val="00843FBE"/>
    <w:rsid w:val="00844203"/>
    <w:rsid w:val="00845C47"/>
    <w:rsid w:val="00846416"/>
    <w:rsid w:val="00846B44"/>
    <w:rsid w:val="008479EF"/>
    <w:rsid w:val="00850125"/>
    <w:rsid w:val="0085152D"/>
    <w:rsid w:val="00854467"/>
    <w:rsid w:val="00855ACC"/>
    <w:rsid w:val="0086038B"/>
    <w:rsid w:val="00860486"/>
    <w:rsid w:val="00860BFE"/>
    <w:rsid w:val="008629AF"/>
    <w:rsid w:val="00863632"/>
    <w:rsid w:val="00863D97"/>
    <w:rsid w:val="00865C90"/>
    <w:rsid w:val="00866C06"/>
    <w:rsid w:val="008704EA"/>
    <w:rsid w:val="0087193D"/>
    <w:rsid w:val="00873985"/>
    <w:rsid w:val="00875052"/>
    <w:rsid w:val="00875309"/>
    <w:rsid w:val="008759AE"/>
    <w:rsid w:val="00875CDE"/>
    <w:rsid w:val="0088017F"/>
    <w:rsid w:val="00883347"/>
    <w:rsid w:val="00883DD9"/>
    <w:rsid w:val="00884516"/>
    <w:rsid w:val="008873EA"/>
    <w:rsid w:val="0088781A"/>
    <w:rsid w:val="00890030"/>
    <w:rsid w:val="008901B0"/>
    <w:rsid w:val="008905F9"/>
    <w:rsid w:val="00890964"/>
    <w:rsid w:val="0089204D"/>
    <w:rsid w:val="008922BC"/>
    <w:rsid w:val="008943B3"/>
    <w:rsid w:val="00894F69"/>
    <w:rsid w:val="00895647"/>
    <w:rsid w:val="0089617E"/>
    <w:rsid w:val="00896F4E"/>
    <w:rsid w:val="008A175B"/>
    <w:rsid w:val="008A2337"/>
    <w:rsid w:val="008A31B0"/>
    <w:rsid w:val="008A3355"/>
    <w:rsid w:val="008A37E7"/>
    <w:rsid w:val="008A4103"/>
    <w:rsid w:val="008A47B9"/>
    <w:rsid w:val="008A5FA1"/>
    <w:rsid w:val="008A622A"/>
    <w:rsid w:val="008A6CB6"/>
    <w:rsid w:val="008A70C8"/>
    <w:rsid w:val="008B0A26"/>
    <w:rsid w:val="008B14BA"/>
    <w:rsid w:val="008B3104"/>
    <w:rsid w:val="008B3D44"/>
    <w:rsid w:val="008B43A3"/>
    <w:rsid w:val="008B47CD"/>
    <w:rsid w:val="008B5262"/>
    <w:rsid w:val="008B61EA"/>
    <w:rsid w:val="008B696C"/>
    <w:rsid w:val="008B6C91"/>
    <w:rsid w:val="008B6E4C"/>
    <w:rsid w:val="008C19FF"/>
    <w:rsid w:val="008C214A"/>
    <w:rsid w:val="008C2293"/>
    <w:rsid w:val="008C2687"/>
    <w:rsid w:val="008C3F1F"/>
    <w:rsid w:val="008C3FB9"/>
    <w:rsid w:val="008C4124"/>
    <w:rsid w:val="008C454F"/>
    <w:rsid w:val="008C4E82"/>
    <w:rsid w:val="008C732C"/>
    <w:rsid w:val="008C7551"/>
    <w:rsid w:val="008D044A"/>
    <w:rsid w:val="008D05FB"/>
    <w:rsid w:val="008D0E61"/>
    <w:rsid w:val="008D12EF"/>
    <w:rsid w:val="008D1F04"/>
    <w:rsid w:val="008D3004"/>
    <w:rsid w:val="008D36BB"/>
    <w:rsid w:val="008D3918"/>
    <w:rsid w:val="008D3B61"/>
    <w:rsid w:val="008D5882"/>
    <w:rsid w:val="008D7A0F"/>
    <w:rsid w:val="008E0D19"/>
    <w:rsid w:val="008E1978"/>
    <w:rsid w:val="008E2E30"/>
    <w:rsid w:val="008E3DA3"/>
    <w:rsid w:val="008E3F81"/>
    <w:rsid w:val="008E4746"/>
    <w:rsid w:val="008E551A"/>
    <w:rsid w:val="008E63C2"/>
    <w:rsid w:val="008E6E16"/>
    <w:rsid w:val="008E7293"/>
    <w:rsid w:val="008F048C"/>
    <w:rsid w:val="008F0CC4"/>
    <w:rsid w:val="008F0D35"/>
    <w:rsid w:val="008F287B"/>
    <w:rsid w:val="008F2939"/>
    <w:rsid w:val="008F3650"/>
    <w:rsid w:val="008F39E3"/>
    <w:rsid w:val="008F445F"/>
    <w:rsid w:val="008F5506"/>
    <w:rsid w:val="008F6711"/>
    <w:rsid w:val="008F6A74"/>
    <w:rsid w:val="00900B69"/>
    <w:rsid w:val="009016DC"/>
    <w:rsid w:val="00901C13"/>
    <w:rsid w:val="00901EC7"/>
    <w:rsid w:val="009024F3"/>
    <w:rsid w:val="00904682"/>
    <w:rsid w:val="00907D4B"/>
    <w:rsid w:val="009121B8"/>
    <w:rsid w:val="009126A4"/>
    <w:rsid w:val="00913918"/>
    <w:rsid w:val="00914671"/>
    <w:rsid w:val="00914C80"/>
    <w:rsid w:val="0091557B"/>
    <w:rsid w:val="0091636B"/>
    <w:rsid w:val="009164EF"/>
    <w:rsid w:val="0092032F"/>
    <w:rsid w:val="009218A1"/>
    <w:rsid w:val="009219A4"/>
    <w:rsid w:val="0092219B"/>
    <w:rsid w:val="00923C95"/>
    <w:rsid w:val="00924035"/>
    <w:rsid w:val="00924091"/>
    <w:rsid w:val="009245E4"/>
    <w:rsid w:val="00924B36"/>
    <w:rsid w:val="009255EA"/>
    <w:rsid w:val="0093045A"/>
    <w:rsid w:val="009317DB"/>
    <w:rsid w:val="009318DE"/>
    <w:rsid w:val="009323CF"/>
    <w:rsid w:val="00932A37"/>
    <w:rsid w:val="00934066"/>
    <w:rsid w:val="00934AD9"/>
    <w:rsid w:val="00935459"/>
    <w:rsid w:val="00935FC9"/>
    <w:rsid w:val="009401E0"/>
    <w:rsid w:val="00943CA1"/>
    <w:rsid w:val="0094498D"/>
    <w:rsid w:val="0094599C"/>
    <w:rsid w:val="0094791A"/>
    <w:rsid w:val="00952E5B"/>
    <w:rsid w:val="009536E1"/>
    <w:rsid w:val="00955BFF"/>
    <w:rsid w:val="009565D7"/>
    <w:rsid w:val="00956A5A"/>
    <w:rsid w:val="009576E4"/>
    <w:rsid w:val="00957B44"/>
    <w:rsid w:val="00960472"/>
    <w:rsid w:val="00960CF5"/>
    <w:rsid w:val="00962718"/>
    <w:rsid w:val="00964BA5"/>
    <w:rsid w:val="00972C35"/>
    <w:rsid w:val="009768EF"/>
    <w:rsid w:val="00980B75"/>
    <w:rsid w:val="00981370"/>
    <w:rsid w:val="009815FE"/>
    <w:rsid w:val="00982159"/>
    <w:rsid w:val="009840D8"/>
    <w:rsid w:val="0098410F"/>
    <w:rsid w:val="0098434F"/>
    <w:rsid w:val="00984826"/>
    <w:rsid w:val="00984B97"/>
    <w:rsid w:val="009854E1"/>
    <w:rsid w:val="00985969"/>
    <w:rsid w:val="0098640B"/>
    <w:rsid w:val="00990790"/>
    <w:rsid w:val="00990D56"/>
    <w:rsid w:val="00990F1A"/>
    <w:rsid w:val="009918B8"/>
    <w:rsid w:val="00991F3D"/>
    <w:rsid w:val="009929D7"/>
    <w:rsid w:val="00992EBE"/>
    <w:rsid w:val="00995211"/>
    <w:rsid w:val="009958F8"/>
    <w:rsid w:val="00996081"/>
    <w:rsid w:val="009A0D28"/>
    <w:rsid w:val="009A18D6"/>
    <w:rsid w:val="009A1A2F"/>
    <w:rsid w:val="009A1A4A"/>
    <w:rsid w:val="009A1BB1"/>
    <w:rsid w:val="009A4353"/>
    <w:rsid w:val="009A5207"/>
    <w:rsid w:val="009A6045"/>
    <w:rsid w:val="009A6D94"/>
    <w:rsid w:val="009B0FEE"/>
    <w:rsid w:val="009B1465"/>
    <w:rsid w:val="009B1988"/>
    <w:rsid w:val="009B1A5F"/>
    <w:rsid w:val="009B1B0B"/>
    <w:rsid w:val="009B33FD"/>
    <w:rsid w:val="009B3496"/>
    <w:rsid w:val="009B4519"/>
    <w:rsid w:val="009B4C7B"/>
    <w:rsid w:val="009B4CB5"/>
    <w:rsid w:val="009B5B09"/>
    <w:rsid w:val="009B76BA"/>
    <w:rsid w:val="009C086B"/>
    <w:rsid w:val="009C0B33"/>
    <w:rsid w:val="009C0F4E"/>
    <w:rsid w:val="009C1530"/>
    <w:rsid w:val="009C1817"/>
    <w:rsid w:val="009C43FF"/>
    <w:rsid w:val="009C4E68"/>
    <w:rsid w:val="009C5235"/>
    <w:rsid w:val="009C7714"/>
    <w:rsid w:val="009D0EE0"/>
    <w:rsid w:val="009D18AC"/>
    <w:rsid w:val="009D2070"/>
    <w:rsid w:val="009D40E6"/>
    <w:rsid w:val="009D4C18"/>
    <w:rsid w:val="009D7EEE"/>
    <w:rsid w:val="009E3838"/>
    <w:rsid w:val="009E6D0C"/>
    <w:rsid w:val="009F046E"/>
    <w:rsid w:val="009F0A84"/>
    <w:rsid w:val="009F0FF8"/>
    <w:rsid w:val="009F248D"/>
    <w:rsid w:val="009F2C3D"/>
    <w:rsid w:val="009F2D5D"/>
    <w:rsid w:val="009F37C7"/>
    <w:rsid w:val="009F41C4"/>
    <w:rsid w:val="009F4A0E"/>
    <w:rsid w:val="009F5096"/>
    <w:rsid w:val="009F5BF0"/>
    <w:rsid w:val="009F5EC4"/>
    <w:rsid w:val="009F7E06"/>
    <w:rsid w:val="00A00E84"/>
    <w:rsid w:val="00A018AB"/>
    <w:rsid w:val="00A01B3E"/>
    <w:rsid w:val="00A021C0"/>
    <w:rsid w:val="00A022F7"/>
    <w:rsid w:val="00A03B24"/>
    <w:rsid w:val="00A05FEB"/>
    <w:rsid w:val="00A06BD1"/>
    <w:rsid w:val="00A12523"/>
    <w:rsid w:val="00A134B1"/>
    <w:rsid w:val="00A147DF"/>
    <w:rsid w:val="00A149FD"/>
    <w:rsid w:val="00A15E4F"/>
    <w:rsid w:val="00A20C48"/>
    <w:rsid w:val="00A24CC4"/>
    <w:rsid w:val="00A308C5"/>
    <w:rsid w:val="00A30EE6"/>
    <w:rsid w:val="00A32262"/>
    <w:rsid w:val="00A37B06"/>
    <w:rsid w:val="00A401D4"/>
    <w:rsid w:val="00A40DD1"/>
    <w:rsid w:val="00A43074"/>
    <w:rsid w:val="00A43358"/>
    <w:rsid w:val="00A43E53"/>
    <w:rsid w:val="00A46BA4"/>
    <w:rsid w:val="00A47CEA"/>
    <w:rsid w:val="00A47D42"/>
    <w:rsid w:val="00A54075"/>
    <w:rsid w:val="00A546D5"/>
    <w:rsid w:val="00A5513A"/>
    <w:rsid w:val="00A556D3"/>
    <w:rsid w:val="00A5598C"/>
    <w:rsid w:val="00A5685F"/>
    <w:rsid w:val="00A5730B"/>
    <w:rsid w:val="00A60951"/>
    <w:rsid w:val="00A6604D"/>
    <w:rsid w:val="00A66889"/>
    <w:rsid w:val="00A67602"/>
    <w:rsid w:val="00A67FB6"/>
    <w:rsid w:val="00A71CA5"/>
    <w:rsid w:val="00A723A3"/>
    <w:rsid w:val="00A72C6B"/>
    <w:rsid w:val="00A72DD3"/>
    <w:rsid w:val="00A744B5"/>
    <w:rsid w:val="00A744E5"/>
    <w:rsid w:val="00A74A34"/>
    <w:rsid w:val="00A76281"/>
    <w:rsid w:val="00A76855"/>
    <w:rsid w:val="00A8055C"/>
    <w:rsid w:val="00A8124C"/>
    <w:rsid w:val="00A82191"/>
    <w:rsid w:val="00A821FB"/>
    <w:rsid w:val="00A82D76"/>
    <w:rsid w:val="00A83606"/>
    <w:rsid w:val="00A83ACE"/>
    <w:rsid w:val="00A846F4"/>
    <w:rsid w:val="00A84AED"/>
    <w:rsid w:val="00A92500"/>
    <w:rsid w:val="00A92B0D"/>
    <w:rsid w:val="00A93B09"/>
    <w:rsid w:val="00A951A2"/>
    <w:rsid w:val="00A961DD"/>
    <w:rsid w:val="00A96499"/>
    <w:rsid w:val="00A96B5D"/>
    <w:rsid w:val="00A97C7C"/>
    <w:rsid w:val="00AA05EF"/>
    <w:rsid w:val="00AA1F24"/>
    <w:rsid w:val="00AA281E"/>
    <w:rsid w:val="00AA2D56"/>
    <w:rsid w:val="00AA30B4"/>
    <w:rsid w:val="00AA4710"/>
    <w:rsid w:val="00AA480B"/>
    <w:rsid w:val="00AA61E3"/>
    <w:rsid w:val="00AA61F6"/>
    <w:rsid w:val="00AA6A28"/>
    <w:rsid w:val="00AA6D4C"/>
    <w:rsid w:val="00AB28BE"/>
    <w:rsid w:val="00AB4F21"/>
    <w:rsid w:val="00AB4F5A"/>
    <w:rsid w:val="00AB773B"/>
    <w:rsid w:val="00AB7B46"/>
    <w:rsid w:val="00AC1A22"/>
    <w:rsid w:val="00AC1F17"/>
    <w:rsid w:val="00AC3E7E"/>
    <w:rsid w:val="00AC4288"/>
    <w:rsid w:val="00AC5941"/>
    <w:rsid w:val="00AC5D67"/>
    <w:rsid w:val="00AC624B"/>
    <w:rsid w:val="00AC62E8"/>
    <w:rsid w:val="00AC79F1"/>
    <w:rsid w:val="00AC7EF1"/>
    <w:rsid w:val="00AC7FE9"/>
    <w:rsid w:val="00AD0605"/>
    <w:rsid w:val="00AD1A89"/>
    <w:rsid w:val="00AD1E09"/>
    <w:rsid w:val="00AD1E75"/>
    <w:rsid w:val="00AD5C34"/>
    <w:rsid w:val="00AD78CD"/>
    <w:rsid w:val="00AD7D30"/>
    <w:rsid w:val="00AE18AA"/>
    <w:rsid w:val="00AE1A24"/>
    <w:rsid w:val="00AE36C9"/>
    <w:rsid w:val="00AE65A8"/>
    <w:rsid w:val="00AE65FD"/>
    <w:rsid w:val="00AE701A"/>
    <w:rsid w:val="00AE75B9"/>
    <w:rsid w:val="00AF0269"/>
    <w:rsid w:val="00AF05BB"/>
    <w:rsid w:val="00AF21A6"/>
    <w:rsid w:val="00AF2BC8"/>
    <w:rsid w:val="00AF32AF"/>
    <w:rsid w:val="00AF339F"/>
    <w:rsid w:val="00AF50A8"/>
    <w:rsid w:val="00AF56F2"/>
    <w:rsid w:val="00AF64C4"/>
    <w:rsid w:val="00AF6642"/>
    <w:rsid w:val="00AF6897"/>
    <w:rsid w:val="00AF75A5"/>
    <w:rsid w:val="00AF7C76"/>
    <w:rsid w:val="00B00F73"/>
    <w:rsid w:val="00B01F31"/>
    <w:rsid w:val="00B026DA"/>
    <w:rsid w:val="00B02747"/>
    <w:rsid w:val="00B02E98"/>
    <w:rsid w:val="00B03146"/>
    <w:rsid w:val="00B03742"/>
    <w:rsid w:val="00B05602"/>
    <w:rsid w:val="00B06067"/>
    <w:rsid w:val="00B0799D"/>
    <w:rsid w:val="00B1040E"/>
    <w:rsid w:val="00B113A5"/>
    <w:rsid w:val="00B142C0"/>
    <w:rsid w:val="00B14F57"/>
    <w:rsid w:val="00B1630B"/>
    <w:rsid w:val="00B17CF4"/>
    <w:rsid w:val="00B200A6"/>
    <w:rsid w:val="00B2042E"/>
    <w:rsid w:val="00B2098D"/>
    <w:rsid w:val="00B21B9E"/>
    <w:rsid w:val="00B23862"/>
    <w:rsid w:val="00B24464"/>
    <w:rsid w:val="00B24E22"/>
    <w:rsid w:val="00B251FF"/>
    <w:rsid w:val="00B25571"/>
    <w:rsid w:val="00B25781"/>
    <w:rsid w:val="00B2666D"/>
    <w:rsid w:val="00B26837"/>
    <w:rsid w:val="00B304B8"/>
    <w:rsid w:val="00B3232C"/>
    <w:rsid w:val="00B339B3"/>
    <w:rsid w:val="00B34E88"/>
    <w:rsid w:val="00B352E6"/>
    <w:rsid w:val="00B35661"/>
    <w:rsid w:val="00B36BB3"/>
    <w:rsid w:val="00B3777B"/>
    <w:rsid w:val="00B37A10"/>
    <w:rsid w:val="00B4156C"/>
    <w:rsid w:val="00B419BC"/>
    <w:rsid w:val="00B419BD"/>
    <w:rsid w:val="00B42974"/>
    <w:rsid w:val="00B43E66"/>
    <w:rsid w:val="00B45214"/>
    <w:rsid w:val="00B4569D"/>
    <w:rsid w:val="00B45F6E"/>
    <w:rsid w:val="00B46A63"/>
    <w:rsid w:val="00B47B7B"/>
    <w:rsid w:val="00B47E3D"/>
    <w:rsid w:val="00B47F5E"/>
    <w:rsid w:val="00B507F1"/>
    <w:rsid w:val="00B549C5"/>
    <w:rsid w:val="00B557F9"/>
    <w:rsid w:val="00B61A48"/>
    <w:rsid w:val="00B62572"/>
    <w:rsid w:val="00B625AE"/>
    <w:rsid w:val="00B629C5"/>
    <w:rsid w:val="00B62E52"/>
    <w:rsid w:val="00B62F9E"/>
    <w:rsid w:val="00B649BA"/>
    <w:rsid w:val="00B65A43"/>
    <w:rsid w:val="00B70A96"/>
    <w:rsid w:val="00B717E9"/>
    <w:rsid w:val="00B7184F"/>
    <w:rsid w:val="00B74677"/>
    <w:rsid w:val="00B76570"/>
    <w:rsid w:val="00B7693F"/>
    <w:rsid w:val="00B77084"/>
    <w:rsid w:val="00B7735A"/>
    <w:rsid w:val="00B829FB"/>
    <w:rsid w:val="00B8350F"/>
    <w:rsid w:val="00B835F1"/>
    <w:rsid w:val="00B83DFA"/>
    <w:rsid w:val="00B852DC"/>
    <w:rsid w:val="00B8602A"/>
    <w:rsid w:val="00B862C5"/>
    <w:rsid w:val="00B86CCC"/>
    <w:rsid w:val="00B924D0"/>
    <w:rsid w:val="00B92AD6"/>
    <w:rsid w:val="00B92CF1"/>
    <w:rsid w:val="00B942E8"/>
    <w:rsid w:val="00B94AE1"/>
    <w:rsid w:val="00B94D5A"/>
    <w:rsid w:val="00B9525F"/>
    <w:rsid w:val="00B96BCD"/>
    <w:rsid w:val="00B978E6"/>
    <w:rsid w:val="00B97AC4"/>
    <w:rsid w:val="00BA04FC"/>
    <w:rsid w:val="00BA1890"/>
    <w:rsid w:val="00BA3401"/>
    <w:rsid w:val="00BA4B41"/>
    <w:rsid w:val="00BA578C"/>
    <w:rsid w:val="00BA5938"/>
    <w:rsid w:val="00BA5BEB"/>
    <w:rsid w:val="00BA62C6"/>
    <w:rsid w:val="00BA6950"/>
    <w:rsid w:val="00BB0644"/>
    <w:rsid w:val="00BB0F3C"/>
    <w:rsid w:val="00BB287D"/>
    <w:rsid w:val="00BB36B4"/>
    <w:rsid w:val="00BB5593"/>
    <w:rsid w:val="00BB5764"/>
    <w:rsid w:val="00BB5DE4"/>
    <w:rsid w:val="00BB5F14"/>
    <w:rsid w:val="00BB79D8"/>
    <w:rsid w:val="00BC0297"/>
    <w:rsid w:val="00BC0B8F"/>
    <w:rsid w:val="00BC0FAD"/>
    <w:rsid w:val="00BC1A23"/>
    <w:rsid w:val="00BC1F62"/>
    <w:rsid w:val="00BC236B"/>
    <w:rsid w:val="00BC2ADE"/>
    <w:rsid w:val="00BC3EB8"/>
    <w:rsid w:val="00BD07F8"/>
    <w:rsid w:val="00BD0895"/>
    <w:rsid w:val="00BD1469"/>
    <w:rsid w:val="00BD424C"/>
    <w:rsid w:val="00BD4EF7"/>
    <w:rsid w:val="00BE0E4D"/>
    <w:rsid w:val="00BE30DE"/>
    <w:rsid w:val="00BE38CA"/>
    <w:rsid w:val="00BE6BCB"/>
    <w:rsid w:val="00BE76FE"/>
    <w:rsid w:val="00BF0CD2"/>
    <w:rsid w:val="00BF28FF"/>
    <w:rsid w:val="00BF4F7A"/>
    <w:rsid w:val="00BF5D6E"/>
    <w:rsid w:val="00C00540"/>
    <w:rsid w:val="00C010AB"/>
    <w:rsid w:val="00C03402"/>
    <w:rsid w:val="00C046C5"/>
    <w:rsid w:val="00C0522E"/>
    <w:rsid w:val="00C053DD"/>
    <w:rsid w:val="00C1070D"/>
    <w:rsid w:val="00C1079C"/>
    <w:rsid w:val="00C10EF2"/>
    <w:rsid w:val="00C1116B"/>
    <w:rsid w:val="00C11E4D"/>
    <w:rsid w:val="00C125C6"/>
    <w:rsid w:val="00C13129"/>
    <w:rsid w:val="00C14C47"/>
    <w:rsid w:val="00C150B5"/>
    <w:rsid w:val="00C164C1"/>
    <w:rsid w:val="00C16581"/>
    <w:rsid w:val="00C16D46"/>
    <w:rsid w:val="00C17656"/>
    <w:rsid w:val="00C22371"/>
    <w:rsid w:val="00C23FFE"/>
    <w:rsid w:val="00C24733"/>
    <w:rsid w:val="00C31703"/>
    <w:rsid w:val="00C32164"/>
    <w:rsid w:val="00C32DF8"/>
    <w:rsid w:val="00C335B4"/>
    <w:rsid w:val="00C33D82"/>
    <w:rsid w:val="00C34412"/>
    <w:rsid w:val="00C36B78"/>
    <w:rsid w:val="00C4008F"/>
    <w:rsid w:val="00C408D3"/>
    <w:rsid w:val="00C40C65"/>
    <w:rsid w:val="00C40FE4"/>
    <w:rsid w:val="00C41FAE"/>
    <w:rsid w:val="00C424BC"/>
    <w:rsid w:val="00C430C3"/>
    <w:rsid w:val="00C455A4"/>
    <w:rsid w:val="00C46301"/>
    <w:rsid w:val="00C502A1"/>
    <w:rsid w:val="00C50C57"/>
    <w:rsid w:val="00C52B73"/>
    <w:rsid w:val="00C53665"/>
    <w:rsid w:val="00C54FB8"/>
    <w:rsid w:val="00C56EFB"/>
    <w:rsid w:val="00C5717A"/>
    <w:rsid w:val="00C607FC"/>
    <w:rsid w:val="00C61684"/>
    <w:rsid w:val="00C62785"/>
    <w:rsid w:val="00C63C26"/>
    <w:rsid w:val="00C63DB7"/>
    <w:rsid w:val="00C649C0"/>
    <w:rsid w:val="00C6707C"/>
    <w:rsid w:val="00C67E00"/>
    <w:rsid w:val="00C7042A"/>
    <w:rsid w:val="00C722EB"/>
    <w:rsid w:val="00C72C73"/>
    <w:rsid w:val="00C75C42"/>
    <w:rsid w:val="00C75EF8"/>
    <w:rsid w:val="00C760D3"/>
    <w:rsid w:val="00C77050"/>
    <w:rsid w:val="00C80471"/>
    <w:rsid w:val="00C83119"/>
    <w:rsid w:val="00C8386C"/>
    <w:rsid w:val="00C83C9D"/>
    <w:rsid w:val="00C8528B"/>
    <w:rsid w:val="00C8663A"/>
    <w:rsid w:val="00C86FA9"/>
    <w:rsid w:val="00C900F0"/>
    <w:rsid w:val="00C90EE0"/>
    <w:rsid w:val="00C94734"/>
    <w:rsid w:val="00C953B9"/>
    <w:rsid w:val="00C9643A"/>
    <w:rsid w:val="00C968D6"/>
    <w:rsid w:val="00C96BD1"/>
    <w:rsid w:val="00CA189D"/>
    <w:rsid w:val="00CA28A7"/>
    <w:rsid w:val="00CA3F42"/>
    <w:rsid w:val="00CA4114"/>
    <w:rsid w:val="00CA5996"/>
    <w:rsid w:val="00CA5DED"/>
    <w:rsid w:val="00CA655D"/>
    <w:rsid w:val="00CA6D39"/>
    <w:rsid w:val="00CB1B00"/>
    <w:rsid w:val="00CB230A"/>
    <w:rsid w:val="00CB2360"/>
    <w:rsid w:val="00CB24CC"/>
    <w:rsid w:val="00CB2D97"/>
    <w:rsid w:val="00CB2E6F"/>
    <w:rsid w:val="00CB2EC0"/>
    <w:rsid w:val="00CB4159"/>
    <w:rsid w:val="00CB4B99"/>
    <w:rsid w:val="00CB6757"/>
    <w:rsid w:val="00CC0742"/>
    <w:rsid w:val="00CC0A94"/>
    <w:rsid w:val="00CC3D9D"/>
    <w:rsid w:val="00CC63F5"/>
    <w:rsid w:val="00CC73AB"/>
    <w:rsid w:val="00CC7BF2"/>
    <w:rsid w:val="00CD2024"/>
    <w:rsid w:val="00CD2545"/>
    <w:rsid w:val="00CD2E64"/>
    <w:rsid w:val="00CD3148"/>
    <w:rsid w:val="00CD38F5"/>
    <w:rsid w:val="00CD4390"/>
    <w:rsid w:val="00CD440C"/>
    <w:rsid w:val="00CD45C6"/>
    <w:rsid w:val="00CD4FC2"/>
    <w:rsid w:val="00CD6944"/>
    <w:rsid w:val="00CD7525"/>
    <w:rsid w:val="00CE0431"/>
    <w:rsid w:val="00CE10CC"/>
    <w:rsid w:val="00CE11AB"/>
    <w:rsid w:val="00CE1E82"/>
    <w:rsid w:val="00CE343D"/>
    <w:rsid w:val="00CE4307"/>
    <w:rsid w:val="00CE4CED"/>
    <w:rsid w:val="00CE5458"/>
    <w:rsid w:val="00CE551C"/>
    <w:rsid w:val="00CE5A92"/>
    <w:rsid w:val="00CE5E8F"/>
    <w:rsid w:val="00CE66E6"/>
    <w:rsid w:val="00CE6853"/>
    <w:rsid w:val="00CE72B3"/>
    <w:rsid w:val="00CF018D"/>
    <w:rsid w:val="00CF0BA7"/>
    <w:rsid w:val="00CF4689"/>
    <w:rsid w:val="00CF4CFC"/>
    <w:rsid w:val="00CF4D69"/>
    <w:rsid w:val="00CF593D"/>
    <w:rsid w:val="00CF5C84"/>
    <w:rsid w:val="00CF6ABC"/>
    <w:rsid w:val="00CF6C14"/>
    <w:rsid w:val="00CF6DB7"/>
    <w:rsid w:val="00CF787D"/>
    <w:rsid w:val="00CF7C0A"/>
    <w:rsid w:val="00D00E1F"/>
    <w:rsid w:val="00D03F73"/>
    <w:rsid w:val="00D05696"/>
    <w:rsid w:val="00D05824"/>
    <w:rsid w:val="00D05CC1"/>
    <w:rsid w:val="00D0690B"/>
    <w:rsid w:val="00D06AD0"/>
    <w:rsid w:val="00D06BB7"/>
    <w:rsid w:val="00D10029"/>
    <w:rsid w:val="00D10D42"/>
    <w:rsid w:val="00D11AD1"/>
    <w:rsid w:val="00D14E6F"/>
    <w:rsid w:val="00D15D48"/>
    <w:rsid w:val="00D15D65"/>
    <w:rsid w:val="00D15DAF"/>
    <w:rsid w:val="00D1634E"/>
    <w:rsid w:val="00D20116"/>
    <w:rsid w:val="00D20306"/>
    <w:rsid w:val="00D20D8A"/>
    <w:rsid w:val="00D20E23"/>
    <w:rsid w:val="00D21081"/>
    <w:rsid w:val="00D24F04"/>
    <w:rsid w:val="00D259C7"/>
    <w:rsid w:val="00D26D81"/>
    <w:rsid w:val="00D3280E"/>
    <w:rsid w:val="00D32FF1"/>
    <w:rsid w:val="00D33631"/>
    <w:rsid w:val="00D3499C"/>
    <w:rsid w:val="00D36710"/>
    <w:rsid w:val="00D3793D"/>
    <w:rsid w:val="00D3795E"/>
    <w:rsid w:val="00D404F9"/>
    <w:rsid w:val="00D408E7"/>
    <w:rsid w:val="00D40E00"/>
    <w:rsid w:val="00D40E3D"/>
    <w:rsid w:val="00D417C3"/>
    <w:rsid w:val="00D41D48"/>
    <w:rsid w:val="00D44B02"/>
    <w:rsid w:val="00D45430"/>
    <w:rsid w:val="00D46C96"/>
    <w:rsid w:val="00D47549"/>
    <w:rsid w:val="00D50050"/>
    <w:rsid w:val="00D512B3"/>
    <w:rsid w:val="00D52B86"/>
    <w:rsid w:val="00D53928"/>
    <w:rsid w:val="00D541AB"/>
    <w:rsid w:val="00D55BF3"/>
    <w:rsid w:val="00D55DE5"/>
    <w:rsid w:val="00D55EC3"/>
    <w:rsid w:val="00D565EB"/>
    <w:rsid w:val="00D601E1"/>
    <w:rsid w:val="00D61DD1"/>
    <w:rsid w:val="00D6262A"/>
    <w:rsid w:val="00D62696"/>
    <w:rsid w:val="00D63CD2"/>
    <w:rsid w:val="00D6459E"/>
    <w:rsid w:val="00D64D8F"/>
    <w:rsid w:val="00D66C60"/>
    <w:rsid w:val="00D67529"/>
    <w:rsid w:val="00D6797F"/>
    <w:rsid w:val="00D71F7E"/>
    <w:rsid w:val="00D753F8"/>
    <w:rsid w:val="00D757A9"/>
    <w:rsid w:val="00D75B8D"/>
    <w:rsid w:val="00D76663"/>
    <w:rsid w:val="00D76AE2"/>
    <w:rsid w:val="00D775D1"/>
    <w:rsid w:val="00D7777D"/>
    <w:rsid w:val="00D779CA"/>
    <w:rsid w:val="00D8191A"/>
    <w:rsid w:val="00D82011"/>
    <w:rsid w:val="00D82815"/>
    <w:rsid w:val="00D8370A"/>
    <w:rsid w:val="00D83CF1"/>
    <w:rsid w:val="00D84AAE"/>
    <w:rsid w:val="00D851F3"/>
    <w:rsid w:val="00D85C85"/>
    <w:rsid w:val="00D876EF"/>
    <w:rsid w:val="00D87FC3"/>
    <w:rsid w:val="00D90A2E"/>
    <w:rsid w:val="00D912FC"/>
    <w:rsid w:val="00D91B8C"/>
    <w:rsid w:val="00D91F33"/>
    <w:rsid w:val="00D92BDB"/>
    <w:rsid w:val="00D92BF1"/>
    <w:rsid w:val="00D9306C"/>
    <w:rsid w:val="00D95D4D"/>
    <w:rsid w:val="00D95E27"/>
    <w:rsid w:val="00D97280"/>
    <w:rsid w:val="00DA1934"/>
    <w:rsid w:val="00DA2C01"/>
    <w:rsid w:val="00DA399F"/>
    <w:rsid w:val="00DA5204"/>
    <w:rsid w:val="00DA5ABD"/>
    <w:rsid w:val="00DA6051"/>
    <w:rsid w:val="00DA6BEA"/>
    <w:rsid w:val="00DA7047"/>
    <w:rsid w:val="00DA7418"/>
    <w:rsid w:val="00DA75F2"/>
    <w:rsid w:val="00DA77F0"/>
    <w:rsid w:val="00DB02ED"/>
    <w:rsid w:val="00DB258A"/>
    <w:rsid w:val="00DB39A2"/>
    <w:rsid w:val="00DB47F3"/>
    <w:rsid w:val="00DB5281"/>
    <w:rsid w:val="00DB6AEF"/>
    <w:rsid w:val="00DC0D4B"/>
    <w:rsid w:val="00DC1DE3"/>
    <w:rsid w:val="00DC42FC"/>
    <w:rsid w:val="00DC7866"/>
    <w:rsid w:val="00DC7AC1"/>
    <w:rsid w:val="00DD009C"/>
    <w:rsid w:val="00DD023A"/>
    <w:rsid w:val="00DD2031"/>
    <w:rsid w:val="00DD2BF0"/>
    <w:rsid w:val="00DD2D2D"/>
    <w:rsid w:val="00DD4819"/>
    <w:rsid w:val="00DD5112"/>
    <w:rsid w:val="00DD666D"/>
    <w:rsid w:val="00DD71BF"/>
    <w:rsid w:val="00DE06FF"/>
    <w:rsid w:val="00DE4F1F"/>
    <w:rsid w:val="00DE5DF4"/>
    <w:rsid w:val="00DE6699"/>
    <w:rsid w:val="00DE6A4A"/>
    <w:rsid w:val="00DF0FB2"/>
    <w:rsid w:val="00DF35E2"/>
    <w:rsid w:val="00DF44A3"/>
    <w:rsid w:val="00DF5F14"/>
    <w:rsid w:val="00DF72DB"/>
    <w:rsid w:val="00DF78E2"/>
    <w:rsid w:val="00DF7DD5"/>
    <w:rsid w:val="00E01011"/>
    <w:rsid w:val="00E010DF"/>
    <w:rsid w:val="00E02120"/>
    <w:rsid w:val="00E027BB"/>
    <w:rsid w:val="00E048D6"/>
    <w:rsid w:val="00E05EA9"/>
    <w:rsid w:val="00E06D37"/>
    <w:rsid w:val="00E07A28"/>
    <w:rsid w:val="00E104DF"/>
    <w:rsid w:val="00E1103D"/>
    <w:rsid w:val="00E119DD"/>
    <w:rsid w:val="00E14A07"/>
    <w:rsid w:val="00E15203"/>
    <w:rsid w:val="00E1534D"/>
    <w:rsid w:val="00E154A7"/>
    <w:rsid w:val="00E15829"/>
    <w:rsid w:val="00E21C39"/>
    <w:rsid w:val="00E21C63"/>
    <w:rsid w:val="00E22322"/>
    <w:rsid w:val="00E22AF9"/>
    <w:rsid w:val="00E23595"/>
    <w:rsid w:val="00E24588"/>
    <w:rsid w:val="00E249AA"/>
    <w:rsid w:val="00E24DDA"/>
    <w:rsid w:val="00E2552A"/>
    <w:rsid w:val="00E25B5E"/>
    <w:rsid w:val="00E372BD"/>
    <w:rsid w:val="00E37C6E"/>
    <w:rsid w:val="00E40303"/>
    <w:rsid w:val="00E41B4E"/>
    <w:rsid w:val="00E42863"/>
    <w:rsid w:val="00E4289F"/>
    <w:rsid w:val="00E42A43"/>
    <w:rsid w:val="00E43962"/>
    <w:rsid w:val="00E43A9E"/>
    <w:rsid w:val="00E44E11"/>
    <w:rsid w:val="00E454E3"/>
    <w:rsid w:val="00E46E04"/>
    <w:rsid w:val="00E47023"/>
    <w:rsid w:val="00E503A0"/>
    <w:rsid w:val="00E51A85"/>
    <w:rsid w:val="00E5368C"/>
    <w:rsid w:val="00E53726"/>
    <w:rsid w:val="00E53C53"/>
    <w:rsid w:val="00E56124"/>
    <w:rsid w:val="00E57485"/>
    <w:rsid w:val="00E621C2"/>
    <w:rsid w:val="00E6244D"/>
    <w:rsid w:val="00E63A34"/>
    <w:rsid w:val="00E67675"/>
    <w:rsid w:val="00E67CA3"/>
    <w:rsid w:val="00E67CF7"/>
    <w:rsid w:val="00E67D3B"/>
    <w:rsid w:val="00E67DF1"/>
    <w:rsid w:val="00E7332D"/>
    <w:rsid w:val="00E740BF"/>
    <w:rsid w:val="00E749EB"/>
    <w:rsid w:val="00E76933"/>
    <w:rsid w:val="00E77D69"/>
    <w:rsid w:val="00E77EDF"/>
    <w:rsid w:val="00E80D6F"/>
    <w:rsid w:val="00E82091"/>
    <w:rsid w:val="00E82A33"/>
    <w:rsid w:val="00E832D8"/>
    <w:rsid w:val="00E83775"/>
    <w:rsid w:val="00E846D9"/>
    <w:rsid w:val="00E85824"/>
    <w:rsid w:val="00E8698E"/>
    <w:rsid w:val="00E87DEF"/>
    <w:rsid w:val="00E87E61"/>
    <w:rsid w:val="00E90285"/>
    <w:rsid w:val="00E91896"/>
    <w:rsid w:val="00E92997"/>
    <w:rsid w:val="00E92DEF"/>
    <w:rsid w:val="00E92FC3"/>
    <w:rsid w:val="00E93CDD"/>
    <w:rsid w:val="00E94440"/>
    <w:rsid w:val="00E96DDE"/>
    <w:rsid w:val="00E9728D"/>
    <w:rsid w:val="00E976A8"/>
    <w:rsid w:val="00E97CA1"/>
    <w:rsid w:val="00EA0621"/>
    <w:rsid w:val="00EA156A"/>
    <w:rsid w:val="00EA16A7"/>
    <w:rsid w:val="00EA1987"/>
    <w:rsid w:val="00EA2178"/>
    <w:rsid w:val="00EA24F4"/>
    <w:rsid w:val="00EA25BE"/>
    <w:rsid w:val="00EA2AEF"/>
    <w:rsid w:val="00EA669C"/>
    <w:rsid w:val="00EA6765"/>
    <w:rsid w:val="00EA74CB"/>
    <w:rsid w:val="00EA7689"/>
    <w:rsid w:val="00EB0F91"/>
    <w:rsid w:val="00EB1FC1"/>
    <w:rsid w:val="00EB3A4A"/>
    <w:rsid w:val="00EB4929"/>
    <w:rsid w:val="00EB52FA"/>
    <w:rsid w:val="00EB5DFB"/>
    <w:rsid w:val="00EB6567"/>
    <w:rsid w:val="00EC0651"/>
    <w:rsid w:val="00EC46CC"/>
    <w:rsid w:val="00EC4A3D"/>
    <w:rsid w:val="00EC520D"/>
    <w:rsid w:val="00EC5EC1"/>
    <w:rsid w:val="00EC616A"/>
    <w:rsid w:val="00EC7750"/>
    <w:rsid w:val="00EC7A7F"/>
    <w:rsid w:val="00EC7F03"/>
    <w:rsid w:val="00ED0108"/>
    <w:rsid w:val="00ED16F9"/>
    <w:rsid w:val="00ED3EC1"/>
    <w:rsid w:val="00ED5125"/>
    <w:rsid w:val="00ED52FB"/>
    <w:rsid w:val="00ED5B92"/>
    <w:rsid w:val="00ED5FB5"/>
    <w:rsid w:val="00ED71BD"/>
    <w:rsid w:val="00ED7A8F"/>
    <w:rsid w:val="00ED7BFB"/>
    <w:rsid w:val="00ED7E53"/>
    <w:rsid w:val="00EE0ABC"/>
    <w:rsid w:val="00EE151F"/>
    <w:rsid w:val="00EE49A8"/>
    <w:rsid w:val="00EE4CF1"/>
    <w:rsid w:val="00EE5885"/>
    <w:rsid w:val="00EE5F09"/>
    <w:rsid w:val="00EF0CDD"/>
    <w:rsid w:val="00EF18C6"/>
    <w:rsid w:val="00EF1CCF"/>
    <w:rsid w:val="00EF256F"/>
    <w:rsid w:val="00EF3035"/>
    <w:rsid w:val="00EF6C8B"/>
    <w:rsid w:val="00EF7452"/>
    <w:rsid w:val="00EF7516"/>
    <w:rsid w:val="00F00A88"/>
    <w:rsid w:val="00F01792"/>
    <w:rsid w:val="00F01D77"/>
    <w:rsid w:val="00F01E17"/>
    <w:rsid w:val="00F021DB"/>
    <w:rsid w:val="00F03228"/>
    <w:rsid w:val="00F0356B"/>
    <w:rsid w:val="00F0606F"/>
    <w:rsid w:val="00F10A9D"/>
    <w:rsid w:val="00F10DD3"/>
    <w:rsid w:val="00F11880"/>
    <w:rsid w:val="00F1196A"/>
    <w:rsid w:val="00F12719"/>
    <w:rsid w:val="00F13F37"/>
    <w:rsid w:val="00F147C9"/>
    <w:rsid w:val="00F149E1"/>
    <w:rsid w:val="00F15CB6"/>
    <w:rsid w:val="00F15D04"/>
    <w:rsid w:val="00F1727B"/>
    <w:rsid w:val="00F17724"/>
    <w:rsid w:val="00F200C5"/>
    <w:rsid w:val="00F23B19"/>
    <w:rsid w:val="00F267CC"/>
    <w:rsid w:val="00F26D24"/>
    <w:rsid w:val="00F3097A"/>
    <w:rsid w:val="00F30B98"/>
    <w:rsid w:val="00F43352"/>
    <w:rsid w:val="00F45FA5"/>
    <w:rsid w:val="00F463A8"/>
    <w:rsid w:val="00F46CEF"/>
    <w:rsid w:val="00F46F3F"/>
    <w:rsid w:val="00F5178F"/>
    <w:rsid w:val="00F5247E"/>
    <w:rsid w:val="00F525FA"/>
    <w:rsid w:val="00F52CD3"/>
    <w:rsid w:val="00F55542"/>
    <w:rsid w:val="00F61EF2"/>
    <w:rsid w:val="00F62220"/>
    <w:rsid w:val="00F6399F"/>
    <w:rsid w:val="00F63D37"/>
    <w:rsid w:val="00F646EC"/>
    <w:rsid w:val="00F655DC"/>
    <w:rsid w:val="00F6563C"/>
    <w:rsid w:val="00F71183"/>
    <w:rsid w:val="00F71767"/>
    <w:rsid w:val="00F71967"/>
    <w:rsid w:val="00F71F8F"/>
    <w:rsid w:val="00F72196"/>
    <w:rsid w:val="00F72511"/>
    <w:rsid w:val="00F72F2D"/>
    <w:rsid w:val="00F73291"/>
    <w:rsid w:val="00F736F8"/>
    <w:rsid w:val="00F73F4B"/>
    <w:rsid w:val="00F74674"/>
    <w:rsid w:val="00F74975"/>
    <w:rsid w:val="00F74C20"/>
    <w:rsid w:val="00F7594A"/>
    <w:rsid w:val="00F75EE4"/>
    <w:rsid w:val="00F77387"/>
    <w:rsid w:val="00F815C9"/>
    <w:rsid w:val="00F81A92"/>
    <w:rsid w:val="00F81E22"/>
    <w:rsid w:val="00F81E73"/>
    <w:rsid w:val="00F8340F"/>
    <w:rsid w:val="00F84AED"/>
    <w:rsid w:val="00F84D24"/>
    <w:rsid w:val="00F87335"/>
    <w:rsid w:val="00F878D4"/>
    <w:rsid w:val="00F87CED"/>
    <w:rsid w:val="00F904C0"/>
    <w:rsid w:val="00F921DD"/>
    <w:rsid w:val="00F93A5B"/>
    <w:rsid w:val="00F964CF"/>
    <w:rsid w:val="00FA052A"/>
    <w:rsid w:val="00FA0930"/>
    <w:rsid w:val="00FA350F"/>
    <w:rsid w:val="00FA37B0"/>
    <w:rsid w:val="00FA4FE8"/>
    <w:rsid w:val="00FA5C12"/>
    <w:rsid w:val="00FA74FD"/>
    <w:rsid w:val="00FA78E2"/>
    <w:rsid w:val="00FB02EA"/>
    <w:rsid w:val="00FB08DF"/>
    <w:rsid w:val="00FB1864"/>
    <w:rsid w:val="00FB340D"/>
    <w:rsid w:val="00FB48B9"/>
    <w:rsid w:val="00FB49B5"/>
    <w:rsid w:val="00FB5505"/>
    <w:rsid w:val="00FB5ECC"/>
    <w:rsid w:val="00FB68AB"/>
    <w:rsid w:val="00FB77E4"/>
    <w:rsid w:val="00FB7D5A"/>
    <w:rsid w:val="00FC03A0"/>
    <w:rsid w:val="00FC16C7"/>
    <w:rsid w:val="00FC3CAE"/>
    <w:rsid w:val="00FC4430"/>
    <w:rsid w:val="00FC4C8B"/>
    <w:rsid w:val="00FC5613"/>
    <w:rsid w:val="00FD08F1"/>
    <w:rsid w:val="00FD0B89"/>
    <w:rsid w:val="00FD18C4"/>
    <w:rsid w:val="00FD2C96"/>
    <w:rsid w:val="00FD2E6B"/>
    <w:rsid w:val="00FD5475"/>
    <w:rsid w:val="00FD578B"/>
    <w:rsid w:val="00FD7A57"/>
    <w:rsid w:val="00FE0999"/>
    <w:rsid w:val="00FE2DD0"/>
    <w:rsid w:val="00FE4800"/>
    <w:rsid w:val="00FE50EC"/>
    <w:rsid w:val="00FE5D1E"/>
    <w:rsid w:val="00FE5EA8"/>
    <w:rsid w:val="00FE6185"/>
    <w:rsid w:val="00FE68BD"/>
    <w:rsid w:val="00FE7B36"/>
    <w:rsid w:val="00FF0EC1"/>
    <w:rsid w:val="00FF151E"/>
    <w:rsid w:val="00FF21C2"/>
    <w:rsid w:val="00FF23FD"/>
    <w:rsid w:val="00FF3775"/>
    <w:rsid w:val="00FF416F"/>
    <w:rsid w:val="00FF4178"/>
    <w:rsid w:val="00FF4F0D"/>
    <w:rsid w:val="00FF56DC"/>
    <w:rsid w:val="00FF6AAD"/>
    <w:rsid w:val="00FF6B9D"/>
    <w:rsid w:val="00FF703C"/>
    <w:rsid w:val="00FF753D"/>
    <w:rsid w:val="01057174"/>
    <w:rsid w:val="01091DB8"/>
    <w:rsid w:val="01664F33"/>
    <w:rsid w:val="01DA5358"/>
    <w:rsid w:val="01E72D24"/>
    <w:rsid w:val="02152772"/>
    <w:rsid w:val="02291BFF"/>
    <w:rsid w:val="027A76EE"/>
    <w:rsid w:val="02843559"/>
    <w:rsid w:val="028D20AE"/>
    <w:rsid w:val="02954528"/>
    <w:rsid w:val="02B81BCD"/>
    <w:rsid w:val="02E14401"/>
    <w:rsid w:val="02E72A90"/>
    <w:rsid w:val="032B6C3A"/>
    <w:rsid w:val="034C5C47"/>
    <w:rsid w:val="0398110D"/>
    <w:rsid w:val="03AE4BB7"/>
    <w:rsid w:val="03C2721C"/>
    <w:rsid w:val="03CA4098"/>
    <w:rsid w:val="03EF5BCA"/>
    <w:rsid w:val="045F50B9"/>
    <w:rsid w:val="046C68A4"/>
    <w:rsid w:val="047703D3"/>
    <w:rsid w:val="048111D6"/>
    <w:rsid w:val="048B5207"/>
    <w:rsid w:val="04A70542"/>
    <w:rsid w:val="04B35139"/>
    <w:rsid w:val="04B4706E"/>
    <w:rsid w:val="04CD3F1A"/>
    <w:rsid w:val="04D1736D"/>
    <w:rsid w:val="04E3486B"/>
    <w:rsid w:val="04FC088E"/>
    <w:rsid w:val="0500277F"/>
    <w:rsid w:val="050F05C1"/>
    <w:rsid w:val="05181BF9"/>
    <w:rsid w:val="05257DE5"/>
    <w:rsid w:val="056D13DD"/>
    <w:rsid w:val="059666A2"/>
    <w:rsid w:val="05A731E5"/>
    <w:rsid w:val="05BA3A62"/>
    <w:rsid w:val="05C54490"/>
    <w:rsid w:val="05D050DE"/>
    <w:rsid w:val="061E65E2"/>
    <w:rsid w:val="066565C1"/>
    <w:rsid w:val="067036AB"/>
    <w:rsid w:val="068C61F4"/>
    <w:rsid w:val="069178A6"/>
    <w:rsid w:val="069D0043"/>
    <w:rsid w:val="06AA0EA3"/>
    <w:rsid w:val="06E80BBF"/>
    <w:rsid w:val="07154BC0"/>
    <w:rsid w:val="07281077"/>
    <w:rsid w:val="072F0395"/>
    <w:rsid w:val="075C5614"/>
    <w:rsid w:val="07654AC3"/>
    <w:rsid w:val="077454EF"/>
    <w:rsid w:val="07CD1EF2"/>
    <w:rsid w:val="08020AB2"/>
    <w:rsid w:val="08470AEB"/>
    <w:rsid w:val="087430FC"/>
    <w:rsid w:val="088609EB"/>
    <w:rsid w:val="088E6EF7"/>
    <w:rsid w:val="08B32C17"/>
    <w:rsid w:val="08E31C50"/>
    <w:rsid w:val="08FB2EAC"/>
    <w:rsid w:val="09081D42"/>
    <w:rsid w:val="090F2CFE"/>
    <w:rsid w:val="09274272"/>
    <w:rsid w:val="09504B28"/>
    <w:rsid w:val="09561BD6"/>
    <w:rsid w:val="09676270"/>
    <w:rsid w:val="096D799C"/>
    <w:rsid w:val="09CC55C8"/>
    <w:rsid w:val="0A106D80"/>
    <w:rsid w:val="0A262600"/>
    <w:rsid w:val="0A32250E"/>
    <w:rsid w:val="0A3F14A0"/>
    <w:rsid w:val="0A5F23CC"/>
    <w:rsid w:val="0A7C18F6"/>
    <w:rsid w:val="0AB51320"/>
    <w:rsid w:val="0AB80DB3"/>
    <w:rsid w:val="0AD31E57"/>
    <w:rsid w:val="0AD446CA"/>
    <w:rsid w:val="0B10435E"/>
    <w:rsid w:val="0B3750CD"/>
    <w:rsid w:val="0B414AA6"/>
    <w:rsid w:val="0B952918"/>
    <w:rsid w:val="0BAD28F8"/>
    <w:rsid w:val="0BBD6DAC"/>
    <w:rsid w:val="0BD33891"/>
    <w:rsid w:val="0C0B4CBA"/>
    <w:rsid w:val="0C3E7947"/>
    <w:rsid w:val="0C8B6718"/>
    <w:rsid w:val="0C926671"/>
    <w:rsid w:val="0C955737"/>
    <w:rsid w:val="0CB01D44"/>
    <w:rsid w:val="0CBE317A"/>
    <w:rsid w:val="0CC3145D"/>
    <w:rsid w:val="0CC93748"/>
    <w:rsid w:val="0CCE0D62"/>
    <w:rsid w:val="0D1C195D"/>
    <w:rsid w:val="0D227DB6"/>
    <w:rsid w:val="0D482425"/>
    <w:rsid w:val="0D584FE9"/>
    <w:rsid w:val="0D5C7C15"/>
    <w:rsid w:val="0D6872E8"/>
    <w:rsid w:val="0DB0636D"/>
    <w:rsid w:val="0DB167C2"/>
    <w:rsid w:val="0DCB7ED1"/>
    <w:rsid w:val="0DE37BEA"/>
    <w:rsid w:val="0E5419AA"/>
    <w:rsid w:val="0E5F01F4"/>
    <w:rsid w:val="0E6E66D8"/>
    <w:rsid w:val="0E736994"/>
    <w:rsid w:val="0E736EC8"/>
    <w:rsid w:val="0E9B2EC6"/>
    <w:rsid w:val="0EA67F2E"/>
    <w:rsid w:val="0ECB619E"/>
    <w:rsid w:val="0ED13800"/>
    <w:rsid w:val="0EDB5FC3"/>
    <w:rsid w:val="0EDE4C18"/>
    <w:rsid w:val="0F0272D0"/>
    <w:rsid w:val="0F083839"/>
    <w:rsid w:val="0F2A48DA"/>
    <w:rsid w:val="0F5D37AA"/>
    <w:rsid w:val="0F7C1A3F"/>
    <w:rsid w:val="0F994023"/>
    <w:rsid w:val="0FA42FBE"/>
    <w:rsid w:val="0FA56856"/>
    <w:rsid w:val="0FA76637"/>
    <w:rsid w:val="0FB47431"/>
    <w:rsid w:val="0FC379A3"/>
    <w:rsid w:val="0FF55D31"/>
    <w:rsid w:val="102B2061"/>
    <w:rsid w:val="1033677A"/>
    <w:rsid w:val="103673EC"/>
    <w:rsid w:val="104264F0"/>
    <w:rsid w:val="10661E80"/>
    <w:rsid w:val="107563EC"/>
    <w:rsid w:val="108E4DD0"/>
    <w:rsid w:val="10AA6ADE"/>
    <w:rsid w:val="10FE6F3A"/>
    <w:rsid w:val="110756DE"/>
    <w:rsid w:val="111E2F89"/>
    <w:rsid w:val="113E1CE8"/>
    <w:rsid w:val="1149646B"/>
    <w:rsid w:val="11A67DAF"/>
    <w:rsid w:val="11AE2F10"/>
    <w:rsid w:val="11BB7151"/>
    <w:rsid w:val="11DE3894"/>
    <w:rsid w:val="11EA2670"/>
    <w:rsid w:val="11F01EF2"/>
    <w:rsid w:val="123F5AB2"/>
    <w:rsid w:val="125115C1"/>
    <w:rsid w:val="12535C57"/>
    <w:rsid w:val="125515DD"/>
    <w:rsid w:val="12697414"/>
    <w:rsid w:val="12862A45"/>
    <w:rsid w:val="12B22D98"/>
    <w:rsid w:val="12BB4A34"/>
    <w:rsid w:val="12EB1A25"/>
    <w:rsid w:val="131B309C"/>
    <w:rsid w:val="132F6200"/>
    <w:rsid w:val="134C6724"/>
    <w:rsid w:val="137912FC"/>
    <w:rsid w:val="139D4FEA"/>
    <w:rsid w:val="140446C5"/>
    <w:rsid w:val="14130A56"/>
    <w:rsid w:val="143B2A9E"/>
    <w:rsid w:val="149D7BED"/>
    <w:rsid w:val="14D507B4"/>
    <w:rsid w:val="14D51FAC"/>
    <w:rsid w:val="152529A7"/>
    <w:rsid w:val="15400323"/>
    <w:rsid w:val="156B00D6"/>
    <w:rsid w:val="156B1C33"/>
    <w:rsid w:val="157047C0"/>
    <w:rsid w:val="15887648"/>
    <w:rsid w:val="158A4FAF"/>
    <w:rsid w:val="158F0C47"/>
    <w:rsid w:val="15916DD0"/>
    <w:rsid w:val="15D22CA8"/>
    <w:rsid w:val="15E35820"/>
    <w:rsid w:val="15FF2EB0"/>
    <w:rsid w:val="162B0FD3"/>
    <w:rsid w:val="16415384"/>
    <w:rsid w:val="16516CA8"/>
    <w:rsid w:val="16573B76"/>
    <w:rsid w:val="16E90E79"/>
    <w:rsid w:val="16FF7D6A"/>
    <w:rsid w:val="17112371"/>
    <w:rsid w:val="172C2361"/>
    <w:rsid w:val="17330C1C"/>
    <w:rsid w:val="173F5AA6"/>
    <w:rsid w:val="175B345B"/>
    <w:rsid w:val="178A2938"/>
    <w:rsid w:val="178D59B4"/>
    <w:rsid w:val="17B658DB"/>
    <w:rsid w:val="17E87BE9"/>
    <w:rsid w:val="1807368E"/>
    <w:rsid w:val="18094E4C"/>
    <w:rsid w:val="181A32D5"/>
    <w:rsid w:val="18262D45"/>
    <w:rsid w:val="18345C55"/>
    <w:rsid w:val="1854609A"/>
    <w:rsid w:val="18634E1A"/>
    <w:rsid w:val="187A7FA7"/>
    <w:rsid w:val="18981081"/>
    <w:rsid w:val="189C54A0"/>
    <w:rsid w:val="189D1DA0"/>
    <w:rsid w:val="18A878B6"/>
    <w:rsid w:val="18B85D9C"/>
    <w:rsid w:val="18FB3E53"/>
    <w:rsid w:val="18FE58CB"/>
    <w:rsid w:val="191804CF"/>
    <w:rsid w:val="191B4BCA"/>
    <w:rsid w:val="19317DB9"/>
    <w:rsid w:val="198D5962"/>
    <w:rsid w:val="19BF2FD4"/>
    <w:rsid w:val="19F5691B"/>
    <w:rsid w:val="19F94F44"/>
    <w:rsid w:val="1A2E7A8E"/>
    <w:rsid w:val="1A3D49DF"/>
    <w:rsid w:val="1A6C5716"/>
    <w:rsid w:val="1A7173BA"/>
    <w:rsid w:val="1A846F04"/>
    <w:rsid w:val="1A863A12"/>
    <w:rsid w:val="1A9620B0"/>
    <w:rsid w:val="1AA608A8"/>
    <w:rsid w:val="1AB71298"/>
    <w:rsid w:val="1AE11AD0"/>
    <w:rsid w:val="1B083691"/>
    <w:rsid w:val="1B1367CF"/>
    <w:rsid w:val="1B37456E"/>
    <w:rsid w:val="1B382C33"/>
    <w:rsid w:val="1B3E2A67"/>
    <w:rsid w:val="1B5D2B0E"/>
    <w:rsid w:val="1B8617B4"/>
    <w:rsid w:val="1BB73177"/>
    <w:rsid w:val="1BC4243D"/>
    <w:rsid w:val="1BD61F8D"/>
    <w:rsid w:val="1C104180"/>
    <w:rsid w:val="1C144751"/>
    <w:rsid w:val="1C4F0B6A"/>
    <w:rsid w:val="1C9E005B"/>
    <w:rsid w:val="1CA432B0"/>
    <w:rsid w:val="1CB25648"/>
    <w:rsid w:val="1CE61711"/>
    <w:rsid w:val="1CE974F2"/>
    <w:rsid w:val="1CF7773A"/>
    <w:rsid w:val="1D0F5D70"/>
    <w:rsid w:val="1D2D315B"/>
    <w:rsid w:val="1D437D3B"/>
    <w:rsid w:val="1D59526B"/>
    <w:rsid w:val="1D682FCE"/>
    <w:rsid w:val="1D7A117E"/>
    <w:rsid w:val="1D873604"/>
    <w:rsid w:val="1D9C5D26"/>
    <w:rsid w:val="1DE50346"/>
    <w:rsid w:val="1DF37ACA"/>
    <w:rsid w:val="1E0E2315"/>
    <w:rsid w:val="1E5A7B00"/>
    <w:rsid w:val="1E646764"/>
    <w:rsid w:val="1E6853F7"/>
    <w:rsid w:val="1E740A3E"/>
    <w:rsid w:val="1E942105"/>
    <w:rsid w:val="1EA0138E"/>
    <w:rsid w:val="1EAD68A3"/>
    <w:rsid w:val="1EB00E11"/>
    <w:rsid w:val="1EE53CE9"/>
    <w:rsid w:val="1EE64207"/>
    <w:rsid w:val="1EF84D13"/>
    <w:rsid w:val="1F015D54"/>
    <w:rsid w:val="1F1F404B"/>
    <w:rsid w:val="1F2963B9"/>
    <w:rsid w:val="1F3225AD"/>
    <w:rsid w:val="1F3666C1"/>
    <w:rsid w:val="1F4D63BF"/>
    <w:rsid w:val="1F695471"/>
    <w:rsid w:val="1FA470AA"/>
    <w:rsid w:val="1FAA2794"/>
    <w:rsid w:val="1FBC5A21"/>
    <w:rsid w:val="1FBD0D9F"/>
    <w:rsid w:val="1FBF5378"/>
    <w:rsid w:val="1FC33F86"/>
    <w:rsid w:val="1FD079DE"/>
    <w:rsid w:val="1FD62287"/>
    <w:rsid w:val="1FF92F45"/>
    <w:rsid w:val="200015B6"/>
    <w:rsid w:val="201F09E4"/>
    <w:rsid w:val="202805BE"/>
    <w:rsid w:val="202F7E27"/>
    <w:rsid w:val="203901FA"/>
    <w:rsid w:val="206F2329"/>
    <w:rsid w:val="20785859"/>
    <w:rsid w:val="20861356"/>
    <w:rsid w:val="20DD33C7"/>
    <w:rsid w:val="20E9534B"/>
    <w:rsid w:val="212168D9"/>
    <w:rsid w:val="212E1977"/>
    <w:rsid w:val="21314A20"/>
    <w:rsid w:val="21454EFA"/>
    <w:rsid w:val="2177331E"/>
    <w:rsid w:val="217C5665"/>
    <w:rsid w:val="21827EE2"/>
    <w:rsid w:val="220F70A1"/>
    <w:rsid w:val="225B0A48"/>
    <w:rsid w:val="225E4A2F"/>
    <w:rsid w:val="22646AC5"/>
    <w:rsid w:val="22794E74"/>
    <w:rsid w:val="22A0211B"/>
    <w:rsid w:val="22A03185"/>
    <w:rsid w:val="22A121BE"/>
    <w:rsid w:val="22C75BE0"/>
    <w:rsid w:val="23243073"/>
    <w:rsid w:val="237F6303"/>
    <w:rsid w:val="238B4E5F"/>
    <w:rsid w:val="240309B7"/>
    <w:rsid w:val="2415200F"/>
    <w:rsid w:val="2423153B"/>
    <w:rsid w:val="24722B1D"/>
    <w:rsid w:val="24744F65"/>
    <w:rsid w:val="2485369E"/>
    <w:rsid w:val="24A226C2"/>
    <w:rsid w:val="24BE768F"/>
    <w:rsid w:val="24CD0A36"/>
    <w:rsid w:val="24F76C4E"/>
    <w:rsid w:val="254611E8"/>
    <w:rsid w:val="254A758B"/>
    <w:rsid w:val="254E2699"/>
    <w:rsid w:val="2551032A"/>
    <w:rsid w:val="255E4722"/>
    <w:rsid w:val="25666677"/>
    <w:rsid w:val="2579401F"/>
    <w:rsid w:val="257C7869"/>
    <w:rsid w:val="25C66622"/>
    <w:rsid w:val="25CD3837"/>
    <w:rsid w:val="25D421F9"/>
    <w:rsid w:val="25D80104"/>
    <w:rsid w:val="25EE1E11"/>
    <w:rsid w:val="25FE64A2"/>
    <w:rsid w:val="26134C40"/>
    <w:rsid w:val="261846D3"/>
    <w:rsid w:val="262B372C"/>
    <w:rsid w:val="263B7010"/>
    <w:rsid w:val="265A6D6B"/>
    <w:rsid w:val="265B348D"/>
    <w:rsid w:val="26B75F6B"/>
    <w:rsid w:val="26F577F9"/>
    <w:rsid w:val="271436A9"/>
    <w:rsid w:val="272D1FDB"/>
    <w:rsid w:val="273D1E10"/>
    <w:rsid w:val="27497F21"/>
    <w:rsid w:val="276341A2"/>
    <w:rsid w:val="27766970"/>
    <w:rsid w:val="277E0D9B"/>
    <w:rsid w:val="27882E27"/>
    <w:rsid w:val="278A1E73"/>
    <w:rsid w:val="27CB4624"/>
    <w:rsid w:val="27D54B85"/>
    <w:rsid w:val="280020F4"/>
    <w:rsid w:val="28016741"/>
    <w:rsid w:val="28362935"/>
    <w:rsid w:val="284D138A"/>
    <w:rsid w:val="28567F72"/>
    <w:rsid w:val="287E31E4"/>
    <w:rsid w:val="28A15F15"/>
    <w:rsid w:val="28A95D87"/>
    <w:rsid w:val="28BB3B18"/>
    <w:rsid w:val="28C36E49"/>
    <w:rsid w:val="28CF06A1"/>
    <w:rsid w:val="28E75DD6"/>
    <w:rsid w:val="28F456DC"/>
    <w:rsid w:val="28FF7F73"/>
    <w:rsid w:val="290336EA"/>
    <w:rsid w:val="29347D47"/>
    <w:rsid w:val="294A30C6"/>
    <w:rsid w:val="295B5406"/>
    <w:rsid w:val="29777C08"/>
    <w:rsid w:val="298174AA"/>
    <w:rsid w:val="29BB0AB0"/>
    <w:rsid w:val="29DF4EED"/>
    <w:rsid w:val="2A4E7883"/>
    <w:rsid w:val="2A683248"/>
    <w:rsid w:val="2A854AAC"/>
    <w:rsid w:val="2AE55981"/>
    <w:rsid w:val="2AE70FCE"/>
    <w:rsid w:val="2B120F7D"/>
    <w:rsid w:val="2B131F01"/>
    <w:rsid w:val="2B1D7843"/>
    <w:rsid w:val="2B3475D7"/>
    <w:rsid w:val="2B382006"/>
    <w:rsid w:val="2B75232D"/>
    <w:rsid w:val="2B821CAB"/>
    <w:rsid w:val="2B8A731D"/>
    <w:rsid w:val="2BC03B14"/>
    <w:rsid w:val="2BFC07F2"/>
    <w:rsid w:val="2C053111"/>
    <w:rsid w:val="2C1D0CD9"/>
    <w:rsid w:val="2C3B319A"/>
    <w:rsid w:val="2C4A36FD"/>
    <w:rsid w:val="2C5742D6"/>
    <w:rsid w:val="2C676DE9"/>
    <w:rsid w:val="2C6C4BD5"/>
    <w:rsid w:val="2C6C5299"/>
    <w:rsid w:val="2C7607D5"/>
    <w:rsid w:val="2CC71B09"/>
    <w:rsid w:val="2CD17838"/>
    <w:rsid w:val="2D157E8F"/>
    <w:rsid w:val="2D4277A9"/>
    <w:rsid w:val="2D7A32FD"/>
    <w:rsid w:val="2D8A262B"/>
    <w:rsid w:val="2D8B3296"/>
    <w:rsid w:val="2DB63A64"/>
    <w:rsid w:val="2E0A72C8"/>
    <w:rsid w:val="2E1F29F9"/>
    <w:rsid w:val="2E23484C"/>
    <w:rsid w:val="2E32727B"/>
    <w:rsid w:val="2E857B1B"/>
    <w:rsid w:val="2E9979B0"/>
    <w:rsid w:val="2EAA6D5B"/>
    <w:rsid w:val="2EAB74D1"/>
    <w:rsid w:val="2EC41B6D"/>
    <w:rsid w:val="2EE82CBC"/>
    <w:rsid w:val="2EE9750A"/>
    <w:rsid w:val="2F22487C"/>
    <w:rsid w:val="2F224EB2"/>
    <w:rsid w:val="2F2E58DD"/>
    <w:rsid w:val="2F622AC8"/>
    <w:rsid w:val="2F6805A7"/>
    <w:rsid w:val="2F6F1C4B"/>
    <w:rsid w:val="2F763C18"/>
    <w:rsid w:val="2F902E20"/>
    <w:rsid w:val="2FB742F3"/>
    <w:rsid w:val="2FDF3879"/>
    <w:rsid w:val="2FFD0E93"/>
    <w:rsid w:val="2FFE7AEF"/>
    <w:rsid w:val="300F1588"/>
    <w:rsid w:val="3025032E"/>
    <w:rsid w:val="307A7B4F"/>
    <w:rsid w:val="308204A7"/>
    <w:rsid w:val="309009EE"/>
    <w:rsid w:val="30A42596"/>
    <w:rsid w:val="30B04FD3"/>
    <w:rsid w:val="30FE70C9"/>
    <w:rsid w:val="3106106A"/>
    <w:rsid w:val="312F37F0"/>
    <w:rsid w:val="313A111E"/>
    <w:rsid w:val="31520047"/>
    <w:rsid w:val="31537F45"/>
    <w:rsid w:val="31705E42"/>
    <w:rsid w:val="319C677B"/>
    <w:rsid w:val="31AF13B8"/>
    <w:rsid w:val="31D125D7"/>
    <w:rsid w:val="32252F37"/>
    <w:rsid w:val="32553658"/>
    <w:rsid w:val="32553CE6"/>
    <w:rsid w:val="32644BAC"/>
    <w:rsid w:val="32905B96"/>
    <w:rsid w:val="32930A5B"/>
    <w:rsid w:val="329D33DA"/>
    <w:rsid w:val="32A95302"/>
    <w:rsid w:val="32C95D50"/>
    <w:rsid w:val="32DF419F"/>
    <w:rsid w:val="32E048C1"/>
    <w:rsid w:val="32E121BE"/>
    <w:rsid w:val="3335016B"/>
    <w:rsid w:val="339E41DA"/>
    <w:rsid w:val="33A844F9"/>
    <w:rsid w:val="33D1523F"/>
    <w:rsid w:val="33D777A9"/>
    <w:rsid w:val="33DC1707"/>
    <w:rsid w:val="34056568"/>
    <w:rsid w:val="34204816"/>
    <w:rsid w:val="34714749"/>
    <w:rsid w:val="34727975"/>
    <w:rsid w:val="34881E31"/>
    <w:rsid w:val="34925AE1"/>
    <w:rsid w:val="34A04463"/>
    <w:rsid w:val="34AE6BFF"/>
    <w:rsid w:val="34D4239D"/>
    <w:rsid w:val="350D72B0"/>
    <w:rsid w:val="350E3B42"/>
    <w:rsid w:val="3511180E"/>
    <w:rsid w:val="35240DA2"/>
    <w:rsid w:val="35257571"/>
    <w:rsid w:val="352B0C6C"/>
    <w:rsid w:val="35335357"/>
    <w:rsid w:val="3538471B"/>
    <w:rsid w:val="3576039C"/>
    <w:rsid w:val="358362DE"/>
    <w:rsid w:val="359A1A3F"/>
    <w:rsid w:val="359C1EFA"/>
    <w:rsid w:val="35C6441D"/>
    <w:rsid w:val="35DE52C2"/>
    <w:rsid w:val="35E40CDB"/>
    <w:rsid w:val="36165E9C"/>
    <w:rsid w:val="361E5856"/>
    <w:rsid w:val="36801F82"/>
    <w:rsid w:val="368C4D1E"/>
    <w:rsid w:val="3694658E"/>
    <w:rsid w:val="369A1340"/>
    <w:rsid w:val="36B97ADD"/>
    <w:rsid w:val="36BE6024"/>
    <w:rsid w:val="36D85F49"/>
    <w:rsid w:val="36F6263B"/>
    <w:rsid w:val="36FD0A51"/>
    <w:rsid w:val="372543F3"/>
    <w:rsid w:val="37297180"/>
    <w:rsid w:val="37500442"/>
    <w:rsid w:val="3755743A"/>
    <w:rsid w:val="376E2676"/>
    <w:rsid w:val="379579C1"/>
    <w:rsid w:val="37A35F2C"/>
    <w:rsid w:val="37B00763"/>
    <w:rsid w:val="37CC19B1"/>
    <w:rsid w:val="3855296F"/>
    <w:rsid w:val="388218D8"/>
    <w:rsid w:val="38E56105"/>
    <w:rsid w:val="38FE0FCD"/>
    <w:rsid w:val="391159AF"/>
    <w:rsid w:val="39243452"/>
    <w:rsid w:val="39551D3F"/>
    <w:rsid w:val="396C2964"/>
    <w:rsid w:val="39751204"/>
    <w:rsid w:val="39940E67"/>
    <w:rsid w:val="39C537BE"/>
    <w:rsid w:val="39DF78D8"/>
    <w:rsid w:val="3A0D1C0B"/>
    <w:rsid w:val="3A0E6242"/>
    <w:rsid w:val="3A171FAE"/>
    <w:rsid w:val="3A4D3E2C"/>
    <w:rsid w:val="3A625555"/>
    <w:rsid w:val="3A957526"/>
    <w:rsid w:val="3ABE0A43"/>
    <w:rsid w:val="3B120EEC"/>
    <w:rsid w:val="3B4007CD"/>
    <w:rsid w:val="3B561B9E"/>
    <w:rsid w:val="3B5F2697"/>
    <w:rsid w:val="3B9C2681"/>
    <w:rsid w:val="3BAB0D92"/>
    <w:rsid w:val="3BB014AF"/>
    <w:rsid w:val="3BB05F7B"/>
    <w:rsid w:val="3BC7134F"/>
    <w:rsid w:val="3BD65482"/>
    <w:rsid w:val="3BDA21E6"/>
    <w:rsid w:val="3BF710C3"/>
    <w:rsid w:val="3BFA41D5"/>
    <w:rsid w:val="3C186EE1"/>
    <w:rsid w:val="3C257429"/>
    <w:rsid w:val="3C430575"/>
    <w:rsid w:val="3C4E2A76"/>
    <w:rsid w:val="3C537840"/>
    <w:rsid w:val="3C752089"/>
    <w:rsid w:val="3C935671"/>
    <w:rsid w:val="3C9A2BEA"/>
    <w:rsid w:val="3CB25F15"/>
    <w:rsid w:val="3CBE7E9F"/>
    <w:rsid w:val="3CC71CA8"/>
    <w:rsid w:val="3CE42A47"/>
    <w:rsid w:val="3D581D30"/>
    <w:rsid w:val="3D893AC8"/>
    <w:rsid w:val="3DE90F80"/>
    <w:rsid w:val="3E2C3425"/>
    <w:rsid w:val="3E4531BF"/>
    <w:rsid w:val="3EA237B6"/>
    <w:rsid w:val="3EA47F39"/>
    <w:rsid w:val="3EB45F2A"/>
    <w:rsid w:val="3EC20B33"/>
    <w:rsid w:val="3EF141B2"/>
    <w:rsid w:val="3EF33AC7"/>
    <w:rsid w:val="3F043070"/>
    <w:rsid w:val="3F13697E"/>
    <w:rsid w:val="3F395C5F"/>
    <w:rsid w:val="3F45521F"/>
    <w:rsid w:val="3F47451F"/>
    <w:rsid w:val="3F504504"/>
    <w:rsid w:val="3F65239A"/>
    <w:rsid w:val="3F941438"/>
    <w:rsid w:val="3FAB065C"/>
    <w:rsid w:val="404223B5"/>
    <w:rsid w:val="404253A9"/>
    <w:rsid w:val="405254E0"/>
    <w:rsid w:val="408325EF"/>
    <w:rsid w:val="40B05787"/>
    <w:rsid w:val="40B94AF3"/>
    <w:rsid w:val="40BC06B7"/>
    <w:rsid w:val="40DA7A41"/>
    <w:rsid w:val="40EE7F4E"/>
    <w:rsid w:val="40FB40E0"/>
    <w:rsid w:val="41177778"/>
    <w:rsid w:val="41285293"/>
    <w:rsid w:val="4152035E"/>
    <w:rsid w:val="41B702A6"/>
    <w:rsid w:val="41CE5F28"/>
    <w:rsid w:val="41D43A1D"/>
    <w:rsid w:val="41E31BBB"/>
    <w:rsid w:val="41ED786B"/>
    <w:rsid w:val="41FF6CEC"/>
    <w:rsid w:val="422D4817"/>
    <w:rsid w:val="42336EDC"/>
    <w:rsid w:val="423D2056"/>
    <w:rsid w:val="42446DF5"/>
    <w:rsid w:val="425C6909"/>
    <w:rsid w:val="426E308D"/>
    <w:rsid w:val="42BB32A7"/>
    <w:rsid w:val="42BE7383"/>
    <w:rsid w:val="42BF51CA"/>
    <w:rsid w:val="42CA7724"/>
    <w:rsid w:val="4323123C"/>
    <w:rsid w:val="43366B3C"/>
    <w:rsid w:val="438A0837"/>
    <w:rsid w:val="439B42E3"/>
    <w:rsid w:val="43B27614"/>
    <w:rsid w:val="43CD3F67"/>
    <w:rsid w:val="43CF05F4"/>
    <w:rsid w:val="43F90B17"/>
    <w:rsid w:val="440D04B5"/>
    <w:rsid w:val="44173664"/>
    <w:rsid w:val="441A5CAD"/>
    <w:rsid w:val="445B7A45"/>
    <w:rsid w:val="44626241"/>
    <w:rsid w:val="44644441"/>
    <w:rsid w:val="446948F1"/>
    <w:rsid w:val="446B2045"/>
    <w:rsid w:val="44957494"/>
    <w:rsid w:val="44CE29A6"/>
    <w:rsid w:val="45126190"/>
    <w:rsid w:val="451429BB"/>
    <w:rsid w:val="45302890"/>
    <w:rsid w:val="45366970"/>
    <w:rsid w:val="45431A93"/>
    <w:rsid w:val="454D5FC1"/>
    <w:rsid w:val="45535C43"/>
    <w:rsid w:val="45800144"/>
    <w:rsid w:val="458217E0"/>
    <w:rsid w:val="45910E05"/>
    <w:rsid w:val="4599617B"/>
    <w:rsid w:val="45DE61D5"/>
    <w:rsid w:val="45E529EA"/>
    <w:rsid w:val="46026AA6"/>
    <w:rsid w:val="460B0BC5"/>
    <w:rsid w:val="462438B8"/>
    <w:rsid w:val="462E1B1C"/>
    <w:rsid w:val="4646138E"/>
    <w:rsid w:val="46782929"/>
    <w:rsid w:val="467C4DAF"/>
    <w:rsid w:val="46AC31BB"/>
    <w:rsid w:val="46B30817"/>
    <w:rsid w:val="46C4652A"/>
    <w:rsid w:val="46E03221"/>
    <w:rsid w:val="46EE6131"/>
    <w:rsid w:val="46FE4BEF"/>
    <w:rsid w:val="47054969"/>
    <w:rsid w:val="47160BCA"/>
    <w:rsid w:val="471E532F"/>
    <w:rsid w:val="472D4050"/>
    <w:rsid w:val="47353157"/>
    <w:rsid w:val="47357C6D"/>
    <w:rsid w:val="47413AD5"/>
    <w:rsid w:val="47753997"/>
    <w:rsid w:val="479D0736"/>
    <w:rsid w:val="47BF45EC"/>
    <w:rsid w:val="47C6205A"/>
    <w:rsid w:val="47D30E6E"/>
    <w:rsid w:val="47D31C64"/>
    <w:rsid w:val="47D744B6"/>
    <w:rsid w:val="481132D5"/>
    <w:rsid w:val="48502589"/>
    <w:rsid w:val="485F6C27"/>
    <w:rsid w:val="48937526"/>
    <w:rsid w:val="489F6B33"/>
    <w:rsid w:val="48A44149"/>
    <w:rsid w:val="48C25198"/>
    <w:rsid w:val="48C47F1B"/>
    <w:rsid w:val="48D87541"/>
    <w:rsid w:val="48F30D3D"/>
    <w:rsid w:val="48F84495"/>
    <w:rsid w:val="49205746"/>
    <w:rsid w:val="493A5DF4"/>
    <w:rsid w:val="495116FB"/>
    <w:rsid w:val="49702E39"/>
    <w:rsid w:val="4975507C"/>
    <w:rsid w:val="49797AD6"/>
    <w:rsid w:val="497B4803"/>
    <w:rsid w:val="49807B7B"/>
    <w:rsid w:val="499D7295"/>
    <w:rsid w:val="49A32874"/>
    <w:rsid w:val="4A170301"/>
    <w:rsid w:val="4A1B3ACE"/>
    <w:rsid w:val="4A2D63C1"/>
    <w:rsid w:val="4A3B62B0"/>
    <w:rsid w:val="4A4C592A"/>
    <w:rsid w:val="4A4E669E"/>
    <w:rsid w:val="4A6B427E"/>
    <w:rsid w:val="4A837DF0"/>
    <w:rsid w:val="4A891664"/>
    <w:rsid w:val="4A944B06"/>
    <w:rsid w:val="4A9B3B72"/>
    <w:rsid w:val="4AC667B8"/>
    <w:rsid w:val="4AEF35CA"/>
    <w:rsid w:val="4B073A20"/>
    <w:rsid w:val="4B143418"/>
    <w:rsid w:val="4B1F66F8"/>
    <w:rsid w:val="4B23074F"/>
    <w:rsid w:val="4B2C48CA"/>
    <w:rsid w:val="4B3D45DA"/>
    <w:rsid w:val="4B466C66"/>
    <w:rsid w:val="4B512B86"/>
    <w:rsid w:val="4B7B6EEB"/>
    <w:rsid w:val="4B9D2C72"/>
    <w:rsid w:val="4B9E726D"/>
    <w:rsid w:val="4BAB57EF"/>
    <w:rsid w:val="4BF22F94"/>
    <w:rsid w:val="4C236710"/>
    <w:rsid w:val="4C3D16D4"/>
    <w:rsid w:val="4C68272A"/>
    <w:rsid w:val="4C776384"/>
    <w:rsid w:val="4C7C51AC"/>
    <w:rsid w:val="4CA86196"/>
    <w:rsid w:val="4CAA325C"/>
    <w:rsid w:val="4CC03170"/>
    <w:rsid w:val="4CC3460A"/>
    <w:rsid w:val="4CC96BF4"/>
    <w:rsid w:val="4CF224C3"/>
    <w:rsid w:val="4CF729C2"/>
    <w:rsid w:val="4D443722"/>
    <w:rsid w:val="4D50397E"/>
    <w:rsid w:val="4D56754C"/>
    <w:rsid w:val="4D7D31BB"/>
    <w:rsid w:val="4D890CA8"/>
    <w:rsid w:val="4D8F4FD9"/>
    <w:rsid w:val="4D926C66"/>
    <w:rsid w:val="4D9D597F"/>
    <w:rsid w:val="4DA43078"/>
    <w:rsid w:val="4DA71A49"/>
    <w:rsid w:val="4DBF769C"/>
    <w:rsid w:val="4DED6593"/>
    <w:rsid w:val="4DEF1D3B"/>
    <w:rsid w:val="4DF12809"/>
    <w:rsid w:val="4E043DC1"/>
    <w:rsid w:val="4E12551C"/>
    <w:rsid w:val="4E3A2C4F"/>
    <w:rsid w:val="4E3F7A8E"/>
    <w:rsid w:val="4E5B0B53"/>
    <w:rsid w:val="4E921E2E"/>
    <w:rsid w:val="4E965BF7"/>
    <w:rsid w:val="4EB710E1"/>
    <w:rsid w:val="4F2B5053"/>
    <w:rsid w:val="4F5E791F"/>
    <w:rsid w:val="4F672B18"/>
    <w:rsid w:val="4F994CB5"/>
    <w:rsid w:val="4FB170A0"/>
    <w:rsid w:val="4FBC00C9"/>
    <w:rsid w:val="4FCD6206"/>
    <w:rsid w:val="4FDD4C3B"/>
    <w:rsid w:val="4FF16761"/>
    <w:rsid w:val="4FF82FCD"/>
    <w:rsid w:val="50163F3B"/>
    <w:rsid w:val="504E6A51"/>
    <w:rsid w:val="5086142D"/>
    <w:rsid w:val="50A31016"/>
    <w:rsid w:val="50C60DD3"/>
    <w:rsid w:val="50CB27D9"/>
    <w:rsid w:val="50F86241"/>
    <w:rsid w:val="50FA6B0E"/>
    <w:rsid w:val="50FC7506"/>
    <w:rsid w:val="510752DB"/>
    <w:rsid w:val="510F6820"/>
    <w:rsid w:val="513B39A9"/>
    <w:rsid w:val="51416F5E"/>
    <w:rsid w:val="516A3A56"/>
    <w:rsid w:val="517B7A06"/>
    <w:rsid w:val="518F4E5F"/>
    <w:rsid w:val="51CA76A1"/>
    <w:rsid w:val="51E2029D"/>
    <w:rsid w:val="51F93C67"/>
    <w:rsid w:val="521F0CE5"/>
    <w:rsid w:val="52242B61"/>
    <w:rsid w:val="522B7F7F"/>
    <w:rsid w:val="5244465C"/>
    <w:rsid w:val="525210BA"/>
    <w:rsid w:val="527D17B1"/>
    <w:rsid w:val="527E490B"/>
    <w:rsid w:val="52CD5976"/>
    <w:rsid w:val="52D31CE5"/>
    <w:rsid w:val="52D42BCC"/>
    <w:rsid w:val="52EF4289"/>
    <w:rsid w:val="53163E96"/>
    <w:rsid w:val="534A1636"/>
    <w:rsid w:val="534B5299"/>
    <w:rsid w:val="535E583D"/>
    <w:rsid w:val="538F3C48"/>
    <w:rsid w:val="53A67E78"/>
    <w:rsid w:val="547E5133"/>
    <w:rsid w:val="54840294"/>
    <w:rsid w:val="54B71115"/>
    <w:rsid w:val="54D4046E"/>
    <w:rsid w:val="54EF0874"/>
    <w:rsid w:val="55137FA3"/>
    <w:rsid w:val="554F4585"/>
    <w:rsid w:val="5589454B"/>
    <w:rsid w:val="55B367BE"/>
    <w:rsid w:val="55BF7115"/>
    <w:rsid w:val="55C04854"/>
    <w:rsid w:val="55DA73FC"/>
    <w:rsid w:val="56350AD7"/>
    <w:rsid w:val="5647129A"/>
    <w:rsid w:val="564725B8"/>
    <w:rsid w:val="5678249A"/>
    <w:rsid w:val="569951D6"/>
    <w:rsid w:val="569C1F45"/>
    <w:rsid w:val="56A5050F"/>
    <w:rsid w:val="56B80A1E"/>
    <w:rsid w:val="56D77DE0"/>
    <w:rsid w:val="572A43B4"/>
    <w:rsid w:val="5749169C"/>
    <w:rsid w:val="574B0578"/>
    <w:rsid w:val="575B031C"/>
    <w:rsid w:val="576059DC"/>
    <w:rsid w:val="57724F91"/>
    <w:rsid w:val="577F7B44"/>
    <w:rsid w:val="57821453"/>
    <w:rsid w:val="578364CE"/>
    <w:rsid w:val="57CA0DDC"/>
    <w:rsid w:val="580C3A12"/>
    <w:rsid w:val="5812150A"/>
    <w:rsid w:val="5848109C"/>
    <w:rsid w:val="586C188E"/>
    <w:rsid w:val="58706EC5"/>
    <w:rsid w:val="5882172C"/>
    <w:rsid w:val="58A75D23"/>
    <w:rsid w:val="58B914D2"/>
    <w:rsid w:val="58C0728E"/>
    <w:rsid w:val="58EE65B7"/>
    <w:rsid w:val="58F30491"/>
    <w:rsid w:val="595C265B"/>
    <w:rsid w:val="59734E4D"/>
    <w:rsid w:val="597936DB"/>
    <w:rsid w:val="59815811"/>
    <w:rsid w:val="59924F82"/>
    <w:rsid w:val="59A07617"/>
    <w:rsid w:val="59B71052"/>
    <w:rsid w:val="59D4145F"/>
    <w:rsid w:val="5A257E64"/>
    <w:rsid w:val="5A3277FC"/>
    <w:rsid w:val="5A5E4A81"/>
    <w:rsid w:val="5A772751"/>
    <w:rsid w:val="5A7E66FB"/>
    <w:rsid w:val="5ABA2FDF"/>
    <w:rsid w:val="5B2D640F"/>
    <w:rsid w:val="5B5703CE"/>
    <w:rsid w:val="5B633094"/>
    <w:rsid w:val="5BB84237"/>
    <w:rsid w:val="5BC12FE3"/>
    <w:rsid w:val="5BED0BE1"/>
    <w:rsid w:val="5BFD16D8"/>
    <w:rsid w:val="5C343BF4"/>
    <w:rsid w:val="5C427C6C"/>
    <w:rsid w:val="5C6E6AF1"/>
    <w:rsid w:val="5C9302E8"/>
    <w:rsid w:val="5C951009"/>
    <w:rsid w:val="5C9732F8"/>
    <w:rsid w:val="5CB37AD2"/>
    <w:rsid w:val="5CE87F9D"/>
    <w:rsid w:val="5D0134C1"/>
    <w:rsid w:val="5D0905C7"/>
    <w:rsid w:val="5D1906AD"/>
    <w:rsid w:val="5D854CC5"/>
    <w:rsid w:val="5D8B7388"/>
    <w:rsid w:val="5DAE1718"/>
    <w:rsid w:val="5DB86BDF"/>
    <w:rsid w:val="5DD6354A"/>
    <w:rsid w:val="5E0E2BE8"/>
    <w:rsid w:val="5E121B4B"/>
    <w:rsid w:val="5E1B0AB7"/>
    <w:rsid w:val="5E5D66C4"/>
    <w:rsid w:val="5EC563CA"/>
    <w:rsid w:val="5EC56FAB"/>
    <w:rsid w:val="5EED4BD2"/>
    <w:rsid w:val="5F14420B"/>
    <w:rsid w:val="5F394304"/>
    <w:rsid w:val="5F527F33"/>
    <w:rsid w:val="5F592B72"/>
    <w:rsid w:val="5F846691"/>
    <w:rsid w:val="5F867FE8"/>
    <w:rsid w:val="5F877B19"/>
    <w:rsid w:val="5FAB683B"/>
    <w:rsid w:val="5FAD1F65"/>
    <w:rsid w:val="5FC34600"/>
    <w:rsid w:val="5FE56D85"/>
    <w:rsid w:val="60397415"/>
    <w:rsid w:val="60745818"/>
    <w:rsid w:val="60D86C2E"/>
    <w:rsid w:val="60F86CCC"/>
    <w:rsid w:val="612B0CDA"/>
    <w:rsid w:val="612C2AD6"/>
    <w:rsid w:val="61634BDE"/>
    <w:rsid w:val="618C65A0"/>
    <w:rsid w:val="619927F4"/>
    <w:rsid w:val="619E1E1A"/>
    <w:rsid w:val="61A217E0"/>
    <w:rsid w:val="61A47AB6"/>
    <w:rsid w:val="61B3691E"/>
    <w:rsid w:val="61D44796"/>
    <w:rsid w:val="61E31DE8"/>
    <w:rsid w:val="61E72512"/>
    <w:rsid w:val="62026496"/>
    <w:rsid w:val="627570E2"/>
    <w:rsid w:val="62CC05BD"/>
    <w:rsid w:val="62CF2FBC"/>
    <w:rsid w:val="62DF1B29"/>
    <w:rsid w:val="63402869"/>
    <w:rsid w:val="63411783"/>
    <w:rsid w:val="634569FB"/>
    <w:rsid w:val="634F1558"/>
    <w:rsid w:val="635B3CBB"/>
    <w:rsid w:val="6361115D"/>
    <w:rsid w:val="637169F7"/>
    <w:rsid w:val="63766023"/>
    <w:rsid w:val="63810D20"/>
    <w:rsid w:val="638E4697"/>
    <w:rsid w:val="639F3A33"/>
    <w:rsid w:val="63A1155A"/>
    <w:rsid w:val="63B13F4A"/>
    <w:rsid w:val="63D31A11"/>
    <w:rsid w:val="63E25311"/>
    <w:rsid w:val="640837C9"/>
    <w:rsid w:val="641536BE"/>
    <w:rsid w:val="64195948"/>
    <w:rsid w:val="642A38B4"/>
    <w:rsid w:val="643165AC"/>
    <w:rsid w:val="645D3B0C"/>
    <w:rsid w:val="64754794"/>
    <w:rsid w:val="648B1453"/>
    <w:rsid w:val="64923F3B"/>
    <w:rsid w:val="64B172A3"/>
    <w:rsid w:val="64E93A10"/>
    <w:rsid w:val="64FA028D"/>
    <w:rsid w:val="653D1756"/>
    <w:rsid w:val="656219FF"/>
    <w:rsid w:val="65882089"/>
    <w:rsid w:val="65972E76"/>
    <w:rsid w:val="659C2997"/>
    <w:rsid w:val="65A342E9"/>
    <w:rsid w:val="65AF22EA"/>
    <w:rsid w:val="65EF214B"/>
    <w:rsid w:val="65F41CDB"/>
    <w:rsid w:val="660B02F6"/>
    <w:rsid w:val="66291A75"/>
    <w:rsid w:val="663414BA"/>
    <w:rsid w:val="663A10AC"/>
    <w:rsid w:val="665A7368"/>
    <w:rsid w:val="665F1FEC"/>
    <w:rsid w:val="666601EF"/>
    <w:rsid w:val="667E6E63"/>
    <w:rsid w:val="66841DC2"/>
    <w:rsid w:val="66A808A3"/>
    <w:rsid w:val="66BE68C6"/>
    <w:rsid w:val="67041B93"/>
    <w:rsid w:val="67072E12"/>
    <w:rsid w:val="670D40D1"/>
    <w:rsid w:val="672A226F"/>
    <w:rsid w:val="67306233"/>
    <w:rsid w:val="67377175"/>
    <w:rsid w:val="6740773E"/>
    <w:rsid w:val="675A6B1D"/>
    <w:rsid w:val="677D10D5"/>
    <w:rsid w:val="677F5C17"/>
    <w:rsid w:val="67AA7DA2"/>
    <w:rsid w:val="67BC2E7E"/>
    <w:rsid w:val="67CB11B2"/>
    <w:rsid w:val="67EA6533"/>
    <w:rsid w:val="67F26828"/>
    <w:rsid w:val="67F96719"/>
    <w:rsid w:val="67FA15FC"/>
    <w:rsid w:val="67FA3EA9"/>
    <w:rsid w:val="68046FE2"/>
    <w:rsid w:val="68163561"/>
    <w:rsid w:val="68282344"/>
    <w:rsid w:val="68293532"/>
    <w:rsid w:val="68441834"/>
    <w:rsid w:val="684B01EF"/>
    <w:rsid w:val="687B2CDC"/>
    <w:rsid w:val="68F95A9A"/>
    <w:rsid w:val="69073FEB"/>
    <w:rsid w:val="69240832"/>
    <w:rsid w:val="694A619A"/>
    <w:rsid w:val="695A4E7C"/>
    <w:rsid w:val="69695586"/>
    <w:rsid w:val="697E5441"/>
    <w:rsid w:val="699D5FD4"/>
    <w:rsid w:val="69A637C8"/>
    <w:rsid w:val="69C3474C"/>
    <w:rsid w:val="6A6B68B5"/>
    <w:rsid w:val="6AA17D67"/>
    <w:rsid w:val="6ABF493E"/>
    <w:rsid w:val="6ADA345D"/>
    <w:rsid w:val="6AE9752C"/>
    <w:rsid w:val="6B174C36"/>
    <w:rsid w:val="6B2D5376"/>
    <w:rsid w:val="6B2F38EF"/>
    <w:rsid w:val="6B741C94"/>
    <w:rsid w:val="6B767770"/>
    <w:rsid w:val="6B7915FC"/>
    <w:rsid w:val="6BE3486A"/>
    <w:rsid w:val="6C0360CB"/>
    <w:rsid w:val="6C1D4AA5"/>
    <w:rsid w:val="6C700348"/>
    <w:rsid w:val="6C8859AD"/>
    <w:rsid w:val="6C9E5548"/>
    <w:rsid w:val="6CA169A6"/>
    <w:rsid w:val="6CBE7875"/>
    <w:rsid w:val="6CC810F4"/>
    <w:rsid w:val="6CC86D05"/>
    <w:rsid w:val="6CFA3457"/>
    <w:rsid w:val="6D0A63C2"/>
    <w:rsid w:val="6D1C66E8"/>
    <w:rsid w:val="6D1F4EAA"/>
    <w:rsid w:val="6D344076"/>
    <w:rsid w:val="6D4A0EB4"/>
    <w:rsid w:val="6D6A1C41"/>
    <w:rsid w:val="6D907449"/>
    <w:rsid w:val="6D9D4117"/>
    <w:rsid w:val="6DF4056F"/>
    <w:rsid w:val="6E384A9E"/>
    <w:rsid w:val="6E6558AC"/>
    <w:rsid w:val="6E9527E1"/>
    <w:rsid w:val="6EA51FA3"/>
    <w:rsid w:val="6EA96D85"/>
    <w:rsid w:val="6ED944DF"/>
    <w:rsid w:val="6EFD73A5"/>
    <w:rsid w:val="6F2578B2"/>
    <w:rsid w:val="6F3612DC"/>
    <w:rsid w:val="6F6D282D"/>
    <w:rsid w:val="6FA34535"/>
    <w:rsid w:val="6FAB59C1"/>
    <w:rsid w:val="6FCC4672"/>
    <w:rsid w:val="6FF70BE7"/>
    <w:rsid w:val="70101B35"/>
    <w:rsid w:val="70844ACC"/>
    <w:rsid w:val="709E1901"/>
    <w:rsid w:val="70C56B75"/>
    <w:rsid w:val="70C60851"/>
    <w:rsid w:val="70CD2FA7"/>
    <w:rsid w:val="70E8679D"/>
    <w:rsid w:val="70F8550E"/>
    <w:rsid w:val="710A7A59"/>
    <w:rsid w:val="71754026"/>
    <w:rsid w:val="71C82C84"/>
    <w:rsid w:val="71CC633B"/>
    <w:rsid w:val="71D76A8E"/>
    <w:rsid w:val="71D96059"/>
    <w:rsid w:val="72007D93"/>
    <w:rsid w:val="72083B25"/>
    <w:rsid w:val="722933A4"/>
    <w:rsid w:val="722D066E"/>
    <w:rsid w:val="722F1F60"/>
    <w:rsid w:val="72356478"/>
    <w:rsid w:val="7265719B"/>
    <w:rsid w:val="728B3621"/>
    <w:rsid w:val="72BB1F0C"/>
    <w:rsid w:val="72FF098C"/>
    <w:rsid w:val="73040142"/>
    <w:rsid w:val="731E7464"/>
    <w:rsid w:val="73262B3D"/>
    <w:rsid w:val="73295019"/>
    <w:rsid w:val="733A6744"/>
    <w:rsid w:val="73403821"/>
    <w:rsid w:val="736714A1"/>
    <w:rsid w:val="73847C26"/>
    <w:rsid w:val="73993FFB"/>
    <w:rsid w:val="73A6227B"/>
    <w:rsid w:val="73D11105"/>
    <w:rsid w:val="73E27943"/>
    <w:rsid w:val="74050B86"/>
    <w:rsid w:val="743C0E2B"/>
    <w:rsid w:val="74477EFB"/>
    <w:rsid w:val="748A4618"/>
    <w:rsid w:val="75067747"/>
    <w:rsid w:val="750D7E6B"/>
    <w:rsid w:val="75263F8E"/>
    <w:rsid w:val="755517C4"/>
    <w:rsid w:val="757927FA"/>
    <w:rsid w:val="758F35C2"/>
    <w:rsid w:val="75906D28"/>
    <w:rsid w:val="75A47106"/>
    <w:rsid w:val="75A73D14"/>
    <w:rsid w:val="75C11347"/>
    <w:rsid w:val="75C537CD"/>
    <w:rsid w:val="75CD1B97"/>
    <w:rsid w:val="75FC7A17"/>
    <w:rsid w:val="760A11E0"/>
    <w:rsid w:val="762430D2"/>
    <w:rsid w:val="76530DD9"/>
    <w:rsid w:val="76600D6D"/>
    <w:rsid w:val="76612DCA"/>
    <w:rsid w:val="766840FE"/>
    <w:rsid w:val="768E391F"/>
    <w:rsid w:val="76954F1D"/>
    <w:rsid w:val="76CC75F6"/>
    <w:rsid w:val="76D041DB"/>
    <w:rsid w:val="76DB2566"/>
    <w:rsid w:val="773348CC"/>
    <w:rsid w:val="776125B0"/>
    <w:rsid w:val="778925D9"/>
    <w:rsid w:val="77D17909"/>
    <w:rsid w:val="77DE0B76"/>
    <w:rsid w:val="77E31CE9"/>
    <w:rsid w:val="7805298F"/>
    <w:rsid w:val="78324A1E"/>
    <w:rsid w:val="783D525A"/>
    <w:rsid w:val="784B37E8"/>
    <w:rsid w:val="785B21C7"/>
    <w:rsid w:val="789E419E"/>
    <w:rsid w:val="78B6564F"/>
    <w:rsid w:val="78C209AA"/>
    <w:rsid w:val="78CD25BE"/>
    <w:rsid w:val="79052035"/>
    <w:rsid w:val="793F34EF"/>
    <w:rsid w:val="796A7A14"/>
    <w:rsid w:val="79733540"/>
    <w:rsid w:val="797A1017"/>
    <w:rsid w:val="799437AC"/>
    <w:rsid w:val="79CB4151"/>
    <w:rsid w:val="79D12015"/>
    <w:rsid w:val="79DD294E"/>
    <w:rsid w:val="79E611C8"/>
    <w:rsid w:val="79F27A14"/>
    <w:rsid w:val="7A07011E"/>
    <w:rsid w:val="7A7A782F"/>
    <w:rsid w:val="7A83373D"/>
    <w:rsid w:val="7A865955"/>
    <w:rsid w:val="7AA93859"/>
    <w:rsid w:val="7AC2652D"/>
    <w:rsid w:val="7AC33FD8"/>
    <w:rsid w:val="7AC7009C"/>
    <w:rsid w:val="7AE702A9"/>
    <w:rsid w:val="7AE86092"/>
    <w:rsid w:val="7B064FA9"/>
    <w:rsid w:val="7B072C89"/>
    <w:rsid w:val="7B424F78"/>
    <w:rsid w:val="7B614FF5"/>
    <w:rsid w:val="7B821741"/>
    <w:rsid w:val="7B850C2C"/>
    <w:rsid w:val="7BEE2DF8"/>
    <w:rsid w:val="7C577F94"/>
    <w:rsid w:val="7C581BED"/>
    <w:rsid w:val="7C6F1AA6"/>
    <w:rsid w:val="7C8212CA"/>
    <w:rsid w:val="7CD47696"/>
    <w:rsid w:val="7D0D7717"/>
    <w:rsid w:val="7D607410"/>
    <w:rsid w:val="7D6F6D8F"/>
    <w:rsid w:val="7D9D0B8C"/>
    <w:rsid w:val="7DAC22A3"/>
    <w:rsid w:val="7DD554DA"/>
    <w:rsid w:val="7DD95F38"/>
    <w:rsid w:val="7DDF4763"/>
    <w:rsid w:val="7DF312AC"/>
    <w:rsid w:val="7E09234E"/>
    <w:rsid w:val="7E130B1F"/>
    <w:rsid w:val="7E5F0DAF"/>
    <w:rsid w:val="7E620D55"/>
    <w:rsid w:val="7E665F8C"/>
    <w:rsid w:val="7E86573B"/>
    <w:rsid w:val="7E970A50"/>
    <w:rsid w:val="7E99193F"/>
    <w:rsid w:val="7E9C2016"/>
    <w:rsid w:val="7E9C6A8D"/>
    <w:rsid w:val="7F17138E"/>
    <w:rsid w:val="7F456D1B"/>
    <w:rsid w:val="7F857B2A"/>
    <w:rsid w:val="7F9239CD"/>
    <w:rsid w:val="7FA54456"/>
    <w:rsid w:val="7FD412E2"/>
    <w:rsid w:val="7FEA7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3"/>
    <w:qFormat/>
    <w:uiPriority w:val="0"/>
    <w:pPr>
      <w:keepNext/>
      <w:keepLines/>
      <w:spacing w:after="120" w:line="360" w:lineRule="auto"/>
      <w:outlineLvl w:val="0"/>
    </w:pPr>
    <w:rPr>
      <w:kern w:val="44"/>
      <w:sz w:val="28"/>
      <w:szCs w:val="28"/>
    </w:rPr>
  </w:style>
  <w:style w:type="paragraph" w:styleId="2">
    <w:name w:val="heading 2"/>
    <w:basedOn w:val="1"/>
    <w:next w:val="1"/>
    <w:link w:val="56"/>
    <w:qFormat/>
    <w:uiPriority w:val="0"/>
    <w:pPr>
      <w:keepNext/>
      <w:keepLines/>
      <w:spacing w:before="120" w:after="120"/>
      <w:ind w:left="454" w:firstLine="212" w:firstLineChars="88"/>
      <w:jc w:val="left"/>
      <w:outlineLvl w:val="1"/>
    </w:pPr>
    <w:rPr>
      <w:rFonts w:ascii="Arial" w:hAnsi="Arial"/>
      <w:b/>
      <w:color w:val="000000"/>
      <w:kern w:val="0"/>
      <w:sz w:val="24"/>
      <w:szCs w:val="24"/>
    </w:rPr>
  </w:style>
  <w:style w:type="paragraph" w:styleId="4">
    <w:name w:val="heading 3"/>
    <w:basedOn w:val="1"/>
    <w:next w:val="1"/>
    <w:link w:val="57"/>
    <w:qFormat/>
    <w:uiPriority w:val="0"/>
    <w:pPr>
      <w:widowControl/>
      <w:spacing w:before="100" w:beforeAutospacing="1" w:after="100" w:afterAutospacing="1"/>
      <w:jc w:val="left"/>
      <w:outlineLvl w:val="2"/>
    </w:pPr>
    <w:rPr>
      <w:rFonts w:ascii="宋体" w:hAnsi="宋体"/>
      <w:kern w:val="0"/>
      <w:sz w:val="27"/>
      <w:szCs w:val="27"/>
    </w:rPr>
  </w:style>
  <w:style w:type="paragraph" w:styleId="5">
    <w:name w:val="heading 4"/>
    <w:basedOn w:val="4"/>
    <w:next w:val="6"/>
    <w:link w:val="58"/>
    <w:qFormat/>
    <w:uiPriority w:val="0"/>
    <w:pPr>
      <w:keepNext/>
      <w:keepLines/>
      <w:widowControl w:val="0"/>
      <w:numPr>
        <w:ilvl w:val="3"/>
        <w:numId w:val="1"/>
      </w:numPr>
      <w:spacing w:beforeLines="50" w:beforeAutospacing="0" w:afterLines="50" w:afterAutospacing="0" w:line="360" w:lineRule="auto"/>
      <w:outlineLvl w:val="3"/>
    </w:pPr>
    <w:rPr>
      <w:rFonts w:ascii="Arial" w:hAnsi="Arial"/>
      <w:color w:val="000000"/>
      <w:kern w:val="2"/>
      <w:sz w:val="21"/>
      <w:szCs w:val="21"/>
    </w:rPr>
  </w:style>
  <w:style w:type="paragraph" w:styleId="7">
    <w:name w:val="heading 5"/>
    <w:basedOn w:val="5"/>
    <w:next w:val="6"/>
    <w:link w:val="59"/>
    <w:qFormat/>
    <w:uiPriority w:val="0"/>
    <w:pPr>
      <w:numPr>
        <w:ilvl w:val="4"/>
      </w:numPr>
      <w:spacing w:line="240" w:lineRule="exact"/>
      <w:outlineLvl w:val="4"/>
    </w:pPr>
  </w:style>
  <w:style w:type="paragraph" w:styleId="8">
    <w:name w:val="heading 6"/>
    <w:basedOn w:val="1"/>
    <w:next w:val="1"/>
    <w:link w:val="6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1"/>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eastAsia="等线"/>
      <w:szCs w:val="20"/>
    </w:rPr>
  </w:style>
  <w:style w:type="paragraph" w:styleId="12">
    <w:name w:val="Document Map"/>
    <w:basedOn w:val="1"/>
    <w:link w:val="64"/>
    <w:qFormat/>
    <w:uiPriority w:val="0"/>
    <w:pPr>
      <w:shd w:val="clear" w:color="auto" w:fill="000080"/>
    </w:pPr>
    <w:rPr>
      <w:kern w:val="0"/>
      <w:sz w:val="20"/>
      <w:szCs w:val="20"/>
    </w:rPr>
  </w:style>
  <w:style w:type="paragraph" w:styleId="13">
    <w:name w:val="annotation text"/>
    <w:basedOn w:val="1"/>
    <w:next w:val="1"/>
    <w:link w:val="65"/>
    <w:qFormat/>
    <w:uiPriority w:val="0"/>
    <w:pPr>
      <w:spacing w:line="360" w:lineRule="auto"/>
      <w:ind w:firstLine="523" w:firstLineChars="218"/>
      <w:jc w:val="left"/>
    </w:pPr>
    <w:rPr>
      <w:rFonts w:ascii="宋体" w:hAnsi="宋体"/>
      <w:kern w:val="0"/>
      <w:sz w:val="24"/>
      <w:szCs w:val="24"/>
    </w:rPr>
  </w:style>
  <w:style w:type="paragraph" w:styleId="14">
    <w:name w:val="Body Text"/>
    <w:basedOn w:val="1"/>
    <w:next w:val="1"/>
    <w:link w:val="54"/>
    <w:qFormat/>
    <w:uiPriority w:val="0"/>
    <w:pPr>
      <w:spacing w:after="120"/>
    </w:pPr>
    <w:rPr>
      <w:kern w:val="0"/>
      <w:sz w:val="20"/>
      <w:szCs w:val="20"/>
    </w:rPr>
  </w:style>
  <w:style w:type="paragraph" w:styleId="15">
    <w:name w:val="Body Text Indent"/>
    <w:basedOn w:val="1"/>
    <w:next w:val="16"/>
    <w:link w:val="50"/>
    <w:qFormat/>
    <w:uiPriority w:val="0"/>
    <w:pPr>
      <w:ind w:firstLine="570"/>
    </w:pPr>
    <w:rPr>
      <w:kern w:val="0"/>
      <w:sz w:val="28"/>
      <w:szCs w:val="20"/>
    </w:rPr>
  </w:style>
  <w:style w:type="paragraph" w:styleId="16">
    <w:name w:val="envelope return"/>
    <w:basedOn w:val="1"/>
    <w:qFormat/>
    <w:uiPriority w:val="0"/>
    <w:pPr>
      <w:snapToGrid w:val="0"/>
    </w:pPr>
    <w:rPr>
      <w:rFonts w:ascii="Arial" w:hAnsi="Arial"/>
      <w:szCs w:val="24"/>
    </w:rPr>
  </w:style>
  <w:style w:type="paragraph" w:styleId="17">
    <w:name w:val="Block Text"/>
    <w:basedOn w:val="1"/>
    <w:unhideWhenUsed/>
    <w:qFormat/>
    <w:uiPriority w:val="99"/>
    <w:pPr>
      <w:spacing w:after="120"/>
      <w:ind w:left="1440" w:leftChars="700" w:right="1440" w:rightChars="700"/>
    </w:pPr>
  </w:style>
  <w:style w:type="paragraph" w:styleId="18">
    <w:name w:val="toc 3"/>
    <w:basedOn w:val="1"/>
    <w:next w:val="1"/>
    <w:qFormat/>
    <w:uiPriority w:val="0"/>
    <w:pPr>
      <w:snapToGrid w:val="0"/>
      <w:spacing w:line="360" w:lineRule="auto"/>
      <w:ind w:left="400" w:leftChars="400"/>
      <w:jc w:val="left"/>
    </w:pPr>
    <w:rPr>
      <w:rFonts w:eastAsia="等线"/>
      <w:sz w:val="24"/>
      <w:szCs w:val="20"/>
    </w:rPr>
  </w:style>
  <w:style w:type="paragraph" w:styleId="19">
    <w:name w:val="Plain Text"/>
    <w:basedOn w:val="1"/>
    <w:next w:val="1"/>
    <w:link w:val="66"/>
    <w:qFormat/>
    <w:uiPriority w:val="99"/>
    <w:rPr>
      <w:rFonts w:ascii="宋体" w:hAnsi="Courier New"/>
      <w:kern w:val="0"/>
      <w:sz w:val="20"/>
      <w:szCs w:val="20"/>
    </w:rPr>
  </w:style>
  <w:style w:type="paragraph" w:styleId="20">
    <w:name w:val="Date"/>
    <w:basedOn w:val="1"/>
    <w:next w:val="1"/>
    <w:link w:val="67"/>
    <w:qFormat/>
    <w:uiPriority w:val="0"/>
    <w:rPr>
      <w:kern w:val="0"/>
      <w:sz w:val="20"/>
      <w:szCs w:val="20"/>
    </w:rPr>
  </w:style>
  <w:style w:type="paragraph" w:styleId="21">
    <w:name w:val="Body Text Indent 2"/>
    <w:basedOn w:val="1"/>
    <w:link w:val="68"/>
    <w:qFormat/>
    <w:uiPriority w:val="0"/>
    <w:pPr>
      <w:spacing w:line="400" w:lineRule="exact"/>
      <w:ind w:left="425"/>
    </w:pPr>
    <w:rPr>
      <w:color w:val="000000"/>
      <w:kern w:val="0"/>
      <w:sz w:val="24"/>
      <w:szCs w:val="20"/>
    </w:rPr>
  </w:style>
  <w:style w:type="paragraph" w:styleId="22">
    <w:name w:val="endnote text"/>
    <w:basedOn w:val="1"/>
    <w:link w:val="69"/>
    <w:qFormat/>
    <w:uiPriority w:val="0"/>
    <w:pPr>
      <w:snapToGrid w:val="0"/>
      <w:jc w:val="left"/>
    </w:pPr>
    <w:rPr>
      <w:kern w:val="0"/>
      <w:sz w:val="20"/>
      <w:szCs w:val="20"/>
    </w:rPr>
  </w:style>
  <w:style w:type="paragraph" w:styleId="23">
    <w:name w:val="Balloon Text"/>
    <w:basedOn w:val="1"/>
    <w:link w:val="70"/>
    <w:qFormat/>
    <w:uiPriority w:val="0"/>
    <w:rPr>
      <w:kern w:val="0"/>
      <w:sz w:val="18"/>
      <w:szCs w:val="18"/>
    </w:rPr>
  </w:style>
  <w:style w:type="paragraph" w:styleId="24">
    <w:name w:val="footer"/>
    <w:basedOn w:val="1"/>
    <w:link w:val="71"/>
    <w:qFormat/>
    <w:uiPriority w:val="0"/>
    <w:pPr>
      <w:tabs>
        <w:tab w:val="center" w:pos="4153"/>
        <w:tab w:val="right" w:pos="8306"/>
      </w:tabs>
      <w:snapToGrid w:val="0"/>
      <w:jc w:val="left"/>
    </w:pPr>
    <w:rPr>
      <w:rFonts w:ascii="Calibri" w:hAnsi="Calibri"/>
      <w:kern w:val="0"/>
      <w:sz w:val="18"/>
      <w:szCs w:val="18"/>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eastAsia="等线"/>
      <w:caps/>
      <w:kern w:val="0"/>
      <w:sz w:val="24"/>
      <w:szCs w:val="32"/>
    </w:rPr>
  </w:style>
  <w:style w:type="paragraph" w:styleId="27">
    <w:name w:val="Subtitle"/>
    <w:basedOn w:val="1"/>
    <w:next w:val="1"/>
    <w:link w:val="73"/>
    <w:qFormat/>
    <w:uiPriority w:val="0"/>
    <w:pPr>
      <w:spacing w:before="240" w:after="60" w:line="312" w:lineRule="auto"/>
      <w:jc w:val="center"/>
      <w:outlineLvl w:val="1"/>
    </w:pPr>
    <w:rPr>
      <w:rFonts w:ascii="Cambria" w:hAnsi="Cambria" w:eastAsia="等线"/>
      <w:b/>
      <w:bCs/>
      <w:kern w:val="28"/>
      <w:sz w:val="32"/>
      <w:szCs w:val="32"/>
    </w:rPr>
  </w:style>
  <w:style w:type="paragraph" w:styleId="28">
    <w:name w:val="footnote text"/>
    <w:basedOn w:val="1"/>
    <w:link w:val="74"/>
    <w:qFormat/>
    <w:uiPriority w:val="0"/>
    <w:pPr>
      <w:snapToGrid w:val="0"/>
      <w:spacing w:line="360" w:lineRule="auto"/>
      <w:ind w:firstLine="523" w:firstLineChars="218"/>
      <w:jc w:val="left"/>
    </w:pPr>
    <w:rPr>
      <w:rFonts w:ascii="宋体" w:hAnsi="宋体"/>
      <w:kern w:val="0"/>
      <w:sz w:val="18"/>
      <w:szCs w:val="18"/>
    </w:rPr>
  </w:style>
  <w:style w:type="paragraph" w:styleId="29">
    <w:name w:val="Body Text Indent 3"/>
    <w:basedOn w:val="1"/>
    <w:link w:val="75"/>
    <w:qFormat/>
    <w:uiPriority w:val="0"/>
    <w:pPr>
      <w:tabs>
        <w:tab w:val="left" w:pos="0"/>
      </w:tabs>
      <w:spacing w:line="400" w:lineRule="exact"/>
      <w:ind w:left="563" w:leftChars="228" w:hanging="84" w:hangingChars="35"/>
    </w:pPr>
    <w:rPr>
      <w:color w:val="000000"/>
      <w:kern w:val="0"/>
      <w:sz w:val="24"/>
      <w:szCs w:val="20"/>
    </w:rPr>
  </w:style>
  <w:style w:type="paragraph" w:styleId="30">
    <w:name w:val="toc 2"/>
    <w:basedOn w:val="1"/>
    <w:next w:val="1"/>
    <w:qFormat/>
    <w:uiPriority w:val="0"/>
    <w:pPr>
      <w:tabs>
        <w:tab w:val="right" w:leader="dot" w:pos="9060"/>
      </w:tabs>
      <w:snapToGrid w:val="0"/>
      <w:spacing w:line="360" w:lineRule="auto"/>
      <w:ind w:left="420" w:leftChars="200"/>
      <w:jc w:val="left"/>
    </w:pPr>
    <w:rPr>
      <w:rFonts w:eastAsia="等线"/>
      <w:sz w:val="24"/>
      <w:szCs w:val="24"/>
    </w:rPr>
  </w:style>
  <w:style w:type="paragraph" w:styleId="31">
    <w:name w:val="Body Text 2"/>
    <w:basedOn w:val="1"/>
    <w:link w:val="76"/>
    <w:qFormat/>
    <w:uiPriority w:val="0"/>
    <w:rPr>
      <w:rFonts w:ascii="宋体" w:hAnsi="宋体"/>
      <w:kern w:val="0"/>
      <w:sz w:val="20"/>
      <w:szCs w:val="24"/>
      <w:u w:val="single"/>
    </w:rPr>
  </w:style>
  <w:style w:type="paragraph" w:styleId="32">
    <w:name w:val="Normal (Web)"/>
    <w:basedOn w:val="1"/>
    <w:qFormat/>
    <w:uiPriority w:val="0"/>
    <w:pPr>
      <w:widowControl/>
      <w:spacing w:before="100" w:beforeAutospacing="1" w:after="100" w:afterAutospacing="1"/>
      <w:jc w:val="left"/>
    </w:pPr>
    <w:rPr>
      <w:rFonts w:ascii="宋体" w:hAnsi="宋体" w:eastAsia="等线"/>
      <w:kern w:val="0"/>
      <w:sz w:val="24"/>
      <w:szCs w:val="24"/>
    </w:rPr>
  </w:style>
  <w:style w:type="paragraph" w:styleId="33">
    <w:name w:val="index 1"/>
    <w:basedOn w:val="1"/>
    <w:next w:val="1"/>
    <w:qFormat/>
    <w:uiPriority w:val="0"/>
    <w:rPr>
      <w:rFonts w:eastAsia="仿宋_GB2312"/>
      <w:sz w:val="28"/>
      <w:szCs w:val="20"/>
    </w:rPr>
  </w:style>
  <w:style w:type="paragraph" w:styleId="34">
    <w:name w:val="Title"/>
    <w:basedOn w:val="1"/>
    <w:link w:val="52"/>
    <w:qFormat/>
    <w:uiPriority w:val="0"/>
    <w:pPr>
      <w:spacing w:before="120" w:after="60"/>
      <w:jc w:val="center"/>
    </w:pPr>
    <w:rPr>
      <w:rFonts w:ascii="Arial" w:hAnsi="Arial"/>
      <w:b/>
      <w:kern w:val="0"/>
      <w:sz w:val="44"/>
      <w:szCs w:val="20"/>
    </w:rPr>
  </w:style>
  <w:style w:type="paragraph" w:styleId="35">
    <w:name w:val="annotation subject"/>
    <w:basedOn w:val="13"/>
    <w:next w:val="13"/>
    <w:link w:val="77"/>
    <w:qFormat/>
    <w:uiPriority w:val="0"/>
    <w:rPr>
      <w:b/>
      <w:bCs/>
    </w:rPr>
  </w:style>
  <w:style w:type="paragraph" w:styleId="36">
    <w:name w:val="Body Text First Indent"/>
    <w:basedOn w:val="14"/>
    <w:link w:val="55"/>
    <w:qFormat/>
    <w:uiPriority w:val="0"/>
    <w:pPr>
      <w:ind w:firstLine="420"/>
    </w:pPr>
    <w:rPr>
      <w:rFonts w:ascii="等线" w:hAnsi="等线" w:eastAsia="等线"/>
    </w:rPr>
  </w:style>
  <w:style w:type="paragraph" w:styleId="37">
    <w:name w:val="Body Text First Indent 2"/>
    <w:basedOn w:val="15"/>
    <w:link w:val="51"/>
    <w:unhideWhenUsed/>
    <w:qFormat/>
    <w:uiPriority w:val="99"/>
    <w:pPr>
      <w:spacing w:after="120"/>
      <w:ind w:left="420" w:leftChars="200" w:firstLine="420" w:firstLineChars="200"/>
    </w:pPr>
    <w:rPr>
      <w:kern w:val="2"/>
      <w:sz w:val="21"/>
      <w:szCs w:val="2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等线" w:hAnsi="等线" w:eastAsia="等线" w:cs="Times New Roman"/>
      <w:b/>
    </w:rPr>
  </w:style>
  <w:style w:type="character" w:styleId="42">
    <w:name w:val="endnote reference"/>
    <w:qFormat/>
    <w:uiPriority w:val="0"/>
    <w:rPr>
      <w:rFonts w:ascii="等线" w:hAnsi="等线" w:eastAsia="等线" w:cs="Times New Roman"/>
      <w:vertAlign w:val="superscript"/>
    </w:rPr>
  </w:style>
  <w:style w:type="character" w:styleId="43">
    <w:name w:val="page number"/>
    <w:qFormat/>
    <w:uiPriority w:val="0"/>
    <w:rPr>
      <w:rFonts w:ascii="等线" w:hAnsi="等线" w:eastAsia="等线" w:cs="Times New Roman"/>
    </w:rPr>
  </w:style>
  <w:style w:type="character" w:styleId="44">
    <w:name w:val="FollowedHyperlink"/>
    <w:qFormat/>
    <w:uiPriority w:val="0"/>
    <w:rPr>
      <w:rFonts w:ascii="等线" w:hAnsi="等线" w:eastAsia="等线" w:cs="Times New Roman"/>
      <w:color w:val="954F72"/>
      <w:u w:val="single"/>
    </w:rPr>
  </w:style>
  <w:style w:type="character" w:styleId="45">
    <w:name w:val="line number"/>
    <w:qFormat/>
    <w:uiPriority w:val="0"/>
    <w:rPr>
      <w:rFonts w:ascii="等线" w:hAnsi="等线" w:eastAsia="等线" w:cs="Times New Roman"/>
    </w:rPr>
  </w:style>
  <w:style w:type="character" w:styleId="46">
    <w:name w:val="Hyperlink"/>
    <w:qFormat/>
    <w:uiPriority w:val="0"/>
    <w:rPr>
      <w:rFonts w:ascii="等线" w:hAnsi="等线" w:eastAsia="等线" w:cs="Times New Roman"/>
      <w:color w:val="0000FF"/>
      <w:u w:val="single"/>
    </w:rPr>
  </w:style>
  <w:style w:type="character" w:styleId="47">
    <w:name w:val="annotation reference"/>
    <w:qFormat/>
    <w:uiPriority w:val="0"/>
    <w:rPr>
      <w:rFonts w:ascii="等线" w:hAnsi="等线" w:eastAsia="等线" w:cs="Times New Roman"/>
      <w:sz w:val="21"/>
      <w:szCs w:val="21"/>
    </w:rPr>
  </w:style>
  <w:style w:type="character" w:styleId="48">
    <w:name w:val="footnote reference"/>
    <w:qFormat/>
    <w:uiPriority w:val="0"/>
    <w:rPr>
      <w:rFonts w:ascii="等线" w:hAnsi="等线" w:eastAsia="等线" w:cs="Times New Roman"/>
      <w:vertAlign w:val="superscript"/>
    </w:rPr>
  </w:style>
  <w:style w:type="paragraph" w:customStyle="1" w:styleId="49">
    <w:name w:val="PlainText"/>
    <w:basedOn w:val="1"/>
    <w:qFormat/>
    <w:uiPriority w:val="0"/>
    <w:pPr>
      <w:textAlignment w:val="baseline"/>
    </w:pPr>
    <w:rPr>
      <w:rFonts w:ascii="宋体" w:hAnsi="Courier New" w:cs="Calibri"/>
      <w:color w:val="000000"/>
      <w:kern w:val="0"/>
      <w:sz w:val="20"/>
      <w:szCs w:val="20"/>
    </w:rPr>
  </w:style>
  <w:style w:type="character" w:customStyle="1" w:styleId="50">
    <w:name w:val="正文文本缩进 字符1"/>
    <w:link w:val="15"/>
    <w:qFormat/>
    <w:uiPriority w:val="0"/>
    <w:rPr>
      <w:rFonts w:ascii="Times New Roman" w:hAnsi="Times New Roman" w:eastAsia="宋体" w:cs="Times New Roman"/>
      <w:sz w:val="28"/>
      <w:szCs w:val="20"/>
    </w:rPr>
  </w:style>
  <w:style w:type="character" w:customStyle="1" w:styleId="51">
    <w:name w:val="正文文本首行缩进 2 字符"/>
    <w:basedOn w:val="50"/>
    <w:link w:val="37"/>
    <w:qFormat/>
    <w:uiPriority w:val="99"/>
    <w:rPr>
      <w:rFonts w:ascii="Times New Roman" w:hAnsi="Times New Roman" w:eastAsia="宋体" w:cs="Times New Roman"/>
      <w:kern w:val="2"/>
      <w:sz w:val="21"/>
      <w:szCs w:val="22"/>
    </w:rPr>
  </w:style>
  <w:style w:type="character" w:customStyle="1" w:styleId="52">
    <w:name w:val="标题 字符1"/>
    <w:link w:val="34"/>
    <w:qFormat/>
    <w:uiPriority w:val="0"/>
    <w:rPr>
      <w:rFonts w:ascii="Arial" w:hAnsi="Arial" w:eastAsia="宋体" w:cs="Times New Roman"/>
      <w:b/>
      <w:sz w:val="44"/>
      <w:szCs w:val="20"/>
    </w:rPr>
  </w:style>
  <w:style w:type="character" w:customStyle="1" w:styleId="53">
    <w:name w:val="标题 1 字符1"/>
    <w:link w:val="3"/>
    <w:qFormat/>
    <w:uiPriority w:val="0"/>
    <w:rPr>
      <w:rFonts w:ascii="Arial" w:hAnsi="Arial" w:eastAsia="宋体" w:cs="Times New Roman"/>
      <w:b/>
      <w:kern w:val="44"/>
      <w:sz w:val="28"/>
      <w:szCs w:val="28"/>
    </w:rPr>
  </w:style>
  <w:style w:type="character" w:customStyle="1" w:styleId="54">
    <w:name w:val="正文文本 字符1"/>
    <w:link w:val="14"/>
    <w:qFormat/>
    <w:uiPriority w:val="0"/>
    <w:rPr>
      <w:rFonts w:ascii="Times New Roman" w:hAnsi="Times New Roman" w:eastAsia="宋体" w:cs="Times New Roman"/>
      <w:szCs w:val="20"/>
    </w:rPr>
  </w:style>
  <w:style w:type="character" w:customStyle="1" w:styleId="55">
    <w:name w:val="正文文本首行缩进 字符"/>
    <w:link w:val="36"/>
    <w:qFormat/>
    <w:uiPriority w:val="0"/>
    <w:rPr>
      <w:rFonts w:ascii="等线" w:hAnsi="等线" w:eastAsia="等线" w:cs="Times New Roman"/>
    </w:rPr>
  </w:style>
  <w:style w:type="character" w:customStyle="1" w:styleId="56">
    <w:name w:val="标题 2 字符1"/>
    <w:link w:val="2"/>
    <w:qFormat/>
    <w:uiPriority w:val="0"/>
    <w:rPr>
      <w:rFonts w:ascii="Arial" w:hAnsi="Arial" w:eastAsia="宋体" w:cs="Times New Roman"/>
      <w:b/>
      <w:color w:val="000000"/>
      <w:sz w:val="24"/>
      <w:szCs w:val="24"/>
    </w:rPr>
  </w:style>
  <w:style w:type="character" w:customStyle="1" w:styleId="57">
    <w:name w:val="标题 3 字符1"/>
    <w:link w:val="4"/>
    <w:qFormat/>
    <w:uiPriority w:val="0"/>
    <w:rPr>
      <w:rFonts w:ascii="宋体" w:hAnsi="宋体" w:eastAsia="宋体" w:cs="宋体"/>
      <w:kern w:val="0"/>
      <w:sz w:val="27"/>
      <w:szCs w:val="27"/>
    </w:rPr>
  </w:style>
  <w:style w:type="character" w:customStyle="1" w:styleId="58">
    <w:name w:val="标题 4 字符1"/>
    <w:link w:val="5"/>
    <w:qFormat/>
    <w:uiPriority w:val="0"/>
    <w:rPr>
      <w:rFonts w:ascii="Arial" w:hAnsi="Arial" w:eastAsia="宋体" w:cs="Times New Roman"/>
      <w:color w:val="000000"/>
      <w:kern w:val="2"/>
      <w:sz w:val="21"/>
      <w:szCs w:val="21"/>
    </w:rPr>
  </w:style>
  <w:style w:type="character" w:customStyle="1" w:styleId="59">
    <w:name w:val="标题 5 字符1"/>
    <w:link w:val="7"/>
    <w:qFormat/>
    <w:uiPriority w:val="0"/>
    <w:rPr>
      <w:rFonts w:ascii="Arial" w:hAnsi="Arial" w:eastAsia="宋体" w:cs="Times New Roman"/>
      <w:color w:val="000000"/>
      <w:kern w:val="2"/>
      <w:sz w:val="21"/>
      <w:szCs w:val="21"/>
    </w:rPr>
  </w:style>
  <w:style w:type="character" w:customStyle="1" w:styleId="60">
    <w:name w:val="标题 6 字符1"/>
    <w:link w:val="8"/>
    <w:qFormat/>
    <w:uiPriority w:val="0"/>
    <w:rPr>
      <w:rFonts w:ascii="Arial" w:hAnsi="Arial" w:eastAsia="黑体" w:cs="Times New Roman"/>
      <w:b/>
      <w:bCs/>
      <w:kern w:val="2"/>
      <w:sz w:val="24"/>
      <w:szCs w:val="24"/>
    </w:rPr>
  </w:style>
  <w:style w:type="character" w:customStyle="1" w:styleId="61">
    <w:name w:val="标题 7 字符1"/>
    <w:link w:val="9"/>
    <w:qFormat/>
    <w:uiPriority w:val="0"/>
    <w:rPr>
      <w:rFonts w:ascii="Times New Roman" w:hAnsi="Times New Roman" w:eastAsia="宋体" w:cs="Times New Roman"/>
      <w:b/>
      <w:kern w:val="2"/>
      <w:sz w:val="24"/>
    </w:rPr>
  </w:style>
  <w:style w:type="character" w:customStyle="1" w:styleId="62">
    <w:name w:val="标题 8 字符1"/>
    <w:link w:val="10"/>
    <w:qFormat/>
    <w:uiPriority w:val="0"/>
    <w:rPr>
      <w:rFonts w:ascii="Arial" w:hAnsi="Arial" w:eastAsia="黑体" w:cs="Times New Roman"/>
      <w:kern w:val="2"/>
      <w:sz w:val="24"/>
    </w:rPr>
  </w:style>
  <w:style w:type="character" w:customStyle="1" w:styleId="63">
    <w:name w:val="标题 9 字符1"/>
    <w:link w:val="11"/>
    <w:qFormat/>
    <w:uiPriority w:val="0"/>
    <w:rPr>
      <w:rFonts w:ascii="Arial" w:hAnsi="Arial" w:eastAsia="黑体" w:cs="Times New Roman"/>
      <w:kern w:val="2"/>
      <w:sz w:val="21"/>
    </w:rPr>
  </w:style>
  <w:style w:type="character" w:customStyle="1" w:styleId="64">
    <w:name w:val="文档结构图 字符1"/>
    <w:link w:val="12"/>
    <w:qFormat/>
    <w:uiPriority w:val="0"/>
    <w:rPr>
      <w:rFonts w:ascii="Times New Roman" w:hAnsi="Times New Roman" w:eastAsia="宋体" w:cs="Times New Roman"/>
      <w:szCs w:val="20"/>
      <w:shd w:val="clear" w:color="auto" w:fill="000080"/>
    </w:rPr>
  </w:style>
  <w:style w:type="character" w:customStyle="1" w:styleId="65">
    <w:name w:val="批注文字 字符1"/>
    <w:link w:val="13"/>
    <w:qFormat/>
    <w:uiPriority w:val="0"/>
    <w:rPr>
      <w:rFonts w:ascii="宋体" w:hAnsi="宋体" w:eastAsia="宋体" w:cs="Times New Roman"/>
      <w:sz w:val="24"/>
      <w:szCs w:val="24"/>
    </w:rPr>
  </w:style>
  <w:style w:type="character" w:customStyle="1" w:styleId="66">
    <w:name w:val="纯文本 字符1"/>
    <w:link w:val="19"/>
    <w:qFormat/>
    <w:uiPriority w:val="99"/>
    <w:rPr>
      <w:rFonts w:ascii="宋体" w:hAnsi="Courier New" w:eastAsia="宋体" w:cs="Times New Roman"/>
      <w:szCs w:val="20"/>
    </w:rPr>
  </w:style>
  <w:style w:type="character" w:customStyle="1" w:styleId="67">
    <w:name w:val="日期 字符1"/>
    <w:link w:val="20"/>
    <w:qFormat/>
    <w:uiPriority w:val="0"/>
    <w:rPr>
      <w:rFonts w:ascii="Times New Roman" w:hAnsi="Times New Roman" w:eastAsia="宋体" w:cs="Times New Roman"/>
      <w:szCs w:val="20"/>
    </w:rPr>
  </w:style>
  <w:style w:type="character" w:customStyle="1" w:styleId="68">
    <w:name w:val="正文文本缩进 2 字符1"/>
    <w:link w:val="21"/>
    <w:qFormat/>
    <w:uiPriority w:val="0"/>
    <w:rPr>
      <w:rFonts w:ascii="Times New Roman" w:hAnsi="Times New Roman" w:eastAsia="宋体" w:cs="Times New Roman"/>
      <w:color w:val="000000"/>
      <w:sz w:val="24"/>
      <w:szCs w:val="20"/>
    </w:rPr>
  </w:style>
  <w:style w:type="character" w:customStyle="1" w:styleId="69">
    <w:name w:val="尾注文本 字符1"/>
    <w:link w:val="22"/>
    <w:qFormat/>
    <w:uiPriority w:val="0"/>
    <w:rPr>
      <w:rFonts w:ascii="Times New Roman" w:hAnsi="Times New Roman" w:eastAsia="宋体" w:cs="Times New Roman"/>
      <w:szCs w:val="20"/>
    </w:rPr>
  </w:style>
  <w:style w:type="character" w:customStyle="1" w:styleId="70">
    <w:name w:val="批注框文本 字符1"/>
    <w:link w:val="23"/>
    <w:qFormat/>
    <w:uiPriority w:val="0"/>
    <w:rPr>
      <w:rFonts w:ascii="Times New Roman" w:hAnsi="Times New Roman" w:eastAsia="宋体" w:cs="Times New Roman"/>
      <w:sz w:val="18"/>
      <w:szCs w:val="18"/>
    </w:rPr>
  </w:style>
  <w:style w:type="character" w:customStyle="1" w:styleId="71">
    <w:name w:val="页脚 字符1"/>
    <w:link w:val="24"/>
    <w:qFormat/>
    <w:uiPriority w:val="0"/>
    <w:rPr>
      <w:rFonts w:ascii="Calibri" w:hAnsi="Calibri" w:eastAsia="宋体" w:cs="Times New Roman"/>
      <w:sz w:val="18"/>
      <w:szCs w:val="18"/>
    </w:rPr>
  </w:style>
  <w:style w:type="character" w:customStyle="1" w:styleId="72">
    <w:name w:val="页眉 字符1"/>
    <w:link w:val="25"/>
    <w:qFormat/>
    <w:uiPriority w:val="0"/>
    <w:rPr>
      <w:rFonts w:ascii="Calibri" w:hAnsi="Calibri" w:eastAsia="宋体" w:cs="Times New Roman"/>
      <w:sz w:val="18"/>
      <w:szCs w:val="18"/>
    </w:rPr>
  </w:style>
  <w:style w:type="character" w:customStyle="1" w:styleId="73">
    <w:name w:val="副标题 字符"/>
    <w:link w:val="27"/>
    <w:qFormat/>
    <w:uiPriority w:val="0"/>
    <w:rPr>
      <w:rFonts w:ascii="Cambria" w:hAnsi="Cambria" w:eastAsia="等线" w:cs="Times New Roman"/>
      <w:b/>
      <w:bCs/>
      <w:kern w:val="28"/>
      <w:sz w:val="32"/>
      <w:szCs w:val="32"/>
    </w:rPr>
  </w:style>
  <w:style w:type="character" w:customStyle="1" w:styleId="74">
    <w:name w:val="脚注文本 字符1"/>
    <w:link w:val="28"/>
    <w:qFormat/>
    <w:uiPriority w:val="0"/>
    <w:rPr>
      <w:rFonts w:ascii="宋体" w:hAnsi="宋体" w:eastAsia="宋体" w:cs="Times New Roman"/>
      <w:sz w:val="18"/>
      <w:szCs w:val="18"/>
    </w:rPr>
  </w:style>
  <w:style w:type="character" w:customStyle="1" w:styleId="75">
    <w:name w:val="正文文本缩进 3 字符1"/>
    <w:link w:val="29"/>
    <w:qFormat/>
    <w:uiPriority w:val="0"/>
    <w:rPr>
      <w:rFonts w:ascii="Times New Roman" w:hAnsi="Times New Roman" w:eastAsia="宋体" w:cs="Times New Roman"/>
      <w:color w:val="000000"/>
      <w:sz w:val="24"/>
      <w:szCs w:val="20"/>
    </w:rPr>
  </w:style>
  <w:style w:type="character" w:customStyle="1" w:styleId="76">
    <w:name w:val="正文文本 2 字符1"/>
    <w:link w:val="31"/>
    <w:qFormat/>
    <w:uiPriority w:val="0"/>
    <w:rPr>
      <w:rFonts w:ascii="宋体" w:hAnsi="宋体" w:eastAsia="宋体" w:cs="Times New Roman"/>
      <w:szCs w:val="24"/>
      <w:u w:val="single"/>
    </w:rPr>
  </w:style>
  <w:style w:type="character" w:customStyle="1" w:styleId="77">
    <w:name w:val="批注主题 字符1"/>
    <w:link w:val="35"/>
    <w:qFormat/>
    <w:uiPriority w:val="0"/>
    <w:rPr>
      <w:rFonts w:ascii="宋体" w:hAnsi="宋体" w:eastAsia="宋体" w:cs="Times New Roman"/>
      <w:b/>
      <w:bCs/>
      <w:sz w:val="24"/>
      <w:szCs w:val="24"/>
    </w:rPr>
  </w:style>
  <w:style w:type="paragraph" w:customStyle="1" w:styleId="78">
    <w:name w:val="_Style 3"/>
    <w:basedOn w:val="1"/>
    <w:qFormat/>
    <w:uiPriority w:val="1"/>
    <w:pPr>
      <w:ind w:firstLine="420" w:firstLineChars="200"/>
    </w:pPr>
    <w:rPr>
      <w:sz w:val="20"/>
      <w:szCs w:val="24"/>
    </w:rPr>
  </w:style>
  <w:style w:type="character" w:customStyle="1" w:styleId="79">
    <w:name w:val="标题 4 字符"/>
    <w:qFormat/>
    <w:uiPriority w:val="0"/>
    <w:rPr>
      <w:rFonts w:ascii="等线 Light" w:hAnsi="等线 Light" w:eastAsia="等线 Light" w:cs="Times New Roman"/>
      <w:b/>
      <w:bCs/>
      <w:sz w:val="28"/>
      <w:szCs w:val="28"/>
    </w:rPr>
  </w:style>
  <w:style w:type="character" w:customStyle="1" w:styleId="80">
    <w:name w:val="标题 7 字符"/>
    <w:qFormat/>
    <w:uiPriority w:val="0"/>
    <w:rPr>
      <w:rFonts w:ascii="Calibri" w:hAnsi="Calibri" w:eastAsia="宋体" w:cs="Times New Roman"/>
      <w:b/>
      <w:bCs/>
      <w:sz w:val="24"/>
      <w:szCs w:val="24"/>
    </w:rPr>
  </w:style>
  <w:style w:type="character" w:customStyle="1" w:styleId="81">
    <w:name w:val="文一 Char"/>
    <w:link w:val="82"/>
    <w:qFormat/>
    <w:uiPriority w:val="0"/>
    <w:rPr>
      <w:rFonts w:ascii="等线" w:hAnsi="等线" w:eastAsia="宋体" w:cs="Times New Roman"/>
      <w:snapToGrid/>
      <w:spacing w:val="4"/>
      <w:sz w:val="24"/>
      <w:szCs w:val="24"/>
    </w:rPr>
  </w:style>
  <w:style w:type="paragraph" w:customStyle="1" w:styleId="82">
    <w:name w:val="文一"/>
    <w:basedOn w:val="1"/>
    <w:link w:val="81"/>
    <w:qFormat/>
    <w:uiPriority w:val="0"/>
    <w:pPr>
      <w:topLinePunct/>
      <w:adjustRightInd w:val="0"/>
      <w:snapToGrid w:val="0"/>
      <w:spacing w:line="360" w:lineRule="auto"/>
      <w:ind w:firstLine="200" w:firstLineChars="200"/>
    </w:pPr>
    <w:rPr>
      <w:rFonts w:ascii="等线" w:hAnsi="等线"/>
      <w:spacing w:val="4"/>
      <w:kern w:val="0"/>
      <w:sz w:val="24"/>
      <w:szCs w:val="24"/>
    </w:rPr>
  </w:style>
  <w:style w:type="character" w:customStyle="1" w:styleId="83">
    <w:name w:val="尾注文本 字符"/>
    <w:qFormat/>
    <w:uiPriority w:val="0"/>
    <w:rPr>
      <w:rFonts w:ascii="Calibri" w:hAnsi="Calibri" w:eastAsia="宋体" w:cs="Times New Roman"/>
    </w:rPr>
  </w:style>
  <w:style w:type="character" w:customStyle="1" w:styleId="84">
    <w:name w:val="标题 8 字符"/>
    <w:qFormat/>
    <w:uiPriority w:val="0"/>
    <w:rPr>
      <w:rFonts w:ascii="等线 Light" w:hAnsi="等线 Light" w:eastAsia="等线 Light" w:cs="Times New Roman"/>
      <w:sz w:val="24"/>
      <w:szCs w:val="24"/>
    </w:rPr>
  </w:style>
  <w:style w:type="character" w:customStyle="1" w:styleId="85">
    <w:name w:val="正文文本缩进 2 字符"/>
    <w:qFormat/>
    <w:uiPriority w:val="0"/>
    <w:rPr>
      <w:rFonts w:ascii="Calibri" w:hAnsi="Calibri" w:eastAsia="宋体" w:cs="Times New Roman"/>
    </w:rPr>
  </w:style>
  <w:style w:type="character" w:customStyle="1" w:styleId="86">
    <w:name w:val="正文文本缩进 3 字符"/>
    <w:qFormat/>
    <w:uiPriority w:val="0"/>
    <w:rPr>
      <w:rFonts w:ascii="Calibri" w:hAnsi="Calibri" w:eastAsia="宋体" w:cs="Times New Roman"/>
      <w:sz w:val="16"/>
      <w:szCs w:val="16"/>
    </w:rPr>
  </w:style>
  <w:style w:type="character" w:customStyle="1" w:styleId="87">
    <w:name w:val="font21"/>
    <w:qFormat/>
    <w:uiPriority w:val="0"/>
    <w:rPr>
      <w:rFonts w:hint="eastAsia" w:ascii="仿宋" w:hAnsi="仿宋" w:eastAsia="仿宋" w:cs="仿宋"/>
      <w:color w:val="000000"/>
      <w:sz w:val="28"/>
      <w:szCs w:val="28"/>
      <w:u w:val="none"/>
    </w:rPr>
  </w:style>
  <w:style w:type="character" w:customStyle="1" w:styleId="88">
    <w:name w:val="页脚 字符"/>
    <w:qFormat/>
    <w:uiPriority w:val="0"/>
    <w:rPr>
      <w:rFonts w:ascii="Calibri" w:hAnsi="Calibri" w:eastAsia="宋体" w:cs="Times New Roman"/>
      <w:sz w:val="18"/>
      <w:szCs w:val="18"/>
    </w:rPr>
  </w:style>
  <w:style w:type="character" w:customStyle="1" w:styleId="89">
    <w:name w:val="未处理的提及1"/>
    <w:qFormat/>
    <w:uiPriority w:val="0"/>
    <w:rPr>
      <w:rFonts w:ascii="等线" w:hAnsi="等线" w:eastAsia="等线" w:cs="Times New Roman"/>
      <w:color w:val="605E5C"/>
      <w:shd w:val="clear" w:color="auto" w:fill="E1DFDD"/>
    </w:rPr>
  </w:style>
  <w:style w:type="character" w:customStyle="1" w:styleId="90">
    <w:name w:val="正文首行缩进 字符"/>
    <w:qFormat/>
    <w:uiPriority w:val="0"/>
    <w:rPr>
      <w:rFonts w:ascii="等线" w:hAnsi="等线" w:eastAsia="等线" w:cs="Times New Roman"/>
    </w:rPr>
  </w:style>
  <w:style w:type="character" w:customStyle="1" w:styleId="91">
    <w:name w:val="正文文本缩进 2 Char1"/>
    <w:qFormat/>
    <w:uiPriority w:val="0"/>
    <w:rPr>
      <w:rFonts w:ascii="等线" w:hAnsi="等线" w:eastAsia="等线" w:cs="Times New Roman"/>
    </w:rPr>
  </w:style>
  <w:style w:type="character" w:customStyle="1" w:styleId="92">
    <w:name w:val="font31"/>
    <w:qFormat/>
    <w:uiPriority w:val="0"/>
    <w:rPr>
      <w:rFonts w:hint="eastAsia" w:ascii="仿宋" w:hAnsi="仿宋" w:eastAsia="仿宋" w:cs="仿宋"/>
      <w:b/>
      <w:color w:val="000000"/>
      <w:sz w:val="28"/>
      <w:szCs w:val="28"/>
      <w:u w:val="none"/>
    </w:rPr>
  </w:style>
  <w:style w:type="character" w:customStyle="1" w:styleId="93">
    <w:name w:val="正文首行缩进 Char1"/>
    <w:qFormat/>
    <w:uiPriority w:val="0"/>
    <w:rPr>
      <w:rFonts w:ascii="等线" w:hAnsi="等线" w:eastAsia="宋体" w:cs="Times New Roman"/>
      <w:kern w:val="2"/>
      <w:sz w:val="21"/>
      <w:lang w:val="en-US" w:eastAsia="zh-CN" w:bidi="ar-SA"/>
    </w:rPr>
  </w:style>
  <w:style w:type="character" w:customStyle="1" w:styleId="94">
    <w:name w:val="批注文字 Char2"/>
    <w:qFormat/>
    <w:uiPriority w:val="0"/>
    <w:rPr>
      <w:rFonts w:ascii="等线" w:hAnsi="等线" w:eastAsia="等线" w:cs="Times New Roman"/>
    </w:rPr>
  </w:style>
  <w:style w:type="character" w:customStyle="1" w:styleId="95">
    <w:name w:val="标题 9 字符"/>
    <w:qFormat/>
    <w:uiPriority w:val="0"/>
    <w:rPr>
      <w:rFonts w:ascii="等线 Light" w:hAnsi="等线 Light" w:eastAsia="等线 Light" w:cs="Times New Roman"/>
      <w:szCs w:val="21"/>
    </w:rPr>
  </w:style>
  <w:style w:type="character" w:customStyle="1" w:styleId="96">
    <w:name w:val="批注文字 字符"/>
    <w:qFormat/>
    <w:uiPriority w:val="0"/>
    <w:rPr>
      <w:rFonts w:ascii="Calibri" w:hAnsi="Calibri" w:eastAsia="宋体" w:cs="Times New Roman"/>
    </w:rPr>
  </w:style>
  <w:style w:type="character" w:customStyle="1" w:styleId="97">
    <w:name w:val="标题 3 字符"/>
    <w:qFormat/>
    <w:uiPriority w:val="0"/>
    <w:rPr>
      <w:rFonts w:ascii="Calibri" w:hAnsi="Calibri" w:eastAsia="宋体" w:cs="Times New Roman"/>
      <w:b/>
      <w:bCs/>
      <w:sz w:val="32"/>
      <w:szCs w:val="32"/>
    </w:rPr>
  </w:style>
  <w:style w:type="character" w:customStyle="1" w:styleId="98">
    <w:name w:val="正文文本 字符"/>
    <w:qFormat/>
    <w:uiPriority w:val="0"/>
    <w:rPr>
      <w:rFonts w:ascii="Calibri" w:hAnsi="Calibri" w:eastAsia="宋体" w:cs="Times New Roman"/>
    </w:rPr>
  </w:style>
  <w:style w:type="character" w:customStyle="1" w:styleId="99">
    <w:name w:val="标题 6 字符"/>
    <w:qFormat/>
    <w:uiPriority w:val="0"/>
    <w:rPr>
      <w:rFonts w:ascii="等线 Light" w:hAnsi="等线 Light" w:eastAsia="等线 Light" w:cs="Times New Roman"/>
      <w:b/>
      <w:bCs/>
      <w:sz w:val="24"/>
      <w:szCs w:val="24"/>
    </w:rPr>
  </w:style>
  <w:style w:type="character" w:customStyle="1" w:styleId="100">
    <w:name w:val="正文文本 2 字符"/>
    <w:qFormat/>
    <w:uiPriority w:val="0"/>
    <w:rPr>
      <w:rFonts w:ascii="Calibri" w:hAnsi="Calibri" w:eastAsia="宋体" w:cs="Times New Roman"/>
    </w:rPr>
  </w:style>
  <w:style w:type="character" w:customStyle="1" w:styleId="101">
    <w:name w:val="页眉 字符"/>
    <w:qFormat/>
    <w:uiPriority w:val="0"/>
    <w:rPr>
      <w:rFonts w:ascii="Calibri" w:hAnsi="Calibri" w:eastAsia="宋体" w:cs="Times New Roman"/>
      <w:sz w:val="18"/>
      <w:szCs w:val="18"/>
    </w:rPr>
  </w:style>
  <w:style w:type="character" w:customStyle="1" w:styleId="102">
    <w:name w:val="日期 字符"/>
    <w:qFormat/>
    <w:uiPriority w:val="0"/>
    <w:rPr>
      <w:rFonts w:ascii="Calibri" w:hAnsi="Calibri" w:eastAsia="宋体" w:cs="Times New Roman"/>
    </w:rPr>
  </w:style>
  <w:style w:type="character" w:customStyle="1" w:styleId="103">
    <w:name w:val="脚注文本 字符"/>
    <w:qFormat/>
    <w:uiPriority w:val="0"/>
    <w:rPr>
      <w:rFonts w:ascii="Calibri" w:hAnsi="Calibri" w:eastAsia="宋体" w:cs="Times New Roman"/>
      <w:sz w:val="18"/>
      <w:szCs w:val="18"/>
    </w:rPr>
  </w:style>
  <w:style w:type="character" w:customStyle="1" w:styleId="104">
    <w:name w:val="标题 1 字符"/>
    <w:qFormat/>
    <w:uiPriority w:val="0"/>
    <w:rPr>
      <w:rFonts w:ascii="Calibri" w:hAnsi="Calibri" w:eastAsia="宋体" w:cs="Times New Roman"/>
      <w:b/>
      <w:bCs/>
      <w:kern w:val="44"/>
      <w:sz w:val="44"/>
      <w:szCs w:val="44"/>
    </w:rPr>
  </w:style>
  <w:style w:type="character" w:customStyle="1" w:styleId="105">
    <w:name w:val="批注文字 Char1"/>
    <w:qFormat/>
    <w:uiPriority w:val="0"/>
    <w:rPr>
      <w:rFonts w:ascii="仿宋_GB2312" w:hAnsi="等线" w:eastAsia="宋体" w:cs="Times New Roman"/>
      <w:kern w:val="2"/>
      <w:sz w:val="21"/>
      <w:szCs w:val="32"/>
      <w:lang w:val="en-US" w:eastAsia="zh-CN" w:bidi="ar-SA"/>
    </w:rPr>
  </w:style>
  <w:style w:type="character" w:customStyle="1" w:styleId="106">
    <w:name w:val="标题 字符"/>
    <w:qFormat/>
    <w:uiPriority w:val="0"/>
    <w:rPr>
      <w:rFonts w:ascii="等线 Light" w:hAnsi="等线 Light" w:eastAsia="等线 Light" w:cs="Times New Roman"/>
      <w:b/>
      <w:bCs/>
      <w:sz w:val="32"/>
      <w:szCs w:val="32"/>
    </w:rPr>
  </w:style>
  <w:style w:type="character" w:customStyle="1" w:styleId="107">
    <w:name w:val="文档结构图 字符"/>
    <w:qFormat/>
    <w:uiPriority w:val="0"/>
    <w:rPr>
      <w:rFonts w:ascii="Microsoft YaHei UI" w:hAnsi="Calibri" w:eastAsia="Microsoft YaHei UI" w:cs="Times New Roman"/>
      <w:sz w:val="18"/>
      <w:szCs w:val="18"/>
    </w:rPr>
  </w:style>
  <w:style w:type="character" w:customStyle="1" w:styleId="108">
    <w:name w:val="NormalCharacter"/>
    <w:qFormat/>
    <w:uiPriority w:val="0"/>
  </w:style>
  <w:style w:type="character" w:customStyle="1" w:styleId="109">
    <w:name w:val="标题 2 字符"/>
    <w:qFormat/>
    <w:uiPriority w:val="0"/>
    <w:rPr>
      <w:rFonts w:ascii="等线 Light" w:hAnsi="等线 Light" w:eastAsia="等线 Light" w:cs="Times New Roman"/>
      <w:b/>
      <w:bCs/>
      <w:sz w:val="32"/>
      <w:szCs w:val="32"/>
    </w:rPr>
  </w:style>
  <w:style w:type="character" w:customStyle="1" w:styleId="110">
    <w:name w:val="批注框文本 Char3"/>
    <w:qFormat/>
    <w:uiPriority w:val="0"/>
    <w:rPr>
      <w:rFonts w:ascii="等线" w:hAnsi="等线" w:eastAsia="等线" w:cs="Times New Roman"/>
      <w:sz w:val="18"/>
      <w:szCs w:val="18"/>
      <w:lang w:eastAsia="en-US" w:bidi="en-US"/>
    </w:rPr>
  </w:style>
  <w:style w:type="character" w:customStyle="1" w:styleId="111">
    <w:name w:val="纯文本 字符"/>
    <w:qFormat/>
    <w:uiPriority w:val="0"/>
    <w:rPr>
      <w:rFonts w:ascii="等线" w:hAnsi="Courier New" w:eastAsia="等线" w:cs="Courier New"/>
    </w:rPr>
  </w:style>
  <w:style w:type="character" w:customStyle="1" w:styleId="112">
    <w:name w:val="批注主题 字符"/>
    <w:qFormat/>
    <w:uiPriority w:val="0"/>
    <w:rPr>
      <w:rFonts w:ascii="Calibri" w:hAnsi="Calibri" w:eastAsia="宋体" w:cs="Times New Roman"/>
      <w:b/>
      <w:bCs/>
    </w:rPr>
  </w:style>
  <w:style w:type="character" w:customStyle="1" w:styleId="113">
    <w:name w:val="副标题 Char1"/>
    <w:qFormat/>
    <w:uiPriority w:val="0"/>
    <w:rPr>
      <w:rFonts w:ascii="Cambria" w:hAnsi="Cambria" w:eastAsia="宋体" w:cs="Times New Roman"/>
      <w:b/>
      <w:bCs/>
      <w:kern w:val="28"/>
      <w:sz w:val="32"/>
      <w:szCs w:val="32"/>
    </w:rPr>
  </w:style>
  <w:style w:type="character" w:customStyle="1" w:styleId="114">
    <w:name w:val="s2"/>
    <w:qFormat/>
    <w:uiPriority w:val="0"/>
  </w:style>
  <w:style w:type="character" w:customStyle="1" w:styleId="115">
    <w:name w:val="正文文本缩进 字符"/>
    <w:qFormat/>
    <w:uiPriority w:val="0"/>
    <w:rPr>
      <w:rFonts w:ascii="Calibri" w:hAnsi="Calibri" w:eastAsia="宋体" w:cs="Times New Roman"/>
    </w:rPr>
  </w:style>
  <w:style w:type="character" w:customStyle="1" w:styleId="116">
    <w:name w:val="标题 5 字符"/>
    <w:qFormat/>
    <w:uiPriority w:val="0"/>
    <w:rPr>
      <w:rFonts w:ascii="Calibri" w:hAnsi="Calibri" w:eastAsia="宋体" w:cs="Times New Roman"/>
      <w:b/>
      <w:bCs/>
      <w:sz w:val="28"/>
      <w:szCs w:val="28"/>
    </w:rPr>
  </w:style>
  <w:style w:type="character" w:customStyle="1" w:styleId="117">
    <w:name w:val="批注框文本 字符"/>
    <w:qFormat/>
    <w:uiPriority w:val="0"/>
    <w:rPr>
      <w:rFonts w:ascii="Calibri" w:hAnsi="Calibri" w:eastAsia="宋体" w:cs="Times New Roman"/>
      <w:sz w:val="18"/>
      <w:szCs w:val="18"/>
    </w:rPr>
  </w:style>
  <w:style w:type="paragraph" w:customStyle="1" w:styleId="118">
    <w:name w:val="封二"/>
    <w:basedOn w:val="82"/>
    <w:next w:val="82"/>
    <w:qFormat/>
    <w:uiPriority w:val="0"/>
    <w:pPr>
      <w:ind w:firstLine="0" w:firstLineChars="0"/>
      <w:jc w:val="center"/>
    </w:pPr>
    <w:rPr>
      <w:rFonts w:eastAsia="黑体"/>
      <w:b/>
      <w:sz w:val="36"/>
      <w:szCs w:val="36"/>
    </w:rPr>
  </w:style>
  <w:style w:type="paragraph" w:customStyle="1" w:styleId="119">
    <w:name w:val="xl4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等线"/>
      <w:kern w:val="0"/>
      <w:sz w:val="20"/>
      <w:szCs w:val="20"/>
    </w:rPr>
  </w:style>
  <w:style w:type="paragraph" w:customStyle="1" w:styleId="120">
    <w:name w:val="封四"/>
    <w:basedOn w:val="82"/>
    <w:next w:val="82"/>
    <w:qFormat/>
    <w:uiPriority w:val="0"/>
    <w:pPr>
      <w:jc w:val="left"/>
    </w:pPr>
    <w:rPr>
      <w:rFonts w:eastAsia="等线"/>
      <w:sz w:val="30"/>
      <w:szCs w:val="30"/>
    </w:rPr>
  </w:style>
  <w:style w:type="paragraph" w:customStyle="1" w:styleId="121">
    <w:name w:val="公文抬头"/>
    <w:basedOn w:val="6"/>
    <w:qFormat/>
    <w:uiPriority w:val="0"/>
    <w:pPr>
      <w:ind w:firstLine="0"/>
    </w:pPr>
    <w:rPr>
      <w:rFonts w:ascii="仿宋_GB2312" w:hAnsi="等线" w:eastAsia="仿宋_GB2312"/>
      <w:sz w:val="30"/>
      <w:szCs w:val="24"/>
    </w:rPr>
  </w:style>
  <w:style w:type="paragraph" w:customStyle="1" w:styleId="122">
    <w:name w:val="_Style 25"/>
    <w:basedOn w:val="1"/>
    <w:next w:val="1"/>
    <w:qFormat/>
    <w:uiPriority w:val="0"/>
    <w:rPr>
      <w:rFonts w:ascii="等线" w:hAnsi="等线" w:eastAsia="等线"/>
    </w:rPr>
  </w:style>
  <w:style w:type="paragraph" w:customStyle="1" w:styleId="123">
    <w:name w:val="表头"/>
    <w:basedOn w:val="1"/>
    <w:qFormat/>
    <w:uiPriority w:val="0"/>
    <w:pPr>
      <w:spacing w:line="360" w:lineRule="auto"/>
      <w:jc w:val="center"/>
    </w:pPr>
    <w:rPr>
      <w:rFonts w:ascii="黑体" w:eastAsia="黑体"/>
      <w:kern w:val="0"/>
      <w:sz w:val="24"/>
      <w:szCs w:val="20"/>
    </w:rPr>
  </w:style>
  <w:style w:type="paragraph" w:customStyle="1" w:styleId="124">
    <w:name w:val="章节三"/>
    <w:basedOn w:val="82"/>
    <w:next w:val="82"/>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正题"/>
    <w:basedOn w:val="82"/>
    <w:next w:val="82"/>
    <w:qFormat/>
    <w:uiPriority w:val="0"/>
    <w:pPr>
      <w:ind w:firstLine="0" w:firstLineChars="0"/>
      <w:jc w:val="center"/>
    </w:pPr>
    <w:rPr>
      <w:rFonts w:eastAsia="黑体"/>
      <w:b/>
      <w:sz w:val="36"/>
      <w:szCs w:val="36"/>
    </w:rPr>
  </w:style>
  <w:style w:type="paragraph" w:customStyle="1" w:styleId="126">
    <w:name w:val="Char1"/>
    <w:basedOn w:val="1"/>
    <w:qFormat/>
    <w:uiPriority w:val="0"/>
    <w:pPr>
      <w:numPr>
        <w:ilvl w:val="0"/>
        <w:numId w:val="1"/>
      </w:numPr>
    </w:pPr>
    <w:rPr>
      <w:rFonts w:eastAsia="等线"/>
      <w:sz w:val="24"/>
      <w:szCs w:val="24"/>
    </w:rPr>
  </w:style>
  <w:style w:type="paragraph" w:customStyle="1" w:styleId="127">
    <w:name w:val="Char Char Char1 Char"/>
    <w:basedOn w:val="12"/>
    <w:qFormat/>
    <w:uiPriority w:val="0"/>
    <w:rPr>
      <w:rFonts w:ascii="Tahoma" w:hAnsi="Tahoma" w:eastAsia="等线"/>
      <w:sz w:val="24"/>
      <w:szCs w:val="24"/>
    </w:rPr>
  </w:style>
  <w:style w:type="paragraph" w:customStyle="1" w:styleId="128">
    <w:name w:val="样式2"/>
    <w:basedOn w:val="1"/>
    <w:qFormat/>
    <w:uiPriority w:val="0"/>
    <w:pPr>
      <w:adjustRightInd w:val="0"/>
      <w:spacing w:before="120" w:after="120" w:line="312" w:lineRule="atLeast"/>
      <w:jc w:val="center"/>
      <w:textAlignment w:val="baseline"/>
    </w:pPr>
    <w:rPr>
      <w:rFonts w:eastAsia="等线"/>
      <w:kern w:val="0"/>
      <w:sz w:val="24"/>
      <w:szCs w:val="20"/>
    </w:rPr>
  </w:style>
  <w:style w:type="paragraph" w:customStyle="1" w:styleId="129">
    <w:name w:val="tab.txt"/>
    <w:basedOn w:val="1"/>
    <w:qFormat/>
    <w:uiPriority w:val="0"/>
    <w:pPr>
      <w:widowControl/>
      <w:jc w:val="left"/>
    </w:pPr>
    <w:rPr>
      <w:rFonts w:ascii="Arial" w:hAnsi="Arial" w:eastAsia="等线"/>
      <w:kern w:val="0"/>
      <w:sz w:val="18"/>
      <w:szCs w:val="20"/>
      <w:lang w:val="en-GB" w:eastAsia="fr-FR"/>
    </w:rPr>
  </w:style>
  <w:style w:type="paragraph" w:customStyle="1" w:styleId="130">
    <w:name w:val="文二"/>
    <w:basedOn w:val="1"/>
    <w:qFormat/>
    <w:uiPriority w:val="0"/>
    <w:pPr>
      <w:jc w:val="left"/>
    </w:pPr>
    <w:rPr>
      <w:rFonts w:ascii="宋体" w:hAnsi="宋体" w:eastAsia="等线"/>
      <w:szCs w:val="21"/>
    </w:rPr>
  </w:style>
  <w:style w:type="paragraph" w:styleId="131">
    <w:name w:val="List Paragraph"/>
    <w:basedOn w:val="1"/>
    <w:qFormat/>
    <w:uiPriority w:val="0"/>
    <w:pPr>
      <w:ind w:firstLine="420" w:firstLineChars="200"/>
    </w:pPr>
    <w:rPr>
      <w:rFonts w:eastAsia="等线"/>
      <w:szCs w:val="20"/>
    </w:rPr>
  </w:style>
  <w:style w:type="paragraph" w:customStyle="1" w:styleId="132">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33">
    <w:name w:val="章节二"/>
    <w:basedOn w:val="1"/>
    <w:next w:val="1"/>
    <w:qFormat/>
    <w:uiPriority w:val="0"/>
    <w:pPr>
      <w:topLinePunct/>
      <w:adjustRightInd w:val="0"/>
      <w:snapToGrid w:val="0"/>
      <w:spacing w:beforeLines="50" w:afterLines="50"/>
      <w:jc w:val="center"/>
      <w:outlineLvl w:val="1"/>
    </w:pPr>
    <w:rPr>
      <w:rFonts w:ascii="等线" w:hAnsi="等线" w:eastAsia="黑体"/>
      <w:b/>
      <w:snapToGrid w:val="0"/>
      <w:spacing w:val="4"/>
      <w:kern w:val="0"/>
      <w:sz w:val="30"/>
      <w:szCs w:val="30"/>
    </w:rPr>
  </w:style>
  <w:style w:type="paragraph" w:customStyle="1" w:styleId="134">
    <w:name w:val="Char"/>
    <w:basedOn w:val="1"/>
    <w:qFormat/>
    <w:uiPriority w:val="0"/>
    <w:rPr>
      <w:rFonts w:ascii="Tahoma" w:hAnsi="Tahoma" w:eastAsia="等线"/>
      <w:sz w:val="24"/>
      <w:szCs w:val="20"/>
    </w:rPr>
  </w:style>
  <w:style w:type="paragraph" w:customStyle="1" w:styleId="135">
    <w:name w:val="_Style 5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_Style 134"/>
    <w:basedOn w:val="3"/>
    <w:next w:val="1"/>
    <w:qFormat/>
    <w:uiPriority w:val="0"/>
    <w:pPr>
      <w:widowControl/>
      <w:spacing w:before="480" w:after="0" w:line="276" w:lineRule="auto"/>
      <w:outlineLvl w:val="9"/>
    </w:pPr>
    <w:rPr>
      <w:rFonts w:ascii="Cambria" w:hAnsi="Cambria" w:eastAsia="等线"/>
      <w:color w:val="365F91"/>
      <w:kern w:val="0"/>
    </w:rPr>
  </w:style>
  <w:style w:type="paragraph" w:customStyle="1" w:styleId="137">
    <w:name w:val="Blockquote"/>
    <w:basedOn w:val="1"/>
    <w:qFormat/>
    <w:uiPriority w:val="0"/>
    <w:pPr>
      <w:autoSpaceDE w:val="0"/>
      <w:autoSpaceDN w:val="0"/>
      <w:adjustRightInd w:val="0"/>
      <w:spacing w:before="100" w:after="100"/>
      <w:ind w:left="360" w:right="360"/>
      <w:jc w:val="left"/>
    </w:pPr>
    <w:rPr>
      <w:rFonts w:eastAsia="等线"/>
      <w:kern w:val="0"/>
      <w:sz w:val="24"/>
      <w:szCs w:val="20"/>
    </w:rPr>
  </w:style>
  <w:style w:type="paragraph" w:customStyle="1" w:styleId="138">
    <w:name w:val="Char Char Char Char"/>
    <w:basedOn w:val="1"/>
    <w:qFormat/>
    <w:uiPriority w:val="0"/>
    <w:rPr>
      <w:rFonts w:eastAsia="等线"/>
      <w:sz w:val="30"/>
      <w:szCs w:val="24"/>
    </w:rPr>
  </w:style>
  <w:style w:type="paragraph" w:customStyle="1" w:styleId="139">
    <w:name w:val="封一"/>
    <w:basedOn w:val="82"/>
    <w:next w:val="82"/>
    <w:qFormat/>
    <w:uiPriority w:val="0"/>
    <w:pPr>
      <w:ind w:firstLine="0" w:firstLineChars="0"/>
      <w:jc w:val="center"/>
    </w:pPr>
    <w:rPr>
      <w:rFonts w:eastAsia="黑体"/>
      <w:b/>
      <w:sz w:val="84"/>
      <w:szCs w:val="84"/>
    </w:rPr>
  </w:style>
  <w:style w:type="paragraph" w:customStyle="1" w:styleId="1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1">
    <w:name w:val="发文落款"/>
    <w:basedOn w:val="140"/>
    <w:qFormat/>
    <w:uiPriority w:val="0"/>
    <w:pPr>
      <w:ind w:left="4094" w:right="607" w:firstLine="0"/>
      <w:jc w:val="center"/>
    </w:pPr>
    <w:rPr>
      <w:rFonts w:ascii="等线" w:hAnsi="等线" w:eastAsia="等线"/>
    </w:rPr>
  </w:style>
  <w:style w:type="paragraph" w:customStyle="1" w:styleId="142">
    <w:name w:val="Char2"/>
    <w:basedOn w:val="1"/>
    <w:qFormat/>
    <w:uiPriority w:val="0"/>
    <w:pPr>
      <w:widowControl/>
      <w:spacing w:after="160" w:line="240" w:lineRule="exact"/>
      <w:jc w:val="left"/>
    </w:pPr>
    <w:rPr>
      <w:rFonts w:ascii="Verdana" w:hAnsi="Verdana" w:eastAsia="等线"/>
      <w:kern w:val="0"/>
      <w:sz w:val="20"/>
      <w:szCs w:val="20"/>
      <w:lang w:eastAsia="en-US"/>
    </w:rPr>
  </w:style>
  <w:style w:type="paragraph" w:customStyle="1" w:styleId="143">
    <w:name w:val="公文标题"/>
    <w:basedOn w:val="4"/>
    <w:qFormat/>
    <w:uiPriority w:val="0"/>
    <w:pPr>
      <w:keepNext/>
      <w:keepLines/>
      <w:widowControl w:val="0"/>
      <w:spacing w:before="0" w:beforeAutospacing="0" w:after="0" w:afterAutospacing="0"/>
      <w:ind w:left="1469" w:right="1542"/>
    </w:pPr>
    <w:rPr>
      <w:rFonts w:ascii="等线" w:hAnsi="Times New Roman" w:eastAsia="等线"/>
      <w:b/>
      <w:kern w:val="2"/>
      <w:sz w:val="44"/>
      <w:szCs w:val="21"/>
    </w:rPr>
  </w:style>
  <w:style w:type="paragraph" w:customStyle="1" w:styleId="144">
    <w:name w:val="_Style 143"/>
    <w:qFormat/>
    <w:uiPriority w:val="0"/>
    <w:rPr>
      <w:rFonts w:ascii="Times New Roman" w:hAnsi="Times New Roman" w:eastAsia="宋体" w:cs="Times New Roman"/>
      <w:kern w:val="2"/>
      <w:sz w:val="21"/>
      <w:lang w:val="en-US" w:eastAsia="zh-CN" w:bidi="ar-SA"/>
    </w:rPr>
  </w:style>
  <w:style w:type="paragraph" w:customStyle="1" w:styleId="145">
    <w:name w:val="正文 New New"/>
    <w:basedOn w:val="1"/>
    <w:qFormat/>
    <w:uiPriority w:val="0"/>
    <w:rPr>
      <w:rFonts w:eastAsia="楷体_GB2312" w:cs="宋体"/>
      <w:szCs w:val="21"/>
    </w:rPr>
  </w:style>
  <w:style w:type="paragraph" w:customStyle="1" w:styleId="146">
    <w:name w:val="BodyText"/>
    <w:basedOn w:val="1"/>
    <w:qFormat/>
    <w:uiPriority w:val="99"/>
    <w:pPr>
      <w:spacing w:after="120"/>
    </w:pPr>
    <w:rPr>
      <w:kern w:val="0"/>
      <w:sz w:val="20"/>
      <w:szCs w:val="20"/>
    </w:rPr>
  </w:style>
  <w:style w:type="paragraph" w:customStyle="1" w:styleId="147">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148">
    <w:name w:val="msolistparagraph"/>
    <w:basedOn w:val="1"/>
    <w:qFormat/>
    <w:uiPriority w:val="0"/>
    <w:pPr>
      <w:ind w:firstLine="420" w:firstLineChars="200"/>
    </w:pPr>
    <w:rPr>
      <w:rFonts w:ascii="Calibri" w:hAnsi="Calibri"/>
    </w:rPr>
  </w:style>
  <w:style w:type="paragraph" w:customStyle="1" w:styleId="149">
    <w:name w:val="纯文本1"/>
    <w:qFormat/>
    <w:uiPriority w:val="0"/>
    <w:rPr>
      <w:rFonts w:ascii="宋体" w:hAnsi="Courier New" w:eastAsia="宋体" w:cs="Times New Roman"/>
      <w:sz w:val="32"/>
      <w:szCs w:val="24"/>
      <w:lang w:val="en-US" w:eastAsia="zh-CN" w:bidi="ar-SA"/>
    </w:rPr>
  </w:style>
  <w:style w:type="paragraph" w:customStyle="1" w:styleId="150">
    <w:name w:val="表格文字"/>
    <w:basedOn w:val="1"/>
    <w:qFormat/>
    <w:uiPriority w:val="0"/>
    <w:pPr>
      <w:adjustRightInd w:val="0"/>
      <w:spacing w:line="420" w:lineRule="atLeast"/>
      <w:jc w:val="left"/>
      <w:textAlignment w:val="baseline"/>
    </w:pPr>
    <w:rPr>
      <w:kern w:val="0"/>
      <w:szCs w:val="20"/>
    </w:rPr>
  </w:style>
  <w:style w:type="character" w:customStyle="1" w:styleId="151">
    <w:name w:val="font11"/>
    <w:basedOn w:val="40"/>
    <w:qFormat/>
    <w:uiPriority w:val="0"/>
    <w:rPr>
      <w:rFonts w:hint="eastAsia" w:ascii="宋体" w:hAnsi="宋体" w:eastAsia="宋体" w:cs="宋体"/>
      <w:color w:val="000000"/>
      <w:sz w:val="21"/>
      <w:szCs w:val="21"/>
      <w:u w:val="none"/>
    </w:rPr>
  </w:style>
  <w:style w:type="character" w:customStyle="1" w:styleId="152">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53">
    <w:name w:val="BodyText3"/>
    <w:basedOn w:val="1"/>
    <w:qFormat/>
    <w:uiPriority w:val="0"/>
    <w:pPr>
      <w:widowControl/>
      <w:textAlignment w:val="baseline"/>
    </w:pPr>
    <w:rPr>
      <w:sz w:val="16"/>
      <w:szCs w:val="16"/>
    </w:rPr>
  </w:style>
  <w:style w:type="character" w:customStyle="1" w:styleId="154">
    <w:name w:val="15"/>
    <w:basedOn w:val="4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9EE8A-7E26-4F27-BD05-B92F058F674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37370</Words>
  <Characters>39344</Characters>
  <Lines>1</Lines>
  <Paragraphs>1</Paragraphs>
  <TotalTime>0</TotalTime>
  <ScaleCrop>false</ScaleCrop>
  <LinksUpToDate>false</LinksUpToDate>
  <CharactersWithSpaces>40317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2023-10-09T06:21:00Z</dcterms:created>
  <cp:lastPrinted>2025-05-07T03:08:00Z</cp:lastPrinted>
  <dcterms:modified xsi:type="dcterms:W3CDTF">2025-05-08T07:16:47Z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C063D1E51A3049BAA20DEF3632DCA0D0_13</vt:lpwstr>
  </property>
  <property fmtid="{D5CDD505-2E9C-101B-9397-08002B2CF9AE}" pid="4" name="KSOTemplateDocerSaveRecord">
    <vt:lpwstr>eyJoZGlkIjoiYWZmZTNjNTg0NjUxZjk5YmVjNjhiYzFjNDdkMTdiMmEiLCJ1c2VySWQiOiI0OTk3NTQ1MzIifQ==</vt:lpwstr>
  </property>
</Properties>
</file>