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C18CB">
      <w:pPr>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如意坊放射线系统工程（二期）供水管线迁改工程</w:t>
      </w:r>
    </w:p>
    <w:p w14:paraId="5F1E78F5">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施工总承包</w:t>
      </w:r>
      <w:r>
        <w:rPr>
          <w:rFonts w:hint="eastAsia" w:ascii="宋体" w:hAnsi="宋体" w:eastAsia="宋体" w:cs="宋体"/>
          <w:b/>
          <w:bCs/>
          <w:color w:val="auto"/>
          <w:sz w:val="36"/>
          <w:szCs w:val="36"/>
          <w:highlight w:val="none"/>
        </w:rPr>
        <w:t>评标报告</w:t>
      </w:r>
    </w:p>
    <w:p w14:paraId="0F9417A1">
      <w:pPr>
        <w:jc w:val="center"/>
        <w:rPr>
          <w:rFonts w:hint="eastAsia" w:ascii="宋体" w:hAnsi="宋体" w:eastAsia="宋体" w:cs="宋体"/>
          <w:b/>
          <w:bCs/>
          <w:color w:val="auto"/>
          <w:sz w:val="36"/>
          <w:szCs w:val="36"/>
          <w:highlight w:val="none"/>
        </w:rPr>
      </w:pPr>
    </w:p>
    <w:p w14:paraId="2E6782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广州市富华工程建设监理有限公司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lang w:eastAsia="zh-CN"/>
        </w:rPr>
        <w:t>广州市政园建设管理有限公司</w:t>
      </w:r>
      <w:r>
        <w:rPr>
          <w:rFonts w:hint="eastAsia" w:ascii="宋体" w:hAnsi="宋体" w:eastAsia="宋体" w:cs="宋体"/>
          <w:color w:val="auto"/>
          <w:sz w:val="24"/>
          <w:szCs w:val="24"/>
          <w:highlight w:val="none"/>
        </w:rPr>
        <w:t>委托，对</w:t>
      </w:r>
      <w:r>
        <w:rPr>
          <w:rFonts w:hint="eastAsia" w:ascii="宋体" w:hAnsi="宋体" w:eastAsia="宋体" w:cs="宋体"/>
          <w:color w:val="auto"/>
          <w:sz w:val="24"/>
          <w:szCs w:val="24"/>
          <w:highlight w:val="none"/>
          <w:u w:val="single"/>
          <w:lang w:eastAsia="zh-CN"/>
        </w:rPr>
        <w:t>如意坊放射线系统工程（二期）供水管线迁改工程施工总承包</w:t>
      </w:r>
      <w:r>
        <w:rPr>
          <w:rFonts w:hint="eastAsia" w:ascii="宋体" w:hAnsi="宋体" w:eastAsia="宋体" w:cs="宋体"/>
          <w:color w:val="auto"/>
          <w:sz w:val="24"/>
          <w:szCs w:val="24"/>
          <w:highlight w:val="none"/>
        </w:rPr>
        <w:t>采用公开招标方式进行招标，评标采用综合评分法。</w:t>
      </w:r>
    </w:p>
    <w:p w14:paraId="47D7D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 xml:space="preserve">本项目于 2025 年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月 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 日至 </w:t>
      </w:r>
      <w:r>
        <w:rPr>
          <w:rFonts w:hint="eastAsia" w:ascii="宋体" w:hAnsi="宋体" w:eastAsia="宋体" w:cs="宋体"/>
          <w:color w:val="auto"/>
          <w:sz w:val="24"/>
          <w:szCs w:val="24"/>
          <w:highlight w:val="none"/>
          <w:lang w:eastAsia="zh-CN"/>
        </w:rPr>
        <w:t xml:space="preserve">2025 年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 xml:space="preserve"> 日</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广州交易集团有限公司（广州公共资源交易中心）网站、广东省招标投标监管网、中国招标投标公共服务平台</w:t>
      </w:r>
      <w:r>
        <w:rPr>
          <w:rFonts w:hint="eastAsia" w:ascii="宋体" w:hAnsi="宋体" w:eastAsia="宋体" w:cs="宋体"/>
          <w:color w:val="auto"/>
          <w:sz w:val="24"/>
          <w:szCs w:val="24"/>
          <w:highlight w:val="none"/>
        </w:rPr>
        <w:t xml:space="preserve">等法定媒体发布招标公告。于2025 年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月 2</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 xml:space="preserve">日至 </w:t>
      </w:r>
      <w:r>
        <w:rPr>
          <w:rFonts w:hint="eastAsia" w:ascii="宋体" w:hAnsi="宋体" w:eastAsia="宋体" w:cs="宋体"/>
          <w:color w:val="auto"/>
          <w:sz w:val="24"/>
          <w:szCs w:val="24"/>
          <w:highlight w:val="none"/>
          <w:lang w:eastAsia="zh-CN"/>
        </w:rPr>
        <w:t xml:space="preserve">2025 年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 xml:space="preserve"> 日</w:t>
      </w:r>
      <w:r>
        <w:rPr>
          <w:rFonts w:hint="eastAsia" w:ascii="宋体" w:hAnsi="宋体" w:eastAsia="宋体" w:cs="宋体"/>
          <w:color w:val="auto"/>
          <w:sz w:val="24"/>
          <w:szCs w:val="24"/>
          <w:highlight w:val="none"/>
        </w:rPr>
        <w:t xml:space="preserve"> 10 时 </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0 分止在广州交易集团有限公司（广州公共资源交易中心）网站公开接受投标登记。至投标登记截止时间 </w:t>
      </w:r>
      <w:r>
        <w:rPr>
          <w:rFonts w:hint="eastAsia" w:ascii="宋体" w:hAnsi="宋体" w:eastAsia="宋体" w:cs="宋体"/>
          <w:color w:val="auto"/>
          <w:sz w:val="24"/>
          <w:szCs w:val="24"/>
          <w:highlight w:val="none"/>
          <w:lang w:eastAsia="zh-CN"/>
        </w:rPr>
        <w:t xml:space="preserve">2025 年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 xml:space="preserve"> 日</w:t>
      </w:r>
      <w:r>
        <w:rPr>
          <w:rFonts w:hint="eastAsia" w:ascii="宋体" w:hAnsi="宋体" w:eastAsia="宋体" w:cs="宋体"/>
          <w:color w:val="auto"/>
          <w:sz w:val="24"/>
          <w:szCs w:val="24"/>
          <w:highlight w:val="none"/>
        </w:rPr>
        <w:t xml:space="preserve"> 10 时 </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分止，共</w:t>
      </w:r>
      <w:r>
        <w:rPr>
          <w:rFonts w:hint="eastAsia" w:ascii="宋体" w:hAnsi="宋体" w:eastAsia="宋体" w:cs="宋体"/>
          <w:color w:val="auto"/>
          <w:sz w:val="24"/>
          <w:szCs w:val="24"/>
          <w:highlight w:val="none"/>
          <w:u w:val="single"/>
          <w:lang w:val="en-US" w:eastAsia="zh-CN"/>
        </w:rPr>
        <w:t>27</w:t>
      </w:r>
      <w:r>
        <w:rPr>
          <w:rFonts w:hint="eastAsia" w:ascii="宋体" w:hAnsi="宋体" w:eastAsia="宋体" w:cs="宋体"/>
          <w:color w:val="auto"/>
          <w:sz w:val="24"/>
          <w:szCs w:val="24"/>
          <w:highlight w:val="none"/>
        </w:rPr>
        <w:t>家单位投标登记成功，</w:t>
      </w:r>
      <w:r>
        <w:rPr>
          <w:rFonts w:hint="eastAsia" w:ascii="宋体" w:hAnsi="宋体" w:eastAsia="宋体" w:cs="宋体"/>
          <w:color w:val="auto"/>
          <w:sz w:val="24"/>
          <w:szCs w:val="24"/>
          <w:highlight w:val="none"/>
          <w:u w:val="none"/>
          <w:lang w:eastAsia="zh-CN"/>
        </w:rPr>
        <w:t>具体名单详见《开标记录表》</w:t>
      </w:r>
      <w:r>
        <w:rPr>
          <w:rFonts w:hint="eastAsia" w:ascii="宋体" w:hAnsi="宋体" w:eastAsia="宋体" w:cs="宋体"/>
          <w:color w:val="auto"/>
          <w:sz w:val="24"/>
          <w:szCs w:val="24"/>
          <w:highlight w:val="none"/>
          <w:u w:val="none"/>
        </w:rPr>
        <w:t>。</w:t>
      </w:r>
    </w:p>
    <w:p w14:paraId="240057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本项目于 </w:t>
      </w:r>
      <w:r>
        <w:rPr>
          <w:rFonts w:hint="eastAsia" w:ascii="宋体" w:hAnsi="宋体" w:eastAsia="宋体" w:cs="宋体"/>
          <w:color w:val="auto"/>
          <w:sz w:val="24"/>
          <w:szCs w:val="24"/>
          <w:highlight w:val="none"/>
          <w:lang w:eastAsia="zh-CN"/>
        </w:rPr>
        <w:t xml:space="preserve">2025 年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 xml:space="preserve"> 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 xml:space="preserve"> 时 45 分至 10 时 00 分在广州公共资源交易中心</w:t>
      </w:r>
      <w:r>
        <w:rPr>
          <w:rFonts w:hint="eastAsia"/>
          <w:color w:val="auto"/>
          <w:spacing w:val="-7"/>
          <w:sz w:val="24"/>
          <w:szCs w:val="24"/>
          <w:highlight w:val="none"/>
          <w:u w:val="single"/>
          <w:lang w:val="en-US" w:eastAsia="zh-CN"/>
        </w:rPr>
        <w:t>第02开标室</w:t>
      </w:r>
      <w:r>
        <w:rPr>
          <w:rFonts w:hint="eastAsia" w:ascii="宋体" w:hAnsi="宋体" w:eastAsia="宋体" w:cs="宋体"/>
          <w:color w:val="auto"/>
          <w:sz w:val="24"/>
          <w:szCs w:val="24"/>
          <w:highlight w:val="none"/>
          <w:u w:val="single"/>
        </w:rPr>
        <w:t>（天润路 333 号）</w:t>
      </w:r>
      <w:r>
        <w:rPr>
          <w:rFonts w:hint="eastAsia" w:ascii="宋体" w:hAnsi="宋体" w:eastAsia="宋体" w:cs="宋体"/>
          <w:color w:val="auto"/>
          <w:sz w:val="24"/>
          <w:szCs w:val="24"/>
          <w:highlight w:val="none"/>
        </w:rPr>
        <w:t>接收投标人递交投标文件备用光盘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至递交投标文件备用光盘截止时间止。</w:t>
      </w:r>
    </w:p>
    <w:p w14:paraId="08AF5E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本项目于 2025 年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 xml:space="preserve"> 日至 </w:t>
      </w:r>
      <w:r>
        <w:rPr>
          <w:rFonts w:hint="eastAsia" w:ascii="宋体" w:hAnsi="宋体" w:eastAsia="宋体" w:cs="宋体"/>
          <w:color w:val="auto"/>
          <w:sz w:val="24"/>
          <w:szCs w:val="24"/>
          <w:highlight w:val="none"/>
          <w:lang w:eastAsia="zh-CN"/>
        </w:rPr>
        <w:t xml:space="preserve">2025 年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 xml:space="preserve"> 日</w:t>
      </w:r>
      <w:r>
        <w:rPr>
          <w:rFonts w:hint="eastAsia" w:ascii="宋体" w:hAnsi="宋体" w:eastAsia="宋体" w:cs="宋体"/>
          <w:color w:val="auto"/>
          <w:sz w:val="24"/>
          <w:szCs w:val="24"/>
          <w:highlight w:val="none"/>
        </w:rPr>
        <w:t xml:space="preserve"> 10 时 </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分接收投标人递交投标文件。至递交投标文件截止时间止，共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家投标人按招标文件要求递交了投标文件，</w:t>
      </w:r>
      <w:r>
        <w:rPr>
          <w:rFonts w:hint="eastAsia" w:ascii="宋体" w:hAnsi="宋体" w:eastAsia="宋体" w:cs="宋体"/>
          <w:color w:val="auto"/>
          <w:sz w:val="24"/>
          <w:szCs w:val="24"/>
          <w:highlight w:val="none"/>
          <w:u w:val="none"/>
          <w:lang w:eastAsia="zh-CN"/>
        </w:rPr>
        <w:t>具体名单详见《开标记录表》</w:t>
      </w:r>
      <w:r>
        <w:rPr>
          <w:rFonts w:hint="eastAsia" w:ascii="宋体" w:hAnsi="宋体" w:eastAsia="宋体" w:cs="宋体"/>
          <w:color w:val="auto"/>
          <w:sz w:val="24"/>
          <w:szCs w:val="24"/>
          <w:highlight w:val="none"/>
          <w:u w:val="none"/>
        </w:rPr>
        <w:t>。</w:t>
      </w:r>
    </w:p>
    <w:p w14:paraId="1D720E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于 </w:t>
      </w:r>
      <w:r>
        <w:rPr>
          <w:rFonts w:hint="eastAsia" w:ascii="宋体" w:hAnsi="宋体" w:eastAsia="宋体" w:cs="宋体"/>
          <w:color w:val="auto"/>
          <w:sz w:val="24"/>
          <w:szCs w:val="24"/>
          <w:highlight w:val="none"/>
          <w:lang w:eastAsia="zh-CN"/>
        </w:rPr>
        <w:t xml:space="preserve">2025 年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 xml:space="preserve"> 日</w:t>
      </w:r>
      <w:r>
        <w:rPr>
          <w:rFonts w:hint="eastAsia" w:ascii="宋体" w:hAnsi="宋体" w:eastAsia="宋体" w:cs="宋体"/>
          <w:color w:val="auto"/>
          <w:sz w:val="24"/>
          <w:szCs w:val="24"/>
          <w:highlight w:val="none"/>
        </w:rPr>
        <w:t xml:space="preserve"> 10 时 </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分在广州公共资源交易中心</w:t>
      </w:r>
      <w:r>
        <w:rPr>
          <w:rFonts w:hint="eastAsia"/>
          <w:color w:val="auto"/>
          <w:spacing w:val="-7"/>
          <w:sz w:val="24"/>
          <w:szCs w:val="24"/>
          <w:highlight w:val="none"/>
          <w:u w:val="single"/>
          <w:lang w:val="en-US" w:eastAsia="zh-CN"/>
        </w:rPr>
        <w:t>第02开标室</w:t>
      </w:r>
      <w:r>
        <w:rPr>
          <w:rFonts w:hint="eastAsia" w:ascii="宋体" w:hAnsi="宋体" w:eastAsia="宋体" w:cs="宋体"/>
          <w:color w:val="auto"/>
          <w:sz w:val="24"/>
          <w:szCs w:val="24"/>
          <w:highlight w:val="none"/>
        </w:rPr>
        <w:t>（天润路 333 号）进行现场开标，开标前从[0,100]的整数中随机抽取计算评标参考价的等分点值 X 是</w:t>
      </w:r>
      <w:r>
        <w:rPr>
          <w:rFonts w:hint="eastAsia" w:ascii="宋体" w:hAnsi="宋体" w:eastAsia="宋体" w:cs="宋体"/>
          <w:color w:val="auto"/>
          <w:sz w:val="24"/>
          <w:szCs w:val="24"/>
          <w:highlight w:val="none"/>
          <w:u w:val="single"/>
          <w:lang w:val="en-US" w:eastAsia="zh-CN"/>
        </w:rPr>
        <w:t>72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。（详见《开标记录表》、《投标文件机器码系统分析结论表》、《异议记录表》、《等分点值 X摇珠》）</w:t>
      </w:r>
    </w:p>
    <w:p w14:paraId="4AA3D1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评标于 </w:t>
      </w:r>
      <w:r>
        <w:rPr>
          <w:rFonts w:hint="eastAsia" w:ascii="宋体" w:hAnsi="宋体" w:eastAsia="宋体" w:cs="宋体"/>
          <w:color w:val="auto"/>
          <w:sz w:val="24"/>
          <w:szCs w:val="24"/>
          <w:highlight w:val="none"/>
          <w:lang w:eastAsia="zh-CN"/>
        </w:rPr>
        <w:t xml:space="preserve">2025 年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 xml:space="preserve"> 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 xml:space="preserve"> 时 00 分在广州公共资源交易中心</w:t>
      </w:r>
      <w:r>
        <w:rPr>
          <w:rFonts w:hint="eastAsia" w:ascii="宋体" w:hAnsi="宋体" w:eastAsia="宋体" w:cs="宋体"/>
          <w:color w:val="auto"/>
          <w:sz w:val="24"/>
          <w:szCs w:val="24"/>
          <w:highlight w:val="none"/>
          <w:u w:val="single"/>
        </w:rPr>
        <w:t>第</w:t>
      </w:r>
      <w:r>
        <w:rPr>
          <w:rFonts w:hint="eastAsia" w:ascii="宋体" w:hAnsi="宋体" w:eastAsia="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评标室(</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F)</w:t>
      </w:r>
      <w:r>
        <w:rPr>
          <w:rFonts w:hint="eastAsia" w:ascii="宋体" w:hAnsi="宋体" w:eastAsia="宋体" w:cs="宋体"/>
          <w:color w:val="auto"/>
          <w:sz w:val="24"/>
          <w:szCs w:val="24"/>
          <w:highlight w:val="none"/>
        </w:rPr>
        <w:t>进行。投标文件的评审由评标委员会负责，评标委员会成员由广东省综合评标评审专家库中通过随机抽取方式抽取的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名专家组成。 经过评标委员会全体成员的选举，推荐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为评标委员会组长,其他成员分别是:</w:t>
      </w:r>
      <w:r>
        <w:rPr>
          <w:rFonts w:hint="eastAsia" w:ascii="宋体" w:hAnsi="宋体" w:eastAsia="宋体" w:cs="宋体"/>
          <w:sz w:val="24"/>
          <w:szCs w:val="24"/>
          <w:highlight w:val="none"/>
          <w:u w:val="single"/>
          <w:lang w:val="en-US" w:eastAsia="zh-CN"/>
        </w:rPr>
        <w:t xml:space="preserve">  </w:t>
      </w:r>
      <w:bookmarkStart w:id="0" w:name="_GoBack"/>
      <w:bookmarkEnd w:id="0"/>
      <w:r>
        <w:rPr>
          <w:rFonts w:hint="eastAsia" w:ascii="宋体" w:hAnsi="宋体" w:eastAsia="宋体" w:cs="宋体"/>
          <w:color w:val="auto"/>
          <w:sz w:val="24"/>
          <w:szCs w:val="24"/>
          <w:highlight w:val="none"/>
        </w:rPr>
        <w:t>。评标委员会首先对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27</w:t>
      </w:r>
      <w:r>
        <w:rPr>
          <w:rFonts w:hint="eastAsia" w:ascii="宋体" w:hAnsi="宋体" w:eastAsia="宋体" w:cs="宋体"/>
          <w:color w:val="auto"/>
          <w:sz w:val="24"/>
          <w:szCs w:val="24"/>
          <w:highlight w:val="none"/>
        </w:rPr>
        <w:t>家已公开开标的投标人进行资格审查。</w:t>
      </w:r>
    </w:p>
    <w:p w14:paraId="6DD76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评标委员会根据各投标申请人提交的投标文件对照招标公告、招标文件规定的合格条件进行资格审查。结果如下：</w:t>
      </w:r>
    </w:p>
    <w:p w14:paraId="5C46F0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递交投标文件的</w:t>
      </w:r>
      <w:r>
        <w:rPr>
          <w:rFonts w:hint="eastAsia" w:ascii="宋体" w:hAnsi="宋体" w:eastAsia="宋体" w:cs="宋体"/>
          <w:color w:val="auto"/>
          <w:sz w:val="24"/>
          <w:szCs w:val="24"/>
          <w:highlight w:val="none"/>
          <w:u w:val="single"/>
          <w:lang w:val="en-US" w:eastAsia="zh-CN"/>
        </w:rPr>
        <w:t>27</w:t>
      </w:r>
      <w:r>
        <w:rPr>
          <w:rFonts w:hint="eastAsia" w:ascii="宋体" w:hAnsi="宋体" w:eastAsia="宋体" w:cs="宋体"/>
          <w:color w:val="auto"/>
          <w:sz w:val="24"/>
          <w:szCs w:val="24"/>
          <w:highlight w:val="none"/>
        </w:rPr>
        <w:t>家单位均通过资格审查（详见《资格审查记录表》及《资格审查汇总表》）。</w:t>
      </w:r>
    </w:p>
    <w:p w14:paraId="7B45F1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按照招标文件要求，评标依次进行了以下程序：</w:t>
      </w:r>
    </w:p>
    <w:p w14:paraId="2022F1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1.技术标的有效性审查。</w:t>
      </w:r>
    </w:p>
    <w:p w14:paraId="5EAA52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由综合评标委员会对通过资格审查的投标人进行技术标有效性审查，评定各投标文件是否符合要求。经综合评标委员会审查，评审结果如下</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lang w:val="en-US" w:eastAsia="zh-CN"/>
        </w:rPr>
        <w:t>27</w:t>
      </w:r>
      <w:r>
        <w:rPr>
          <w:rFonts w:hint="eastAsia" w:ascii="宋体" w:hAnsi="宋体" w:eastAsia="宋体" w:cs="宋体"/>
          <w:color w:val="auto"/>
          <w:sz w:val="24"/>
          <w:szCs w:val="24"/>
          <w:highlight w:val="none"/>
        </w:rPr>
        <w:t>家投标单位均通过技术标有效性审查（详见《技术标有效性审查记录表》、《技术标有效性审查汇总表》）。</w:t>
      </w:r>
    </w:p>
    <w:p w14:paraId="03C65F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2.技术标详细审查评分。</w:t>
      </w:r>
    </w:p>
    <w:p w14:paraId="740222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综合评标委员会按照《技术标详细审查评分表》内容对通过技术标有效性审查的投标文件进行技术标详细审查。（详见《技术标详细评分记录表》、《技术标详细评分汇总表》</w:t>
      </w:r>
    </w:p>
    <w:p w14:paraId="2C8E29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3.经济标的评分。</w:t>
      </w:r>
    </w:p>
    <w:p w14:paraId="3E4009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综合评标委员会对投标人的投标报价进行评审，得出投标单位的投标报价得分。（详见《确定参与基准价计算的单位记录表》、《经济标评分表》、《报价打分记录表》）。</w:t>
      </w:r>
    </w:p>
    <w:p w14:paraId="165849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4.计算通过技术标有效性审查的投标人总得分。</w:t>
      </w:r>
    </w:p>
    <w:p w14:paraId="746F0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综合评标委员会按照</w:t>
      </w:r>
      <w:r>
        <w:rPr>
          <w:rFonts w:hint="eastAsia" w:ascii="宋体" w:hAnsi="宋体" w:eastAsia="宋体" w:cs="宋体"/>
          <w:b/>
          <w:bCs/>
          <w:color w:val="auto"/>
          <w:sz w:val="24"/>
          <w:szCs w:val="24"/>
          <w:highlight w:val="none"/>
        </w:rPr>
        <w:t>“投标人总得分=技术得分(满分 100 分）×技术得分权重（</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0%）+ 经济得分(满分 100 分)×经济得分权重（</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0%）。”</w:t>
      </w:r>
      <w:r>
        <w:rPr>
          <w:rFonts w:hint="eastAsia" w:ascii="宋体" w:hAnsi="宋体" w:eastAsia="宋体" w:cs="宋体"/>
          <w:color w:val="auto"/>
          <w:sz w:val="24"/>
          <w:szCs w:val="24"/>
          <w:highlight w:val="none"/>
        </w:rPr>
        <w:t>的公式，计算各有效投标文件的总分，并按照总分从高到低排列先后次序。（详见《投标人总得分排序记录表》）。</w:t>
      </w:r>
    </w:p>
    <w:p w14:paraId="355F6F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5.经济标的有效性审查及算术校核。</w:t>
      </w:r>
    </w:p>
    <w:p w14:paraId="66CB35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标委员会按照投标人总得分排序，依次对投标文件进行经济标有效性审查和算术校核，评审结果如下：投标单位均通过经济标有效性审查。（详见《经济标有效性审查记录表》、《经济标有效性审查汇总表》、《算术复核-XML 清单格式记录表》）。</w:t>
      </w:r>
    </w:p>
    <w:p w14:paraId="1BCAE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041207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根据本项目的定标办法，推荐以下 3 家投标单位为第一中标候选人、第二中标候选人 和第三中标候选人：</w:t>
      </w:r>
    </w:p>
    <w:p w14:paraId="56EEF4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第一中标候选人为：</w:t>
      </w:r>
      <w:r>
        <w:rPr>
          <w:rFonts w:ascii="宋体" w:hAnsi="宋体" w:eastAsia="宋体" w:cs="宋体"/>
          <w:sz w:val="24"/>
          <w:szCs w:val="24"/>
          <w:highlight w:val="none"/>
          <w:u w:val="single"/>
        </w:rPr>
        <w:t>武汉市汉阳市政建设集团有限公司</w:t>
      </w:r>
      <w:r>
        <w:rPr>
          <w:rFonts w:ascii="宋体" w:hAnsi="宋体" w:eastAsia="宋体" w:cs="宋体"/>
          <w:sz w:val="24"/>
          <w:szCs w:val="24"/>
          <w:highlight w:val="none"/>
        </w:rPr>
        <w:t xml:space="preserve"> </w:t>
      </w:r>
      <w:r>
        <w:rPr>
          <w:rFonts w:hint="eastAsia" w:ascii="宋体" w:hAnsi="宋体" w:eastAsia="宋体" w:cs="宋体"/>
          <w:color w:val="auto"/>
          <w:sz w:val="24"/>
          <w:szCs w:val="24"/>
          <w:highlight w:val="none"/>
        </w:rPr>
        <w:t xml:space="preserve">   </w:t>
      </w:r>
    </w:p>
    <w:p w14:paraId="475947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投标报价为：人民币</w:t>
      </w:r>
      <w:r>
        <w:rPr>
          <w:rFonts w:hint="eastAsia" w:ascii="宋体" w:hAnsi="宋体" w:eastAsia="宋体" w:cs="宋体"/>
          <w:color w:val="auto"/>
          <w:sz w:val="24"/>
          <w:szCs w:val="24"/>
          <w:highlight w:val="none"/>
          <w:lang w:val="en-US" w:eastAsia="zh-CN"/>
        </w:rPr>
        <w:t xml:space="preserve"> </w:t>
      </w:r>
      <w:r>
        <w:rPr>
          <w:rFonts w:ascii="宋体" w:hAnsi="宋体" w:eastAsia="宋体" w:cs="宋体"/>
          <w:sz w:val="24"/>
          <w:szCs w:val="24"/>
          <w:highlight w:val="none"/>
          <w:u w:val="single"/>
        </w:rPr>
        <w:t>33786875.89</w:t>
      </w:r>
      <w:r>
        <w:rPr>
          <w:rFonts w:hint="eastAsia" w:ascii="宋体" w:hAnsi="宋体" w:eastAsia="宋体" w:cs="宋体"/>
          <w:color w:val="auto"/>
          <w:sz w:val="24"/>
          <w:szCs w:val="24"/>
          <w:highlight w:val="none"/>
        </w:rPr>
        <w:t>元      得分为：</w:t>
      </w:r>
      <w:r>
        <w:rPr>
          <w:rFonts w:ascii="宋体" w:hAnsi="宋体" w:eastAsia="宋体" w:cs="宋体"/>
          <w:sz w:val="24"/>
          <w:szCs w:val="24"/>
          <w:highlight w:val="none"/>
          <w:u w:val="single"/>
        </w:rPr>
        <w:t xml:space="preserve">98.28 </w:t>
      </w:r>
      <w:r>
        <w:rPr>
          <w:rFonts w:hint="eastAsia" w:ascii="宋体" w:hAnsi="宋体" w:eastAsia="宋体" w:cs="宋体"/>
          <w:color w:val="auto"/>
          <w:sz w:val="24"/>
          <w:szCs w:val="24"/>
          <w:highlight w:val="none"/>
        </w:rPr>
        <w:t>分</w:t>
      </w:r>
    </w:p>
    <w:p w14:paraId="5B722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第二中标候选人为：</w:t>
      </w:r>
      <w:r>
        <w:rPr>
          <w:rFonts w:ascii="宋体" w:hAnsi="宋体" w:eastAsia="宋体" w:cs="宋体"/>
          <w:sz w:val="24"/>
          <w:szCs w:val="24"/>
          <w:highlight w:val="none"/>
          <w:u w:val="single"/>
        </w:rPr>
        <w:t>广东省基础工程集团有限公司</w:t>
      </w:r>
      <w:r>
        <w:rPr>
          <w:rFonts w:ascii="宋体" w:hAnsi="宋体" w:eastAsia="宋体" w:cs="宋体"/>
          <w:sz w:val="24"/>
          <w:szCs w:val="24"/>
          <w:highlight w:val="none"/>
        </w:rPr>
        <w:t xml:space="preserve"> </w:t>
      </w:r>
      <w:r>
        <w:rPr>
          <w:rFonts w:hint="eastAsia" w:ascii="宋体" w:hAnsi="宋体" w:eastAsia="宋体" w:cs="宋体"/>
          <w:color w:val="auto"/>
          <w:sz w:val="24"/>
          <w:szCs w:val="24"/>
          <w:highlight w:val="none"/>
        </w:rPr>
        <w:t xml:space="preserve">    </w:t>
      </w:r>
    </w:p>
    <w:p w14:paraId="1625E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投标报价为：人民币</w:t>
      </w:r>
      <w:r>
        <w:rPr>
          <w:rFonts w:ascii="宋体" w:hAnsi="宋体" w:eastAsia="宋体" w:cs="宋体"/>
          <w:sz w:val="24"/>
          <w:szCs w:val="24"/>
          <w:highlight w:val="none"/>
          <w:u w:val="single"/>
        </w:rPr>
        <w:t>33640847.43</w:t>
      </w:r>
      <w:r>
        <w:rPr>
          <w:rFonts w:hint="eastAsia" w:ascii="宋体" w:hAnsi="宋体" w:eastAsia="宋体" w:cs="宋体"/>
          <w:color w:val="auto"/>
          <w:sz w:val="24"/>
          <w:szCs w:val="24"/>
          <w:highlight w:val="none"/>
        </w:rPr>
        <w:t>元      得分为</w:t>
      </w:r>
      <w:r>
        <w:rPr>
          <w:rFonts w:hint="eastAsia" w:ascii="宋体" w:hAnsi="宋体" w:eastAsia="宋体" w:cs="宋体"/>
          <w:color w:val="auto"/>
          <w:sz w:val="24"/>
          <w:szCs w:val="24"/>
          <w:highlight w:val="none"/>
          <w:u w:val="none"/>
        </w:rPr>
        <w:t>：</w:t>
      </w:r>
      <w:r>
        <w:rPr>
          <w:rFonts w:ascii="宋体" w:hAnsi="宋体" w:eastAsia="宋体" w:cs="宋体"/>
          <w:sz w:val="24"/>
          <w:szCs w:val="24"/>
          <w:highlight w:val="none"/>
          <w:u w:val="single"/>
        </w:rPr>
        <w:t>97.7</w:t>
      </w:r>
      <w:r>
        <w:rPr>
          <w:rFonts w:ascii="宋体" w:hAnsi="宋体" w:eastAsia="宋体" w:cs="宋体"/>
          <w:sz w:val="24"/>
          <w:szCs w:val="24"/>
          <w:highlight w:val="none"/>
        </w:rPr>
        <w:t xml:space="preserve"> </w:t>
      </w:r>
      <w:r>
        <w:rPr>
          <w:rFonts w:hint="eastAsia" w:ascii="宋体" w:hAnsi="宋体" w:eastAsia="宋体" w:cs="宋体"/>
          <w:color w:val="auto"/>
          <w:sz w:val="24"/>
          <w:szCs w:val="24"/>
          <w:highlight w:val="none"/>
        </w:rPr>
        <w:t>分</w:t>
      </w:r>
    </w:p>
    <w:p w14:paraId="0B3A2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第三中标候选人为：</w:t>
      </w:r>
      <w:r>
        <w:rPr>
          <w:rFonts w:ascii="宋体" w:hAnsi="宋体" w:eastAsia="宋体" w:cs="宋体"/>
          <w:sz w:val="24"/>
          <w:szCs w:val="24"/>
          <w:highlight w:val="none"/>
          <w:u w:val="single"/>
        </w:rPr>
        <w:t>广东华隧建设集团股份有限公司</w:t>
      </w:r>
      <w:r>
        <w:rPr>
          <w:rFonts w:ascii="宋体" w:hAnsi="宋体" w:eastAsia="宋体" w:cs="宋体"/>
          <w:sz w:val="24"/>
          <w:szCs w:val="24"/>
          <w:highlight w:val="none"/>
        </w:rPr>
        <w:t xml:space="preserve"> </w:t>
      </w:r>
      <w:r>
        <w:rPr>
          <w:rFonts w:hint="eastAsia" w:ascii="宋体" w:hAnsi="宋体" w:eastAsia="宋体" w:cs="宋体"/>
          <w:color w:val="auto"/>
          <w:sz w:val="24"/>
          <w:szCs w:val="24"/>
          <w:highlight w:val="none"/>
        </w:rPr>
        <w:t xml:space="preserve">    </w:t>
      </w:r>
    </w:p>
    <w:p w14:paraId="6F5A2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投标报价为：人民币</w:t>
      </w:r>
      <w:r>
        <w:rPr>
          <w:rFonts w:ascii="宋体" w:hAnsi="宋体" w:eastAsia="宋体" w:cs="宋体"/>
          <w:sz w:val="24"/>
          <w:szCs w:val="24"/>
          <w:highlight w:val="none"/>
          <w:u w:val="single"/>
        </w:rPr>
        <w:t>33929390.07</w:t>
      </w:r>
      <w:r>
        <w:rPr>
          <w:rFonts w:hint="eastAsia" w:ascii="宋体" w:hAnsi="宋体" w:eastAsia="宋体" w:cs="宋体"/>
          <w:color w:val="auto"/>
          <w:sz w:val="24"/>
          <w:szCs w:val="24"/>
          <w:highlight w:val="none"/>
        </w:rPr>
        <w:t>元      得分为：</w:t>
      </w:r>
      <w:r>
        <w:rPr>
          <w:rFonts w:ascii="宋体" w:hAnsi="宋体" w:eastAsia="宋体" w:cs="宋体"/>
          <w:sz w:val="24"/>
          <w:szCs w:val="24"/>
          <w:highlight w:val="none"/>
          <w:u w:val="single"/>
        </w:rPr>
        <w:t>97.18</w:t>
      </w:r>
      <w:r>
        <w:rPr>
          <w:rFonts w:ascii="宋体" w:hAnsi="宋体" w:eastAsia="宋体" w:cs="宋体"/>
          <w:sz w:val="24"/>
          <w:szCs w:val="24"/>
          <w:highlight w:val="none"/>
        </w:rPr>
        <w:t xml:space="preserve"> </w:t>
      </w:r>
      <w:r>
        <w:rPr>
          <w:rFonts w:hint="eastAsia" w:ascii="宋体" w:hAnsi="宋体" w:eastAsia="宋体" w:cs="宋体"/>
          <w:color w:val="auto"/>
          <w:sz w:val="24"/>
          <w:szCs w:val="24"/>
          <w:highlight w:val="none"/>
        </w:rPr>
        <w:t>分</w:t>
      </w:r>
    </w:p>
    <w:p w14:paraId="20F7F5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4E2D2C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本项目的开、评标过程均在广州公共资源交易中心见证下完成。评标委员会签名：</w:t>
      </w:r>
    </w:p>
    <w:p w14:paraId="15862F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p>
    <w:p w14:paraId="2A14FA7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p>
    <w:p w14:paraId="57D350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2025 年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WQzYmI1NDkzMzU2OTdkMzY5YzY1OGZiZDRiYmIifQ=="/>
  </w:docVars>
  <w:rsids>
    <w:rsidRoot w:val="6ADD7C8D"/>
    <w:rsid w:val="01A11224"/>
    <w:rsid w:val="06943B8E"/>
    <w:rsid w:val="0A024B89"/>
    <w:rsid w:val="0D330BC5"/>
    <w:rsid w:val="164E05F1"/>
    <w:rsid w:val="1D2821E4"/>
    <w:rsid w:val="246F1264"/>
    <w:rsid w:val="29254783"/>
    <w:rsid w:val="2C164A61"/>
    <w:rsid w:val="30F93D50"/>
    <w:rsid w:val="39A551A2"/>
    <w:rsid w:val="3E175815"/>
    <w:rsid w:val="3EFA54D1"/>
    <w:rsid w:val="3FA847A5"/>
    <w:rsid w:val="40A8309D"/>
    <w:rsid w:val="43A42995"/>
    <w:rsid w:val="46760BEC"/>
    <w:rsid w:val="46B72709"/>
    <w:rsid w:val="48D76F3B"/>
    <w:rsid w:val="4AF320B9"/>
    <w:rsid w:val="51101806"/>
    <w:rsid w:val="590A1EE6"/>
    <w:rsid w:val="597B7DEE"/>
    <w:rsid w:val="5A117165"/>
    <w:rsid w:val="5F375F96"/>
    <w:rsid w:val="62E30FF8"/>
    <w:rsid w:val="65CF1ADE"/>
    <w:rsid w:val="66B47887"/>
    <w:rsid w:val="6ADD7C8D"/>
    <w:rsid w:val="6FDC6D33"/>
    <w:rsid w:val="748D12C5"/>
    <w:rsid w:val="752A64AA"/>
    <w:rsid w:val="757F2959"/>
    <w:rsid w:val="79E60672"/>
    <w:rsid w:val="7DD95EE6"/>
    <w:rsid w:val="7E29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irst-child"/>
    <w:basedOn w:val="3"/>
    <w:qFormat/>
    <w:uiPriority w:val="0"/>
  </w:style>
  <w:style w:type="character" w:customStyle="1" w:styleId="5">
    <w:name w:val="edui-clickable2"/>
    <w:basedOn w:val="3"/>
    <w:autoRedefine/>
    <w:qFormat/>
    <w:uiPriority w:val="0"/>
    <w:rPr>
      <w:color w:val="0000FF"/>
      <w:u w:val="single"/>
    </w:rPr>
  </w:style>
  <w:style w:type="character" w:customStyle="1" w:styleId="6">
    <w:name w:val="layui-this"/>
    <w:basedOn w:val="3"/>
    <w:qFormat/>
    <w:uiPriority w:val="0"/>
    <w:rPr>
      <w:bdr w:val="single" w:color="EEEEEE" w:sz="6" w:space="0"/>
      <w:shd w:val="clear" w:fill="FFFFFF"/>
    </w:rPr>
  </w:style>
  <w:style w:type="character" w:customStyle="1" w:styleId="7">
    <w:name w:val="edui-unclickable"/>
    <w:basedOn w:val="3"/>
    <w:autoRedefine/>
    <w:qFormat/>
    <w:uiPriority w:val="0"/>
    <w:rPr>
      <w:color w:val="808080"/>
    </w:rPr>
  </w:style>
  <w:style w:type="character" w:customStyle="1" w:styleId="8">
    <w:name w:val="deletebtn"/>
    <w:basedOn w:val="3"/>
    <w:qFormat/>
    <w:uiPriority w:val="0"/>
    <w:rPr>
      <w:color w:val="555555"/>
    </w:rPr>
  </w:style>
  <w:style w:type="character" w:customStyle="1" w:styleId="9">
    <w:name w:val="not([class*=suffix])"/>
    <w:basedOn w:val="3"/>
    <w:qFormat/>
    <w:uiPriority w:val="0"/>
    <w:rPr>
      <w:sz w:val="19"/>
      <w:szCs w:val="19"/>
    </w:rPr>
  </w:style>
  <w:style w:type="character" w:customStyle="1" w:styleId="10">
    <w:name w:val="not([class*=suffix])1"/>
    <w:basedOn w:val="3"/>
    <w:qFormat/>
    <w:uiPriority w:val="0"/>
  </w:style>
  <w:style w:type="character" w:customStyle="1" w:styleId="11">
    <w:name w:val="edui-clickable"/>
    <w:basedOn w:val="3"/>
    <w:qFormat/>
    <w:uiPriority w:val="0"/>
    <w:rPr>
      <w:color w:val="0000FF"/>
      <w:u w:val="single"/>
    </w:rPr>
  </w:style>
  <w:style w:type="character" w:customStyle="1" w:styleId="12">
    <w:name w:val="checkbox[data-v-ed3e49a4]"/>
    <w:basedOn w:val="3"/>
    <w:uiPriority w:val="0"/>
    <w:rPr>
      <w:bdr w:val="single" w:color="DDDDDD" w:sz="6" w:space="0"/>
    </w:rPr>
  </w:style>
  <w:style w:type="character" w:customStyle="1" w:styleId="13">
    <w:name w:val="hover2"/>
    <w:basedOn w:val="3"/>
    <w:uiPriority w:val="0"/>
    <w:rPr>
      <w:color w:val="3D89FA"/>
      <w:bdr w:val="single" w:color="3D89FA" w:sz="6" w:space="0"/>
    </w:rPr>
  </w:style>
  <w:style w:type="character" w:customStyle="1" w:styleId="14">
    <w:name w:val="hover3"/>
    <w:basedOn w:val="3"/>
    <w:qFormat/>
    <w:uiPriority w:val="0"/>
    <w:rPr>
      <w:color w:val="C0C4CC"/>
    </w:rPr>
  </w:style>
  <w:style w:type="character" w:customStyle="1" w:styleId="15">
    <w:name w:val="checkbox[data-v-25e63a0a]"/>
    <w:basedOn w:val="3"/>
    <w:uiPriority w:val="0"/>
    <w:rPr>
      <w:bdr w:val="single" w:color="DDDDDD" w:sz="6" w:space="0"/>
    </w:rPr>
  </w:style>
  <w:style w:type="character" w:customStyle="1" w:styleId="16">
    <w:name w:val="active"/>
    <w:basedOn w:val="3"/>
    <w:uiPriority w:val="0"/>
    <w:rPr>
      <w:color w:val="C0C4CC"/>
    </w:rPr>
  </w:style>
  <w:style w:type="character" w:customStyle="1" w:styleId="17">
    <w:name w:val="hover"/>
    <w:basedOn w:val="3"/>
    <w:qFormat/>
    <w:uiPriority w:val="0"/>
    <w:rPr>
      <w:color w:val="3D89FA"/>
      <w:bdr w:val="single" w:color="3D89FA" w:sz="6" w:space="0"/>
    </w:rPr>
  </w:style>
  <w:style w:type="character" w:customStyle="1" w:styleId="18">
    <w:name w:val="hover1"/>
    <w:basedOn w:val="3"/>
    <w:qFormat/>
    <w:uiPriority w:val="0"/>
    <w:rPr>
      <w:color w:val="C0C4C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1604</Words>
  <Characters>1733</Characters>
  <Lines>0</Lines>
  <Paragraphs>0</Paragraphs>
  <TotalTime>28</TotalTime>
  <ScaleCrop>false</ScaleCrop>
  <LinksUpToDate>false</LinksUpToDate>
  <CharactersWithSpaces>1881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2025-02-23T15:30:00Z</dcterms:created>
  <dc:creator>UN</dc:creator>
  <cp:lastModifiedBy>UN</cp:lastModifiedBy>
  <dcterms:modified xsi:type="dcterms:W3CDTF">2025-05-08T02:24:15Z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51B20929F5FD45C0A94C262E5CE6E28E_13</vt:lpwstr>
  </property>
  <property fmtid="{D5CDD505-2E9C-101B-9397-08002B2CF9AE}" pid="4" name="KSOTemplateDocerSaveRecord">
    <vt:lpwstr>eyJoZGlkIjoiNzU3ZWQ4OTQzZjcwN2M3ZDVhZTljNTVjYzNlNTJjMzQiLCJ1c2VySWQiOiI0NTgwOTE5MzIifQ==</vt:lpwstr>
  </property>
</Properties>
</file>