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D01AB">
      <w:pPr>
        <w:tabs>
          <w:tab w:val="left" w:pos="3368"/>
        </w:tabs>
        <w:spacing w:before="87" w:line="229" w:lineRule="auto"/>
        <w:jc w:val="center"/>
        <w:outlineLvl w:val="1"/>
        <w:rPr>
          <w:rFonts w:hint="eastAsia" w:ascii="仿宋" w:hAnsi="仿宋" w:eastAsia="仿宋" w:cs="仿宋"/>
          <w:b/>
          <w:bCs/>
          <w:color w:val="auto"/>
          <w:sz w:val="32"/>
          <w:szCs w:val="32"/>
        </w:rPr>
      </w:pPr>
      <w:r>
        <w:rPr>
          <w:rFonts w:hint="eastAsia" w:ascii="仿宋" w:hAnsi="仿宋" w:eastAsia="仿宋" w:cs="仿宋"/>
          <w:b/>
          <w:bCs/>
          <w:color w:val="auto"/>
          <w:spacing w:val="18"/>
          <w:sz w:val="32"/>
          <w:szCs w:val="32"/>
        </w:rPr>
        <w:t>白坭河国泰水堤防达标整治工程勘察、初步设计招标公告</w:t>
      </w:r>
    </w:p>
    <w:p w14:paraId="2C480150">
      <w:pPr>
        <w:spacing w:line="318" w:lineRule="auto"/>
        <w:rPr>
          <w:rFonts w:hint="eastAsia" w:ascii="仿宋" w:hAnsi="仿宋" w:eastAsia="仿宋" w:cs="仿宋"/>
          <w:color w:val="auto"/>
        </w:rPr>
      </w:pPr>
    </w:p>
    <w:p w14:paraId="718DCE2F">
      <w:pPr>
        <w:pStyle w:val="2"/>
        <w:spacing w:before="0" w:beforeLines="0" w:after="0" w:afterLines="0"/>
        <w:rPr>
          <w:rFonts w:hint="eastAsia" w:ascii="仿宋" w:hAnsi="仿宋" w:eastAsia="仿宋" w:cs="仿宋"/>
          <w:color w:val="auto"/>
          <w:sz w:val="21"/>
        </w:rPr>
      </w:pPr>
      <w:bookmarkStart w:id="0" w:name="_Toc17602"/>
      <w:bookmarkStart w:id="1" w:name="_Toc30951"/>
      <w:bookmarkStart w:id="2" w:name="_Toc29913"/>
      <w:bookmarkStart w:id="3" w:name="_Toc32250"/>
      <w:bookmarkStart w:id="4" w:name="_Toc32678"/>
      <w:r>
        <w:rPr>
          <w:rFonts w:hint="eastAsia" w:ascii="仿宋" w:hAnsi="仿宋" w:eastAsia="仿宋" w:cs="仿宋"/>
          <w:color w:val="auto"/>
        </w:rPr>
        <w:t>1. 招标条件</w:t>
      </w:r>
      <w:bookmarkEnd w:id="0"/>
      <w:bookmarkEnd w:id="1"/>
      <w:bookmarkEnd w:id="2"/>
      <w:bookmarkEnd w:id="3"/>
      <w:bookmarkEnd w:id="4"/>
    </w:p>
    <w:p w14:paraId="654A62B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招标项目白坭河国泰水堤防达标整治工程（项目代码：2403-440114-19-01-500438）已由相关文件批准建设，项目业主为广州市花都区水务建设管理中心，建设资金来自财政资金(资金来源)，出资比例为100%，招标人为广州市花都区水务建设管理中心。项目已具备招标条件，现对该项目的勘察、初步设计进行公开招标。</w:t>
      </w:r>
    </w:p>
    <w:p w14:paraId="47122F92">
      <w:pPr>
        <w:pStyle w:val="2"/>
        <w:spacing w:before="120" w:after="120"/>
        <w:rPr>
          <w:rFonts w:hint="eastAsia" w:ascii="仿宋" w:hAnsi="仿宋" w:eastAsia="仿宋" w:cs="仿宋"/>
          <w:color w:val="auto"/>
          <w:sz w:val="21"/>
        </w:rPr>
      </w:pPr>
      <w:bookmarkStart w:id="5" w:name="_Toc4860"/>
      <w:bookmarkStart w:id="6" w:name="_Toc29432"/>
      <w:bookmarkStart w:id="7" w:name="_Toc27861"/>
      <w:bookmarkStart w:id="8" w:name="_Toc22955"/>
      <w:bookmarkStart w:id="9" w:name="_Toc23400"/>
      <w:r>
        <w:rPr>
          <w:rFonts w:hint="eastAsia" w:ascii="仿宋" w:hAnsi="仿宋" w:eastAsia="仿宋" w:cs="仿宋"/>
          <w:color w:val="auto"/>
        </w:rPr>
        <w:t>2. 项目概况与招标范围</w:t>
      </w:r>
      <w:bookmarkEnd w:id="5"/>
      <w:bookmarkEnd w:id="6"/>
      <w:bookmarkEnd w:id="7"/>
      <w:bookmarkEnd w:id="8"/>
      <w:bookmarkEnd w:id="9"/>
    </w:p>
    <w:p w14:paraId="5E3BF18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工程名称：白坭河国泰水堤防达标整治工程勘察、初步设计</w:t>
      </w:r>
    </w:p>
    <w:p w14:paraId="00AB662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建设地点：广州市花都区赤坭镇</w:t>
      </w:r>
      <w:r>
        <w:rPr>
          <w:rFonts w:hint="eastAsia" w:ascii="仿宋" w:hAnsi="仿宋" w:eastAsia="仿宋" w:cs="仿宋"/>
          <w:color w:val="auto"/>
          <w:kern w:val="2"/>
          <w:sz w:val="24"/>
          <w:szCs w:val="24"/>
          <w:lang w:bidi="ar"/>
        </w:rPr>
        <w:t>。</w:t>
      </w:r>
    </w:p>
    <w:p w14:paraId="7A71BE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2.3 建设规模：本工程主要对国泰水花都段进行河道整治，包括堤防、护岸工程、河道清疏工程和水利设施修复重建工程。 </w:t>
      </w:r>
    </w:p>
    <w:p w14:paraId="6234DA99">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 xml:space="preserve">堤防、护岸工程根据河道两岸的保护对象确定。治理河道长 5.9km，共建设堤防 4.8km，护岸 8.49km。工程堤防等级5级。 </w:t>
      </w:r>
    </w:p>
    <w:p w14:paraId="1A99483C">
      <w:pPr>
        <w:spacing w:line="360" w:lineRule="auto"/>
        <w:ind w:firstLine="420" w:firstLineChars="175"/>
        <w:rPr>
          <w:rFonts w:ascii="仿宋" w:hAnsi="仿宋" w:eastAsia="仿宋" w:cs="仿宋"/>
          <w:color w:val="auto"/>
          <w:sz w:val="24"/>
          <w:szCs w:val="24"/>
        </w:rPr>
      </w:pPr>
      <w:r>
        <w:rPr>
          <w:rFonts w:hint="eastAsia" w:ascii="仿宋" w:hAnsi="仿宋" w:eastAsia="仿宋" w:cs="仿宋"/>
          <w:color w:val="auto"/>
          <w:sz w:val="24"/>
          <w:szCs w:val="24"/>
        </w:rPr>
        <w:t>河道清疏工程结合堤防、护岸工程布置，治理河道长 5.9km。</w:t>
      </w:r>
    </w:p>
    <w:p w14:paraId="7614839F">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水利设施修复重建工程包括对新西干渠渡槽局部区段的拆除，共计拆除 15m，修复旧西干渠渡槽破损路面及栏杆，路面修复 66.12 ㎡，栏杆更换 90.72m，两处闸门更换，拆除白石桥水闸，重建白石桥。</w:t>
      </w:r>
    </w:p>
    <w:p w14:paraId="14BC0DDE">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本工程估算总投资为16575.21万元，其中工程费用</w:t>
      </w:r>
      <w:r>
        <w:rPr>
          <w:rFonts w:ascii="仿宋" w:hAnsi="仿宋" w:eastAsia="仿宋" w:cs="仿宋"/>
          <w:color w:val="auto"/>
          <w:sz w:val="24"/>
          <w:szCs w:val="24"/>
        </w:rPr>
        <w:t>11554.03</w:t>
      </w:r>
      <w:r>
        <w:rPr>
          <w:rFonts w:hint="eastAsia" w:ascii="仿宋" w:hAnsi="仿宋" w:eastAsia="仿宋" w:cs="仿宋"/>
          <w:color w:val="auto"/>
          <w:sz w:val="24"/>
          <w:szCs w:val="24"/>
        </w:rPr>
        <w:t>万元。</w:t>
      </w:r>
    </w:p>
    <w:p w14:paraId="3063646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勘察设计工期：</w:t>
      </w:r>
    </w:p>
    <w:p w14:paraId="504C445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设计工期：中标人应在设计合同签订后10工作日内完成方案修改，方案确定后30工作 日内完成初步设计。</w:t>
      </w:r>
    </w:p>
    <w:p w14:paraId="3066219C">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勘察工期：合同签订后，承包人收到发包人发出具备进场条件的的通知起计30工作日 内提交勘察成果文件。</w:t>
      </w:r>
    </w:p>
    <w:p w14:paraId="0077BB2D">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招标范围：</w:t>
      </w:r>
    </w:p>
    <w:p w14:paraId="1A9A116A">
      <w:pPr>
        <w:shd w:val="clear" w:color="auto" w:fill="FFFFFF"/>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包括：岩土工程勘察、工程测量、工程物探(含管线探测(初探和详探)等)、方案修改、招标设计、初步设计及概算、勘察设计档案资料编制及移交、现场服务等。</w:t>
      </w:r>
    </w:p>
    <w:p w14:paraId="3DFD8BC3">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2.6最高投标限价：</w:t>
      </w:r>
    </w:p>
    <w:p w14:paraId="03AC8AA1">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本项目勘察及初步设计费最高投标限价为</w:t>
      </w:r>
      <w:r>
        <w:rPr>
          <w:rFonts w:hint="eastAsia" w:ascii="仿宋" w:hAnsi="仿宋" w:eastAsia="仿宋" w:cs="仿宋"/>
          <w:color w:val="auto"/>
          <w:sz w:val="24"/>
          <w:szCs w:val="24"/>
          <w:u w:val="single"/>
          <w:lang w:val="en-US" w:eastAsia="zh-CN"/>
        </w:rPr>
        <w:t>5251209.65</w:t>
      </w:r>
      <w:r>
        <w:rPr>
          <w:rFonts w:hint="eastAsia" w:ascii="仿宋" w:hAnsi="仿宋" w:eastAsia="仿宋" w:cs="仿宋"/>
          <w:color w:val="auto"/>
          <w:sz w:val="24"/>
          <w:szCs w:val="24"/>
        </w:rPr>
        <w:t>元，其中工程勘察费最高投标限价为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3290575.24</w:t>
      </w:r>
      <w:r>
        <w:rPr>
          <w:rFonts w:hint="eastAsia" w:ascii="仿宋" w:hAnsi="仿宋" w:eastAsia="仿宋" w:cs="仿宋"/>
          <w:color w:val="auto"/>
          <w:sz w:val="24"/>
          <w:szCs w:val="24"/>
        </w:rPr>
        <w:t>元，初步设计费最高投标限价为</w:t>
      </w:r>
      <w:r>
        <w:rPr>
          <w:rFonts w:hint="eastAsia" w:ascii="仿宋" w:hAnsi="仿宋" w:eastAsia="仿宋" w:cs="仿宋"/>
          <w:color w:val="auto"/>
          <w:sz w:val="24"/>
          <w:szCs w:val="24"/>
          <w:u w:val="single"/>
          <w:lang w:val="en-US" w:eastAsia="zh-CN"/>
        </w:rPr>
        <w:t>1960634.41</w:t>
      </w:r>
      <w:r>
        <w:rPr>
          <w:rFonts w:hint="eastAsia" w:ascii="仿宋" w:hAnsi="仿宋" w:eastAsia="仿宋" w:cs="仿宋"/>
          <w:color w:val="auto"/>
          <w:sz w:val="24"/>
          <w:szCs w:val="24"/>
        </w:rPr>
        <w:t>元。投标人的勘察及初步设计费投标报价不得超过最高投标限价，工程勘察费投标报价和初步设计费投标报价也不得超过对应的最高投标限价。</w:t>
      </w:r>
    </w:p>
    <w:p w14:paraId="205F321D">
      <w:pPr>
        <w:wordWrap w:val="0"/>
        <w:spacing w:line="360" w:lineRule="auto"/>
        <w:ind w:firstLine="482" w:firstLineChars="200"/>
        <w:rPr>
          <w:rFonts w:hint="eastAsia" w:ascii="仿宋" w:hAnsi="仿宋" w:eastAsia="仿宋" w:cs="仿宋"/>
          <w:color w:val="auto"/>
          <w:sz w:val="24"/>
          <w:szCs w:val="24"/>
          <w:u w:val="single"/>
        </w:rPr>
      </w:pPr>
      <w:r>
        <w:rPr>
          <w:rFonts w:hint="eastAsia" w:ascii="仿宋" w:hAnsi="仿宋" w:eastAsia="仿宋" w:cs="仿宋"/>
          <w:b/>
          <w:bCs/>
          <w:color w:val="auto"/>
          <w:sz w:val="24"/>
          <w:szCs w:val="24"/>
          <w:u w:val="single"/>
        </w:rPr>
        <w:t>注：</w:t>
      </w:r>
      <w:r>
        <w:rPr>
          <w:rFonts w:hint="eastAsia" w:ascii="仿宋" w:hAnsi="仿宋" w:eastAsia="仿宋" w:cs="仿宋"/>
          <w:color w:val="auto"/>
          <w:sz w:val="24"/>
          <w:szCs w:val="24"/>
          <w:u w:val="single"/>
        </w:rPr>
        <w:t>①工程勘察及初步设计费最高投标限价只作为招标的依据，中标价只作为签订合同的依据，两者均不作为支付进度款和结算的依据。</w:t>
      </w:r>
    </w:p>
    <w:p w14:paraId="723E3555">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初步设计费最终结算价：以审定的概算建安费参照《2002年勘察设计收费标准》（计价格〔2002〕10号）计费标准结合中标下浮率计算 。（投标报价不作为结算依据，最终结算以财评评审结果为准。）</w:t>
      </w:r>
    </w:p>
    <w:p w14:paraId="6CA47EDA">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勘察费最终结算价：以建设单位确认的勘察测量成果报告为结算依据，参照《2002年勘察设计收费标准》（计价格〔2002〕10号）及相关地方或行业计费标准结合实物工程量以及结合中标下浮率计算，作为勘察费拨付进度款及结算的依据；（投标报价不作为结算依据，最终结算以财评评审结果为准。）</w:t>
      </w:r>
    </w:p>
    <w:p w14:paraId="1567BE0A">
      <w:pPr>
        <w:shd w:val="clear" w:color="auto" w:fill="FFFFFF"/>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2.7 前期服务机构名称（含项目建议书、可行性研究报告、规划等编制单位）：</w:t>
      </w:r>
      <w:r>
        <w:rPr>
          <w:rFonts w:hint="eastAsia" w:ascii="仿宋" w:hAnsi="仿宋" w:eastAsia="仿宋" w:cs="仿宋"/>
          <w:color w:val="auto"/>
          <w:sz w:val="24"/>
          <w:szCs w:val="24"/>
          <w:u w:val="single"/>
        </w:rPr>
        <w:t>中国电建集团西北勘测设计研究院有限公司。</w:t>
      </w:r>
    </w:p>
    <w:p w14:paraId="340237B4">
      <w:pPr>
        <w:spacing w:line="400" w:lineRule="exact"/>
        <w:ind w:firstLine="480" w:firstLineChars="200"/>
        <w:rPr>
          <w:rFonts w:hint="eastAsia" w:ascii="仿宋" w:hAnsi="仿宋" w:eastAsia="仿宋" w:cs="仿宋"/>
          <w:color w:val="auto"/>
          <w:u w:val="single"/>
        </w:rPr>
      </w:pPr>
      <w:r>
        <w:rPr>
          <w:rFonts w:hint="eastAsia" w:ascii="仿宋" w:hAnsi="仿宋" w:eastAsia="仿宋" w:cs="仿宋"/>
          <w:color w:val="auto"/>
          <w:sz w:val="24"/>
          <w:szCs w:val="24"/>
        </w:rPr>
        <w:t>注：如果前期服务机构参加本次投标，应将本公告发布前最终完成的工作成果（含电子文件）在投标人获取招标文件的同时提供给所有投标人参考，否则前期参与的服务机构中标无效。</w:t>
      </w:r>
    </w:p>
    <w:p w14:paraId="2515E3C2">
      <w:pPr>
        <w:pStyle w:val="2"/>
        <w:spacing w:before="120" w:after="120"/>
        <w:rPr>
          <w:rFonts w:hint="eastAsia" w:ascii="仿宋" w:hAnsi="仿宋" w:eastAsia="仿宋" w:cs="仿宋"/>
          <w:color w:val="auto"/>
        </w:rPr>
      </w:pPr>
      <w:bookmarkStart w:id="10" w:name="_Toc13470"/>
      <w:bookmarkStart w:id="11" w:name="_Toc6474"/>
      <w:bookmarkStart w:id="12" w:name="_Toc19035"/>
      <w:bookmarkStart w:id="13" w:name="_Toc13982"/>
      <w:bookmarkStart w:id="14" w:name="_Toc13441"/>
      <w:r>
        <w:rPr>
          <w:rFonts w:hint="eastAsia" w:ascii="仿宋" w:hAnsi="仿宋" w:eastAsia="仿宋" w:cs="仿宋"/>
          <w:color w:val="auto"/>
        </w:rPr>
        <w:t>3. 投标人资格要求</w:t>
      </w:r>
      <w:bookmarkEnd w:id="10"/>
      <w:bookmarkEnd w:id="11"/>
      <w:bookmarkEnd w:id="12"/>
      <w:bookmarkEnd w:id="13"/>
      <w:bookmarkEnd w:id="14"/>
    </w:p>
    <w:p w14:paraId="67D5240B">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3.1 投标人参加投标的意思表达清楚，投标人代表被授权有效。</w:t>
      </w:r>
    </w:p>
    <w:p w14:paraId="5C2773A8">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3.2 投标人是法人或其他组织，按国家法律经营。</w:t>
      </w:r>
    </w:p>
    <w:p w14:paraId="05D126B0">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3.3 投标人同时具备承接本工程所需的以下资质条件：</w:t>
      </w:r>
    </w:p>
    <w:p w14:paraId="19E093B5">
      <w:pPr>
        <w:wordWrap w:val="0"/>
        <w:spacing w:line="360" w:lineRule="auto"/>
        <w:ind w:right="82"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3.3.1工程勘察资质：工程勘察综合资质，或同时具备工程勘察专业类岩土工程勘察丙级（或以上）资质、岩土工程物探测试检测监测专业乙级（或以上）资质和工程测量乙级或以上资质。</w:t>
      </w:r>
    </w:p>
    <w:p w14:paraId="1F3B032F">
      <w:pPr>
        <w:pStyle w:val="3"/>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3.3.2工程设计资质：工程设计综合资质，或工程设计水利行业丙级或以上资质，或具备工程设计水利行业（河道整治）丙级或以上资质。</w:t>
      </w:r>
    </w:p>
    <w:p w14:paraId="353B4FFC">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若申请人不同时具备上述①～②项资质，申请人可以组成联合体投标，组成联合体 投标的须由承担设计任务的单位作为联合体投标牵头方。联合体各方（包括主办方及联 合体成员）不得再单独或与其他单位组成联合体参与本项目投标。出现上述情况者，其投标和与此有关的联合体的投标将被拒绝。若联合体投标的应签订联合体共同投标协议 。联合体组成单位人数不得超过2家。</w:t>
      </w:r>
    </w:p>
    <w:p w14:paraId="7606D77C">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注释]1.国内投标人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执行。</w:t>
      </w:r>
    </w:p>
    <w:p w14:paraId="68B00444">
      <w:pPr>
        <w:wordWrap w:val="0"/>
        <w:spacing w:line="360" w:lineRule="auto"/>
        <w:ind w:firstLine="540" w:firstLineChars="225"/>
        <w:rPr>
          <w:rFonts w:hint="eastAsia" w:ascii="仿宋" w:hAnsi="仿宋" w:eastAsia="仿宋" w:cs="仿宋"/>
          <w:bCs/>
          <w:color w:val="auto"/>
          <w:sz w:val="24"/>
          <w:szCs w:val="24"/>
        </w:rPr>
      </w:pPr>
      <w:r>
        <w:rPr>
          <w:rFonts w:hint="eastAsia" w:ascii="仿宋" w:hAnsi="仿宋" w:eastAsia="仿宋" w:cs="仿宋"/>
          <w:color w:val="auto"/>
          <w:sz w:val="24"/>
          <w:szCs w:val="24"/>
        </w:rPr>
        <w:t>2.工程勘察、工程设计企业资质证书有效期按《住房和城乡建设部办公厅关于建设工程企业资质延续有关事项的通知》（建办市函〔2020〕334号）、广东省住房和城乡建设厅关于建设工程企业资质有效期延期的通知粤（建许函〔2021〕849号）、《住房和城乡建设部办公厅关于建设工程企业资质统一延续有关事项的通知》（建办市函〔2021〕510号）和《住房城乡建设部建筑市场监管司关于建设工程企业资质延续有关事项的通知》（建司局函市〔2023〕116号）等规定的资质证书有效期延期日期执行。</w:t>
      </w:r>
    </w:p>
    <w:p w14:paraId="3FFC065F">
      <w:pPr>
        <w:wordWrap w:val="0"/>
        <w:autoSpaceDE/>
        <w:autoSpaceDN/>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2DE06035">
      <w:pPr>
        <w:spacing w:line="360" w:lineRule="auto"/>
        <w:ind w:left="840" w:right="-218" w:rightChars="-104"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 xml:space="preserve">3.4  </w:t>
      </w:r>
      <w:r>
        <w:rPr>
          <w:rFonts w:hint="eastAsia" w:ascii="仿宋" w:hAnsi="仿宋" w:eastAsia="仿宋" w:cs="仿宋"/>
          <w:bCs/>
          <w:color w:val="auto"/>
          <w:sz w:val="24"/>
          <w:szCs w:val="24"/>
        </w:rPr>
        <w:t>外国或澳门、台湾的设计企业必须选择一家符合上述条件的企业进行合作设计。</w:t>
      </w:r>
    </w:p>
    <w:p w14:paraId="58688E4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  投标人已在广州公共资源交易中心企业库办理企业信息登记，拟委派的项目负责人须是本企业信息登记中的在册人员；</w:t>
      </w:r>
    </w:p>
    <w:p w14:paraId="7EA9C54E">
      <w:pPr>
        <w:spacing w:line="360" w:lineRule="auto"/>
        <w:ind w:left="840"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 xml:space="preserve">3.6 </w:t>
      </w:r>
      <w:r>
        <w:rPr>
          <w:rFonts w:hint="eastAsia" w:ascii="仿宋" w:hAnsi="仿宋" w:eastAsia="仿宋" w:cs="仿宋"/>
          <w:bCs/>
          <w:color w:val="auto"/>
          <w:sz w:val="24"/>
          <w:szCs w:val="24"/>
        </w:rPr>
        <w:t>项目负责人资格要求：</w:t>
      </w:r>
    </w:p>
    <w:p w14:paraId="2E7E0EAF">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投标人（如为联合体，要求联合体主办方）拟</w:t>
      </w:r>
      <w:bookmarkStart w:id="15" w:name="OLE_LINK3"/>
      <w:r>
        <w:rPr>
          <w:rFonts w:hint="eastAsia" w:ascii="仿宋" w:hAnsi="仿宋" w:eastAsia="仿宋" w:cs="仿宋"/>
          <w:bCs/>
          <w:color w:val="auto"/>
          <w:sz w:val="24"/>
          <w:szCs w:val="24"/>
        </w:rPr>
        <w:t>派的</w:t>
      </w:r>
      <w:bookmarkEnd w:id="15"/>
      <w:r>
        <w:rPr>
          <w:rFonts w:hint="eastAsia" w:ascii="仿宋" w:hAnsi="仿宋" w:eastAsia="仿宋" w:cs="仿宋"/>
          <w:bCs/>
          <w:color w:val="auto"/>
          <w:sz w:val="24"/>
          <w:szCs w:val="24"/>
        </w:rPr>
        <w:t>项目负责人须具备</w:t>
      </w:r>
      <w:r>
        <w:rPr>
          <w:rFonts w:hint="eastAsia" w:ascii="仿宋" w:hAnsi="仿宋" w:eastAsia="仿宋" w:cs="仿宋"/>
          <w:bCs/>
          <w:color w:val="auto"/>
          <w:sz w:val="24"/>
          <w:szCs w:val="24"/>
          <w:u w:val="single"/>
        </w:rPr>
        <w:t>水利工程相关专业高级工程师</w:t>
      </w:r>
      <w:r>
        <w:rPr>
          <w:rFonts w:hint="eastAsia" w:ascii="仿宋" w:hAnsi="仿宋" w:eastAsia="仿宋" w:cs="仿宋"/>
          <w:bCs/>
          <w:color w:val="auto"/>
          <w:sz w:val="24"/>
          <w:szCs w:val="24"/>
        </w:rPr>
        <w:t>或以上，或在广东省住房和城乡建设主管部门备案且备案的业务范围符合本招标项目对项目负责人要求的香港专业人士。（提供人员的相关证明文件和2025年</w:t>
      </w:r>
      <w:r>
        <w:rPr>
          <w:rFonts w:hint="eastAsia" w:ascii="仿宋" w:hAnsi="仿宋" w:eastAsia="仿宋" w:cs="仿宋"/>
          <w:bCs/>
          <w:color w:val="auto"/>
          <w:sz w:val="24"/>
          <w:szCs w:val="24"/>
          <w:lang w:val="en-US" w:eastAsia="zh-CN"/>
        </w:rPr>
        <w:t>3</w:t>
      </w:r>
      <w:bookmarkStart w:id="66" w:name="_GoBack"/>
      <w:bookmarkEnd w:id="66"/>
      <w:r>
        <w:rPr>
          <w:rFonts w:hint="eastAsia" w:ascii="仿宋" w:hAnsi="仿宋" w:eastAsia="仿宋" w:cs="仿宋"/>
          <w:bCs/>
          <w:color w:val="auto"/>
          <w:sz w:val="24"/>
          <w:szCs w:val="24"/>
        </w:rPr>
        <w:t>月（近一个月）在本单位交纳的社保证明文件（以加盖社会保险基金管理中心印章的《投保单》或《社会保险参保人员证明》资料为准））</w:t>
      </w:r>
    </w:p>
    <w:p w14:paraId="7F7510F4">
      <w:pPr>
        <w:pStyle w:val="3"/>
        <w:spacing w:line="360" w:lineRule="auto"/>
        <w:ind w:firstLine="480"/>
        <w:rPr>
          <w:rFonts w:hint="eastAsia" w:ascii="仿宋" w:hAnsi="仿宋" w:eastAsia="仿宋" w:cs="仿宋"/>
          <w:color w:val="auto"/>
          <w:sz w:val="24"/>
          <w:szCs w:val="24"/>
        </w:rPr>
      </w:pPr>
      <w:r>
        <w:rPr>
          <w:rFonts w:hint="eastAsia" w:ascii="仿宋" w:hAnsi="仿宋" w:eastAsia="仿宋" w:cs="仿宋"/>
          <w:bCs/>
          <w:color w:val="auto"/>
          <w:sz w:val="24"/>
          <w:szCs w:val="24"/>
        </w:rPr>
        <w:t>注：</w:t>
      </w:r>
      <w:r>
        <w:rPr>
          <w:rFonts w:hint="eastAsia" w:ascii="仿宋" w:hAnsi="仿宋" w:eastAsia="仿宋" w:cs="仿宋"/>
          <w:color w:val="auto"/>
          <w:sz w:val="24"/>
          <w:szCs w:val="24"/>
        </w:rPr>
        <w:t>[注释]香港专业人士的备案业务范围依据《广东省住房和城乡建设厅关于印发香港工程建设咨询企业和专业人士在粤港澳大湾区内地城市开业执业试点管理暂行办法的通知》（粤建规范〔2020〕1号）确定。</w:t>
      </w:r>
    </w:p>
    <w:p w14:paraId="025FCCAB">
      <w:pPr>
        <w:spacing w:line="360" w:lineRule="auto"/>
        <w:ind w:left="821" w:hanging="820" w:hangingChars="342"/>
        <w:rPr>
          <w:rFonts w:hint="eastAsia" w:ascii="仿宋" w:hAnsi="仿宋" w:eastAsia="仿宋" w:cs="仿宋"/>
          <w:color w:val="auto"/>
          <w:sz w:val="24"/>
          <w:szCs w:val="24"/>
        </w:rPr>
      </w:pPr>
      <w:r>
        <w:rPr>
          <w:rFonts w:hint="eastAsia" w:ascii="仿宋" w:hAnsi="仿宋" w:eastAsia="仿宋" w:cs="仿宋"/>
          <w:color w:val="auto"/>
          <w:sz w:val="24"/>
          <w:szCs w:val="24"/>
        </w:rPr>
        <w:t>3.7 投标申请人业绩要求（</w:t>
      </w: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rPr>
        <w:t>需要 /</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不需要）：</w:t>
      </w:r>
    </w:p>
    <w:p w14:paraId="04296FE2">
      <w:pPr>
        <w:spacing w:line="360" w:lineRule="auto"/>
        <w:ind w:left="821" w:hanging="820" w:hangingChars="342"/>
        <w:rPr>
          <w:rFonts w:hint="eastAsia" w:ascii="仿宋" w:hAnsi="仿宋" w:eastAsia="仿宋" w:cs="仿宋"/>
          <w:color w:val="auto"/>
          <w:sz w:val="24"/>
          <w:szCs w:val="24"/>
        </w:rPr>
      </w:pPr>
      <w:bookmarkStart w:id="16" w:name="_Toc245023997"/>
      <w:bookmarkStart w:id="17" w:name="_Toc8744"/>
      <w:bookmarkStart w:id="18" w:name="_Toc266881397"/>
      <w:bookmarkStart w:id="19" w:name="_Toc249845968"/>
      <w:bookmarkStart w:id="20" w:name="_Toc253143216"/>
      <w:bookmarkStart w:id="21" w:name="_Toc32048"/>
      <w:bookmarkStart w:id="22" w:name="_Toc266093545"/>
      <w:bookmarkStart w:id="23" w:name="_Toc7102"/>
      <w:bookmarkStart w:id="24" w:name="_Toc249846223"/>
      <w:bookmarkStart w:id="25" w:name="_Toc20272"/>
      <w:bookmarkStart w:id="26" w:name="_Toc32634"/>
      <w:bookmarkStart w:id="27" w:name="_Toc19668"/>
      <w:r>
        <w:rPr>
          <w:rFonts w:hint="eastAsia" w:ascii="仿宋" w:hAnsi="仿宋" w:eastAsia="仿宋" w:cs="仿宋"/>
          <w:color w:val="auto"/>
          <w:sz w:val="24"/>
          <w:szCs w:val="24"/>
        </w:rPr>
        <w:t>3.8 关于联合体投标：</w:t>
      </w:r>
      <w:bookmarkEnd w:id="16"/>
      <w:bookmarkEnd w:id="17"/>
      <w:bookmarkEnd w:id="18"/>
      <w:bookmarkEnd w:id="19"/>
      <w:bookmarkEnd w:id="20"/>
      <w:bookmarkEnd w:id="21"/>
      <w:bookmarkEnd w:id="22"/>
      <w:bookmarkEnd w:id="23"/>
      <w:bookmarkEnd w:id="24"/>
      <w:bookmarkEnd w:id="25"/>
      <w:bookmarkEnd w:id="26"/>
      <w:bookmarkEnd w:id="27"/>
    </w:p>
    <w:p w14:paraId="32E8F280">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本次招标</w:t>
      </w:r>
      <w:r>
        <w:rPr>
          <w:rFonts w:hint="eastAsia" w:ascii="仿宋" w:hAnsi="仿宋" w:eastAsia="仿宋" w:cs="仿宋"/>
          <w:bCs/>
          <w:color w:val="auto"/>
          <w:sz w:val="24"/>
          <w:szCs w:val="24"/>
          <w:u w:val="single"/>
        </w:rPr>
        <w:t>接受</w:t>
      </w:r>
      <w:r>
        <w:rPr>
          <w:rFonts w:hint="eastAsia" w:ascii="仿宋" w:hAnsi="仿宋" w:eastAsia="仿宋" w:cs="仿宋"/>
          <w:bCs/>
          <w:color w:val="auto"/>
          <w:sz w:val="24"/>
          <w:szCs w:val="24"/>
        </w:rPr>
        <w:t>联合体投标，联合体投标的，应满足下列要求：</w:t>
      </w:r>
    </w:p>
    <w:p w14:paraId="4DDD3B2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如投标人组成联合体，联合体应当在投标登记前组成，应以本项目要求的承接设计工作的设计单位为联合体主办方，并签定联合体协议书。联合体各方（包括联合体主办方及联合体成员方）不得再单独或与其他单位组成联合体参与本项目投标。出现上述情况者，其投标和与此有关的联合体的投标将被拒绝。投标人拟派本工程的项目负责人应为联合体主办方正式员工。联合体协议书应明确约定各方拟承担的工作和责任。投标登记截止后联合体增减、更换成员的，其投标无效。</w:t>
      </w:r>
    </w:p>
    <w:p w14:paraId="17537619">
      <w:pPr>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3.9 其他情形：</w:t>
      </w:r>
    </w:p>
    <w:p w14:paraId="6185F6EA">
      <w:pPr>
        <w:wordWrap w:val="0"/>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3.9.1投标人按招标文件规定的格式及内容要求签署提交《投标人廉洁承诺书》及《投标人声明》。</w:t>
      </w:r>
    </w:p>
    <w:p w14:paraId="5DF0A520">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kern w:val="2"/>
          <w:sz w:val="24"/>
          <w:szCs w:val="24"/>
        </w:rPr>
        <w:t>3.9.2</w:t>
      </w:r>
      <w:r>
        <w:rPr>
          <w:rFonts w:hint="eastAsia" w:ascii="仿宋" w:hAnsi="仿宋" w:eastAsia="仿宋" w:cs="仿宋"/>
          <w:color w:val="auto"/>
          <w:sz w:val="24"/>
          <w:szCs w:val="24"/>
        </w:rPr>
        <w:t>投标人（如为联合体，要求联合体各方）未被纳入失信联合惩戒名单，失信联合惩戒名单以递交投标文件截止时间“信用广州”网站公布的“严重失信主体名单信息”（失信黑名单）为准。</w:t>
      </w:r>
    </w:p>
    <w:p w14:paraId="1E91DC7B">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投标人未被列入“在一定期限内依法取消参加依法必须进行招标的项目的投标资格”，具体名单以递交投标文件截止时间“信用广州”公布的“黑名单”为准。</w:t>
      </w:r>
    </w:p>
    <w:p w14:paraId="779987B7">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注：《全国失信惩戒措施清单基础清单》（2024版）。</w:t>
      </w:r>
    </w:p>
    <w:p w14:paraId="432C191B">
      <w:pPr>
        <w:pStyle w:val="2"/>
        <w:spacing w:before="120" w:after="120"/>
        <w:rPr>
          <w:rFonts w:hint="eastAsia" w:ascii="仿宋" w:hAnsi="仿宋" w:eastAsia="仿宋" w:cs="仿宋"/>
          <w:color w:val="auto"/>
        </w:rPr>
      </w:pPr>
      <w:bookmarkStart w:id="28" w:name="_Toc10241"/>
      <w:bookmarkStart w:id="29" w:name="_Toc28948"/>
      <w:bookmarkStart w:id="30" w:name="_Toc26793"/>
      <w:bookmarkStart w:id="31" w:name="_Toc26086"/>
      <w:bookmarkStart w:id="32" w:name="_Toc25583"/>
      <w:r>
        <w:rPr>
          <w:rFonts w:hint="eastAsia" w:ascii="仿宋" w:hAnsi="仿宋" w:eastAsia="仿宋" w:cs="仿宋"/>
          <w:color w:val="auto"/>
        </w:rPr>
        <w:t>4. 技术成果经济补偿</w:t>
      </w:r>
      <w:bookmarkEnd w:id="28"/>
      <w:bookmarkEnd w:id="29"/>
      <w:bookmarkEnd w:id="30"/>
      <w:bookmarkEnd w:id="31"/>
      <w:bookmarkEnd w:id="32"/>
    </w:p>
    <w:p w14:paraId="2CADE096">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2"/>
          <w:sz w:val="24"/>
          <w:szCs w:val="24"/>
        </w:rPr>
        <w:t>本次招标对未中标人投标文件中的技术成果</w:t>
      </w:r>
      <w:r>
        <w:rPr>
          <w:rFonts w:hint="eastAsia" w:ascii="仿宋" w:hAnsi="仿宋" w:eastAsia="仿宋" w:cs="仿宋"/>
          <w:color w:val="auto"/>
          <w:spacing w:val="2"/>
          <w:sz w:val="24"/>
          <w:szCs w:val="24"/>
          <w:u w:val="single"/>
        </w:rPr>
        <w:t xml:space="preserve">  </w:t>
      </w:r>
      <w:r>
        <w:rPr>
          <w:rFonts w:hint="eastAsia" w:ascii="仿宋" w:hAnsi="仿宋" w:eastAsia="仿宋" w:cs="仿宋"/>
          <w:color w:val="auto"/>
          <w:spacing w:val="1"/>
          <w:sz w:val="24"/>
          <w:szCs w:val="24"/>
          <w:u w:val="single"/>
        </w:rPr>
        <w:t xml:space="preserve">给予  </w:t>
      </w:r>
      <w:r>
        <w:rPr>
          <w:rFonts w:hint="eastAsia" w:ascii="仿宋" w:hAnsi="仿宋" w:eastAsia="仿宋" w:cs="仿宋"/>
          <w:color w:val="auto"/>
          <w:spacing w:val="1"/>
          <w:sz w:val="24"/>
          <w:szCs w:val="24"/>
        </w:rPr>
        <w:t>经济补偿。</w:t>
      </w:r>
    </w:p>
    <w:p w14:paraId="142A707C">
      <w:pPr>
        <w:spacing w:line="400" w:lineRule="exact"/>
        <w:ind w:left="9" w:firstLine="418" w:firstLineChars="173"/>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招标人将按如下标准支付经济补偿费：中标价=工程勘察设计费总额+未中标单位经济补偿总额（未中标单位经济补偿包含在中 标价内），根据评标委员会对投标人的评审排序，未中标单位在</w:t>
      </w:r>
      <w:r>
        <w:rPr>
          <w:rFonts w:hint="eastAsia" w:ascii="仿宋" w:hAnsi="仿宋" w:eastAsia="仿宋" w:cs="仿宋"/>
          <w:color w:val="auto"/>
          <w:spacing w:val="1"/>
          <w:sz w:val="24"/>
          <w:szCs w:val="24"/>
          <w:lang w:val="en-US" w:eastAsia="zh-CN"/>
        </w:rPr>
        <w:t>中标结果公示</w:t>
      </w:r>
      <w:r>
        <w:rPr>
          <w:rFonts w:hint="eastAsia" w:ascii="仿宋" w:hAnsi="仿宋" w:eastAsia="仿宋" w:cs="仿宋"/>
          <w:color w:val="auto"/>
          <w:spacing w:val="1"/>
          <w:sz w:val="24"/>
          <w:szCs w:val="24"/>
        </w:rPr>
        <w:t>后</w:t>
      </w:r>
      <w:r>
        <w:rPr>
          <w:rFonts w:hint="eastAsia" w:ascii="仿宋" w:hAnsi="仿宋" w:eastAsia="仿宋" w:cs="仿宋"/>
          <w:color w:val="auto"/>
          <w:spacing w:val="1"/>
          <w:sz w:val="24"/>
          <w:szCs w:val="24"/>
          <w:lang w:val="en-US" w:eastAsia="zh-CN"/>
        </w:rPr>
        <w:t>可</w:t>
      </w:r>
      <w:r>
        <w:rPr>
          <w:rFonts w:hint="eastAsia" w:ascii="仿宋" w:hAnsi="仿宋" w:eastAsia="仿宋" w:cs="仿宋"/>
          <w:color w:val="auto"/>
          <w:spacing w:val="1"/>
          <w:sz w:val="24"/>
          <w:szCs w:val="24"/>
        </w:rPr>
        <w:t>向中标人</w:t>
      </w:r>
      <w:r>
        <w:rPr>
          <w:rFonts w:hint="eastAsia" w:ascii="仿宋" w:hAnsi="仿宋" w:eastAsia="仿宋" w:cs="仿宋"/>
          <w:color w:val="auto"/>
          <w:spacing w:val="1"/>
          <w:sz w:val="24"/>
          <w:szCs w:val="24"/>
          <w:lang w:val="en-US" w:eastAsia="zh-CN"/>
        </w:rPr>
        <w:t>申请</w:t>
      </w:r>
      <w:r>
        <w:rPr>
          <w:rFonts w:hint="eastAsia" w:ascii="仿宋" w:hAnsi="仿宋" w:eastAsia="仿宋" w:cs="仿宋"/>
          <w:color w:val="auto"/>
          <w:spacing w:val="1"/>
          <w:sz w:val="24"/>
          <w:szCs w:val="24"/>
        </w:rPr>
        <w:t>支付经济补偿（含税金等）：</w:t>
      </w:r>
    </w:p>
    <w:p w14:paraId="62526267">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评审排序第2名0.1万元；</w:t>
      </w:r>
    </w:p>
    <w:p w14:paraId="2E3F09E2">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评审排序第3名0.1万元；</w:t>
      </w:r>
    </w:p>
    <w:p w14:paraId="773DB95D">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评审排序第4名0.1万元；</w:t>
      </w:r>
    </w:p>
    <w:p w14:paraId="79BF237D">
      <w:pPr>
        <w:spacing w:line="400" w:lineRule="exact"/>
        <w:ind w:left="42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评审排序第5名0.1万元；其余投标人费用自理。</w:t>
      </w:r>
    </w:p>
    <w:p w14:paraId="1121F41B">
      <w:pPr>
        <w:spacing w:line="400" w:lineRule="exact"/>
        <w:ind w:firstLine="418" w:firstLineChars="173"/>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注：1.如果招标失败，则当次不向未中标单位支付经济补偿。2.招标人和中标人有权在实施方案中参考使用获得经济补偿的所有投标方案成果的部分内容。</w:t>
      </w:r>
    </w:p>
    <w:p w14:paraId="70F1E27D">
      <w:pPr>
        <w:pStyle w:val="2"/>
        <w:spacing w:before="120" w:after="120"/>
        <w:rPr>
          <w:rFonts w:hint="eastAsia" w:ascii="仿宋" w:hAnsi="仿宋" w:eastAsia="仿宋" w:cs="仿宋"/>
          <w:color w:val="auto"/>
          <w:sz w:val="21"/>
        </w:rPr>
      </w:pPr>
      <w:bookmarkStart w:id="33" w:name="_Toc26631"/>
      <w:bookmarkStart w:id="34" w:name="_Toc29809"/>
      <w:bookmarkStart w:id="35" w:name="_Toc9312"/>
      <w:bookmarkStart w:id="36" w:name="_Toc5228"/>
      <w:bookmarkStart w:id="37" w:name="_Toc14668"/>
      <w:r>
        <w:rPr>
          <w:rFonts w:hint="eastAsia" w:ascii="仿宋" w:hAnsi="仿宋" w:eastAsia="仿宋" w:cs="仿宋"/>
          <w:color w:val="auto"/>
        </w:rPr>
        <w:t>5. 招标文件的获取</w:t>
      </w:r>
      <w:bookmarkEnd w:id="33"/>
      <w:bookmarkEnd w:id="34"/>
      <w:bookmarkEnd w:id="35"/>
      <w:bookmarkEnd w:id="36"/>
      <w:bookmarkEnd w:id="37"/>
    </w:p>
    <w:p w14:paraId="1EC5FE94">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5.1凡有意参加投标者，请于</w:t>
      </w:r>
      <w:r>
        <w:rPr>
          <w:rFonts w:hint="eastAsia" w:ascii="仿宋" w:hAnsi="仿宋" w:eastAsia="仿宋" w:cs="仿宋"/>
          <w:color w:val="auto"/>
          <w:sz w:val="24"/>
          <w:szCs w:val="24"/>
          <w:u w:val="single"/>
        </w:rPr>
        <w:t>2025年  月  日  时  分至2025年  月  日  时  分</w:t>
      </w:r>
      <w:r>
        <w:rPr>
          <w:rFonts w:hint="eastAsia" w:ascii="仿宋" w:hAnsi="仿宋" w:eastAsia="仿宋" w:cs="仿宋"/>
          <w:color w:val="auto"/>
          <w:sz w:val="24"/>
          <w:szCs w:val="24"/>
        </w:rPr>
        <w:t>（北京时间，下同）</w:t>
      </w:r>
      <w:r>
        <w:rPr>
          <w:rFonts w:hint="eastAsia" w:ascii="仿宋" w:hAnsi="仿宋" w:eastAsia="仿宋" w:cs="仿宋"/>
          <w:color w:val="auto"/>
          <w:sz w:val="24"/>
          <w:szCs w:val="24"/>
          <w:u w:val="single"/>
        </w:rPr>
        <w:t>登录广州交易集团有限公司（广州公共资源交易中心）交易平台（网址：http://www.gzggzy.cn）</w:t>
      </w:r>
      <w:r>
        <w:rPr>
          <w:rFonts w:hint="eastAsia" w:ascii="仿宋" w:hAnsi="仿宋" w:eastAsia="仿宋" w:cs="仿宋"/>
          <w:color w:val="auto"/>
          <w:sz w:val="24"/>
          <w:szCs w:val="24"/>
        </w:rPr>
        <w:t>（电子招标投标交易平台名称）下载电子招标文件。</w:t>
      </w:r>
    </w:p>
    <w:p w14:paraId="3B31960A">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招标公告发布时间：2025年  月  日  时  分至2025年  月  日  时 分，招标公告发布之日起计算编制投标文件时间，编制投标文件的时间不得少于20天。如招标人需发布补充公告的，以最后发布的补充公告的时间起计算编制投标文件时间，并需在补充公告中明确说明。请密切留意补充公告中的相关信息。</w:t>
      </w:r>
    </w:p>
    <w:p w14:paraId="0923697D">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注：发布招标公告的时间为招标公告发出之日起至递交投标文件截止时间止。</w:t>
      </w:r>
    </w:p>
    <w:p w14:paraId="5A50962B">
      <w:pPr>
        <w:pStyle w:val="4"/>
        <w:tabs>
          <w:tab w:val="left" w:pos="5458"/>
          <w:tab w:val="left" w:pos="8533"/>
        </w:tabs>
        <w:wordWrap w:val="0"/>
        <w:spacing w:after="0" w:line="360" w:lineRule="auto"/>
        <w:ind w:right="213" w:firstLine="420" w:firstLineChars="17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5.2本项目招标文件随招标公告一并在广州交易集团有限公司（广州公共资源交易中心）交易平台发布。招标文件一经在广州交易集团有限公司（广州公共资源交易中心）交易平台发布，视为送达给投标人，招标文件由投标人自行在广州交易集团有限公司（广州公共资源交易中心）交易平台下载。</w:t>
      </w:r>
    </w:p>
    <w:p w14:paraId="13C250D7">
      <w:pPr>
        <w:kinsoku/>
        <w:topLinePunct/>
        <w:autoSpaceDE/>
        <w:autoSpaceDN/>
        <w:adjustRightInd/>
        <w:spacing w:line="400" w:lineRule="exact"/>
        <w:ind w:firstLine="420" w:firstLineChars="175"/>
        <w:textAlignment w:val="auto"/>
        <w:rPr>
          <w:rFonts w:hint="eastAsia" w:ascii="仿宋" w:hAnsi="仿宋" w:eastAsia="仿宋" w:cs="仿宋"/>
          <w:color w:val="auto"/>
        </w:rPr>
      </w:pPr>
      <w:r>
        <w:rPr>
          <w:rFonts w:hint="eastAsia" w:ascii="仿宋" w:hAnsi="仿宋" w:eastAsia="仿宋" w:cs="仿宋"/>
          <w:color w:val="auto"/>
          <w:sz w:val="24"/>
          <w:szCs w:val="24"/>
          <w:u w:val="single"/>
        </w:rPr>
        <w:t>5.3本项目资格审查采用资格后审方式，当投标登记或递交投标文件或通过资格审查或经评议有效投标的投标人不足3名时，重新组织招标。</w:t>
      </w:r>
    </w:p>
    <w:p w14:paraId="59D33BA6">
      <w:pPr>
        <w:pStyle w:val="2"/>
        <w:spacing w:before="120" w:after="120"/>
        <w:rPr>
          <w:rFonts w:hint="eastAsia" w:ascii="仿宋" w:hAnsi="仿宋" w:eastAsia="仿宋" w:cs="仿宋"/>
          <w:color w:val="auto"/>
          <w:sz w:val="21"/>
        </w:rPr>
      </w:pPr>
      <w:bookmarkStart w:id="38" w:name="_Toc13565"/>
      <w:bookmarkStart w:id="39" w:name="_Toc25595"/>
      <w:bookmarkStart w:id="40" w:name="_Toc19023"/>
      <w:bookmarkStart w:id="41" w:name="_Toc8908"/>
      <w:bookmarkStart w:id="42" w:name="_Toc20569"/>
      <w:r>
        <w:rPr>
          <w:rFonts w:hint="eastAsia" w:ascii="仿宋" w:hAnsi="仿宋" w:eastAsia="仿宋" w:cs="仿宋"/>
          <w:color w:val="auto"/>
        </w:rPr>
        <w:t>6. 投标文件的递交</w:t>
      </w:r>
      <w:bookmarkEnd w:id="38"/>
      <w:bookmarkEnd w:id="39"/>
      <w:bookmarkEnd w:id="40"/>
      <w:bookmarkEnd w:id="41"/>
      <w:bookmarkEnd w:id="42"/>
    </w:p>
    <w:p w14:paraId="2C3B5FC8">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6.1投标文件递交截止时间（投标截止时间，下同）为</w:t>
      </w:r>
      <w:r>
        <w:rPr>
          <w:rFonts w:hint="eastAsia" w:ascii="仿宋" w:hAnsi="仿宋" w:eastAsia="仿宋" w:cs="仿宋"/>
          <w:color w:val="auto"/>
          <w:sz w:val="24"/>
          <w:szCs w:val="24"/>
          <w:u w:val="single"/>
        </w:rPr>
        <w:t>2025年  月  日  时  分</w:t>
      </w:r>
      <w:r>
        <w:rPr>
          <w:rFonts w:hint="eastAsia" w:ascii="仿宋" w:hAnsi="仿宋" w:eastAsia="仿宋" w:cs="仿宋"/>
          <w:color w:val="auto"/>
          <w:sz w:val="24"/>
          <w:szCs w:val="24"/>
        </w:rPr>
        <w:t>，投标人应在截止时间前通过</w:t>
      </w:r>
      <w:r>
        <w:rPr>
          <w:rFonts w:hint="eastAsia" w:ascii="仿宋" w:hAnsi="仿宋" w:eastAsia="仿宋" w:cs="仿宋"/>
          <w:color w:val="auto"/>
          <w:sz w:val="24"/>
          <w:szCs w:val="24"/>
          <w:u w:val="single"/>
        </w:rPr>
        <w:t>广州交易集团有限公司（广州公共资源交易中心）交易平台（网址：http://www.gzggzy.cn）</w:t>
      </w:r>
      <w:r>
        <w:rPr>
          <w:rFonts w:hint="eastAsia" w:ascii="仿宋" w:hAnsi="仿宋" w:eastAsia="仿宋" w:cs="仿宋"/>
          <w:bCs/>
          <w:color w:val="auto"/>
          <w:sz w:val="24"/>
          <w:szCs w:val="24"/>
          <w:u w:val="single"/>
        </w:rPr>
        <w:t>（以下简称“交易平台”）</w:t>
      </w:r>
      <w:r>
        <w:rPr>
          <w:rFonts w:hint="eastAsia" w:ascii="仿宋" w:hAnsi="仿宋" w:eastAsia="仿宋" w:cs="仿宋"/>
          <w:color w:val="auto"/>
          <w:sz w:val="24"/>
          <w:szCs w:val="24"/>
        </w:rPr>
        <w:t>（电子招标投标交易平台名称）递交电子投标文件。</w:t>
      </w:r>
      <w:r>
        <w:rPr>
          <w:rFonts w:hint="eastAsia" w:ascii="仿宋" w:hAnsi="仿宋" w:eastAsia="仿宋" w:cs="仿宋"/>
          <w:color w:val="auto"/>
          <w:sz w:val="24"/>
          <w:szCs w:val="24"/>
          <w:u w:val="single"/>
        </w:rPr>
        <w:t>投标人完成电子投标上传后，交易平台即时向投标人发出递交回执通知。递交时间以递交回执通知载明的传输时间为准。</w:t>
      </w:r>
    </w:p>
    <w:p w14:paraId="682FCDFA">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应在投标文件递交截止时间前，登录交易平台网站办理网上投标登记手续。按照交易平台关于全流程电子化项目的相关指南进行操作。详见：广州交易集团有限公司（广州公共资源交易中心）交易平台首页-服务指南-系统帮助-建设工程全流程电子化项目操作指南（适用于投标人）。</w:t>
      </w:r>
    </w:p>
    <w:p w14:paraId="56119DD8">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6.2逾期送达的投标文件，</w:t>
      </w:r>
      <w:r>
        <w:rPr>
          <w:rFonts w:hint="eastAsia" w:ascii="仿宋" w:hAnsi="仿宋" w:eastAsia="仿宋" w:cs="仿宋"/>
          <w:color w:val="auto"/>
          <w:sz w:val="24"/>
          <w:szCs w:val="24"/>
          <w:u w:val="single"/>
        </w:rPr>
        <w:t>广州交易集团有限公司（广州公共资源交易中心）交易平台</w:t>
      </w:r>
      <w:r>
        <w:rPr>
          <w:rFonts w:hint="eastAsia" w:ascii="仿宋" w:hAnsi="仿宋" w:eastAsia="仿宋" w:cs="仿宋"/>
          <w:color w:val="auto"/>
          <w:sz w:val="24"/>
          <w:szCs w:val="24"/>
        </w:rPr>
        <w:t>将予以拒收。</w:t>
      </w:r>
    </w:p>
    <w:p w14:paraId="31249183">
      <w:pPr>
        <w:pStyle w:val="4"/>
        <w:tabs>
          <w:tab w:val="left" w:pos="5458"/>
          <w:tab w:val="left" w:pos="8533"/>
        </w:tabs>
        <w:wordWrap w:val="0"/>
        <w:spacing w:after="0" w:line="360" w:lineRule="auto"/>
        <w:ind w:right="213"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6.3提交投标文件光盘备用：投标文件光盘（备用）递交时间：2025年 月  日  时  分至2025年  月  日  时  分；地点：广州公共资源交易中心第  开标室。（电子光盘需按规定封装。投标人将数据刻录到光盘之后，投标前自行检查文件是否可以读取。）</w:t>
      </w:r>
    </w:p>
    <w:p w14:paraId="0204EF07">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代表须凭法定代表人证明书原件（格式自定）、法定代表人授权委托书原件（非法定代表人递交投标文件光盘时提供，格式自定）、本人身份证复印件（提供原件核对）、联合体协议书原件（联合体投标时提供，格式见招标文件附录）递交投标文件光盘（备用）。投标人未按上述规定，招标人（或招标代理）拒绝接收其投标文件光盘（备用）。投标人也可不提交投标文件光盘（备用）。</w:t>
      </w:r>
    </w:p>
    <w:p w14:paraId="4540778A">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6.4投标文件解密时间：2025年  月  日  时  分至2025年  月  日  时  分，投标人应在截止时间前通过交易平台对电子投标文件进行投标文件解密。超过时间未解密的投标文件将作为放弃投标处理。</w:t>
      </w:r>
    </w:p>
    <w:p w14:paraId="4F8A1A91">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6.5本项目采用电子开标，在交易平台上公开进行。开标开始时间：2025年  月  日  时  分（与投标截止时间为同一时间）。</w:t>
      </w:r>
    </w:p>
    <w:p w14:paraId="1ECACCB8">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6.6递交电子投标文件截止时间与开标时间是否有变化，请密切留意广州交易集团有限公司（广州公共资源交易中心）交易平台“项目查询(日程安排、答疑纪要)”中的相关信息。递交电子投标文件截止时间后，开标时间因故推迟的，相关评标信息仍以原递交投标文件截止时间的信息为准。</w:t>
      </w:r>
    </w:p>
    <w:p w14:paraId="66EFFE7E">
      <w:pPr>
        <w:kinsoku/>
        <w:topLinePunct/>
        <w:autoSpaceDE/>
        <w:autoSpaceDN/>
        <w:adjustRightIn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u w:val="single"/>
        </w:rPr>
        <w:t>6.7在投标文件递交截止时间之前，投标人可以撤回或替换已递交的投标文件；可以修改网上投标登记相关信息。</w:t>
      </w:r>
      <w:bookmarkStart w:id="43" w:name="_Toc20503"/>
      <w:bookmarkStart w:id="44" w:name="_Toc3261"/>
      <w:bookmarkStart w:id="45" w:name="_Toc15522"/>
      <w:bookmarkStart w:id="46" w:name="_Toc6224"/>
      <w:bookmarkStart w:id="47" w:name="_Toc16960"/>
    </w:p>
    <w:p w14:paraId="6E019CD2">
      <w:pPr>
        <w:pStyle w:val="2"/>
        <w:spacing w:before="120" w:after="120"/>
        <w:rPr>
          <w:rFonts w:hint="eastAsia" w:ascii="仿宋" w:hAnsi="仿宋" w:eastAsia="仿宋" w:cs="仿宋"/>
          <w:color w:val="auto"/>
          <w:sz w:val="21"/>
        </w:rPr>
      </w:pPr>
      <w:r>
        <w:rPr>
          <w:rFonts w:hint="eastAsia" w:ascii="仿宋" w:hAnsi="仿宋" w:eastAsia="仿宋" w:cs="仿宋"/>
          <w:color w:val="auto"/>
        </w:rPr>
        <w:t>7. 发布公告的媒介</w:t>
      </w:r>
      <w:bookmarkEnd w:id="43"/>
      <w:bookmarkEnd w:id="44"/>
      <w:bookmarkEnd w:id="45"/>
      <w:bookmarkEnd w:id="46"/>
      <w:bookmarkEnd w:id="47"/>
    </w:p>
    <w:p w14:paraId="06A40B57">
      <w:pPr>
        <w:pStyle w:val="4"/>
        <w:tabs>
          <w:tab w:val="left" w:pos="5458"/>
          <w:tab w:val="left" w:pos="8533"/>
        </w:tabs>
        <w:kinsoku/>
        <w:wordWrap w:val="0"/>
        <w:topLinePunct/>
        <w:autoSpaceDE/>
        <w:autoSpaceDN/>
        <w:adjustRightInd/>
        <w:spacing w:line="360" w:lineRule="auto"/>
        <w:ind w:right="215"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rPr>
        <w:t>本次招标公告同时在</w:t>
      </w:r>
      <w:r>
        <w:rPr>
          <w:rFonts w:hint="eastAsia" w:ascii="仿宋" w:hAnsi="仿宋" w:eastAsia="仿宋" w:cs="仿宋"/>
          <w:color w:val="auto"/>
          <w:sz w:val="24"/>
          <w:szCs w:val="24"/>
          <w:u w:val="single"/>
        </w:rPr>
        <w:t>广州交易集团有限公司（广州公共资源交易中心）交易平台（网址：http://www.gzggzy.cn/）、广东省招标投标监管网（网址：http://zbtb.gd.gov.cn/）、中国招标投标公共服务平台（网址：http://www.cebpubservice.com/）</w:t>
      </w:r>
      <w:r>
        <w:rPr>
          <w:rFonts w:hint="eastAsia" w:ascii="仿宋" w:hAnsi="仿宋" w:eastAsia="仿宋" w:cs="仿宋"/>
          <w:color w:val="auto"/>
          <w:sz w:val="24"/>
          <w:szCs w:val="24"/>
        </w:rPr>
        <w:t>发布。</w:t>
      </w:r>
      <w:r>
        <w:rPr>
          <w:rFonts w:hint="eastAsia" w:ascii="仿宋" w:hAnsi="仿宋" w:eastAsia="仿宋" w:cs="仿宋"/>
          <w:color w:val="auto"/>
          <w:sz w:val="24"/>
          <w:szCs w:val="24"/>
          <w:u w:val="single"/>
        </w:rPr>
        <w:t>如果各媒体发布的公告内容不一致,以广州交易集团有限公司（广州公共资源交易中心）交易平台发布的为准。有关本公告的修改、补充，均以广州交易集团有限公司（广州公共资源交易中心）交易平台发布为准。</w:t>
      </w:r>
    </w:p>
    <w:p w14:paraId="23AB8634">
      <w:pPr>
        <w:pStyle w:val="8"/>
        <w:wordWrap w:val="0"/>
        <w:spacing w:line="360" w:lineRule="auto"/>
        <w:ind w:left="0"/>
        <w:rPr>
          <w:rFonts w:hint="eastAsia" w:ascii="仿宋" w:hAnsi="仿宋" w:eastAsia="仿宋" w:cs="仿宋"/>
          <w:color w:val="auto"/>
          <w:sz w:val="24"/>
          <w:szCs w:val="24"/>
          <w:u w:val="single"/>
        </w:rPr>
      </w:pPr>
      <w:bookmarkStart w:id="48" w:name="_Toc29364"/>
      <w:bookmarkStart w:id="49" w:name="_Toc17357"/>
      <w:bookmarkStart w:id="50" w:name="_Toc8443"/>
      <w:bookmarkStart w:id="51" w:name="_Toc17336"/>
      <w:bookmarkStart w:id="52" w:name="_Toc8339"/>
      <w:bookmarkStart w:id="53" w:name="_Toc21787632"/>
      <w:r>
        <w:rPr>
          <w:rFonts w:hint="eastAsia" w:ascii="仿宋" w:hAnsi="仿宋" w:eastAsia="仿宋" w:cs="仿宋"/>
          <w:color w:val="auto"/>
          <w:spacing w:val="7"/>
          <w:sz w:val="28"/>
          <w:szCs w:val="28"/>
        </w:rPr>
        <w:t xml:space="preserve">8. </w:t>
      </w:r>
      <w:r>
        <w:rPr>
          <w:rFonts w:hint="eastAsia" w:ascii="仿宋" w:hAnsi="仿宋" w:eastAsia="仿宋" w:cs="仿宋"/>
          <w:bCs w:val="0"/>
          <w:color w:val="auto"/>
          <w:sz w:val="28"/>
          <w:szCs w:val="24"/>
        </w:rPr>
        <w:t>其他事项</w:t>
      </w:r>
    </w:p>
    <w:p w14:paraId="7EB82CC2">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8.1投标时是否需要提交设计模型：否。</w:t>
      </w:r>
    </w:p>
    <w:p w14:paraId="657C4375">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8.2招标项目的电子地形图由投标人自行通过http://maps.google.com选择satellite（卫星图象）观察本项目的周边环境。</w:t>
      </w:r>
    </w:p>
    <w:p w14:paraId="171A6FCE">
      <w:pPr>
        <w:pStyle w:val="4"/>
        <w:tabs>
          <w:tab w:val="left" w:pos="5458"/>
          <w:tab w:val="left" w:pos="8533"/>
        </w:tabs>
        <w:wordWrap w:val="0"/>
        <w:spacing w:after="0" w:line="360" w:lineRule="auto"/>
        <w:ind w:right="215"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8.3项目的其他情况在招标人要求中详细介绍。本公告为招标文件的组成部分，更详细的信息以招标文件为准。</w:t>
      </w:r>
    </w:p>
    <w:p w14:paraId="0075E246">
      <w:pPr>
        <w:pStyle w:val="4"/>
        <w:wordWrap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8.4投标人电子招投标操作流程详见交易平台发布的相关操作指引。</w:t>
      </w:r>
    </w:p>
    <w:p w14:paraId="57C05083">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8.5投诉处理</w:t>
      </w:r>
    </w:p>
    <w:p w14:paraId="4D92E496">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kern w:val="2"/>
          <w:sz w:val="24"/>
          <w:szCs w:val="24"/>
          <w:u w:val="single"/>
        </w:rPr>
        <w:t>8.5.1</w:t>
      </w:r>
      <w:r>
        <w:rPr>
          <w:rFonts w:hint="eastAsia" w:ascii="仿宋" w:hAnsi="仿宋" w:eastAsia="仿宋" w:cs="仿宋"/>
          <w:color w:val="auto"/>
          <w:sz w:val="24"/>
          <w:szCs w:val="24"/>
          <w:u w:val="singl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14:paraId="32261320">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投标人和其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E6AFB08">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异议受理部门：广州市花都区水务建设管理中心</w:t>
      </w:r>
    </w:p>
    <w:p w14:paraId="34DE7667">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电话：020-36810682</w:t>
      </w:r>
    </w:p>
    <w:p w14:paraId="5DC6D910">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地址：广州市花都区宝华路34号</w:t>
      </w:r>
    </w:p>
    <w:p w14:paraId="629C6C4F">
      <w:pPr>
        <w:pStyle w:val="9"/>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8.5.2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1841919">
      <w:pPr>
        <w:pStyle w:val="9"/>
        <w:wordWrap w:val="0"/>
        <w:spacing w:line="360" w:lineRule="auto"/>
        <w:ind w:firstLine="480" w:firstLineChars="20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u w:val="single"/>
        </w:rPr>
        <w:t>8.5.3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4C7346EC">
      <w:pPr>
        <w:pStyle w:val="2"/>
        <w:spacing w:before="0" w:beforeLines="0" w:after="0" w:afterLines="0" w:line="360" w:lineRule="auto"/>
        <w:rPr>
          <w:rFonts w:hint="eastAsia" w:ascii="仿宋" w:hAnsi="仿宋" w:eastAsia="仿宋" w:cs="仿宋"/>
          <w:color w:val="auto"/>
          <w:kern w:val="2"/>
          <w:sz w:val="24"/>
          <w:u w:val="single"/>
        </w:rPr>
      </w:pPr>
      <w:r>
        <w:rPr>
          <w:rFonts w:hint="eastAsia" w:ascii="仿宋" w:hAnsi="仿宋" w:eastAsia="仿宋" w:cs="仿宋"/>
          <w:color w:val="auto"/>
          <w:kern w:val="2"/>
          <w:sz w:val="24"/>
          <w:u w:val="single"/>
        </w:rPr>
        <w:t>8.5.4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bookmarkStart w:id="54" w:name="_Toc5986"/>
    </w:p>
    <w:p w14:paraId="35FD1822">
      <w:pPr>
        <w:pStyle w:val="2"/>
        <w:spacing w:before="0" w:beforeLines="0" w:after="0" w:afterLines="0" w:line="360" w:lineRule="auto"/>
        <w:rPr>
          <w:rFonts w:hint="eastAsia" w:ascii="仿宋" w:hAnsi="仿宋" w:eastAsia="仿宋" w:cs="仿宋"/>
          <w:bCs/>
          <w:color w:val="auto"/>
          <w:spacing w:val="7"/>
          <w:szCs w:val="28"/>
        </w:rPr>
      </w:pPr>
      <w:r>
        <w:rPr>
          <w:rFonts w:hint="eastAsia" w:ascii="仿宋" w:hAnsi="仿宋" w:eastAsia="仿宋" w:cs="仿宋"/>
          <w:bCs/>
          <w:color w:val="auto"/>
          <w:spacing w:val="7"/>
          <w:szCs w:val="28"/>
        </w:rPr>
        <w:t>9. 资格审查方式</w:t>
      </w:r>
      <w:bookmarkEnd w:id="54"/>
    </w:p>
    <w:p w14:paraId="5C77A707">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bookmarkStart w:id="55" w:name="_Toc279"/>
      <w:bookmarkStart w:id="56" w:name="_Toc12248"/>
      <w:bookmarkStart w:id="57" w:name="_Toc6681"/>
      <w:r>
        <w:rPr>
          <w:rFonts w:hint="eastAsia" w:ascii="仿宋" w:hAnsi="仿宋" w:eastAsia="仿宋" w:cs="仿宋"/>
          <w:b/>
          <w:bCs/>
          <w:color w:val="auto"/>
          <w:sz w:val="24"/>
          <w:szCs w:val="24"/>
        </w:rPr>
        <w:t>9.1</w:t>
      </w:r>
      <w:r>
        <w:rPr>
          <w:rFonts w:hint="eastAsia" w:ascii="仿宋" w:hAnsi="仿宋" w:eastAsia="仿宋" w:cs="仿宋"/>
          <w:color w:val="auto"/>
          <w:sz w:val="24"/>
          <w:szCs w:val="24"/>
        </w:rPr>
        <w:t>本工程采用资格后审方式，由评标委员会负责资格审查。</w:t>
      </w:r>
      <w:bookmarkEnd w:id="55"/>
      <w:bookmarkEnd w:id="56"/>
      <w:bookmarkEnd w:id="57"/>
    </w:p>
    <w:p w14:paraId="715B2BE4">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9.2</w:t>
      </w:r>
      <w:r>
        <w:rPr>
          <w:rFonts w:hint="eastAsia" w:ascii="仿宋" w:hAnsi="仿宋" w:eastAsia="仿宋" w:cs="仿宋"/>
          <w:color w:val="auto"/>
          <w:sz w:val="24"/>
          <w:szCs w:val="24"/>
        </w:rPr>
        <w:t>资格审查结果将在广州交易集团有限公司（广州公共资源交易中心）网站和广东省招标投标监管网公示，公示时间不得少于3日，最后一天应为工作日。</w:t>
      </w:r>
    </w:p>
    <w:p w14:paraId="62E93BA2">
      <w:pPr>
        <w:pStyle w:val="2"/>
        <w:spacing w:before="0" w:beforeLines="0" w:after="0" w:afterLines="0" w:line="360" w:lineRule="auto"/>
        <w:rPr>
          <w:rFonts w:hint="eastAsia" w:ascii="仿宋" w:hAnsi="仿宋" w:eastAsia="仿宋" w:cs="仿宋"/>
          <w:color w:val="auto"/>
          <w:sz w:val="21"/>
          <w:szCs w:val="21"/>
        </w:rPr>
      </w:pPr>
      <w:bookmarkStart w:id="58" w:name="_Toc10143"/>
      <w:bookmarkStart w:id="59" w:name="_Toc24417"/>
      <w:bookmarkStart w:id="60" w:name="_Toc217"/>
      <w:bookmarkStart w:id="61" w:name="_Toc5540"/>
      <w:bookmarkStart w:id="62" w:name="_Toc24569"/>
      <w:bookmarkStart w:id="63" w:name="_Toc21787635"/>
      <w:r>
        <w:rPr>
          <w:rFonts w:hint="eastAsia" w:ascii="仿宋" w:hAnsi="仿宋" w:eastAsia="仿宋" w:cs="仿宋"/>
          <w:bCs/>
          <w:color w:val="auto"/>
          <w:spacing w:val="7"/>
          <w:szCs w:val="28"/>
        </w:rPr>
        <w:t>10. 疑问、异议、投诉处理</w:t>
      </w:r>
      <w:bookmarkEnd w:id="58"/>
      <w:bookmarkEnd w:id="59"/>
      <w:bookmarkEnd w:id="60"/>
      <w:bookmarkEnd w:id="61"/>
      <w:bookmarkEnd w:id="62"/>
      <w:bookmarkEnd w:id="63"/>
    </w:p>
    <w:p w14:paraId="772E07BC">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10.1 </w:t>
      </w:r>
      <w:r>
        <w:rPr>
          <w:rFonts w:hint="eastAsia" w:ascii="仿宋" w:hAnsi="仿宋" w:eastAsia="仿宋" w:cs="仿宋"/>
          <w:color w:val="auto"/>
          <w:sz w:val="24"/>
          <w:szCs w:val="24"/>
        </w:rPr>
        <w:t xml:space="preserve">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4EBB5AF2">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10.2</w:t>
      </w:r>
      <w:r>
        <w:rPr>
          <w:rFonts w:hint="eastAsia" w:ascii="仿宋" w:hAnsi="仿宋" w:eastAsia="仿宋" w:cs="仿宋"/>
          <w:color w:val="auto"/>
          <w:sz w:val="24"/>
          <w:szCs w:val="24"/>
        </w:rPr>
        <w:t xml:space="preserve">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F17444A">
      <w:pPr>
        <w:kinsoku/>
        <w:topLinePunct/>
        <w:autoSpaceDE/>
        <w:autoSpaceDN/>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10.3 </w:t>
      </w:r>
      <w:r>
        <w:rPr>
          <w:rFonts w:hint="eastAsia" w:ascii="仿宋" w:hAnsi="仿宋" w:eastAsia="仿宋" w:cs="仿宋"/>
          <w:color w:val="auto"/>
          <w:sz w:val="24"/>
          <w:szCs w:val="24"/>
        </w:rPr>
        <w:t xml:space="preserve">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0D5F080">
      <w:pPr>
        <w:kinsoku/>
        <w:topLinePunct/>
        <w:autoSpaceDE/>
        <w:autoSpaceDN/>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50A99082">
      <w:pPr>
        <w:kinsoku/>
        <w:topLinePunct/>
        <w:autoSpaceDE/>
        <w:autoSpaceDN/>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634640D">
      <w:pPr>
        <w:kinsoku/>
        <w:topLinePunct/>
        <w:autoSpaceDE/>
        <w:autoSpaceDN/>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8"/>
          <w:szCs w:val="24"/>
        </w:rPr>
        <w:t xml:space="preserve">11. </w:t>
      </w:r>
      <w:r>
        <w:rPr>
          <w:rFonts w:hint="eastAsia" w:ascii="仿宋" w:hAnsi="仿宋" w:eastAsia="仿宋" w:cs="仿宋"/>
          <w:color w:val="auto"/>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91667F0">
      <w:pPr>
        <w:pStyle w:val="9"/>
        <w:wordWrap w:val="0"/>
        <w:spacing w:line="360" w:lineRule="auto"/>
        <w:ind w:firstLine="480" w:firstLineChars="200"/>
        <w:rPr>
          <w:rFonts w:hint="eastAsia" w:ascii="仿宋" w:hAnsi="仿宋" w:eastAsia="仿宋" w:cs="仿宋"/>
          <w:color w:val="auto"/>
          <w:kern w:val="2"/>
          <w:sz w:val="24"/>
          <w:szCs w:val="24"/>
          <w:u w:val="single"/>
        </w:rPr>
      </w:pPr>
    </w:p>
    <w:p w14:paraId="6E106E48">
      <w:pPr>
        <w:pStyle w:val="8"/>
        <w:wordWrap w:val="0"/>
        <w:spacing w:line="360" w:lineRule="auto"/>
        <w:ind w:left="0"/>
        <w:rPr>
          <w:rFonts w:hint="eastAsia" w:ascii="仿宋" w:hAnsi="仿宋" w:eastAsia="仿宋" w:cs="仿宋"/>
          <w:color w:val="auto"/>
          <w:sz w:val="24"/>
          <w:szCs w:val="24"/>
          <w:u w:val="single"/>
        </w:rPr>
      </w:pPr>
      <w:r>
        <w:rPr>
          <w:rFonts w:hint="eastAsia" w:ascii="仿宋" w:hAnsi="仿宋" w:eastAsia="仿宋" w:cs="仿宋"/>
          <w:bCs w:val="0"/>
          <w:color w:val="auto"/>
          <w:sz w:val="28"/>
          <w:szCs w:val="24"/>
        </w:rPr>
        <w:t>12. 联系方式</w:t>
      </w:r>
    </w:p>
    <w:p w14:paraId="70DC05E0">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招标人：</w:t>
      </w:r>
      <w:r>
        <w:rPr>
          <w:rFonts w:hint="eastAsia" w:ascii="仿宋" w:hAnsi="仿宋" w:eastAsia="仿宋" w:cs="仿宋"/>
          <w:color w:val="auto"/>
          <w:sz w:val="24"/>
          <w:u w:val="single"/>
        </w:rPr>
        <w:t>广州市花都区水务建设管理中心</w:t>
      </w:r>
    </w:p>
    <w:p w14:paraId="609F915C">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广州市花都区宝华路34号</w:t>
      </w:r>
    </w:p>
    <w:p w14:paraId="20D3AF6E">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single"/>
        </w:rPr>
        <w:t>张工</w:t>
      </w:r>
    </w:p>
    <w:p w14:paraId="49E41FA9">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020-36810682</w:t>
      </w:r>
    </w:p>
    <w:p w14:paraId="18A4FBBA">
      <w:pPr>
        <w:wordWrap w:val="0"/>
        <w:topLinePunct/>
        <w:spacing w:line="360" w:lineRule="auto"/>
        <w:ind w:firstLine="480" w:firstLineChars="200"/>
        <w:rPr>
          <w:rFonts w:hint="eastAsia" w:ascii="仿宋" w:hAnsi="仿宋" w:eastAsia="仿宋" w:cs="仿宋"/>
          <w:color w:val="auto"/>
          <w:sz w:val="24"/>
        </w:rPr>
      </w:pPr>
    </w:p>
    <w:p w14:paraId="49CDC32B">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招标代理机构：</w:t>
      </w:r>
      <w:r>
        <w:rPr>
          <w:rFonts w:hint="eastAsia" w:ascii="仿宋" w:hAnsi="仿宋" w:eastAsia="仿宋" w:cs="仿宋"/>
          <w:color w:val="auto"/>
          <w:sz w:val="24"/>
          <w:u w:val="single"/>
        </w:rPr>
        <w:t>广东逸源工程顾问管理有限公司</w:t>
      </w:r>
    </w:p>
    <w:p w14:paraId="49C66C43">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广州市天河区天河北路689号6楼609室</w:t>
      </w:r>
    </w:p>
    <w:p w14:paraId="1D45160D">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single"/>
        </w:rPr>
        <w:t>冯工</w:t>
      </w:r>
    </w:p>
    <w:p w14:paraId="7D598661">
      <w:pPr>
        <w:wordWrap w:val="0"/>
        <w:topLinePunct/>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020－88522643</w:t>
      </w:r>
    </w:p>
    <w:p w14:paraId="71CEEC8D">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p>
    <w:p w14:paraId="5D6E443F">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交易服务机构：</w:t>
      </w:r>
      <w:bookmarkStart w:id="64" w:name="_Toc177205457"/>
      <w:bookmarkStart w:id="65" w:name="_Toc178744368"/>
      <w:r>
        <w:rPr>
          <w:rFonts w:hint="eastAsia" w:ascii="仿宋" w:hAnsi="仿宋" w:eastAsia="仿宋" w:cs="仿宋"/>
          <w:color w:val="auto"/>
          <w:sz w:val="24"/>
        </w:rPr>
        <w:t>广州公共资源交易中心</w:t>
      </w:r>
      <w:bookmarkEnd w:id="64"/>
      <w:bookmarkEnd w:id="65"/>
      <w:r>
        <w:rPr>
          <w:rFonts w:hint="eastAsia" w:ascii="仿宋" w:hAnsi="仿宋" w:eastAsia="仿宋" w:cs="仿宋"/>
          <w:color w:val="auto"/>
          <w:sz w:val="24"/>
        </w:rPr>
        <w:t>花都交易部</w:t>
      </w:r>
    </w:p>
    <w:p w14:paraId="01648D16">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地址：广州市花都区玫瑰路10号滨晖大厦首层至2层</w:t>
      </w:r>
    </w:p>
    <w:p w14:paraId="4C263D74">
      <w:pPr>
        <w:wordWrap w:val="0"/>
        <w:topLinePunct/>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电话（手机）号码：020-62305711,020-62305718</w:t>
      </w:r>
    </w:p>
    <w:p w14:paraId="59F20426">
      <w:pPr>
        <w:pStyle w:val="4"/>
        <w:tabs>
          <w:tab w:val="left" w:pos="5458"/>
          <w:tab w:val="left" w:pos="8533"/>
        </w:tabs>
        <w:wordWrap w:val="0"/>
        <w:spacing w:after="0" w:line="360" w:lineRule="auto"/>
        <w:ind w:right="213"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u w:val="single"/>
        </w:rPr>
        <w:t>网址：</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"http://www.gzggzy.cn/" </w:instrText>
      </w:r>
      <w:r>
        <w:rPr>
          <w:rFonts w:hint="eastAsia" w:ascii="仿宋" w:hAnsi="仿宋" w:eastAsia="仿宋" w:cs="仿宋"/>
          <w:color w:val="auto"/>
          <w:sz w:val="24"/>
          <w:szCs w:val="24"/>
          <w:u w:val="single"/>
        </w:rPr>
        <w:fldChar w:fldCharType="separate"/>
      </w:r>
      <w:r>
        <w:rPr>
          <w:rStyle w:val="7"/>
          <w:rFonts w:hint="eastAsia" w:ascii="仿宋" w:hAnsi="仿宋" w:eastAsia="仿宋" w:cs="仿宋"/>
          <w:color w:val="auto"/>
          <w:sz w:val="24"/>
          <w:szCs w:val="24"/>
        </w:rPr>
        <w:t>http://www.gzggzy.cn/</w:t>
      </w:r>
      <w:r>
        <w:rPr>
          <w:rFonts w:hint="eastAsia" w:ascii="仿宋" w:hAnsi="仿宋" w:eastAsia="仿宋" w:cs="仿宋"/>
          <w:color w:val="auto"/>
          <w:sz w:val="24"/>
          <w:szCs w:val="24"/>
          <w:u w:val="single"/>
        </w:rPr>
        <w:fldChar w:fldCharType="end"/>
      </w:r>
    </w:p>
    <w:p w14:paraId="12EAEA4D">
      <w:pPr>
        <w:rPr>
          <w:rFonts w:hint="eastAsia" w:ascii="仿宋" w:hAnsi="仿宋" w:eastAsia="仿宋" w:cs="仿宋"/>
          <w:color w:val="auto"/>
        </w:rPr>
      </w:pPr>
    </w:p>
    <w:p w14:paraId="29C55605">
      <w:pPr>
        <w:wordWrap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招标监督机构：</w:t>
      </w:r>
      <w:r>
        <w:rPr>
          <w:rFonts w:hint="eastAsia" w:ascii="仿宋" w:hAnsi="仿宋" w:eastAsia="仿宋" w:cs="仿宋"/>
          <w:color w:val="auto"/>
          <w:sz w:val="24"/>
          <w:u w:val="single"/>
        </w:rPr>
        <w:t>广州市花都区建设工程招标和造价管理中心</w:t>
      </w:r>
    </w:p>
    <w:p w14:paraId="3EDC3129">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广州市花都区花城街公益大道39号</w:t>
      </w:r>
    </w:p>
    <w:p w14:paraId="43371C19">
      <w:pPr>
        <w:wordWrap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电话号码：</w:t>
      </w:r>
      <w:r>
        <w:rPr>
          <w:rFonts w:hint="eastAsia" w:ascii="仿宋" w:hAnsi="仿宋" w:eastAsia="仿宋" w:cs="仿宋"/>
          <w:color w:val="auto"/>
          <w:sz w:val="24"/>
          <w:u w:val="single"/>
        </w:rPr>
        <w:t>020-36897092</w:t>
      </w:r>
    </w:p>
    <w:p w14:paraId="185BEF9C">
      <w:pPr>
        <w:pStyle w:val="4"/>
        <w:tabs>
          <w:tab w:val="left" w:pos="5458"/>
          <w:tab w:val="left" w:pos="8533"/>
        </w:tabs>
        <w:ind w:right="213"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2025年  月  日</w:t>
      </w:r>
    </w:p>
    <w:bookmarkEnd w:id="48"/>
    <w:bookmarkEnd w:id="49"/>
    <w:bookmarkEnd w:id="50"/>
    <w:bookmarkEnd w:id="51"/>
    <w:bookmarkEnd w:id="52"/>
    <w:bookmarkEnd w:id="53"/>
    <w:p w14:paraId="3AABF06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1D0F"/>
    <w:rsid w:val="7174745B"/>
    <w:rsid w:val="7A7F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1"/>
    <w:pPr>
      <w:spacing w:before="50" w:beforeLines="50" w:after="50" w:afterLines="50" w:line="240" w:lineRule="auto"/>
      <w:outlineLvl w:val="2"/>
    </w:pPr>
    <w:rPr>
      <w:rFonts w:ascii="宋体" w:hAnsi="宋体" w:eastAsia="宋体"/>
      <w:b/>
      <w:sz w:val="28"/>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unhideWhenUsed/>
    <w:qFormat/>
    <w:uiPriority w:val="0"/>
    <w:pPr>
      <w:spacing w:after="120"/>
    </w:pPr>
  </w:style>
  <w:style w:type="character" w:styleId="7">
    <w:name w:val="Hyperlink"/>
    <w:qFormat/>
    <w:uiPriority w:val="99"/>
    <w:rPr>
      <w:rFonts w:ascii="Arial" w:hAnsi="Arial" w:eastAsia="黑体"/>
      <w:color w:val="0000FF"/>
      <w:kern w:val="2"/>
      <w:sz w:val="21"/>
      <w:szCs w:val="21"/>
      <w:u w:val="single"/>
      <w:lang w:val="en-US" w:eastAsia="zh-CN" w:bidi="ar-SA"/>
    </w:rPr>
  </w:style>
  <w:style w:type="paragraph" w:customStyle="1" w:styleId="8">
    <w:name w:val="标题 21"/>
    <w:basedOn w:val="1"/>
    <w:qFormat/>
    <w:uiPriority w:val="1"/>
    <w:pPr>
      <w:ind w:left="100" w:right="108"/>
      <w:outlineLvl w:val="2"/>
    </w:pPr>
    <w:rPr>
      <w:rFonts w:ascii="Microsoft JhengHei" w:hAnsi="Microsoft JhengHei" w:eastAsia="Microsoft JhengHei" w:cs="Microsoft JhengHei"/>
      <w:b/>
      <w:bCs/>
      <w:sz w:val="32"/>
      <w:szCs w:val="32"/>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6577</Words>
  <Characters>7210</Characters>
  <Lines>0</Lines>
  <Paragraphs>0</Paragraphs>
  <TotalTime>15</TotalTime>
  <ScaleCrop>false</ScaleCrop>
  <LinksUpToDate>false</LinksUpToDate>
  <CharactersWithSpaces>7359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2025-04-28T08:13:00Z</dcterms:created>
  <dc:creator>…KING</dc:creator>
  <cp:lastModifiedBy>…KING</cp:lastModifiedBy>
  <dcterms:modified xsi:type="dcterms:W3CDTF">2025-05-06T04:01:35Z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3D5B2133EB6E4F7886A14B681B25545B_11</vt:lpwstr>
  </property>
  <property fmtid="{D5CDD505-2E9C-101B-9397-08002B2CF9AE}" pid="4" name="KSOTemplateDocerSaveRecord">
    <vt:lpwstr>eyJoZGlkIjoiYWQzMTExNmNhMTE1MmFhNTc1NTk5ZGEwOGZmZDAxOGUiLCJ1c2VySWQiOiIzMTk1NjY3MzMifQ==</vt:lpwstr>
  </property>
</Properties>
</file>