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auto"/>
          <w:sz w:val="52"/>
          <w:szCs w:val="52"/>
          <w:highlight w:val="none"/>
        </w:rPr>
      </w:pPr>
    </w:p>
    <w:p>
      <w:pPr>
        <w:snapToGrid w:val="0"/>
        <w:spacing w:line="360" w:lineRule="auto"/>
        <w:ind w:left="-210" w:leftChars="-100" w:right="-210" w:rightChars="-100"/>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十五运会和残特奥会开幕式</w:t>
      </w:r>
    </w:p>
    <w:p>
      <w:pPr>
        <w:snapToGrid w:val="0"/>
        <w:spacing w:line="360" w:lineRule="auto"/>
        <w:ind w:left="-210" w:leftChars="-100" w:right="-210" w:rightChars="-100"/>
        <w:jc w:val="center"/>
        <w:rPr>
          <w:rFonts w:ascii="宋体" w:hAnsi="宋体" w:cs="宋体"/>
          <w:color w:val="auto"/>
          <w:sz w:val="52"/>
          <w:szCs w:val="52"/>
          <w:highlight w:val="none"/>
        </w:rPr>
      </w:pPr>
      <w:r>
        <w:rPr>
          <w:rFonts w:hint="eastAsia" w:ascii="宋体" w:hAnsi="宋体" w:cs="宋体"/>
          <w:b/>
          <w:color w:val="auto"/>
          <w:sz w:val="52"/>
          <w:szCs w:val="52"/>
          <w:highlight w:val="none"/>
        </w:rPr>
        <w:t>供电保障服务项目</w:t>
      </w:r>
    </w:p>
    <w:p>
      <w:pPr>
        <w:snapToGrid w:val="0"/>
        <w:spacing w:line="360" w:lineRule="auto"/>
        <w:rPr>
          <w:rFonts w:ascii="宋体" w:hAnsi="宋体" w:cs="宋体"/>
          <w:color w:val="auto"/>
          <w:highlight w:val="none"/>
        </w:rPr>
      </w:pPr>
    </w:p>
    <w:p>
      <w:pPr>
        <w:spacing w:line="2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69" w:lineRule="exact"/>
        <w:rPr>
          <w:rFonts w:ascii="宋体" w:hAnsi="宋体" w:cs="宋体"/>
          <w:color w:val="auto"/>
          <w:highlight w:val="none"/>
        </w:rPr>
      </w:pPr>
    </w:p>
    <w:p>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81" w:lineRule="exact"/>
        <w:rPr>
          <w:rFonts w:ascii="宋体" w:hAnsi="宋体" w:cs="宋体"/>
          <w:color w:val="auto"/>
          <w:highlight w:val="none"/>
        </w:rPr>
      </w:pPr>
    </w:p>
    <w:p>
      <w:pPr>
        <w:pStyle w:val="20"/>
        <w:rPr>
          <w:color w:val="auto"/>
          <w:highlight w:val="none"/>
        </w:rPr>
      </w:pPr>
    </w:p>
    <w:p>
      <w:pPr>
        <w:pStyle w:val="20"/>
        <w:rPr>
          <w:color w:val="auto"/>
          <w:highlight w:val="none"/>
        </w:rPr>
      </w:pPr>
    </w:p>
    <w:p>
      <w:pPr>
        <w:ind w:firstLine="1417" w:firstLineChars="504"/>
        <w:rPr>
          <w:rFonts w:ascii="宋体" w:hAnsi="宋体" w:cs="宋体"/>
          <w:b/>
          <w:color w:val="auto"/>
          <w:sz w:val="28"/>
          <w:szCs w:val="28"/>
          <w:highlight w:val="none"/>
          <w:u w:val="single"/>
          <w:lang w:val="zh-CN"/>
        </w:rPr>
      </w:pPr>
      <w:bookmarkStart w:id="0" w:name="_Hlk51161991"/>
      <w:r>
        <w:rPr>
          <w:rFonts w:hint="eastAsia" w:ascii="宋体" w:hAnsi="宋体" w:cs="宋体"/>
          <w:b/>
          <w:color w:val="auto"/>
          <w:sz w:val="28"/>
          <w:szCs w:val="28"/>
          <w:highlight w:val="none"/>
        </w:rPr>
        <w:t>招   标   人：</w:t>
      </w:r>
      <w:r>
        <w:rPr>
          <w:rFonts w:hint="eastAsia" w:ascii="宋体" w:hAnsi="宋体" w:cs="宋体"/>
          <w:b/>
          <w:color w:val="auto"/>
          <w:sz w:val="28"/>
          <w:szCs w:val="28"/>
          <w:highlight w:val="none"/>
          <w:u w:val="single"/>
          <w:lang w:val="zh-CN"/>
        </w:rPr>
        <w:t>第十五届全国运动会和全国第十二届残疾人运动会暨第九届特殊奥林匹克运动会广州赛区执行委员会</w:t>
      </w:r>
    </w:p>
    <w:p>
      <w:pPr>
        <w:ind w:firstLine="1417" w:firstLineChars="504"/>
        <w:rPr>
          <w:rFonts w:ascii="宋体" w:hAnsi="宋体" w:cs="宋体"/>
          <w:b/>
          <w:color w:val="auto"/>
          <w:sz w:val="28"/>
          <w:szCs w:val="28"/>
          <w:highlight w:val="none"/>
        </w:rPr>
      </w:pPr>
      <w:r>
        <w:rPr>
          <w:rFonts w:hint="eastAsia" w:ascii="宋体" w:hAnsi="宋体" w:cs="宋体"/>
          <w:b/>
          <w:color w:val="auto"/>
          <w:sz w:val="28"/>
          <w:szCs w:val="28"/>
          <w:highlight w:val="none"/>
          <w:lang w:val="zh-CN"/>
        </w:rPr>
        <w:t>招标代理机构：</w:t>
      </w:r>
      <w:r>
        <w:rPr>
          <w:rFonts w:hint="eastAsia" w:ascii="宋体" w:hAnsi="宋体" w:cs="宋体"/>
          <w:b/>
          <w:color w:val="auto"/>
          <w:sz w:val="28"/>
          <w:szCs w:val="28"/>
          <w:highlight w:val="none"/>
          <w:u w:val="single"/>
          <w:lang w:val="zh-CN"/>
        </w:rPr>
        <w:t>广州市政府采购中心</w:t>
      </w:r>
    </w:p>
    <w:p>
      <w:pPr>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期：</w:t>
      </w:r>
      <w:r>
        <w:rPr>
          <w:rFonts w:hint="eastAsia" w:ascii="宋体" w:hAnsi="宋体" w:cs="宋体"/>
          <w:b/>
          <w:color w:val="auto"/>
          <w:sz w:val="28"/>
          <w:szCs w:val="28"/>
          <w:highlight w:val="none"/>
          <w:u w:val="single"/>
        </w:rPr>
        <w:t>202</w:t>
      </w:r>
      <w:r>
        <w:rPr>
          <w:rFonts w:ascii="宋体" w:hAnsi="宋体" w:cs="宋体"/>
          <w:b/>
          <w:color w:val="auto"/>
          <w:sz w:val="28"/>
          <w:szCs w:val="28"/>
          <w:highlight w:val="none"/>
          <w:u w:val="single"/>
        </w:rPr>
        <w:t>5</w:t>
      </w:r>
      <w:r>
        <w:rPr>
          <w:rFonts w:hint="eastAsia" w:ascii="宋体" w:hAnsi="宋体" w:cs="宋体"/>
          <w:b/>
          <w:color w:val="auto"/>
          <w:sz w:val="28"/>
          <w:szCs w:val="28"/>
          <w:highlight w:val="none"/>
        </w:rPr>
        <w:t>年</w:t>
      </w:r>
      <w:r>
        <w:rPr>
          <w:rFonts w:ascii="宋体" w:hAnsi="宋体" w:cs="宋体"/>
          <w:b/>
          <w:color w:val="auto"/>
          <w:sz w:val="28"/>
          <w:szCs w:val="28"/>
          <w:highlight w:val="none"/>
          <w:u w:val="single"/>
        </w:rPr>
        <w:t>4</w:t>
      </w:r>
      <w:r>
        <w:rPr>
          <w:rFonts w:hint="eastAsia" w:ascii="宋体" w:hAnsi="宋体" w:cs="宋体"/>
          <w:b/>
          <w:color w:val="auto"/>
          <w:sz w:val="28"/>
          <w:szCs w:val="28"/>
          <w:highlight w:val="none"/>
        </w:rPr>
        <w:t>月</w:t>
      </w:r>
    </w:p>
    <w:p>
      <w:pPr>
        <w:pStyle w:val="20"/>
        <w:jc w:val="center"/>
        <w:rPr>
          <w:rFonts w:hAnsi="宋体" w:cs="宋体"/>
          <w:b/>
          <w:bCs/>
          <w:color w:val="auto"/>
          <w:sz w:val="36"/>
          <w:szCs w:val="36"/>
          <w:highlight w:val="none"/>
        </w:rPr>
      </w:pPr>
      <w:r>
        <w:rPr>
          <w:color w:val="auto"/>
          <w:highlight w:val="none"/>
        </w:rPr>
        <w:br w:type="page"/>
      </w:r>
      <w:bookmarkEnd w:id="0"/>
      <w:r>
        <w:rPr>
          <w:rFonts w:hint="eastAsia" w:hAnsi="宋体" w:cs="宋体"/>
          <w:b/>
          <w:bCs/>
          <w:color w:val="auto"/>
          <w:sz w:val="36"/>
          <w:szCs w:val="36"/>
          <w:highlight w:val="none"/>
        </w:rPr>
        <w:t>目  录</w:t>
      </w:r>
    </w:p>
    <w:sdt>
      <w:sdtPr>
        <w:rPr>
          <w:rFonts w:ascii="Calibri" w:hAnsi="Calibri" w:eastAsia="宋体" w:cs="Times New Roman"/>
          <w:color w:val="auto"/>
          <w:kern w:val="2"/>
          <w:sz w:val="21"/>
          <w:szCs w:val="22"/>
          <w:highlight w:val="none"/>
          <w:lang w:val="zh-CN"/>
        </w:rPr>
        <w:id w:val="-1"/>
        <w:docPartObj>
          <w:docPartGallery w:val="Table of Contents"/>
          <w:docPartUnique/>
        </w:docPartObj>
      </w:sdtPr>
      <w:sdtEndPr>
        <w:rPr>
          <w:rFonts w:ascii="Calibri" w:hAnsi="Calibri" w:eastAsia="宋体" w:cs="Times New Roman"/>
          <w:b/>
          <w:bCs/>
          <w:color w:val="auto"/>
          <w:kern w:val="2"/>
          <w:sz w:val="21"/>
          <w:szCs w:val="22"/>
          <w:highlight w:val="none"/>
          <w:lang w:val="zh-CN"/>
        </w:rPr>
      </w:sdtEndPr>
      <w:sdtContent>
        <w:p>
          <w:pPr>
            <w:pStyle w:val="211"/>
            <w:rPr>
              <w:color w:val="auto"/>
              <w:highlight w:val="none"/>
            </w:rPr>
          </w:pPr>
        </w:p>
        <w:p>
          <w:pPr>
            <w:pStyle w:val="26"/>
            <w:tabs>
              <w:tab w:val="right" w:leader="dot" w:pos="9061"/>
            </w:tabs>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TOC \o "1-2" \h \z \u </w:instrText>
          </w:r>
          <w:r>
            <w:rPr>
              <w:color w:val="auto"/>
              <w:highlight w:val="none"/>
            </w:rPr>
            <w:fldChar w:fldCharType="separate"/>
          </w:r>
          <w:r>
            <w:rPr>
              <w:color w:val="auto"/>
              <w:highlight w:val="none"/>
            </w:rPr>
            <w:fldChar w:fldCharType="begin"/>
          </w:r>
          <w:r>
            <w:rPr>
              <w:color w:val="auto"/>
              <w:highlight w:val="none"/>
            </w:rPr>
            <w:instrText xml:space="preserve"> HYPERLINK \l "_Toc196159253" </w:instrText>
          </w:r>
          <w:r>
            <w:rPr>
              <w:color w:val="auto"/>
              <w:highlight w:val="none"/>
            </w:rPr>
            <w:fldChar w:fldCharType="separate"/>
          </w:r>
          <w:r>
            <w:rPr>
              <w:rStyle w:val="43"/>
              <w:rFonts w:hint="eastAsia" w:ascii="宋体" w:hAnsi="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_Toc196159253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"_Toc196159254" </w:instrText>
          </w:r>
          <w:r>
            <w:rPr>
              <w:color w:val="auto"/>
              <w:highlight w:val="none"/>
            </w:rPr>
            <w:fldChar w:fldCharType="separate"/>
          </w:r>
          <w:r>
            <w:rPr>
              <w:rStyle w:val="43"/>
              <w:rFonts w:hint="eastAsia" w:ascii="宋体" w:hAnsi="宋体" w:cs="宋体"/>
              <w:color w:val="auto"/>
              <w:highlight w:val="none"/>
            </w:rPr>
            <w:t>第一章</w:t>
          </w:r>
          <w:r>
            <w:rPr>
              <w:rStyle w:val="43"/>
              <w:rFonts w:ascii="宋体" w:hAnsi="宋体" w:cs="宋体"/>
              <w:color w:val="auto"/>
              <w:highlight w:val="none"/>
            </w:rPr>
            <w:t xml:space="preserve"> </w:t>
          </w:r>
          <w:r>
            <w:rPr>
              <w:rStyle w:val="43"/>
              <w:rFonts w:hint="eastAsia" w:ascii="宋体" w:hAnsi="宋体" w:cs="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_Toc196159254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"_Toc196159255" </w:instrText>
          </w:r>
          <w:r>
            <w:rPr>
              <w:color w:val="auto"/>
              <w:highlight w:val="none"/>
            </w:rPr>
            <w:fldChar w:fldCharType="separate"/>
          </w:r>
          <w:r>
            <w:rPr>
              <w:rStyle w:val="43"/>
              <w:rFonts w:hint="eastAsia" w:ascii="宋体" w:hAnsi="宋体" w:cs="宋体"/>
              <w:color w:val="auto"/>
              <w:highlight w:val="none"/>
            </w:rPr>
            <w:t>第二章</w:t>
          </w:r>
          <w:r>
            <w:rPr>
              <w:rStyle w:val="43"/>
              <w:rFonts w:ascii="宋体" w:hAnsi="宋体" w:cs="宋体"/>
              <w:color w:val="auto"/>
              <w:highlight w:val="none"/>
            </w:rPr>
            <w:t xml:space="preserve"> </w:t>
          </w:r>
          <w:r>
            <w:rPr>
              <w:rStyle w:val="43"/>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_Toc196159255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"_Toc196159256" </w:instrText>
          </w:r>
          <w:r>
            <w:rPr>
              <w:color w:val="auto"/>
              <w:highlight w:val="none"/>
            </w:rPr>
            <w:fldChar w:fldCharType="separate"/>
          </w:r>
          <w:r>
            <w:rPr>
              <w:rStyle w:val="43"/>
              <w:rFonts w:hint="eastAsia" w:ascii="宋体" w:hAnsi="宋体" w:cs="宋体"/>
              <w:color w:val="auto"/>
              <w:highlight w:val="none"/>
            </w:rPr>
            <w:t>第三章</w:t>
          </w:r>
          <w:r>
            <w:rPr>
              <w:rStyle w:val="43"/>
              <w:rFonts w:ascii="宋体" w:hAnsi="宋体" w:cs="宋体"/>
              <w:color w:val="auto"/>
              <w:highlight w:val="none"/>
            </w:rPr>
            <w:t xml:space="preserve"> </w:t>
          </w:r>
          <w:r>
            <w:rPr>
              <w:rStyle w:val="43"/>
              <w:rFonts w:hint="eastAsia" w:ascii="宋体" w:hAnsi="宋体" w:cs="宋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_Toc196159256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6"/>
            <w:tabs>
              <w:tab w:val="right" w:leader="dot" w:pos="9061"/>
            </w:tabs>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"_Toc196159257" </w:instrText>
          </w:r>
          <w:r>
            <w:rPr>
              <w:color w:val="auto"/>
              <w:highlight w:val="none"/>
            </w:rPr>
            <w:fldChar w:fldCharType="separate"/>
          </w:r>
          <w:r>
            <w:rPr>
              <w:rStyle w:val="43"/>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_Toc196159257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"_Toc196159258" </w:instrText>
          </w:r>
          <w:r>
            <w:rPr>
              <w:color w:val="auto"/>
              <w:highlight w:val="none"/>
            </w:rPr>
            <w:fldChar w:fldCharType="separate"/>
          </w:r>
          <w:r>
            <w:rPr>
              <w:rStyle w:val="43"/>
              <w:rFonts w:hint="eastAsia" w:ascii="宋体" w:hAnsi="宋体" w:cs="宋体"/>
              <w:bCs/>
              <w:color w:val="auto"/>
              <w:kern w:val="0"/>
              <w:highlight w:val="none"/>
            </w:rPr>
            <w:t>第四章</w:t>
          </w:r>
          <w:r>
            <w:rPr>
              <w:rStyle w:val="43"/>
              <w:rFonts w:ascii="宋体" w:hAnsi="宋体" w:cs="宋体"/>
              <w:bCs/>
              <w:color w:val="auto"/>
              <w:kern w:val="0"/>
              <w:highlight w:val="none"/>
            </w:rPr>
            <w:t xml:space="preserve"> </w:t>
          </w:r>
          <w:r>
            <w:rPr>
              <w:rStyle w:val="43"/>
              <w:rFonts w:hint="eastAsia" w:ascii="宋体" w:hAnsi="宋体" w:cs="宋体"/>
              <w:bCs/>
              <w:color w:val="auto"/>
              <w:kern w:val="0"/>
              <w:highlight w:val="none"/>
            </w:rPr>
            <w:t>招标人要求</w:t>
          </w:r>
          <w:r>
            <w:rPr>
              <w:color w:val="auto"/>
              <w:highlight w:val="none"/>
            </w:rPr>
            <w:tab/>
          </w:r>
          <w:r>
            <w:rPr>
              <w:color w:val="auto"/>
              <w:highlight w:val="none"/>
            </w:rPr>
            <w:fldChar w:fldCharType="begin"/>
          </w:r>
          <w:r>
            <w:rPr>
              <w:color w:val="auto"/>
              <w:highlight w:val="none"/>
            </w:rPr>
            <w:instrText xml:space="preserve"> PAGEREF _Toc196159258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6"/>
            <w:tabs>
              <w:tab w:val="right" w:leader="dot" w:pos="9061"/>
            </w:tabs>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"_Toc196159259" </w:instrText>
          </w:r>
          <w:r>
            <w:rPr>
              <w:color w:val="auto"/>
              <w:highlight w:val="none"/>
            </w:rPr>
            <w:fldChar w:fldCharType="separate"/>
          </w:r>
          <w:r>
            <w:rPr>
              <w:rStyle w:val="43"/>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_Toc196159259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"_Toc196159260" </w:instrText>
          </w:r>
          <w:r>
            <w:rPr>
              <w:color w:val="auto"/>
              <w:highlight w:val="none"/>
            </w:rPr>
            <w:fldChar w:fldCharType="separate"/>
          </w:r>
          <w:r>
            <w:rPr>
              <w:rStyle w:val="43"/>
              <w:rFonts w:hint="eastAsia" w:ascii="宋体" w:hAnsi="宋体" w:cs="宋体"/>
              <w:color w:val="auto"/>
              <w:highlight w:val="none"/>
            </w:rPr>
            <w:t>第五章</w:t>
          </w:r>
          <w:r>
            <w:rPr>
              <w:rStyle w:val="43"/>
              <w:rFonts w:ascii="宋体" w:hAnsi="宋体" w:cs="宋体"/>
              <w:color w:val="auto"/>
              <w:highlight w:val="none"/>
            </w:rPr>
            <w:t xml:space="preserve"> </w:t>
          </w:r>
          <w:r>
            <w:rPr>
              <w:rStyle w:val="43"/>
              <w:rFonts w:hint="eastAsia" w:ascii="宋体" w:hAnsi="宋体" w:cs="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_Toc196159260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"_Toc196159261" </w:instrText>
          </w:r>
          <w:r>
            <w:rPr>
              <w:color w:val="auto"/>
              <w:highlight w:val="none"/>
            </w:rPr>
            <w:fldChar w:fldCharType="separate"/>
          </w:r>
          <w:r>
            <w:rPr>
              <w:rStyle w:val="43"/>
              <w:rFonts w:hint="eastAsia" w:ascii="宋体" w:hAnsi="宋体" w:cs="宋体"/>
              <w:color w:val="auto"/>
              <w:highlight w:val="none"/>
            </w:rPr>
            <w:t>第六章</w:t>
          </w:r>
          <w:r>
            <w:rPr>
              <w:rStyle w:val="43"/>
              <w:rFonts w:ascii="宋体" w:hAnsi="宋体" w:cs="宋体"/>
              <w:color w:val="auto"/>
              <w:highlight w:val="none"/>
            </w:rPr>
            <w:t xml:space="preserve"> </w:t>
          </w:r>
          <w:r>
            <w:rPr>
              <w:rStyle w:val="43"/>
              <w:rFonts w:hint="eastAsia" w:ascii="宋体" w:hAnsi="宋体" w:cs="宋体"/>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_Toc196159261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30"/>
            <w:tabs>
              <w:tab w:val="right" w:leader="dot" w:pos="9061"/>
            </w:tabs>
            <w:ind w:left="420"/>
            <w:rPr>
              <w:rFonts w:asciiTheme="minorHAnsi" w:hAnsiTheme="minorHAnsi" w:eastAsiaTheme="minorEastAsia" w:cstheme="minorBidi"/>
              <w:color w:val="auto"/>
              <w:sz w:val="21"/>
              <w:highlight w:val="none"/>
            </w:rPr>
          </w:pPr>
          <w:r>
            <w:rPr>
              <w:color w:val="auto"/>
              <w:highlight w:val="none"/>
            </w:rPr>
            <w:fldChar w:fldCharType="begin"/>
          </w:r>
          <w:r>
            <w:rPr>
              <w:color w:val="auto"/>
              <w:highlight w:val="none"/>
            </w:rPr>
            <w:instrText xml:space="preserve"> HYPERLINK \l "_Toc196159262" </w:instrText>
          </w:r>
          <w:r>
            <w:rPr>
              <w:color w:val="auto"/>
              <w:highlight w:val="none"/>
            </w:rPr>
            <w:fldChar w:fldCharType="separate"/>
          </w:r>
          <w:r>
            <w:rPr>
              <w:rStyle w:val="43"/>
              <w:rFonts w:hint="eastAsia" w:ascii="宋体" w:hAnsi="宋体" w:cs="宋体"/>
              <w:color w:val="auto"/>
              <w:highlight w:val="none"/>
            </w:rPr>
            <w:t>第七章</w:t>
          </w:r>
          <w:r>
            <w:rPr>
              <w:rStyle w:val="43"/>
              <w:rFonts w:ascii="宋体" w:hAnsi="宋体" w:cs="宋体"/>
              <w:color w:val="auto"/>
              <w:highlight w:val="none"/>
            </w:rPr>
            <w:t xml:space="preserve"> </w:t>
          </w:r>
          <w:r>
            <w:rPr>
              <w:rStyle w:val="43"/>
              <w:rFonts w:hint="eastAsia" w:ascii="宋体" w:hAnsi="宋体" w:cs="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_Toc196159262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rPr>
              <w:color w:val="auto"/>
              <w:highlight w:val="none"/>
            </w:rPr>
          </w:pPr>
          <w:r>
            <w:rPr>
              <w:rFonts w:ascii="Times New Roman" w:hAnsi="Times New Roman"/>
              <w:color w:val="auto"/>
              <w:highlight w:val="none"/>
            </w:rPr>
            <w:fldChar w:fldCharType="end"/>
          </w:r>
        </w:p>
      </w:sdtContent>
    </w:sdt>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491" w:lineRule="exact"/>
        <w:jc w:val="center"/>
        <w:rPr>
          <w:rFonts w:ascii="宋体" w:hAnsi="宋体" w:cs="宋体"/>
          <w:b/>
          <w:color w:val="auto"/>
          <w:sz w:val="43"/>
          <w:highlight w:val="none"/>
        </w:rPr>
      </w:pPr>
      <w:r>
        <w:rPr>
          <w:rFonts w:hint="eastAsia" w:ascii="宋体" w:hAnsi="宋体" w:cs="宋体"/>
          <w:b/>
          <w:color w:val="auto"/>
          <w:sz w:val="43"/>
          <w:highlight w:val="none"/>
        </w:rPr>
        <w:br w:type="page"/>
      </w:r>
    </w:p>
    <w:p>
      <w:pPr>
        <w:rPr>
          <w:rFonts w:ascii="宋体" w:hAnsi="宋体" w:cs="宋体"/>
          <w:color w:val="auto"/>
          <w:highlight w:val="none"/>
        </w:rPr>
      </w:pPr>
      <w:bookmarkStart w:id="1" w:name="_Toc29350"/>
      <w:bookmarkStart w:id="2" w:name="_Toc193363135"/>
      <w:bookmarkStart w:id="3" w:name="_Toc530728898"/>
      <w:bookmarkStart w:id="4" w:name="_Toc25231_WPSOffice_Level1"/>
      <w:bookmarkStart w:id="5" w:name="_Toc19829_WPSOffice_Level1"/>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3"/>
        <w:jc w:val="center"/>
        <w:rPr>
          <w:rFonts w:ascii="宋体" w:hAnsi="宋体" w:cs="宋体"/>
          <w:color w:val="auto"/>
          <w:highlight w:val="none"/>
        </w:rPr>
      </w:pPr>
      <w:bookmarkStart w:id="6" w:name="_Toc196159253"/>
      <w:r>
        <w:rPr>
          <w:rFonts w:hint="eastAsia" w:ascii="宋体" w:hAnsi="宋体" w:cs="宋体"/>
          <w:color w:val="auto"/>
          <w:highlight w:val="none"/>
        </w:rPr>
        <w:t>第一卷</w:t>
      </w:r>
      <w:bookmarkEnd w:id="6"/>
    </w:p>
    <w:p>
      <w:pPr>
        <w:widowControl/>
        <w:jc w:val="left"/>
        <w:rPr>
          <w:rFonts w:ascii="宋体" w:hAnsi="宋体" w:cs="宋体"/>
          <w:b/>
          <w:bCs/>
          <w:color w:val="auto"/>
          <w:kern w:val="44"/>
          <w:sz w:val="44"/>
          <w:szCs w:val="44"/>
          <w:highlight w:val="none"/>
        </w:rPr>
      </w:pPr>
      <w:r>
        <w:rPr>
          <w:rFonts w:ascii="宋体" w:hAnsi="宋体" w:cs="宋体"/>
          <w:color w:val="auto"/>
          <w:highlight w:val="none"/>
        </w:rPr>
        <w:br w:type="page"/>
      </w:r>
    </w:p>
    <w:p>
      <w:pPr>
        <w:rPr>
          <w:rFonts w:ascii="宋体" w:hAnsi="宋体" w:cs="宋体"/>
          <w:color w:val="auto"/>
          <w:highlight w:val="none"/>
        </w:rPr>
      </w:pPr>
    </w:p>
    <w:p>
      <w:pPr>
        <w:pStyle w:val="4"/>
        <w:jc w:val="center"/>
        <w:rPr>
          <w:rFonts w:ascii="宋体" w:hAnsi="宋体" w:eastAsia="宋体" w:cs="宋体"/>
          <w:color w:val="auto"/>
          <w:highlight w:val="none"/>
        </w:rPr>
      </w:pPr>
      <w:bookmarkStart w:id="7" w:name="_Toc196159254"/>
      <w:r>
        <w:rPr>
          <w:rFonts w:hint="eastAsia" w:ascii="宋体" w:hAnsi="宋体" w:eastAsia="宋体" w:cs="宋体"/>
          <w:color w:val="auto"/>
          <w:highlight w:val="none"/>
        </w:rPr>
        <w:t>第一章 投标人须知</w:t>
      </w:r>
      <w:bookmarkEnd w:id="1"/>
      <w:bookmarkEnd w:id="2"/>
      <w:bookmarkEnd w:id="3"/>
      <w:bookmarkEnd w:id="4"/>
      <w:bookmarkEnd w:id="5"/>
      <w:bookmarkEnd w:id="7"/>
    </w:p>
    <w:p>
      <w:pPr>
        <w:spacing w:line="201" w:lineRule="exact"/>
        <w:rPr>
          <w:rFonts w:ascii="宋体" w:hAnsi="宋体" w:cs="宋体"/>
          <w:color w:val="auto"/>
          <w:highlight w:val="none"/>
        </w:rPr>
      </w:pPr>
    </w:p>
    <w:p>
      <w:pPr>
        <w:keepNext/>
        <w:keepLines/>
        <w:jc w:val="center"/>
        <w:outlineLvl w:val="2"/>
        <w:rPr>
          <w:rFonts w:ascii="宋体" w:hAnsi="宋体" w:cs="宋体"/>
          <w:b/>
          <w:bCs/>
          <w:color w:val="auto"/>
          <w:sz w:val="28"/>
          <w:szCs w:val="32"/>
          <w:highlight w:val="none"/>
        </w:rPr>
      </w:pPr>
      <w:bookmarkStart w:id="8" w:name="_Toc32677"/>
      <w:bookmarkStart w:id="9" w:name="_Toc393961864"/>
      <w:bookmarkStart w:id="10" w:name="_Toc14233"/>
      <w:bookmarkStart w:id="11" w:name="_Toc7336"/>
      <w:bookmarkStart w:id="12" w:name="_Toc514170120"/>
      <w:bookmarkStart w:id="13" w:name="_Toc27563_WPSOffice_Level2"/>
      <w:bookmarkStart w:id="14" w:name="_Toc12460"/>
      <w:bookmarkStart w:id="15" w:name="_Toc2375"/>
      <w:bookmarkStart w:id="16" w:name="_Toc24793"/>
      <w:bookmarkStart w:id="17" w:name="_Toc530728901"/>
      <w:r>
        <w:rPr>
          <w:rFonts w:hint="eastAsia" w:ascii="宋体" w:hAnsi="宋体" w:cs="宋体"/>
          <w:b/>
          <w:bCs/>
          <w:color w:val="auto"/>
          <w:sz w:val="28"/>
          <w:szCs w:val="32"/>
          <w:highlight w:val="none"/>
        </w:rPr>
        <w:t>投标人须知前附表</w:t>
      </w:r>
      <w:bookmarkEnd w:id="8"/>
      <w:bookmarkEnd w:id="9"/>
      <w:bookmarkEnd w:id="10"/>
      <w:bookmarkEnd w:id="11"/>
      <w:bookmarkEnd w:id="12"/>
      <w:bookmarkEnd w:id="13"/>
      <w:bookmarkEnd w:id="14"/>
      <w:bookmarkEnd w:id="15"/>
      <w:bookmarkEnd w:id="16"/>
    </w:p>
    <w:tbl>
      <w:tblPr>
        <w:tblStyle w:val="38"/>
        <w:tblW w:w="9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31"/>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条款号</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条  款  名  称</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招标人</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u w:val="singl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第十五届全国运动会和全国第十二届残疾人运动会暨第九届特殊奥林匹克运动会广州赛区执行委员会</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详见资格预审公告</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详见资格预审公告</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电话：</w:t>
            </w:r>
            <w:r>
              <w:rPr>
                <w:rFonts w:hint="default" w:ascii="宋体" w:hAnsi="宋体" w:cs="宋体"/>
                <w:color w:val="auto"/>
                <w:kern w:val="0"/>
                <w:sz w:val="24"/>
                <w:szCs w:val="24"/>
                <w:highlight w:val="none"/>
                <w:u w:val="single"/>
              </w:rPr>
              <w:t xml:space="preserve"> </w:t>
            </w:r>
            <w:r>
              <w:rPr>
                <w:rFonts w:hint="eastAsia" w:ascii="宋体" w:hAnsi="宋体" w:cs="宋体"/>
                <w:color w:val="auto"/>
                <w:sz w:val="24"/>
                <w:highlight w:val="none"/>
                <w:u w:val="single"/>
              </w:rPr>
              <w:t>详见资格预审公告</w:t>
            </w:r>
            <w:r>
              <w:rPr>
                <w:rFonts w:hint="default" w:ascii="宋体" w:hAnsi="宋体" w:cs="宋体"/>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广州市政府采购中心</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广州市天河区天润路</w:t>
            </w:r>
            <w:r>
              <w:rPr>
                <w:rFonts w:hint="default" w:ascii="宋体" w:hAnsi="宋体" w:cs="宋体"/>
                <w:color w:val="auto"/>
                <w:sz w:val="24"/>
                <w:highlight w:val="none"/>
                <w:u w:val="single"/>
              </w:rPr>
              <w:t>445号</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孔仕丰、邹小红</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电话：</w:t>
            </w:r>
            <w:r>
              <w:rPr>
                <w:rFonts w:hint="default" w:ascii="宋体" w:hAnsi="宋体" w:cs="宋体"/>
                <w:color w:val="auto"/>
                <w:kern w:val="0"/>
                <w:sz w:val="24"/>
                <w:szCs w:val="24"/>
                <w:highlight w:val="none"/>
                <w:u w:val="single"/>
              </w:rPr>
              <w:t>020-28866112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1.1.4</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十五运会和残特奥会开幕式供电保障服务项目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1.1.5</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1.1.6</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1.1.7</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项目实施预计开始日期和服务期限</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1.1.8</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bookmarkStart w:id="18" w:name="OLE_LINK5"/>
            <w:r>
              <w:rPr>
                <w:rFonts w:hint="eastAsia" w:ascii="宋体" w:hAnsi="宋体" w:cs="宋体"/>
                <w:color w:val="auto"/>
                <w:sz w:val="24"/>
                <w:szCs w:val="24"/>
                <w:highlight w:val="none"/>
              </w:rPr>
              <w:t>项目投资</w:t>
            </w:r>
            <w:bookmarkEnd w:id="18"/>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1.2.1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1.2.2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1.3.1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1.3.2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1.3.3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质量控制目标：一次竣工验收合格，且达到供电局及相关管理部门验收。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1.4.1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（1）资质要求：</w:t>
            </w:r>
            <w:r>
              <w:rPr>
                <w:rFonts w:hint="eastAsia" w:ascii="宋体" w:hAnsi="宋体" w:cs="宋体"/>
                <w:color w:val="auto"/>
                <w:sz w:val="24"/>
                <w:szCs w:val="24"/>
                <w:highlight w:val="none"/>
                <w:u w:val="single"/>
              </w:rPr>
              <w:t>见资格预审公告投标人资格要求</w:t>
            </w:r>
            <w:r>
              <w:rPr>
                <w:rFonts w:hint="eastAsia" w:ascii="宋体" w:hAnsi="宋体" w:cs="宋体"/>
                <w:color w:val="auto"/>
                <w:sz w:val="24"/>
                <w:szCs w:val="24"/>
                <w:highlight w:val="none"/>
              </w:rPr>
              <w:t>。</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rPr>
              <w:t>见资格预审公告投标人资格要求。</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（4）信誉要求：</w:t>
            </w:r>
            <w:r>
              <w:rPr>
                <w:rFonts w:hint="eastAsia" w:ascii="宋体" w:hAnsi="宋体" w:cs="宋体"/>
                <w:color w:val="auto"/>
                <w:sz w:val="24"/>
                <w:szCs w:val="24"/>
                <w:highlight w:val="none"/>
                <w:u w:val="single"/>
              </w:rPr>
              <w:t>/</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u w:val="single"/>
              </w:rPr>
            </w:pPr>
            <w:r>
              <w:rPr>
                <w:rFonts w:hint="eastAsia" w:ascii="宋体" w:hAnsi="宋体" w:cs="宋体"/>
                <w:color w:val="auto"/>
                <w:sz w:val="24"/>
                <w:szCs w:val="24"/>
                <w:highlight w:val="none"/>
              </w:rPr>
              <w:t>（5）项目负责人的资格要求：</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pPr>
              <w:keepNext w:val="0"/>
              <w:keepLines w:val="0"/>
              <w:suppressLineNumbers w:val="0"/>
              <w:spacing w:before="0" w:beforeAutospacing="0" w:after="0" w:afterAutospacing="0" w:line="288"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见资格预审公告投标人资格要求。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1.4.2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是否接受</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 不接受</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 接受，应满足下列要求：详见</w:t>
            </w:r>
            <w:bookmarkStart w:id="19" w:name="OLE_LINK7"/>
            <w:r>
              <w:rPr>
                <w:rFonts w:hint="eastAsia" w:ascii="宋体" w:hAnsi="宋体" w:cs="宋体"/>
                <w:color w:val="auto"/>
                <w:sz w:val="24"/>
                <w:szCs w:val="24"/>
                <w:highlight w:val="none"/>
              </w:rPr>
              <w:t>资格预审公告</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1.4.3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投标人不得存在的</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其他情形</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 xml:space="preserve">1.5 </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费用承担</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修改：</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keepNext w:val="0"/>
              <w:keepLines w:val="0"/>
              <w:numPr>
                <w:ilvl w:val="255"/>
                <w:numId w:val="0"/>
              </w:numPr>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1.中标人向广州交易集团有限公司自行支付公共资源交易服务费，收费标准及结算账户详见广州交易集团有限公司官网通知“关于公共资源交易服务费标准及相关指引的说明”。</w:t>
            </w:r>
          </w:p>
          <w:p>
            <w:pPr>
              <w:pStyle w:val="20"/>
              <w:keepNext w:val="0"/>
              <w:keepLines w:val="0"/>
              <w:suppressLineNumbers w:val="0"/>
              <w:spacing w:before="0" w:beforeAutospacing="0" w:after="0" w:afterAutospacing="0"/>
              <w:ind w:left="0" w:right="0"/>
              <w:rPr>
                <w:rFonts w:hint="default" w:hAnsi="宋体" w:cs="宋体"/>
                <w:color w:val="auto"/>
                <w:kern w:val="2"/>
                <w:sz w:val="24"/>
                <w:szCs w:val="24"/>
                <w:highlight w:val="none"/>
              </w:rPr>
            </w:pPr>
            <w:r>
              <w:rPr>
                <w:rFonts w:hint="default" w:hAnsi="宋体" w:cs="宋体"/>
                <w:color w:val="auto"/>
                <w:kern w:val="2"/>
                <w:sz w:val="24"/>
                <w:szCs w:val="24"/>
                <w:highlight w:val="none"/>
              </w:rPr>
              <w:t>2.</w:t>
            </w:r>
            <w:r>
              <w:rPr>
                <w:rFonts w:hint="eastAsia" w:hAnsi="宋体" w:cs="宋体"/>
                <w:color w:val="auto"/>
                <w:kern w:val="2"/>
                <w:sz w:val="24"/>
                <w:szCs w:val="24"/>
                <w:highlight w:val="none"/>
              </w:rPr>
              <w:t xml:space="preserve"> 中标人向广州市政府采购中心自行支付公共资源交易服务费（招标代理服务费），以中标金额按差额定率累进法计算，收费标准详见：</w:t>
            </w:r>
            <w:r>
              <w:rPr>
                <w:rFonts w:hint="default"/>
                <w:color w:val="auto"/>
                <w:highlight w:val="none"/>
              </w:rPr>
              <w:fldChar w:fldCharType="begin"/>
            </w:r>
            <w:r>
              <w:rPr>
                <w:rFonts w:hint="default"/>
                <w:color w:val="auto"/>
                <w:highlight w:val="none"/>
              </w:rPr>
              <w:instrText xml:space="preserve"> HYPERLINK "https://www.gzggzy.cn/jtgg/874864.jhtml" </w:instrText>
            </w:r>
            <w:r>
              <w:rPr>
                <w:rFonts w:hint="default"/>
                <w:color w:val="auto"/>
                <w:highlight w:val="none"/>
              </w:rPr>
              <w:fldChar w:fldCharType="separate"/>
            </w:r>
            <w:r>
              <w:rPr>
                <w:rFonts w:hint="default" w:hAnsi="宋体" w:cs="宋体"/>
                <w:color w:val="auto"/>
                <w:kern w:val="2"/>
                <w:sz w:val="24"/>
                <w:szCs w:val="24"/>
                <w:highlight w:val="none"/>
              </w:rPr>
              <w:t>https://www.gzggzy.cn/jtgg/874864.jhtml</w:t>
            </w:r>
            <w:r>
              <w:rPr>
                <w:rFonts w:hint="default" w:hAnsi="宋体" w:cs="宋体"/>
                <w:color w:val="auto"/>
                <w:kern w:val="2"/>
                <w:sz w:val="24"/>
                <w:szCs w:val="24"/>
                <w:highlight w:val="none"/>
              </w:rPr>
              <w:fldChar w:fldCharType="end"/>
            </w:r>
            <w:r>
              <w:rPr>
                <w:rFonts w:hint="default" w:hAnsi="宋体" w:cs="宋体"/>
                <w:color w:val="auto"/>
                <w:kern w:val="2"/>
                <w:sz w:val="24"/>
                <w:szCs w:val="24"/>
                <w:highlight w:val="none"/>
              </w:rPr>
              <w:t>。本项目属性为服务类。</w:t>
            </w:r>
          </w:p>
          <w:p>
            <w:pPr>
              <w:pStyle w:val="20"/>
              <w:keepNext w:val="0"/>
              <w:keepLines w:val="0"/>
              <w:suppressLineNumbers w:val="0"/>
              <w:spacing w:before="0" w:beforeAutospacing="0" w:after="0" w:afterAutospacing="0"/>
              <w:ind w:left="0" w:right="0"/>
              <w:rPr>
                <w:rFonts w:hint="default" w:hAnsi="宋体" w:cs="宋体"/>
                <w:color w:val="auto"/>
                <w:kern w:val="2"/>
                <w:sz w:val="24"/>
                <w:szCs w:val="24"/>
                <w:highlight w:val="none"/>
              </w:rPr>
            </w:pPr>
            <w:r>
              <w:rPr>
                <w:rFonts w:hint="eastAsia" w:hAnsi="宋体" w:cs="宋体"/>
                <w:color w:val="auto"/>
                <w:kern w:val="2"/>
                <w:sz w:val="24"/>
                <w:szCs w:val="24"/>
                <w:highlight w:val="none"/>
              </w:rPr>
              <w:t>广州市政府采购中心结算账户：</w:t>
            </w:r>
          </w:p>
          <w:p>
            <w:pPr>
              <w:pStyle w:val="20"/>
              <w:keepNext w:val="0"/>
              <w:keepLines w:val="0"/>
              <w:suppressLineNumbers w:val="0"/>
              <w:spacing w:before="0" w:beforeAutospacing="0" w:after="0" w:afterAutospacing="0"/>
              <w:ind w:left="0" w:right="0"/>
              <w:rPr>
                <w:rFonts w:hint="default" w:hAnsi="宋体" w:cs="宋体"/>
                <w:color w:val="auto"/>
                <w:kern w:val="2"/>
                <w:sz w:val="24"/>
                <w:szCs w:val="24"/>
                <w:highlight w:val="none"/>
              </w:rPr>
            </w:pPr>
            <w:r>
              <w:rPr>
                <w:rFonts w:hint="eastAsia" w:hAnsi="宋体" w:cs="宋体"/>
                <w:color w:val="auto"/>
                <w:kern w:val="2"/>
                <w:sz w:val="24"/>
                <w:szCs w:val="24"/>
                <w:highlight w:val="none"/>
              </w:rPr>
              <w:t>收款单位：广州市政府采购中心</w:t>
            </w:r>
          </w:p>
          <w:p>
            <w:pPr>
              <w:pStyle w:val="20"/>
              <w:keepNext w:val="0"/>
              <w:keepLines w:val="0"/>
              <w:suppressLineNumbers w:val="0"/>
              <w:spacing w:before="0" w:beforeAutospacing="0" w:after="0" w:afterAutospacing="0"/>
              <w:ind w:left="0" w:right="0"/>
              <w:rPr>
                <w:rFonts w:hint="default" w:hAnsi="宋体" w:cs="宋体"/>
                <w:color w:val="auto"/>
                <w:kern w:val="2"/>
                <w:sz w:val="24"/>
                <w:szCs w:val="24"/>
                <w:highlight w:val="none"/>
              </w:rPr>
            </w:pPr>
            <w:r>
              <w:rPr>
                <w:rFonts w:hint="eastAsia" w:hAnsi="宋体" w:cs="宋体"/>
                <w:color w:val="auto"/>
                <w:kern w:val="2"/>
                <w:sz w:val="24"/>
                <w:szCs w:val="24"/>
                <w:highlight w:val="none"/>
              </w:rPr>
              <w:t>开户行:中国建设银行广州天润路支行</w:t>
            </w:r>
          </w:p>
          <w:p>
            <w:pPr>
              <w:pStyle w:val="20"/>
              <w:keepNext w:val="0"/>
              <w:keepLines w:val="0"/>
              <w:suppressLineNumbers w:val="0"/>
              <w:spacing w:before="0" w:beforeAutospacing="0" w:after="0" w:afterAutospacing="0"/>
              <w:ind w:left="0" w:right="0"/>
              <w:rPr>
                <w:rFonts w:hint="default"/>
                <w:color w:val="auto"/>
                <w:highlight w:val="none"/>
              </w:rPr>
            </w:pPr>
            <w:r>
              <w:rPr>
                <w:rFonts w:hint="eastAsia" w:hAnsi="宋体" w:cs="宋体"/>
                <w:color w:val="auto"/>
                <w:kern w:val="2"/>
                <w:sz w:val="24"/>
                <w:szCs w:val="24"/>
                <w:highlight w:val="none"/>
              </w:rPr>
              <w:t>银行账号：44050158340409202288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1.9.1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1.10.1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1.10.2</w:t>
            </w:r>
          </w:p>
        </w:tc>
        <w:tc>
          <w:tcPr>
            <w:tcW w:w="253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p>
        </w:tc>
        <w:tc>
          <w:tcPr>
            <w:tcW w:w="253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1.10.3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招标文件澄清</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在广州交易集团有限公司（广州公共资源交易中心）网站“招标答疑”专区发布，一经在发布，视作已发放给所有投标人。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1.12.1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1.12.3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偏差</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构成招标文件的</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1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2.2.1</w:t>
            </w:r>
          </w:p>
        </w:tc>
        <w:tc>
          <w:tcPr>
            <w:tcW w:w="253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投标人要求澄清</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时间：在提交投标文件截止时间18天前提出。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p>
        </w:tc>
        <w:tc>
          <w:tcPr>
            <w:tcW w:w="253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形式：投标人疑问通过网上提交。具体操作方法详见最新相关指引。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2.2.2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招标文件澄清</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在广州交易集团有限公司（广州公共资源交易中心）网站通过项目“招标答疑”专区网上公开发布。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1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2.2.3</w:t>
            </w:r>
          </w:p>
        </w:tc>
        <w:tc>
          <w:tcPr>
            <w:tcW w:w="253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投标人确认收到</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招标文件澄清</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1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p>
        </w:tc>
        <w:tc>
          <w:tcPr>
            <w:tcW w:w="253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形式：招标文件澄清（招标答疑纪要）一经在广州交易集团有限公司（广州公共资源交易中心）网站发布，视作已发放给所有投标人。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2.3.1</w:t>
            </w:r>
          </w:p>
        </w:tc>
        <w:tc>
          <w:tcPr>
            <w:tcW w:w="253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招标文件修改</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发出的形式</w:t>
            </w:r>
          </w:p>
        </w:tc>
        <w:tc>
          <w:tcPr>
            <w:tcW w:w="58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2.3.2</w:t>
            </w:r>
          </w:p>
        </w:tc>
        <w:tc>
          <w:tcPr>
            <w:tcW w:w="253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投标人确认收到</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招标文件修改</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招标文件修改一经在广州交易集团有限公司（广州公共资源交易中心）网站发布，视作已发放给所有投标人，无需确认。潜在投标人应自行关注资审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3.1.1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构成投标文件的</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投标文件由技术部分和经济部分投标文件组成。</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注：以上资料格式见第五章投标文件格式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3.2.1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按国家规定的计税方法。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3.2.3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color w:val="auto"/>
                <w:sz w:val="24"/>
                <w:szCs w:val="24"/>
                <w:highlight w:val="none"/>
              </w:rPr>
            </w:pPr>
            <w:r>
              <w:rPr>
                <w:rFonts w:hint="eastAsia"/>
                <w:color w:val="auto"/>
                <w:sz w:val="24"/>
                <w:szCs w:val="24"/>
                <w:highlight w:val="none"/>
              </w:rPr>
              <w:t>本项目报价包括三部分：</w:t>
            </w:r>
          </w:p>
          <w:p>
            <w:pPr>
              <w:keepNext w:val="0"/>
              <w:keepLines w:val="0"/>
              <w:suppressLineNumbers w:val="0"/>
              <w:spacing w:before="0" w:beforeAutospacing="0" w:after="0" w:afterAutospacing="0" w:line="276" w:lineRule="auto"/>
              <w:ind w:left="0" w:right="0"/>
              <w:rPr>
                <w:rFonts w:hint="default" w:ascii="宋体" w:hAnsi="宋体"/>
                <w:color w:val="auto"/>
                <w:sz w:val="24"/>
                <w:szCs w:val="24"/>
                <w:highlight w:val="none"/>
                <w:u w:val="single"/>
              </w:rPr>
            </w:pPr>
            <w:r>
              <w:rPr>
                <w:rFonts w:hint="eastAsia"/>
                <w:color w:val="auto"/>
                <w:sz w:val="24"/>
                <w:szCs w:val="24"/>
                <w:highlight w:val="none"/>
              </w:rPr>
              <w:t>第一部分：</w:t>
            </w:r>
            <w:r>
              <w:rPr>
                <w:rFonts w:hint="eastAsia" w:ascii="宋体" w:hAnsi="宋体"/>
                <w:color w:val="auto"/>
                <w:sz w:val="24"/>
                <w:szCs w:val="24"/>
                <w:highlight w:val="none"/>
                <w:u w:val="single"/>
              </w:rPr>
              <w:t>电网工程及所有配电设施建设部分报价，按招标文件工程量清单进行报价，报价合价不超过该部分最高投标限价；</w:t>
            </w:r>
          </w:p>
          <w:p>
            <w:pPr>
              <w:keepNext w:val="0"/>
              <w:keepLines w:val="0"/>
              <w:suppressLineNumbers w:val="0"/>
              <w:spacing w:before="0" w:beforeAutospacing="0" w:after="0" w:afterAutospacing="0" w:line="276" w:lineRule="auto"/>
              <w:ind w:left="0" w:right="0"/>
              <w:rPr>
                <w:rFonts w:hint="default" w:ascii="宋体" w:hAnsi="宋体"/>
                <w:color w:val="auto"/>
                <w:sz w:val="24"/>
                <w:szCs w:val="24"/>
                <w:highlight w:val="none"/>
                <w:u w:val="single"/>
              </w:rPr>
            </w:pPr>
            <w:r>
              <w:rPr>
                <w:rFonts w:hint="eastAsia" w:ascii="宋体" w:hAnsi="宋体"/>
                <w:color w:val="auto"/>
                <w:sz w:val="24"/>
                <w:szCs w:val="24"/>
                <w:highlight w:val="none"/>
                <w:u w:val="single"/>
              </w:rPr>
              <w:t>第二部分：耗材及设备租赁，按</w:t>
            </w:r>
            <w:r>
              <w:rPr>
                <w:rFonts w:hint="eastAsia" w:ascii="宋体" w:hAnsi="宋体"/>
                <w:color w:val="auto"/>
                <w:sz w:val="24"/>
                <w:szCs w:val="24"/>
                <w:highlight w:val="none"/>
                <w:u w:val="single"/>
                <w:lang w:eastAsia="zh-CN"/>
              </w:rPr>
              <w:t>租赁服务清单</w:t>
            </w:r>
            <w:r>
              <w:rPr>
                <w:rFonts w:hint="eastAsia" w:ascii="宋体" w:hAnsi="宋体"/>
                <w:color w:val="auto"/>
                <w:sz w:val="24"/>
                <w:szCs w:val="24"/>
                <w:highlight w:val="none"/>
                <w:u w:val="single"/>
              </w:rPr>
              <w:t>报价</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报价合价不超过该部分最高投标限价。</w:t>
            </w:r>
          </w:p>
          <w:p>
            <w:pPr>
              <w:keepNext w:val="0"/>
              <w:keepLines w:val="0"/>
              <w:suppressLineNumbers w:val="0"/>
              <w:spacing w:before="0" w:beforeAutospacing="0" w:after="0" w:afterAutospacing="0" w:line="276" w:lineRule="auto"/>
              <w:ind w:left="0" w:right="0"/>
              <w:rPr>
                <w:rFonts w:hint="default" w:ascii="宋体" w:hAnsi="宋体"/>
                <w:color w:val="auto"/>
                <w:sz w:val="24"/>
                <w:szCs w:val="24"/>
                <w:highlight w:val="none"/>
                <w:u w:val="single"/>
              </w:rPr>
            </w:pPr>
            <w:r>
              <w:rPr>
                <w:rFonts w:hint="eastAsia" w:ascii="宋体" w:hAnsi="宋体"/>
                <w:color w:val="auto"/>
                <w:sz w:val="24"/>
                <w:szCs w:val="24"/>
                <w:highlight w:val="none"/>
                <w:u w:val="single"/>
              </w:rPr>
              <w:t>两部分合价不超过最高限价总价。</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color w:val="auto"/>
                <w:sz w:val="24"/>
                <w:szCs w:val="24"/>
                <w:highlight w:val="none"/>
              </w:rPr>
              <w:t>合同价款根据招标文件合同约定的计价方式进行计价和结算。最终合同结算金额不超过中标金额。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3.2.4</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color w:val="auto"/>
                <w:highlight w:val="none"/>
              </w:rPr>
            </w:pPr>
            <w:r>
              <w:rPr>
                <w:rFonts w:hint="eastAsia" w:ascii="宋体" w:hAnsi="宋体" w:cs="宋体"/>
                <w:color w:val="auto"/>
                <w:sz w:val="24"/>
                <w:szCs w:val="24"/>
                <w:highlight w:val="none"/>
              </w:rPr>
              <w:t>本项目最高投标限价：</w:t>
            </w:r>
            <w:r>
              <w:rPr>
                <w:rFonts w:hint="eastAsia" w:ascii="宋体" w:hAnsi="宋体" w:eastAsia="宋体" w:cs="Times New Roman"/>
                <w:color w:val="auto"/>
                <w:kern w:val="2"/>
                <w:sz w:val="24"/>
                <w:szCs w:val="22"/>
                <w:highlight w:val="none"/>
                <w:u w:val="single"/>
                <w:lang w:val="en-US" w:eastAsia="zh-CN" w:bidi="ar"/>
              </w:rPr>
              <w:t xml:space="preserve"> </w:t>
            </w:r>
            <w:r>
              <w:rPr>
                <w:rFonts w:hint="eastAsia" w:ascii="宋体" w:hAnsi="宋体" w:cs="Times New Roman"/>
                <w:color w:val="auto"/>
                <w:kern w:val="2"/>
                <w:sz w:val="24"/>
                <w:szCs w:val="22"/>
                <w:highlight w:val="none"/>
                <w:u w:val="single"/>
                <w:lang w:val="en-US" w:eastAsia="zh-CN" w:bidi="ar"/>
              </w:rPr>
              <w:t>9100</w:t>
            </w:r>
            <w:r>
              <w:rPr>
                <w:rFonts w:hint="eastAsia" w:ascii="宋体" w:hAnsi="宋体" w:eastAsia="宋体" w:cs="Times New Roman"/>
                <w:color w:val="auto"/>
                <w:kern w:val="2"/>
                <w:sz w:val="24"/>
                <w:szCs w:val="22"/>
                <w:highlight w:val="none"/>
                <w:u w:val="single"/>
                <w:lang w:val="en-US" w:eastAsia="zh-CN" w:bidi="ar"/>
              </w:rPr>
              <w:t>万</w:t>
            </w:r>
            <w:r>
              <w:rPr>
                <w:rFonts w:hint="eastAsia" w:ascii="宋体" w:hAnsi="宋体" w:eastAsia="宋体" w:cs="Times New Roman"/>
                <w:color w:val="auto"/>
                <w:kern w:val="2"/>
                <w:sz w:val="24"/>
                <w:szCs w:val="22"/>
                <w:highlight w:val="none"/>
                <w:lang w:val="en-US" w:eastAsia="zh-CN" w:bidi="ar"/>
              </w:rPr>
              <w:t>元，其中</w:t>
            </w:r>
            <w:r>
              <w:rPr>
                <w:rFonts w:hint="eastAsia" w:ascii="宋体" w:hAnsi="宋体" w:eastAsia="宋体" w:cs="Times New Roman"/>
                <w:color w:val="auto"/>
                <w:kern w:val="2"/>
                <w:sz w:val="24"/>
                <w:szCs w:val="24"/>
                <w:highlight w:val="none"/>
                <w:u w:val="single"/>
                <w:lang w:val="en-US" w:eastAsia="zh-CN" w:bidi="ar"/>
              </w:rPr>
              <w:t>电网工程及所有配电设施建设部分最高限价2815元；</w:t>
            </w:r>
            <w:r>
              <w:rPr>
                <w:rFonts w:hint="eastAsia" w:ascii="宋体" w:hAnsi="宋体"/>
                <w:color w:val="auto"/>
                <w:sz w:val="24"/>
                <w:szCs w:val="24"/>
                <w:highlight w:val="none"/>
                <w:u w:val="single"/>
              </w:rPr>
              <w:t>耗材及设备租赁</w:t>
            </w:r>
            <w:r>
              <w:rPr>
                <w:rFonts w:hint="eastAsia" w:ascii="宋体" w:hAnsi="宋体"/>
                <w:color w:val="auto"/>
                <w:sz w:val="24"/>
                <w:szCs w:val="24"/>
                <w:highlight w:val="none"/>
                <w:u w:val="single"/>
                <w:lang w:val="en-US" w:eastAsia="zh-CN"/>
              </w:rPr>
              <w:t>部分</w:t>
            </w:r>
            <w:r>
              <w:rPr>
                <w:rFonts w:hint="eastAsia" w:ascii="宋体" w:hAnsi="宋体" w:eastAsia="宋体" w:cs="Times New Roman"/>
                <w:color w:val="auto"/>
                <w:kern w:val="2"/>
                <w:sz w:val="24"/>
                <w:szCs w:val="24"/>
                <w:highlight w:val="none"/>
                <w:u w:val="single"/>
                <w:lang w:val="en-US" w:eastAsia="zh-CN" w:bidi="ar"/>
              </w:rPr>
              <w:t>最高限价 5920元</w:t>
            </w:r>
            <w:r>
              <w:rPr>
                <w:rFonts w:hint="eastAsia" w:ascii="宋体" w:hAnsi="宋体"/>
                <w:color w:val="auto"/>
                <w:sz w:val="24"/>
                <w:szCs w:val="24"/>
                <w:highlight w:val="none"/>
                <w:u w:val="single"/>
              </w:rPr>
              <w:t xml:space="preserve"> </w:t>
            </w:r>
            <w:r>
              <w:rPr>
                <w:rFonts w:hint="default" w:ascii="宋体" w:hAnsi="宋体"/>
                <w:color w:val="auto"/>
                <w:sz w:val="24"/>
                <w:szCs w:val="24"/>
                <w:highlight w:val="none"/>
                <w:u w:val="single"/>
              </w:rPr>
              <w:t>。</w:t>
            </w:r>
            <w:r>
              <w:rPr>
                <w:rFonts w:hint="eastAsia" w:hAnsi="宋体" w:cs="宋体"/>
                <w:color w:val="auto"/>
                <w:sz w:val="24"/>
                <w:szCs w:val="24"/>
                <w:highlight w:val="none"/>
              </w:rPr>
              <w:t>超过最高投标限价的为无效标。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3.2.5</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投标人必须详细审阅全部招标文件，充分考虑职责和义务，全面地理解招标文件对投标报价的要求，并按招标人提出的条件及内容进行报价。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3.3.1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3.4.1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要求。本招标项目无需提交投标保证金，但本招标项目评标结束后，若第一中标候选人放弃中标资格，或中标人在经招标人确认中标结果后放弃中标资格，或无正当理由不与招标人签订合同，或在签订合同时向招标人提出附加条件或者更改合同实质性内容，或者拒不提交所要求的履约保证金的，招标人可取消其中标资格，并对其处以人民币</w:t>
            </w:r>
            <w:r>
              <w:rPr>
                <w:rFonts w:hint="default" w:ascii="宋体" w:hAnsi="宋体" w:cs="宋体"/>
                <w:color w:val="auto"/>
                <w:sz w:val="24"/>
                <w:szCs w:val="24"/>
                <w:highlight w:val="none"/>
              </w:rPr>
              <w:t>50万元的赔偿金。</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且招标人依法向行政监督部门投诉或追究中标人的其他法律责任。</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要求，投标保证金的形式：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3.4.4</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其他可以不予退还</w:t>
            </w:r>
          </w:p>
          <w:p>
            <w:pPr>
              <w:keepNext w:val="0"/>
              <w:keepLines w:val="0"/>
              <w:suppressLineNumbers w:val="0"/>
              <w:spacing w:before="0" w:beforeAutospacing="0" w:after="0" w:afterAutospacing="0" w:line="276" w:lineRule="auto"/>
              <w:ind w:left="0" w:right="0"/>
              <w:jc w:val="center"/>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投标保证金的情形</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因中标人原因未能在规定期限内签署合同协议。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资格审查资料的</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特殊要求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无</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基本情况表</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应附投标人营业执照（或副本）、投标人资质证书等材料的原件清晰扫描件。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近年财务状况的</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年份要求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在服务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承接</w:t>
            </w:r>
            <w:r>
              <w:rPr>
                <w:rFonts w:hint="eastAsia" w:ascii="宋体" w:hAnsi="宋体" w:cs="宋体"/>
                <w:color w:val="auto"/>
                <w:sz w:val="24"/>
                <w:szCs w:val="24"/>
                <w:highlight w:val="none"/>
              </w:rPr>
              <w:t>的项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情</w:t>
            </w:r>
            <w:r>
              <w:rPr>
                <w:rFonts w:hint="eastAsia" w:ascii="宋体" w:hAnsi="宋体" w:cs="宋体"/>
                <w:color w:val="auto"/>
                <w:spacing w:val="-2"/>
                <w:sz w:val="24"/>
                <w:szCs w:val="24"/>
                <w:highlight w:val="none"/>
              </w:rPr>
              <w:t>况</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详见资格预审公告“九、投标人合格条件”的要求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4</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5</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pacing w:val="-2"/>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员</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pacing w:val="-2"/>
                <w:sz w:val="24"/>
                <w:szCs w:val="24"/>
                <w:highlight w:val="none"/>
              </w:rPr>
              <w:t>汇总表</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strike/>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6</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入</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主</w:t>
            </w:r>
            <w:r>
              <w:rPr>
                <w:rFonts w:hint="eastAsia" w:ascii="宋体" w:hAnsi="宋体" w:cs="宋体"/>
                <w:color w:val="auto"/>
                <w:sz w:val="24"/>
                <w:szCs w:val="24"/>
                <w:highlight w:val="none"/>
              </w:rPr>
              <w:t>要试</w:t>
            </w:r>
            <w:r>
              <w:rPr>
                <w:rFonts w:hint="eastAsia" w:ascii="宋体" w:hAnsi="宋体" w:cs="宋体"/>
                <w:color w:val="auto"/>
                <w:spacing w:val="-2"/>
                <w:sz w:val="24"/>
                <w:szCs w:val="24"/>
                <w:highlight w:val="none"/>
              </w:rPr>
              <w:t>验</w:t>
            </w:r>
            <w:r>
              <w:rPr>
                <w:rFonts w:hint="eastAsia" w:ascii="宋体" w:hAnsi="宋体" w:cs="宋体"/>
                <w:color w:val="auto"/>
                <w:sz w:val="24"/>
                <w:szCs w:val="24"/>
                <w:highlight w:val="none"/>
              </w:rPr>
              <w:t>检</w:t>
            </w:r>
            <w:r>
              <w:rPr>
                <w:rFonts w:hint="eastAsia" w:ascii="宋体" w:hAnsi="宋体" w:cs="宋体"/>
                <w:color w:val="auto"/>
                <w:spacing w:val="-2"/>
                <w:sz w:val="24"/>
                <w:szCs w:val="24"/>
                <w:highlight w:val="none"/>
              </w:rPr>
              <w:t>测</w:t>
            </w:r>
            <w:r>
              <w:rPr>
                <w:rFonts w:hint="eastAsia" w:ascii="宋体" w:hAnsi="宋体" w:cs="宋体"/>
                <w:color w:val="auto"/>
                <w:sz w:val="24"/>
                <w:szCs w:val="24"/>
                <w:highlight w:val="none"/>
              </w:rPr>
              <w:t>仪</w:t>
            </w:r>
            <w:r>
              <w:rPr>
                <w:rFonts w:hint="eastAsia" w:ascii="宋体" w:hAnsi="宋体" w:cs="宋体"/>
                <w:color w:val="auto"/>
                <w:spacing w:val="-2"/>
                <w:sz w:val="24"/>
                <w:szCs w:val="24"/>
                <w:highlight w:val="none"/>
              </w:rPr>
              <w:t>器</w:t>
            </w:r>
            <w:r>
              <w:rPr>
                <w:rFonts w:hint="eastAsia" w:ascii="宋体" w:hAnsi="宋体" w:cs="宋体"/>
                <w:color w:val="auto"/>
                <w:sz w:val="24"/>
                <w:szCs w:val="24"/>
                <w:highlight w:val="none"/>
              </w:rPr>
              <w:t>设</w:t>
            </w:r>
            <w:r>
              <w:rPr>
                <w:rFonts w:hint="eastAsia" w:ascii="宋体" w:hAnsi="宋体" w:cs="宋体"/>
                <w:color w:val="auto"/>
                <w:spacing w:val="-2"/>
                <w:sz w:val="24"/>
                <w:szCs w:val="24"/>
                <w:highlight w:val="none"/>
              </w:rPr>
              <w:t>备表</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7</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关于联</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体</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3.5.</w:t>
            </w:r>
            <w:r>
              <w:rPr>
                <w:rFonts w:hint="default" w:ascii="宋体" w:hAnsi="宋体" w:cs="宋体"/>
                <w:color w:val="auto"/>
                <w:sz w:val="24"/>
                <w:szCs w:val="24"/>
                <w:highlight w:val="none"/>
              </w:rPr>
              <w:t>8</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投标人声明</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strike/>
                <w:color w:val="auto"/>
                <w:sz w:val="24"/>
                <w:szCs w:val="24"/>
                <w:highlight w:val="none"/>
              </w:rPr>
            </w:pPr>
            <w:r>
              <w:rPr>
                <w:rFonts w:hint="eastAsia" w:ascii="宋体" w:hAnsi="宋体" w:cs="宋体"/>
                <w:strike/>
                <w:color w:val="auto"/>
                <w:sz w:val="24"/>
                <w:szCs w:val="24"/>
                <w:highlight w:val="none"/>
              </w:rPr>
              <w:t>新增：投标人出具按照招标文件要求的格式签署盖章的《投标人声明》（格式见招标公告附件一）。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3.6.1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是否允许递交</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不允许</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3.7.3</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 xml:space="preserve"> (B)</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投标文件所附证书</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证件要求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color w:val="auto"/>
                <w:sz w:val="24"/>
                <w:szCs w:val="24"/>
                <w:highlight w:val="none"/>
              </w:rPr>
              <w:t>证书证件需为原件清晰彩色扫描件，并采用单位数字证书，按照招标文件要求在相应位置加盖电子印章。</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b/>
                <w:color w:val="auto"/>
                <w:sz w:val="24"/>
                <w:szCs w:val="24"/>
                <w:highlight w:val="none"/>
              </w:rPr>
              <w:t>相关操作详见广州公共资源交易中心网站最新发布的最新相关指引。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3.7.3 (B)</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（新增）</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交易集团有限公司（广州公共资源交易中心）网站发布的最新相关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4.1.1</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（A）</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4.1.1</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(B)</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网上递交的电子投标文件须进行加密。</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b/>
                <w:color w:val="auto"/>
                <w:sz w:val="24"/>
                <w:szCs w:val="24"/>
                <w:highlight w:val="none"/>
              </w:rPr>
              <w:t>具体操作详见广州交易集团有限公司（广州公共资源交易中心）网站最新发布的最新相关指引。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4.1.2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4.2.1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4.2.3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否</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5.1（B）</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（新增）</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1、开标开始时间：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广州交易集团有限公司（广州公共资源交易中心）网站</w:t>
            </w:r>
            <w:r>
              <w:rPr>
                <w:rFonts w:hint="eastAsia" w:ascii="宋体" w:hAnsi="宋体" w:cs="宋体"/>
                <w:b/>
                <w:color w:val="auto"/>
                <w:kern w:val="0"/>
                <w:szCs w:val="21"/>
                <w:highlight w:val="none"/>
                <w:lang w:bidi="ar"/>
              </w:rPr>
              <w:t>。</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pPr>
              <w:keepNext w:val="0"/>
              <w:keepLines w:val="0"/>
              <w:widowControl/>
              <w:suppressLineNumbers w:val="0"/>
              <w:spacing w:before="0" w:beforeAutospacing="0" w:after="0" w:afterAutospacing="0"/>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lang w:bidi="ar"/>
              </w:rPr>
              <w:t>2、递交投标文件备用光盘时间：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分至</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   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分；递交地点：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。(建议安排在投标文件截止时间前15分钟至投标文件截止时间）</w:t>
            </w:r>
          </w:p>
          <w:p>
            <w:pPr>
              <w:keepNext w:val="0"/>
              <w:keepLines w:val="0"/>
              <w:suppressLineNumbers w:val="0"/>
              <w:spacing w:before="0" w:beforeAutospacing="0" w:after="0" w:afterAutospacing="0" w:line="276" w:lineRule="auto"/>
              <w:ind w:left="0" w:right="0"/>
              <w:rPr>
                <w:rFonts w:hint="default"/>
                <w:color w:val="auto"/>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b/>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5.2（5）（A）</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5.2（B）</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（新增）</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（1）宣布开标纪律；</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（2）投标人通过电子招标投标交易平台对已递交的电子投标文件进行解密，公布招标项目名称、投标人名称、投标报价、服务期限及其他内容，并记录在案；</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（4）公布在投标截止时间前递交投标文件的投标人名称；</w:t>
            </w:r>
            <w:r>
              <w:rPr>
                <w:rFonts w:hint="default" w:ascii="宋体" w:hAnsi="宋体" w:cs="宋体"/>
                <w:color w:val="auto"/>
                <w:sz w:val="24"/>
                <w:szCs w:val="24"/>
                <w:highlight w:val="none"/>
              </w:rPr>
              <w:t xml:space="preserve"> </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r>
              <w:rPr>
                <w:rFonts w:hint="default" w:ascii="宋体" w:hAnsi="宋体" w:cs="宋体"/>
                <w:color w:val="auto"/>
                <w:sz w:val="24"/>
                <w:szCs w:val="24"/>
                <w:highlight w:val="none"/>
              </w:rPr>
              <w:t>5</w:t>
            </w:r>
            <w:r>
              <w:rPr>
                <w:rFonts w:hint="eastAsia" w:ascii="宋体" w:hAnsi="宋体" w:cs="宋体"/>
                <w:color w:val="auto"/>
                <w:sz w:val="24"/>
                <w:szCs w:val="24"/>
                <w:highlight w:val="none"/>
              </w:rPr>
              <w:t>）投标文件解密；</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w:t>
            </w:r>
            <w:r>
              <w:rPr>
                <w:rFonts w:hint="default" w:ascii="宋体" w:hAnsi="宋体" w:cs="宋体"/>
                <w:color w:val="auto"/>
                <w:sz w:val="24"/>
                <w:szCs w:val="24"/>
                <w:highlight w:val="none"/>
              </w:rPr>
              <w:t>6</w:t>
            </w:r>
            <w:r>
              <w:rPr>
                <w:rFonts w:hint="eastAsia" w:ascii="宋体" w:hAnsi="宋体" w:cs="宋体"/>
                <w:color w:val="auto"/>
                <w:sz w:val="24"/>
                <w:szCs w:val="24"/>
                <w:highlight w:val="none"/>
              </w:rPr>
              <w:t>）开标结束。</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其投标文件。因投标人原因造成投标文件未解密的或未在投标截止时间后一个小时解密的，视为撤销其投标文件。</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6.1.1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由招标人依法组建评标委员会。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6.3.2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评标委员会推荐</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中标候选人的人数</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推荐的中标候选人数：</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7.1</w:t>
            </w:r>
          </w:p>
        </w:tc>
        <w:tc>
          <w:tcPr>
            <w:tcW w:w="253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中标候选人</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公示媒介及期限</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公示媒介：中国招标投标公共服务平台、广东省招标投标监管网、广州交易集团有限公司（广州公共资源交易中心）网站公示。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8"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p>
        </w:tc>
        <w:tc>
          <w:tcPr>
            <w:tcW w:w="2531"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公示期限：3日。</w:t>
            </w:r>
          </w:p>
          <w:p>
            <w:pPr>
              <w:keepNext w:val="0"/>
              <w:keepLines w:val="0"/>
              <w:suppressLineNumbers w:val="0"/>
              <w:spacing w:before="0" w:beforeAutospacing="0" w:after="0" w:afterAutospacing="0" w:line="276" w:lineRule="auto"/>
              <w:ind w:left="0" w:right="0"/>
              <w:rPr>
                <w:rFonts w:hint="default"/>
                <w:b/>
                <w:color w:val="auto"/>
                <w:highlight w:val="none"/>
                <w:u w:val="single"/>
              </w:rPr>
            </w:pPr>
            <w:r>
              <w:rPr>
                <w:rFonts w:hint="eastAsia" w:ascii="宋体" w:hAnsi="宋体" w:cs="宋体"/>
                <w:b/>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7.4</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□是</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7.6.1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要求，</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中标人提供的履约保函为中标价款的10%，</w:t>
            </w:r>
            <w:bookmarkStart w:id="20" w:name="OLE_LINK10"/>
            <w:r>
              <w:rPr>
                <w:rFonts w:hint="eastAsia" w:ascii="宋体" w:hAnsi="宋体" w:cs="宋体"/>
                <w:color w:val="auto"/>
                <w:sz w:val="24"/>
                <w:szCs w:val="24"/>
                <w:highlight w:val="none"/>
              </w:rPr>
              <w:t>中标人</w:t>
            </w:r>
            <w:bookmarkEnd w:id="20"/>
            <w:r>
              <w:rPr>
                <w:rFonts w:hint="eastAsia" w:ascii="宋体" w:hAnsi="宋体" w:cs="宋体"/>
                <w:color w:val="auto"/>
                <w:sz w:val="24"/>
                <w:szCs w:val="24"/>
                <w:highlight w:val="none"/>
              </w:rPr>
              <w:t>应在本合同签订后的5个工作日内，向招标人缴纳履约保证金。形式：详见合同约定。</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具体见合同相关条款。</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9</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否</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是，具体要求：</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1、具体操作详见广州交易集团有限公司（广州公共资源交易中心）网站最新发布的最新相关指引。</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2、现场提交投标文件光盘或U盘备用</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投标人将按最新相关指引的操作方法制作的非加密的电子投标文件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投标文件（光盘或U盘）无法读取或导入的，则视为未提交备用投标文件光盘或U盘。如果投标人没有按规定通过交易平台网上递交电子投标文件的，不再接受现场提交的光盘或U盘。</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3、补救方案</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在规定时间内，因投标人之外原因导致的电子投标文件解密失败，在开标现场读取光盘或U盘内容，继续开标程序。评标委员会对其投标文件的评审以光盘或U盘内容为准。</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pPr>
              <w:keepNext w:val="0"/>
              <w:keepLines w:val="0"/>
              <w:suppressLineNumbers w:val="0"/>
              <w:spacing w:before="0" w:beforeAutospacing="0" w:after="0" w:afterAutospacing="0"/>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若遇不可抗力发生（如：网络瘫痪、服务器损坏、交易系统故障短期无法恢复等因素），由评标委员会开启现场递交的全部投标文件光盘或U盘，并按光盘或U盘内容进行评审。</w:t>
            </w:r>
          </w:p>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10</w:t>
            </w:r>
          </w:p>
        </w:tc>
        <w:tc>
          <w:tcPr>
            <w:tcW w:w="8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10.1</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kern w:val="0"/>
                <w:sz w:val="24"/>
                <w:szCs w:val="24"/>
                <w:highlight w:val="none"/>
              </w:rPr>
            </w:pPr>
            <w:r>
              <w:rPr>
                <w:rFonts w:hint="eastAsia" w:ascii="宋体" w:hAnsi="宋体" w:cs="宋体"/>
                <w:color w:val="auto"/>
                <w:sz w:val="24"/>
                <w:szCs w:val="24"/>
                <w:highlight w:val="none"/>
              </w:rPr>
              <w:t>资格审查方式</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kern w:val="0"/>
                <w:sz w:val="24"/>
                <w:szCs w:val="24"/>
                <w:highlight w:val="none"/>
              </w:rPr>
              <w:t>本项目采用资格预审方式，满足资格审查合格条件（见资格预审公告投标人资格要求）或通过初步评审的投标申请人不足3名时为招标失败。招标人分析招标失败原因，修正招标方案，重新组织招标。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10.</w:t>
            </w:r>
            <w:r>
              <w:rPr>
                <w:rFonts w:hint="default" w:ascii="宋体" w:hAnsi="宋体" w:cs="宋体"/>
                <w:color w:val="auto"/>
                <w:sz w:val="24"/>
                <w:szCs w:val="24"/>
                <w:highlight w:val="none"/>
              </w:rPr>
              <w:t>2</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招标人拒绝接收</w:t>
            </w:r>
          </w:p>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其投标文件情况</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1、在投标截止期后逾期上传递交电子投标文件的；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10.</w:t>
            </w:r>
            <w:r>
              <w:rPr>
                <w:rFonts w:hint="default" w:ascii="宋体" w:hAnsi="宋体" w:cs="宋体"/>
                <w:color w:val="auto"/>
                <w:sz w:val="24"/>
                <w:szCs w:val="24"/>
                <w:highlight w:val="none"/>
              </w:rPr>
              <w:t>3</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其他</w:t>
            </w:r>
          </w:p>
        </w:tc>
        <w:tc>
          <w:tcPr>
            <w:tcW w:w="58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进入第二阶段评审的家数：</w:t>
            </w:r>
          </w:p>
          <w:p>
            <w:pPr>
              <w:keepNext w:val="0"/>
              <w:keepLines w:val="0"/>
              <w:suppressLineNumbers w:val="0"/>
              <w:spacing w:before="0" w:beforeAutospacing="0" w:after="0" w:afterAutospacing="0"/>
              <w:ind w:left="0" w:right="0"/>
              <w:rPr>
                <w:rFonts w:hint="default" w:ascii="宋体" w:hAnsi="宋体"/>
                <w:color w:val="auto"/>
                <w:sz w:val="24"/>
                <w:szCs w:val="24"/>
                <w:highlight w:val="none"/>
                <w:u w:val="single"/>
              </w:rPr>
            </w:pPr>
            <w:r>
              <w:rPr>
                <w:rFonts w:hint="default" w:ascii="宋体" w:hAnsi="宋体"/>
                <w:color w:val="auto"/>
                <w:sz w:val="24"/>
                <w:szCs w:val="24"/>
                <w:highlight w:val="none"/>
                <w:u w:val="single"/>
              </w:rPr>
              <w:fldChar w:fldCharType="begin"/>
            </w:r>
            <w:r>
              <w:rPr>
                <w:rFonts w:hint="default" w:ascii="宋体" w:hAnsi="宋体"/>
                <w:color w:val="auto"/>
                <w:sz w:val="24"/>
                <w:szCs w:val="24"/>
                <w:highlight w:val="none"/>
                <w:u w:val="single"/>
              </w:rPr>
              <w:instrText xml:space="preserve"> = 1 \* GB3 </w:instrText>
            </w:r>
            <w:r>
              <w:rPr>
                <w:rFonts w:hint="default" w:ascii="宋体" w:hAnsi="宋体"/>
                <w:color w:val="auto"/>
                <w:sz w:val="24"/>
                <w:szCs w:val="24"/>
                <w:highlight w:val="none"/>
                <w:u w:val="single"/>
              </w:rPr>
              <w:fldChar w:fldCharType="separate"/>
            </w:r>
            <w:r>
              <w:rPr>
                <w:rFonts w:hint="eastAsia" w:ascii="宋体" w:hAnsi="宋体"/>
                <w:color w:val="auto"/>
                <w:sz w:val="24"/>
                <w:szCs w:val="24"/>
                <w:highlight w:val="none"/>
                <w:u w:val="single"/>
              </w:rPr>
              <w:t>①</w:t>
            </w:r>
            <w:r>
              <w:rPr>
                <w:rFonts w:hint="default" w:ascii="宋体" w:hAnsi="宋体"/>
                <w:color w:val="auto"/>
                <w:sz w:val="24"/>
                <w:szCs w:val="24"/>
                <w:highlight w:val="none"/>
                <w:u w:val="single"/>
              </w:rPr>
              <w:fldChar w:fldCharType="end"/>
            </w:r>
            <w:r>
              <w:rPr>
                <w:rFonts w:hint="eastAsia" w:ascii="宋体" w:hAnsi="宋体"/>
                <w:color w:val="auto"/>
                <w:sz w:val="24"/>
                <w:szCs w:val="24"/>
                <w:highlight w:val="none"/>
                <w:u w:val="single"/>
              </w:rPr>
              <w:t>通过初步评审的投标人均进入第二阶段（适用于通过初步评审家数在</w:t>
            </w:r>
            <w:r>
              <w:rPr>
                <w:rFonts w:hint="default" w:ascii="宋体" w:hAnsi="宋体"/>
                <w:color w:val="auto"/>
                <w:sz w:val="24"/>
                <w:szCs w:val="24"/>
                <w:highlight w:val="none"/>
                <w:u w:val="single"/>
              </w:rPr>
              <w:t>[3,</w:t>
            </w:r>
            <w:r>
              <w:rPr>
                <w:rFonts w:hint="eastAsia" w:ascii="宋体" w:hAnsi="宋体"/>
                <w:color w:val="auto"/>
                <w:sz w:val="24"/>
                <w:szCs w:val="24"/>
                <w:highlight w:val="none"/>
                <w:u w:val="single"/>
              </w:rPr>
              <w:t>5</w:t>
            </w:r>
            <w:r>
              <w:rPr>
                <w:rFonts w:hint="default" w:ascii="宋体" w:hAnsi="宋体"/>
                <w:color w:val="auto"/>
                <w:sz w:val="24"/>
                <w:szCs w:val="24"/>
                <w:highlight w:val="none"/>
                <w:u w:val="single"/>
              </w:rPr>
              <w:t>]中的）。</w:t>
            </w:r>
          </w:p>
          <w:p>
            <w:pPr>
              <w:keepNext w:val="0"/>
              <w:keepLines w:val="0"/>
              <w:suppressLineNumbers w:val="0"/>
              <w:spacing w:before="0" w:beforeAutospacing="0" w:after="0" w:afterAutospacing="0"/>
              <w:ind w:left="0" w:right="0"/>
              <w:rPr>
                <w:rFonts w:hint="default" w:ascii="宋体" w:hAnsi="宋体"/>
                <w:color w:val="auto"/>
                <w:sz w:val="24"/>
                <w:szCs w:val="24"/>
                <w:highlight w:val="none"/>
                <w:u w:val="single"/>
              </w:rPr>
            </w:pPr>
            <w:r>
              <w:rPr>
                <w:rFonts w:hint="default" w:ascii="宋体" w:hAnsi="宋体"/>
                <w:color w:val="auto"/>
                <w:sz w:val="24"/>
                <w:szCs w:val="24"/>
                <w:highlight w:val="none"/>
                <w:u w:val="single"/>
              </w:rPr>
              <w:fldChar w:fldCharType="begin"/>
            </w:r>
            <w:r>
              <w:rPr>
                <w:rFonts w:hint="default" w:ascii="宋体" w:hAnsi="宋体"/>
                <w:color w:val="auto"/>
                <w:sz w:val="24"/>
                <w:szCs w:val="24"/>
                <w:highlight w:val="none"/>
                <w:u w:val="single"/>
              </w:rPr>
              <w:instrText xml:space="preserve"> = 2 \* GB3 </w:instrText>
            </w:r>
            <w:r>
              <w:rPr>
                <w:rFonts w:hint="default" w:ascii="宋体" w:hAnsi="宋体"/>
                <w:color w:val="auto"/>
                <w:sz w:val="24"/>
                <w:szCs w:val="24"/>
                <w:highlight w:val="none"/>
                <w:u w:val="single"/>
              </w:rPr>
              <w:fldChar w:fldCharType="separate"/>
            </w:r>
            <w:r>
              <w:rPr>
                <w:rFonts w:hint="eastAsia" w:ascii="宋体" w:hAnsi="宋体"/>
                <w:color w:val="auto"/>
                <w:sz w:val="24"/>
                <w:szCs w:val="24"/>
                <w:highlight w:val="none"/>
                <w:u w:val="single"/>
              </w:rPr>
              <w:t>②</w:t>
            </w:r>
            <w:r>
              <w:rPr>
                <w:rFonts w:hint="default" w:ascii="宋体" w:hAnsi="宋体"/>
                <w:color w:val="auto"/>
                <w:sz w:val="24"/>
                <w:szCs w:val="24"/>
                <w:highlight w:val="none"/>
                <w:u w:val="single"/>
              </w:rPr>
              <w:fldChar w:fldCharType="end"/>
            </w:r>
            <w:r>
              <w:rPr>
                <w:rFonts w:hint="eastAsia" w:ascii="宋体" w:hAnsi="宋体"/>
                <w:color w:val="auto"/>
                <w:sz w:val="24"/>
                <w:szCs w:val="24"/>
                <w:highlight w:val="none"/>
                <w:u w:val="single"/>
              </w:rPr>
              <w:t>将第一阶段得分（即按《</w:t>
            </w:r>
            <w:r>
              <w:rPr>
                <w:rFonts w:hint="eastAsia" w:ascii="宋体" w:hAnsi="宋体"/>
                <w:color w:val="auto"/>
                <w:sz w:val="24"/>
                <w:szCs w:val="24"/>
                <w:highlight w:val="none"/>
                <w:u w:val="single"/>
                <w:lang w:eastAsia="zh-CN"/>
              </w:rPr>
              <w:t>综合评分细则</w:t>
            </w:r>
            <w:r>
              <w:rPr>
                <w:rFonts w:hint="eastAsia" w:ascii="宋体" w:hAnsi="宋体"/>
                <w:color w:val="auto"/>
                <w:sz w:val="24"/>
                <w:szCs w:val="24"/>
                <w:highlight w:val="none"/>
                <w:u w:val="single"/>
              </w:rPr>
              <w:t>》中</w:t>
            </w:r>
            <w:r>
              <w:rPr>
                <w:rFonts w:hint="eastAsia" w:ascii="宋体" w:hAnsi="宋体" w:cs="宋体"/>
                <w:bCs/>
                <w:color w:val="auto"/>
                <w:sz w:val="22"/>
                <w:szCs w:val="24"/>
                <w:highlight w:val="none"/>
                <w:u w:val="single"/>
              </w:rPr>
              <w:t>资信业绩评分标准、服务保障方案</w:t>
            </w:r>
            <w:r>
              <w:rPr>
                <w:rFonts w:hint="eastAsia" w:ascii="宋体" w:hAnsi="宋体"/>
                <w:color w:val="auto"/>
                <w:sz w:val="24"/>
                <w:szCs w:val="24"/>
                <w:highlight w:val="none"/>
                <w:u w:val="single"/>
              </w:rPr>
              <w:t>进行评审的得分）由高至低排序，前5</w:t>
            </w:r>
            <w:r>
              <w:rPr>
                <w:rFonts w:hint="default" w:ascii="宋体" w:hAnsi="宋体"/>
                <w:color w:val="auto"/>
                <w:sz w:val="24"/>
                <w:szCs w:val="24"/>
                <w:highlight w:val="none"/>
                <w:u w:val="single"/>
              </w:rPr>
              <w:t>名投标人进入第二阶段评审（适用于通过</w:t>
            </w:r>
            <w:bookmarkStart w:id="21" w:name="OLE_LINK11"/>
            <w:r>
              <w:rPr>
                <w:rFonts w:hint="eastAsia" w:ascii="宋体" w:hAnsi="宋体"/>
                <w:color w:val="auto"/>
                <w:sz w:val="24"/>
                <w:szCs w:val="24"/>
                <w:highlight w:val="none"/>
                <w:u w:val="single"/>
              </w:rPr>
              <w:t>初步评审</w:t>
            </w:r>
            <w:bookmarkEnd w:id="21"/>
            <w:r>
              <w:rPr>
                <w:rFonts w:hint="default" w:ascii="宋体" w:hAnsi="宋体"/>
                <w:color w:val="auto"/>
                <w:sz w:val="24"/>
                <w:szCs w:val="24"/>
                <w:highlight w:val="none"/>
                <w:u w:val="single"/>
              </w:rPr>
              <w:t>家数大于</w:t>
            </w:r>
            <w:r>
              <w:rPr>
                <w:rFonts w:hint="eastAsia" w:ascii="宋体" w:hAnsi="宋体"/>
                <w:color w:val="auto"/>
                <w:sz w:val="24"/>
                <w:szCs w:val="24"/>
                <w:highlight w:val="none"/>
                <w:u w:val="single"/>
              </w:rPr>
              <w:t>5</w:t>
            </w:r>
            <w:r>
              <w:rPr>
                <w:rFonts w:hint="default" w:ascii="宋体" w:hAnsi="宋体"/>
                <w:color w:val="auto"/>
                <w:sz w:val="24"/>
                <w:szCs w:val="24"/>
                <w:highlight w:val="none"/>
                <w:u w:val="single"/>
              </w:rPr>
              <w:t>家的，招标人可根据工程具体情况，确定不少于</w:t>
            </w:r>
            <w:r>
              <w:rPr>
                <w:rFonts w:hint="eastAsia" w:ascii="宋体" w:hAnsi="宋体"/>
                <w:color w:val="auto"/>
                <w:sz w:val="24"/>
                <w:szCs w:val="24"/>
                <w:highlight w:val="none"/>
                <w:u w:val="single"/>
              </w:rPr>
              <w:t>5</w:t>
            </w:r>
            <w:r>
              <w:rPr>
                <w:rFonts w:hint="default" w:ascii="宋体" w:hAnsi="宋体"/>
                <w:color w:val="auto"/>
                <w:sz w:val="24"/>
                <w:szCs w:val="24"/>
                <w:highlight w:val="none"/>
                <w:u w:val="single"/>
              </w:rPr>
              <w:t>家进入第二阶段）。</w:t>
            </w:r>
          </w:p>
          <w:p>
            <w:pPr>
              <w:keepNext w:val="0"/>
              <w:keepLines w:val="0"/>
              <w:suppressLineNumbers w:val="0"/>
              <w:spacing w:before="0" w:beforeAutospacing="0" w:after="0" w:afterAutospacing="0" w:line="276" w:lineRule="auto"/>
              <w:ind w:left="0" w:right="0"/>
              <w:rPr>
                <w:rFonts w:hint="default" w:ascii="宋体" w:hAnsi="宋体"/>
                <w:color w:val="auto"/>
                <w:szCs w:val="21"/>
                <w:highlight w:val="none"/>
              </w:rPr>
            </w:pPr>
          </w:p>
        </w:tc>
      </w:tr>
    </w:tbl>
    <w:p>
      <w:pPr>
        <w:tabs>
          <w:tab w:val="left" w:pos="105"/>
        </w:tabs>
        <w:spacing w:line="276" w:lineRule="auto"/>
        <w:rPr>
          <w:rFonts w:ascii="宋体" w:hAnsi="宋体" w:cs="宋体"/>
          <w:color w:val="auto"/>
          <w:sz w:val="24"/>
          <w:szCs w:val="24"/>
          <w:highlight w:val="none"/>
        </w:rPr>
      </w:pPr>
      <w:bookmarkStart w:id="22" w:name="_Toc393961865"/>
      <w:bookmarkStart w:id="23" w:name="_Toc184635071"/>
      <w:r>
        <w:rPr>
          <w:rFonts w:hint="eastAsia" w:ascii="宋体" w:hAnsi="宋体" w:cs="宋体"/>
          <w:color w:val="auto"/>
          <w:sz w:val="24"/>
          <w:szCs w:val="24"/>
          <w:highlight w:val="none"/>
        </w:rPr>
        <w:br w:type="page"/>
      </w:r>
      <w:bookmarkStart w:id="24" w:name="_Toc2585_WPSOffice_Level2"/>
      <w:bookmarkStart w:id="25" w:name="_Toc514170121"/>
      <w:bookmarkStart w:id="26" w:name="_Toc13444"/>
      <w:bookmarkStart w:id="27" w:name="_Toc25165"/>
      <w:bookmarkStart w:id="28" w:name="_Toc7526"/>
      <w:bookmarkStart w:id="29" w:name="_Toc20776"/>
      <w:bookmarkStart w:id="30" w:name="_Toc30533"/>
      <w:bookmarkStart w:id="31" w:name="_Toc9855"/>
    </w:p>
    <w:p>
      <w:pPr>
        <w:tabs>
          <w:tab w:val="left" w:pos="105"/>
        </w:tabs>
        <w:spacing w:line="276" w:lineRule="auto"/>
        <w:rPr>
          <w:rFonts w:ascii="宋体" w:hAnsi="宋体" w:cs="宋体"/>
          <w:color w:val="auto"/>
          <w:sz w:val="24"/>
          <w:szCs w:val="24"/>
          <w:highlight w:val="none"/>
        </w:rPr>
      </w:pPr>
    </w:p>
    <w:p>
      <w:pPr>
        <w:tabs>
          <w:tab w:val="left" w:pos="105"/>
        </w:tabs>
        <w:spacing w:line="276" w:lineRule="auto"/>
        <w:rPr>
          <w:rFonts w:ascii="宋体" w:hAnsi="宋体" w:cs="宋体"/>
          <w:color w:val="auto"/>
          <w:sz w:val="32"/>
          <w:szCs w:val="24"/>
          <w:highlight w:val="none"/>
        </w:rPr>
      </w:pPr>
      <w:r>
        <w:rPr>
          <w:rFonts w:hint="eastAsia" w:ascii="宋体" w:hAnsi="宋体" w:cs="宋体"/>
          <w:color w:val="auto"/>
          <w:spacing w:val="1"/>
          <w:position w:val="-1"/>
          <w:sz w:val="32"/>
          <w:szCs w:val="24"/>
          <w:highlight w:val="none"/>
        </w:rPr>
        <w:t>1</w:t>
      </w:r>
      <w:r>
        <w:rPr>
          <w:rFonts w:hint="eastAsia" w:ascii="宋体" w:hAnsi="宋体" w:cs="宋体"/>
          <w:color w:val="auto"/>
          <w:position w:val="-1"/>
          <w:sz w:val="32"/>
          <w:szCs w:val="24"/>
          <w:highlight w:val="none"/>
        </w:rPr>
        <w:t>.</w:t>
      </w:r>
      <w:r>
        <w:rPr>
          <w:rFonts w:hint="eastAsia" w:ascii="宋体" w:hAnsi="宋体" w:cs="宋体"/>
          <w:color w:val="auto"/>
          <w:spacing w:val="78"/>
          <w:position w:val="-1"/>
          <w:sz w:val="32"/>
          <w:szCs w:val="24"/>
          <w:highlight w:val="none"/>
        </w:rPr>
        <w:t xml:space="preserve"> </w:t>
      </w:r>
      <w:r>
        <w:rPr>
          <w:rFonts w:hint="eastAsia" w:ascii="宋体" w:hAnsi="宋体" w:cs="宋体"/>
          <w:color w:val="auto"/>
          <w:spacing w:val="2"/>
          <w:position w:val="-1"/>
          <w:sz w:val="32"/>
          <w:szCs w:val="24"/>
          <w:highlight w:val="none"/>
        </w:rPr>
        <w:t>总则</w:t>
      </w:r>
      <w:bookmarkEnd w:id="24"/>
    </w:p>
    <w:p>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概</w:t>
      </w:r>
      <w:r>
        <w:rPr>
          <w:rFonts w:hint="eastAsia" w:ascii="宋体" w:hAnsi="宋体" w:cs="宋体"/>
          <w:color w:val="auto"/>
          <w:sz w:val="28"/>
          <w:szCs w:val="24"/>
          <w:highlight w:val="none"/>
        </w:rPr>
        <w:t>况</w:t>
      </w:r>
    </w:p>
    <w:p>
      <w:pPr>
        <w:spacing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1.1.1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根据《中华人民共和国招标投标法》、《中华人民共和国招标投标法实施条例》等有关法律、法规和规章的规定，本招标项目已具备招标条件，现对项目工程建设管理服务进行招标。</w:t>
      </w:r>
    </w:p>
    <w:p>
      <w:pPr>
        <w:spacing w:before="11"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见</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人须</w:t>
      </w:r>
      <w:r>
        <w:rPr>
          <w:rFonts w:hint="eastAsia" w:ascii="宋体" w:hAnsi="宋体" w:cs="宋体"/>
          <w:color w:val="auto"/>
          <w:szCs w:val="24"/>
          <w:highlight w:val="none"/>
        </w:rPr>
        <w:t>知前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p>
    <w:p>
      <w:pPr>
        <w:spacing w:before="40"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代</w:t>
      </w:r>
      <w:r>
        <w:rPr>
          <w:rFonts w:hint="eastAsia" w:ascii="宋体" w:hAnsi="宋体" w:cs="宋体"/>
          <w:color w:val="auto"/>
          <w:spacing w:val="-2"/>
          <w:szCs w:val="24"/>
          <w:highlight w:val="none"/>
        </w:rPr>
        <w:t>理</w:t>
      </w:r>
      <w:r>
        <w:rPr>
          <w:rFonts w:hint="eastAsia" w:ascii="宋体" w:hAnsi="宋体" w:cs="宋体"/>
          <w:color w:val="auto"/>
          <w:szCs w:val="24"/>
          <w:highlight w:val="none"/>
        </w:rPr>
        <w:t>机</w:t>
      </w:r>
      <w:r>
        <w:rPr>
          <w:rFonts w:hint="eastAsia" w:ascii="宋体" w:hAnsi="宋体" w:cs="宋体"/>
          <w:color w:val="auto"/>
          <w:spacing w:val="-2"/>
          <w:szCs w:val="24"/>
          <w:highlight w:val="none"/>
        </w:rPr>
        <w:t>构</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名</w:t>
      </w:r>
      <w:r>
        <w:rPr>
          <w:rFonts w:hint="eastAsia" w:ascii="宋体" w:hAnsi="宋体" w:cs="宋体"/>
          <w:color w:val="auto"/>
          <w:spacing w:val="-2"/>
          <w:szCs w:val="24"/>
          <w:highlight w:val="none"/>
        </w:rPr>
        <w:t>称</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地</w:t>
      </w:r>
      <w:r>
        <w:rPr>
          <w:rFonts w:hint="eastAsia" w:ascii="宋体" w:hAnsi="宋体" w:cs="宋体"/>
          <w:color w:val="auto"/>
          <w:spacing w:val="-2"/>
          <w:szCs w:val="24"/>
          <w:highlight w:val="none"/>
        </w:rPr>
        <w:t>点</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1.1.6</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项</w:t>
      </w:r>
      <w:r>
        <w:rPr>
          <w:rFonts w:hint="eastAsia" w:ascii="宋体" w:hAnsi="宋体" w:cs="宋体"/>
          <w:color w:val="auto"/>
          <w:spacing w:val="-2"/>
          <w:szCs w:val="24"/>
          <w:highlight w:val="none"/>
        </w:rPr>
        <w:t>目</w:t>
      </w:r>
      <w:r>
        <w:rPr>
          <w:rFonts w:hint="eastAsia" w:ascii="宋体" w:hAnsi="宋体" w:cs="宋体"/>
          <w:color w:val="auto"/>
          <w:szCs w:val="24"/>
          <w:highlight w:val="none"/>
        </w:rPr>
        <w:t>建</w:t>
      </w:r>
      <w:r>
        <w:rPr>
          <w:rFonts w:hint="eastAsia" w:ascii="宋体" w:hAnsi="宋体" w:cs="宋体"/>
          <w:color w:val="auto"/>
          <w:spacing w:val="-2"/>
          <w:szCs w:val="24"/>
          <w:highlight w:val="none"/>
        </w:rPr>
        <w:t>设</w:t>
      </w:r>
      <w:r>
        <w:rPr>
          <w:rFonts w:hint="eastAsia" w:ascii="宋体" w:hAnsi="宋体" w:cs="宋体"/>
          <w:color w:val="auto"/>
          <w:szCs w:val="24"/>
          <w:highlight w:val="none"/>
        </w:rPr>
        <w:t>规</w:t>
      </w:r>
      <w:r>
        <w:rPr>
          <w:rFonts w:hint="eastAsia" w:ascii="宋体" w:hAnsi="宋体" w:cs="宋体"/>
          <w:color w:val="auto"/>
          <w:spacing w:val="-2"/>
          <w:szCs w:val="24"/>
          <w:highlight w:val="none"/>
        </w:rPr>
        <w:t>模</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1.1.7</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工程项目实施预计开工日期和建设周期：见投标人须知前附表。</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1.1.8项目投资：见投标人须知前附表。</w:t>
      </w:r>
    </w:p>
    <w:p>
      <w:pPr>
        <w:spacing w:before="1" w:line="276" w:lineRule="auto"/>
        <w:jc w:val="left"/>
        <w:rPr>
          <w:rFonts w:ascii="宋体" w:hAnsi="宋体" w:cs="宋体"/>
          <w:color w:val="auto"/>
          <w:sz w:val="11"/>
          <w:szCs w:val="24"/>
          <w:highlight w:val="none"/>
        </w:rPr>
      </w:pPr>
    </w:p>
    <w:p>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招标项目</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资</w:t>
      </w:r>
      <w:r>
        <w:rPr>
          <w:rFonts w:hint="eastAsia" w:ascii="宋体" w:hAnsi="宋体" w:cs="宋体"/>
          <w:color w:val="auto"/>
          <w:spacing w:val="-3"/>
          <w:sz w:val="28"/>
          <w:szCs w:val="24"/>
          <w:highlight w:val="none"/>
        </w:rPr>
        <w:t>金</w:t>
      </w:r>
      <w:r>
        <w:rPr>
          <w:rFonts w:hint="eastAsia" w:ascii="宋体" w:hAnsi="宋体" w:cs="宋体"/>
          <w:color w:val="auto"/>
          <w:sz w:val="28"/>
          <w:szCs w:val="24"/>
          <w:highlight w:val="none"/>
        </w:rPr>
        <w:t>来源和</w:t>
      </w:r>
      <w:r>
        <w:rPr>
          <w:rFonts w:hint="eastAsia" w:ascii="宋体" w:hAnsi="宋体" w:cs="宋体"/>
          <w:color w:val="auto"/>
          <w:spacing w:val="-3"/>
          <w:sz w:val="28"/>
          <w:szCs w:val="24"/>
          <w:highlight w:val="none"/>
        </w:rPr>
        <w:t>落</w:t>
      </w:r>
      <w:r>
        <w:rPr>
          <w:rFonts w:hint="eastAsia" w:ascii="宋体" w:hAnsi="宋体" w:cs="宋体"/>
          <w:color w:val="auto"/>
          <w:sz w:val="28"/>
          <w:szCs w:val="24"/>
          <w:highlight w:val="none"/>
        </w:rPr>
        <w:t>实情况</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1.2.1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资金来源及比例：见投标人须知前附表。</w:t>
      </w:r>
    </w:p>
    <w:p>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资金落实情况：见投标人须知前附表。</w:t>
      </w:r>
    </w:p>
    <w:p>
      <w:pPr>
        <w:spacing w:before="1" w:line="276" w:lineRule="auto"/>
        <w:jc w:val="left"/>
        <w:rPr>
          <w:rFonts w:ascii="宋体" w:hAnsi="宋体" w:cs="宋体"/>
          <w:color w:val="auto"/>
          <w:sz w:val="11"/>
          <w:szCs w:val="24"/>
          <w:highlight w:val="none"/>
        </w:rPr>
      </w:pPr>
    </w:p>
    <w:p>
      <w:pPr>
        <w:spacing w:line="276" w:lineRule="auto"/>
        <w:ind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.3</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招标范</w:t>
      </w:r>
      <w:r>
        <w:rPr>
          <w:rFonts w:hint="eastAsia" w:ascii="宋体" w:hAnsi="宋体" w:cs="宋体"/>
          <w:color w:val="auto"/>
          <w:spacing w:val="-3"/>
          <w:sz w:val="28"/>
          <w:szCs w:val="24"/>
          <w:highlight w:val="none"/>
        </w:rPr>
        <w:t>围</w:t>
      </w:r>
      <w:r>
        <w:rPr>
          <w:rFonts w:hint="eastAsia" w:ascii="宋体" w:hAnsi="宋体" w:cs="宋体"/>
          <w:color w:val="auto"/>
          <w:sz w:val="28"/>
          <w:szCs w:val="24"/>
          <w:highlight w:val="none"/>
        </w:rPr>
        <w:t>、服务期</w:t>
      </w:r>
      <w:r>
        <w:rPr>
          <w:rFonts w:hint="eastAsia" w:ascii="宋体" w:hAnsi="宋体" w:cs="宋体"/>
          <w:color w:val="auto"/>
          <w:spacing w:val="-3"/>
          <w:sz w:val="28"/>
          <w:szCs w:val="24"/>
          <w:highlight w:val="none"/>
        </w:rPr>
        <w:t>限</w:t>
      </w:r>
      <w:r>
        <w:rPr>
          <w:rFonts w:hint="eastAsia" w:ascii="宋体" w:hAnsi="宋体" w:cs="宋体"/>
          <w:color w:val="auto"/>
          <w:sz w:val="28"/>
          <w:szCs w:val="24"/>
          <w:highlight w:val="none"/>
        </w:rPr>
        <w:t>和质</w:t>
      </w:r>
      <w:r>
        <w:rPr>
          <w:rFonts w:hint="eastAsia" w:ascii="宋体" w:hAnsi="宋体" w:cs="宋体"/>
          <w:color w:val="auto"/>
          <w:spacing w:val="-3"/>
          <w:sz w:val="28"/>
          <w:szCs w:val="24"/>
          <w:highlight w:val="none"/>
        </w:rPr>
        <w:t>量标</w:t>
      </w:r>
      <w:r>
        <w:rPr>
          <w:rFonts w:hint="eastAsia" w:ascii="宋体" w:hAnsi="宋体" w:cs="宋体"/>
          <w:color w:val="auto"/>
          <w:sz w:val="28"/>
          <w:szCs w:val="24"/>
          <w:highlight w:val="none"/>
        </w:rPr>
        <w:t>准</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w:t>
      </w:r>
      <w:r>
        <w:rPr>
          <w:rFonts w:hint="eastAsia" w:ascii="宋体" w:hAnsi="宋体" w:cs="宋体"/>
          <w:color w:val="auto"/>
          <w:spacing w:val="-2"/>
          <w:szCs w:val="24"/>
          <w:highlight w:val="none"/>
        </w:rPr>
        <w:t>见</w:t>
      </w:r>
      <w:r>
        <w:rPr>
          <w:rFonts w:hint="eastAsia" w:ascii="宋体" w:hAnsi="宋体" w:cs="宋体"/>
          <w:color w:val="auto"/>
          <w:szCs w:val="24"/>
          <w:highlight w:val="none"/>
        </w:rPr>
        <w:t>投</w:t>
      </w:r>
      <w:r>
        <w:rPr>
          <w:rFonts w:hint="eastAsia" w:ascii="宋体" w:hAnsi="宋体" w:cs="宋体"/>
          <w:color w:val="auto"/>
          <w:spacing w:val="-2"/>
          <w:szCs w:val="24"/>
          <w:highlight w:val="none"/>
        </w:rPr>
        <w:t>标人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1.3.2</w:t>
      </w:r>
      <w:r>
        <w:rPr>
          <w:rFonts w:ascii="宋体" w:hAnsi="宋体" w:cs="宋体"/>
          <w:color w:val="auto"/>
          <w:szCs w:val="24"/>
          <w:highlight w:val="none"/>
        </w:rPr>
        <w:t xml:space="preserve">  </w:t>
      </w:r>
      <w:r>
        <w:rPr>
          <w:rFonts w:hint="eastAsia" w:ascii="宋体" w:hAnsi="宋体" w:cs="宋体"/>
          <w:color w:val="auto"/>
          <w:szCs w:val="24"/>
          <w:highlight w:val="none"/>
        </w:rPr>
        <w:t>服</w:t>
      </w:r>
      <w:r>
        <w:rPr>
          <w:rFonts w:hint="eastAsia" w:ascii="宋体" w:hAnsi="宋体" w:cs="宋体"/>
          <w:color w:val="auto"/>
          <w:spacing w:val="-2"/>
          <w:szCs w:val="24"/>
          <w:highlight w:val="none"/>
        </w:rPr>
        <w:t>务</w:t>
      </w:r>
      <w:r>
        <w:rPr>
          <w:rFonts w:hint="eastAsia" w:ascii="宋体" w:hAnsi="宋体" w:cs="宋体"/>
          <w:color w:val="auto"/>
          <w:szCs w:val="24"/>
          <w:highlight w:val="none"/>
        </w:rPr>
        <w:t>期</w:t>
      </w:r>
      <w:r>
        <w:rPr>
          <w:rFonts w:hint="eastAsia" w:ascii="宋体" w:hAnsi="宋体" w:cs="宋体"/>
          <w:color w:val="auto"/>
          <w:spacing w:val="-2"/>
          <w:szCs w:val="24"/>
          <w:highlight w:val="none"/>
        </w:rPr>
        <w:t>限</w:t>
      </w:r>
      <w:r>
        <w:rPr>
          <w:rFonts w:hint="eastAsia" w:ascii="宋体" w:hAnsi="宋体" w:cs="宋体"/>
          <w:color w:val="auto"/>
          <w:szCs w:val="24"/>
          <w:highlight w:val="none"/>
        </w:rPr>
        <w:t>：</w:t>
      </w:r>
      <w:r>
        <w:rPr>
          <w:rFonts w:hint="eastAsia" w:ascii="宋体" w:hAnsi="宋体" w:cs="宋体"/>
          <w:color w:val="auto"/>
          <w:spacing w:val="-2"/>
          <w:szCs w:val="24"/>
          <w:highlight w:val="none"/>
        </w:rPr>
        <w:t>见投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37"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质量标准：见投标人须知前附表。</w:t>
      </w:r>
    </w:p>
    <w:p>
      <w:pPr>
        <w:spacing w:before="1" w:line="276" w:lineRule="auto"/>
        <w:jc w:val="left"/>
        <w:rPr>
          <w:rFonts w:ascii="宋体" w:hAnsi="宋体" w:cs="宋体"/>
          <w:color w:val="auto"/>
          <w:sz w:val="11"/>
          <w:szCs w:val="24"/>
          <w:highlight w:val="none"/>
        </w:rPr>
      </w:pPr>
    </w:p>
    <w:p>
      <w:pPr>
        <w:spacing w:line="276" w:lineRule="auto"/>
        <w:ind w:right="-20"/>
        <w:jc w:val="left"/>
        <w:rPr>
          <w:rFonts w:ascii="宋体" w:hAnsi="宋体" w:cs="宋体"/>
          <w:strike/>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.4</w:t>
      </w:r>
      <w:r>
        <w:rPr>
          <w:rFonts w:hint="eastAsia" w:ascii="宋体" w:hAnsi="宋体" w:cs="宋体"/>
          <w:color w:val="auto"/>
          <w:spacing w:val="-2"/>
          <w:sz w:val="28"/>
          <w:szCs w:val="24"/>
          <w:highlight w:val="none"/>
        </w:rPr>
        <w:t xml:space="preserve"> </w:t>
      </w:r>
      <w:r>
        <w:rPr>
          <w:rFonts w:hint="eastAsia" w:ascii="宋体" w:hAnsi="宋体" w:cs="宋体"/>
          <w:strike/>
          <w:color w:val="auto"/>
          <w:sz w:val="28"/>
          <w:szCs w:val="24"/>
          <w:highlight w:val="none"/>
        </w:rPr>
        <w:t>投标人</w:t>
      </w:r>
      <w:r>
        <w:rPr>
          <w:rFonts w:hint="eastAsia" w:ascii="宋体" w:hAnsi="宋体" w:cs="宋体"/>
          <w:strike/>
          <w:color w:val="auto"/>
          <w:spacing w:val="-3"/>
          <w:sz w:val="28"/>
          <w:szCs w:val="24"/>
          <w:highlight w:val="none"/>
        </w:rPr>
        <w:t>资</w:t>
      </w:r>
      <w:r>
        <w:rPr>
          <w:rFonts w:hint="eastAsia" w:ascii="宋体" w:hAnsi="宋体" w:cs="宋体"/>
          <w:strike/>
          <w:color w:val="auto"/>
          <w:sz w:val="28"/>
          <w:szCs w:val="24"/>
          <w:highlight w:val="none"/>
        </w:rPr>
        <w:t>格要求</w:t>
      </w:r>
    </w:p>
    <w:p>
      <w:pPr>
        <w:spacing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1.4.1</w:t>
      </w:r>
      <w:r>
        <w:rPr>
          <w:rFonts w:hint="eastAsia" w:ascii="宋体" w:hAnsi="宋体" w:cs="宋体"/>
          <w:strike/>
          <w:color w:val="auto"/>
          <w:spacing w:val="51"/>
          <w:szCs w:val="24"/>
          <w:highlight w:val="none"/>
        </w:rPr>
        <w:t xml:space="preserve"> </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应</w:t>
      </w:r>
      <w:r>
        <w:rPr>
          <w:rFonts w:hint="eastAsia" w:ascii="宋体" w:hAnsi="宋体" w:cs="宋体"/>
          <w:strike/>
          <w:color w:val="auto"/>
          <w:szCs w:val="24"/>
          <w:highlight w:val="none"/>
        </w:rPr>
        <w:t>具</w:t>
      </w:r>
      <w:r>
        <w:rPr>
          <w:rFonts w:hint="eastAsia" w:ascii="宋体" w:hAnsi="宋体" w:cs="宋体"/>
          <w:strike/>
          <w:color w:val="auto"/>
          <w:spacing w:val="-2"/>
          <w:szCs w:val="24"/>
          <w:highlight w:val="none"/>
        </w:rPr>
        <w:t>备</w:t>
      </w:r>
      <w:r>
        <w:rPr>
          <w:rFonts w:hint="eastAsia" w:ascii="宋体" w:hAnsi="宋体" w:cs="宋体"/>
          <w:strike/>
          <w:color w:val="auto"/>
          <w:szCs w:val="24"/>
          <w:highlight w:val="none"/>
        </w:rPr>
        <w:t>承</w:t>
      </w:r>
      <w:r>
        <w:rPr>
          <w:rFonts w:hint="eastAsia" w:ascii="宋体" w:hAnsi="宋体" w:cs="宋体"/>
          <w:strike/>
          <w:color w:val="auto"/>
          <w:spacing w:val="-2"/>
          <w:szCs w:val="24"/>
          <w:highlight w:val="none"/>
        </w:rPr>
        <w:t>担本</w:t>
      </w:r>
      <w:r>
        <w:rPr>
          <w:rFonts w:hint="eastAsia" w:ascii="宋体" w:hAnsi="宋体" w:cs="宋体"/>
          <w:strike/>
          <w:color w:val="auto"/>
          <w:szCs w:val="24"/>
          <w:highlight w:val="none"/>
        </w:rPr>
        <w:t>招标</w:t>
      </w:r>
      <w:r>
        <w:rPr>
          <w:rFonts w:hint="eastAsia" w:ascii="宋体" w:hAnsi="宋体" w:cs="宋体"/>
          <w:strike/>
          <w:color w:val="auto"/>
          <w:spacing w:val="-2"/>
          <w:szCs w:val="24"/>
          <w:highlight w:val="none"/>
        </w:rPr>
        <w:t>项</w:t>
      </w:r>
      <w:r>
        <w:rPr>
          <w:rFonts w:hint="eastAsia" w:ascii="宋体" w:hAnsi="宋体" w:cs="宋体"/>
          <w:strike/>
          <w:color w:val="auto"/>
          <w:szCs w:val="24"/>
          <w:highlight w:val="none"/>
        </w:rPr>
        <w:t>目</w:t>
      </w:r>
      <w:r>
        <w:rPr>
          <w:rFonts w:hint="eastAsia" w:ascii="宋体" w:hAnsi="宋体" w:cs="宋体"/>
          <w:strike/>
          <w:color w:val="auto"/>
          <w:spacing w:val="-2"/>
          <w:szCs w:val="24"/>
          <w:highlight w:val="none"/>
        </w:rPr>
        <w:t>资</w:t>
      </w:r>
      <w:r>
        <w:rPr>
          <w:rFonts w:hint="eastAsia" w:ascii="宋体" w:hAnsi="宋体" w:cs="宋体"/>
          <w:strike/>
          <w:color w:val="auto"/>
          <w:szCs w:val="24"/>
          <w:highlight w:val="none"/>
        </w:rPr>
        <w:t>质</w:t>
      </w:r>
      <w:r>
        <w:rPr>
          <w:rFonts w:hint="eastAsia" w:ascii="宋体" w:hAnsi="宋体" w:cs="宋体"/>
          <w:strike/>
          <w:color w:val="auto"/>
          <w:spacing w:val="-2"/>
          <w:szCs w:val="24"/>
          <w:highlight w:val="none"/>
        </w:rPr>
        <w:t>条</w:t>
      </w:r>
      <w:r>
        <w:rPr>
          <w:rFonts w:hint="eastAsia" w:ascii="宋体" w:hAnsi="宋体" w:cs="宋体"/>
          <w:strike/>
          <w:color w:val="auto"/>
          <w:szCs w:val="24"/>
          <w:highlight w:val="none"/>
        </w:rPr>
        <w:t>件</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能</w:t>
      </w:r>
      <w:r>
        <w:rPr>
          <w:rFonts w:hint="eastAsia" w:ascii="宋体" w:hAnsi="宋体" w:cs="宋体"/>
          <w:strike/>
          <w:color w:val="auto"/>
          <w:spacing w:val="-2"/>
          <w:szCs w:val="24"/>
          <w:highlight w:val="none"/>
        </w:rPr>
        <w:t>力</w:t>
      </w:r>
      <w:r>
        <w:rPr>
          <w:rFonts w:hint="eastAsia" w:ascii="宋体" w:hAnsi="宋体" w:cs="宋体"/>
          <w:strike/>
          <w:color w:val="auto"/>
          <w:szCs w:val="24"/>
          <w:highlight w:val="none"/>
        </w:rPr>
        <w:t>和信</w:t>
      </w:r>
      <w:r>
        <w:rPr>
          <w:rFonts w:hint="eastAsia" w:ascii="宋体" w:hAnsi="宋体" w:cs="宋体"/>
          <w:strike/>
          <w:color w:val="auto"/>
          <w:spacing w:val="-2"/>
          <w:szCs w:val="24"/>
          <w:highlight w:val="none"/>
        </w:rPr>
        <w:t>誉</w:t>
      </w:r>
      <w:r>
        <w:rPr>
          <w:rFonts w:hint="eastAsia" w:ascii="宋体" w:hAnsi="宋体" w:cs="宋体"/>
          <w:strike/>
          <w:color w:val="auto"/>
          <w:szCs w:val="24"/>
          <w:highlight w:val="none"/>
        </w:rPr>
        <w:t>：</w:t>
      </w:r>
    </w:p>
    <w:p>
      <w:pPr>
        <w:spacing w:before="39" w:line="276" w:lineRule="auto"/>
        <w:ind w:left="378" w:right="4711"/>
        <w:jc w:val="center"/>
        <w:rPr>
          <w:rFonts w:ascii="宋体" w:hAnsi="宋体" w:cs="宋体"/>
          <w:strike/>
          <w:color w:val="auto"/>
          <w:szCs w:val="24"/>
          <w:highlight w:val="none"/>
        </w:rPr>
      </w:pP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质</w:t>
      </w:r>
      <w:r>
        <w:rPr>
          <w:rFonts w:hint="eastAsia" w:ascii="宋体" w:hAnsi="宋体" w:cs="宋体"/>
          <w:strike/>
          <w:color w:val="auto"/>
          <w:szCs w:val="24"/>
          <w:highlight w:val="none"/>
        </w:rPr>
        <w:t>要</w:t>
      </w:r>
      <w:r>
        <w:rPr>
          <w:rFonts w:hint="eastAsia" w:ascii="宋体" w:hAnsi="宋体" w:cs="宋体"/>
          <w:strike/>
          <w:color w:val="auto"/>
          <w:spacing w:val="-2"/>
          <w:szCs w:val="24"/>
          <w:highlight w:val="none"/>
        </w:rPr>
        <w:t>求</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见</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标人</w:t>
      </w:r>
      <w:r>
        <w:rPr>
          <w:rFonts w:hint="eastAsia" w:ascii="宋体" w:hAnsi="宋体" w:cs="宋体"/>
          <w:strike/>
          <w:color w:val="auto"/>
          <w:szCs w:val="24"/>
          <w:highlight w:val="none"/>
        </w:rPr>
        <w:t>须知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w:t>
      </w:r>
    </w:p>
    <w:p>
      <w:pPr>
        <w:spacing w:before="37" w:line="276" w:lineRule="auto"/>
        <w:ind w:left="378" w:right="4711"/>
        <w:jc w:val="center"/>
        <w:rPr>
          <w:rFonts w:ascii="宋体" w:hAnsi="宋体" w:cs="宋体"/>
          <w:strike/>
          <w:color w:val="auto"/>
          <w:szCs w:val="24"/>
          <w:highlight w:val="none"/>
        </w:rPr>
      </w:pPr>
      <w:r>
        <w:rPr>
          <w:rFonts w:hint="eastAsia" w:ascii="宋体" w:hAnsi="宋体" w:cs="宋体"/>
          <w:strike/>
          <w:color w:val="auto"/>
          <w:szCs w:val="24"/>
          <w:highlight w:val="none"/>
        </w:rPr>
        <w:t>（2</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财</w:t>
      </w:r>
      <w:r>
        <w:rPr>
          <w:rFonts w:hint="eastAsia" w:ascii="宋体" w:hAnsi="宋体" w:cs="宋体"/>
          <w:strike/>
          <w:color w:val="auto"/>
          <w:spacing w:val="-2"/>
          <w:szCs w:val="24"/>
          <w:highlight w:val="none"/>
        </w:rPr>
        <w:t>务</w:t>
      </w:r>
      <w:r>
        <w:rPr>
          <w:rFonts w:hint="eastAsia" w:ascii="宋体" w:hAnsi="宋体" w:cs="宋体"/>
          <w:strike/>
          <w:color w:val="auto"/>
          <w:szCs w:val="24"/>
          <w:highlight w:val="none"/>
        </w:rPr>
        <w:t>要</w:t>
      </w:r>
      <w:r>
        <w:rPr>
          <w:rFonts w:hint="eastAsia" w:ascii="宋体" w:hAnsi="宋体" w:cs="宋体"/>
          <w:strike/>
          <w:color w:val="auto"/>
          <w:spacing w:val="-2"/>
          <w:szCs w:val="24"/>
          <w:highlight w:val="none"/>
        </w:rPr>
        <w:t>求</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见</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标人</w:t>
      </w:r>
      <w:r>
        <w:rPr>
          <w:rFonts w:hint="eastAsia" w:ascii="宋体" w:hAnsi="宋体" w:cs="宋体"/>
          <w:strike/>
          <w:color w:val="auto"/>
          <w:szCs w:val="24"/>
          <w:highlight w:val="none"/>
        </w:rPr>
        <w:t>须知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w:t>
      </w:r>
    </w:p>
    <w:p>
      <w:pPr>
        <w:spacing w:before="39" w:line="276" w:lineRule="auto"/>
        <w:ind w:left="378" w:right="4711"/>
        <w:jc w:val="center"/>
        <w:rPr>
          <w:rFonts w:ascii="宋体" w:hAnsi="宋体" w:cs="宋体"/>
          <w:strike/>
          <w:color w:val="auto"/>
          <w:szCs w:val="24"/>
          <w:highlight w:val="none"/>
        </w:rPr>
      </w:pP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业</w:t>
      </w:r>
      <w:r>
        <w:rPr>
          <w:rFonts w:hint="eastAsia" w:ascii="宋体" w:hAnsi="宋体" w:cs="宋体"/>
          <w:strike/>
          <w:color w:val="auto"/>
          <w:spacing w:val="-2"/>
          <w:szCs w:val="24"/>
          <w:highlight w:val="none"/>
        </w:rPr>
        <w:t>绩</w:t>
      </w:r>
      <w:r>
        <w:rPr>
          <w:rFonts w:hint="eastAsia" w:ascii="宋体" w:hAnsi="宋体" w:cs="宋体"/>
          <w:strike/>
          <w:color w:val="auto"/>
          <w:szCs w:val="24"/>
          <w:highlight w:val="none"/>
        </w:rPr>
        <w:t>要</w:t>
      </w:r>
      <w:r>
        <w:rPr>
          <w:rFonts w:hint="eastAsia" w:ascii="宋体" w:hAnsi="宋体" w:cs="宋体"/>
          <w:strike/>
          <w:color w:val="auto"/>
          <w:spacing w:val="-2"/>
          <w:szCs w:val="24"/>
          <w:highlight w:val="none"/>
        </w:rPr>
        <w:t>求</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见</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标人</w:t>
      </w:r>
      <w:r>
        <w:rPr>
          <w:rFonts w:hint="eastAsia" w:ascii="宋体" w:hAnsi="宋体" w:cs="宋体"/>
          <w:strike/>
          <w:color w:val="auto"/>
          <w:szCs w:val="24"/>
          <w:highlight w:val="none"/>
        </w:rPr>
        <w:t>须知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w:t>
      </w:r>
    </w:p>
    <w:p>
      <w:pPr>
        <w:spacing w:before="39" w:line="276" w:lineRule="auto"/>
        <w:ind w:left="378" w:right="4711"/>
        <w:jc w:val="center"/>
        <w:rPr>
          <w:rFonts w:ascii="宋体" w:hAnsi="宋体" w:cs="宋体"/>
          <w:strike/>
          <w:color w:val="auto"/>
          <w:szCs w:val="24"/>
          <w:highlight w:val="none"/>
        </w:rPr>
      </w:pPr>
      <w:r>
        <w:rPr>
          <w:rFonts w:hint="eastAsia" w:ascii="宋体" w:hAnsi="宋体" w:cs="宋体"/>
          <w:strike/>
          <w:color w:val="auto"/>
          <w:szCs w:val="24"/>
          <w:highlight w:val="none"/>
        </w:rPr>
        <w:t>（4</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信</w:t>
      </w:r>
      <w:r>
        <w:rPr>
          <w:rFonts w:hint="eastAsia" w:ascii="宋体" w:hAnsi="宋体" w:cs="宋体"/>
          <w:strike/>
          <w:color w:val="auto"/>
          <w:spacing w:val="-2"/>
          <w:szCs w:val="24"/>
          <w:highlight w:val="none"/>
        </w:rPr>
        <w:t>誉</w:t>
      </w:r>
      <w:r>
        <w:rPr>
          <w:rFonts w:hint="eastAsia" w:ascii="宋体" w:hAnsi="宋体" w:cs="宋体"/>
          <w:strike/>
          <w:color w:val="auto"/>
          <w:szCs w:val="24"/>
          <w:highlight w:val="none"/>
        </w:rPr>
        <w:t>要</w:t>
      </w:r>
      <w:r>
        <w:rPr>
          <w:rFonts w:hint="eastAsia" w:ascii="宋体" w:hAnsi="宋体" w:cs="宋体"/>
          <w:strike/>
          <w:color w:val="auto"/>
          <w:spacing w:val="-2"/>
          <w:szCs w:val="24"/>
          <w:highlight w:val="none"/>
        </w:rPr>
        <w:t>求</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见</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标人</w:t>
      </w:r>
      <w:r>
        <w:rPr>
          <w:rFonts w:hint="eastAsia" w:ascii="宋体" w:hAnsi="宋体" w:cs="宋体"/>
          <w:strike/>
          <w:color w:val="auto"/>
          <w:szCs w:val="24"/>
          <w:highlight w:val="none"/>
        </w:rPr>
        <w:t>须知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w:t>
      </w:r>
    </w:p>
    <w:p>
      <w:pPr>
        <w:spacing w:before="37" w:line="276" w:lineRule="auto"/>
        <w:ind w:left="100" w:right="39" w:firstLine="314"/>
        <w:jc w:val="left"/>
        <w:rPr>
          <w:rFonts w:ascii="宋体" w:hAnsi="宋体" w:cs="宋体"/>
          <w:strike/>
          <w:color w:val="auto"/>
          <w:szCs w:val="24"/>
          <w:highlight w:val="none"/>
        </w:rPr>
      </w:pPr>
      <w:r>
        <w:rPr>
          <w:rFonts w:hint="eastAsia" w:ascii="宋体" w:hAnsi="宋体" w:cs="宋体"/>
          <w:strike/>
          <w:color w:val="auto"/>
          <w:szCs w:val="24"/>
          <w:highlight w:val="none"/>
        </w:rPr>
        <w:t>（5</w:t>
      </w:r>
      <w:r>
        <w:rPr>
          <w:rFonts w:hint="eastAsia" w:ascii="宋体" w:hAnsi="宋体" w:cs="宋体"/>
          <w:strike/>
          <w:color w:val="auto"/>
          <w:spacing w:val="-22"/>
          <w:szCs w:val="24"/>
          <w:highlight w:val="none"/>
        </w:rPr>
        <w:t>）</w:t>
      </w:r>
      <w:r>
        <w:rPr>
          <w:rFonts w:hint="eastAsia" w:ascii="宋体" w:hAnsi="宋体" w:cs="宋体"/>
          <w:strike/>
          <w:color w:val="auto"/>
          <w:szCs w:val="24"/>
          <w:highlight w:val="none"/>
        </w:rPr>
        <w:t>项目负责人的资格要求：见投标人须知前附表；</w:t>
      </w:r>
    </w:p>
    <w:p>
      <w:pPr>
        <w:spacing w:line="276" w:lineRule="auto"/>
        <w:ind w:left="415" w:right="-20"/>
        <w:jc w:val="left"/>
        <w:rPr>
          <w:rFonts w:ascii="宋体" w:hAnsi="宋体" w:cs="宋体"/>
          <w:strike/>
          <w:color w:val="auto"/>
          <w:szCs w:val="24"/>
          <w:highlight w:val="none"/>
        </w:rPr>
      </w:pPr>
      <w:r>
        <w:rPr>
          <w:rFonts w:hint="eastAsia" w:ascii="宋体" w:hAnsi="宋体" w:cs="宋体"/>
          <w:strike/>
          <w:color w:val="auto"/>
          <w:position w:val="-1"/>
          <w:szCs w:val="24"/>
          <w:highlight w:val="none"/>
        </w:rPr>
        <w:t>（6</w:t>
      </w:r>
      <w:r>
        <w:rPr>
          <w:rFonts w:hint="eastAsia" w:ascii="宋体" w:hAnsi="宋体" w:cs="宋体"/>
          <w:strike/>
          <w:color w:val="auto"/>
          <w:spacing w:val="-2"/>
          <w:position w:val="-1"/>
          <w:szCs w:val="24"/>
          <w:highlight w:val="none"/>
        </w:rPr>
        <w:t>）</w:t>
      </w:r>
      <w:r>
        <w:rPr>
          <w:rFonts w:hint="eastAsia" w:ascii="宋体" w:hAnsi="宋体" w:cs="宋体"/>
          <w:strike/>
          <w:color w:val="auto"/>
          <w:position w:val="-1"/>
          <w:szCs w:val="24"/>
          <w:highlight w:val="none"/>
        </w:rPr>
        <w:t>其</w:t>
      </w:r>
      <w:r>
        <w:rPr>
          <w:rFonts w:hint="eastAsia" w:ascii="宋体" w:hAnsi="宋体" w:cs="宋体"/>
          <w:strike/>
          <w:color w:val="auto"/>
          <w:spacing w:val="-2"/>
          <w:position w:val="-1"/>
          <w:szCs w:val="24"/>
          <w:highlight w:val="none"/>
        </w:rPr>
        <w:t>他</w:t>
      </w:r>
      <w:r>
        <w:rPr>
          <w:rFonts w:hint="eastAsia" w:ascii="宋体" w:hAnsi="宋体" w:cs="宋体"/>
          <w:strike/>
          <w:color w:val="auto"/>
          <w:position w:val="-1"/>
          <w:szCs w:val="24"/>
          <w:highlight w:val="none"/>
        </w:rPr>
        <w:t>主</w:t>
      </w:r>
      <w:r>
        <w:rPr>
          <w:rFonts w:hint="eastAsia" w:ascii="宋体" w:hAnsi="宋体" w:cs="宋体"/>
          <w:strike/>
          <w:color w:val="auto"/>
          <w:spacing w:val="-2"/>
          <w:position w:val="-1"/>
          <w:szCs w:val="24"/>
          <w:highlight w:val="none"/>
        </w:rPr>
        <w:t>要</w:t>
      </w:r>
      <w:r>
        <w:rPr>
          <w:rFonts w:hint="eastAsia" w:ascii="宋体" w:hAnsi="宋体" w:cs="宋体"/>
          <w:strike/>
          <w:color w:val="auto"/>
          <w:position w:val="-1"/>
          <w:szCs w:val="24"/>
          <w:highlight w:val="none"/>
        </w:rPr>
        <w:t>人</w:t>
      </w:r>
      <w:r>
        <w:rPr>
          <w:rFonts w:hint="eastAsia" w:ascii="宋体" w:hAnsi="宋体" w:cs="宋体"/>
          <w:strike/>
          <w:color w:val="auto"/>
          <w:spacing w:val="-2"/>
          <w:position w:val="-1"/>
          <w:szCs w:val="24"/>
          <w:highlight w:val="none"/>
        </w:rPr>
        <w:t>员</w:t>
      </w:r>
      <w:r>
        <w:rPr>
          <w:rFonts w:hint="eastAsia" w:ascii="宋体" w:hAnsi="宋体" w:cs="宋体"/>
          <w:strike/>
          <w:color w:val="auto"/>
          <w:position w:val="-1"/>
          <w:szCs w:val="24"/>
          <w:highlight w:val="none"/>
        </w:rPr>
        <w:t>要</w:t>
      </w:r>
      <w:r>
        <w:rPr>
          <w:rFonts w:hint="eastAsia" w:ascii="宋体" w:hAnsi="宋体" w:cs="宋体"/>
          <w:strike/>
          <w:color w:val="auto"/>
          <w:spacing w:val="-2"/>
          <w:position w:val="-1"/>
          <w:szCs w:val="24"/>
          <w:highlight w:val="none"/>
        </w:rPr>
        <w:t>求：</w:t>
      </w:r>
      <w:r>
        <w:rPr>
          <w:rFonts w:hint="eastAsia" w:ascii="宋体" w:hAnsi="宋体" w:cs="宋体"/>
          <w:strike/>
          <w:color w:val="auto"/>
          <w:position w:val="-1"/>
          <w:szCs w:val="24"/>
          <w:highlight w:val="none"/>
        </w:rPr>
        <w:t>见投</w:t>
      </w:r>
      <w:r>
        <w:rPr>
          <w:rFonts w:hint="eastAsia" w:ascii="宋体" w:hAnsi="宋体" w:cs="宋体"/>
          <w:strike/>
          <w:color w:val="auto"/>
          <w:spacing w:val="-2"/>
          <w:position w:val="-1"/>
          <w:szCs w:val="24"/>
          <w:highlight w:val="none"/>
        </w:rPr>
        <w:t>标</w:t>
      </w:r>
      <w:r>
        <w:rPr>
          <w:rFonts w:hint="eastAsia" w:ascii="宋体" w:hAnsi="宋体" w:cs="宋体"/>
          <w:strike/>
          <w:color w:val="auto"/>
          <w:position w:val="-1"/>
          <w:szCs w:val="24"/>
          <w:highlight w:val="none"/>
        </w:rPr>
        <w:t>人</w:t>
      </w:r>
      <w:r>
        <w:rPr>
          <w:rFonts w:hint="eastAsia" w:ascii="宋体" w:hAnsi="宋体" w:cs="宋体"/>
          <w:strike/>
          <w:color w:val="auto"/>
          <w:spacing w:val="-2"/>
          <w:position w:val="-1"/>
          <w:szCs w:val="24"/>
          <w:highlight w:val="none"/>
        </w:rPr>
        <w:t>须</w:t>
      </w:r>
      <w:r>
        <w:rPr>
          <w:rFonts w:hint="eastAsia" w:ascii="宋体" w:hAnsi="宋体" w:cs="宋体"/>
          <w:strike/>
          <w:color w:val="auto"/>
          <w:position w:val="-1"/>
          <w:szCs w:val="24"/>
          <w:highlight w:val="none"/>
        </w:rPr>
        <w:t>知</w:t>
      </w:r>
      <w:r>
        <w:rPr>
          <w:rFonts w:hint="eastAsia" w:ascii="宋体" w:hAnsi="宋体" w:cs="宋体"/>
          <w:strike/>
          <w:color w:val="auto"/>
          <w:spacing w:val="-2"/>
          <w:position w:val="-1"/>
          <w:szCs w:val="24"/>
          <w:highlight w:val="none"/>
        </w:rPr>
        <w:t>前</w:t>
      </w:r>
      <w:r>
        <w:rPr>
          <w:rFonts w:hint="eastAsia" w:ascii="宋体" w:hAnsi="宋体" w:cs="宋体"/>
          <w:strike/>
          <w:color w:val="auto"/>
          <w:position w:val="-1"/>
          <w:szCs w:val="24"/>
          <w:highlight w:val="none"/>
        </w:rPr>
        <w:t>附</w:t>
      </w:r>
      <w:r>
        <w:rPr>
          <w:rFonts w:hint="eastAsia" w:ascii="宋体" w:hAnsi="宋体" w:cs="宋体"/>
          <w:strike/>
          <w:color w:val="auto"/>
          <w:spacing w:val="-2"/>
          <w:position w:val="-1"/>
          <w:szCs w:val="24"/>
          <w:highlight w:val="none"/>
        </w:rPr>
        <w:t>表</w:t>
      </w:r>
      <w:r>
        <w:rPr>
          <w:rFonts w:hint="eastAsia" w:ascii="宋体" w:hAnsi="宋体" w:cs="宋体"/>
          <w:strike/>
          <w:color w:val="auto"/>
          <w:position w:val="-1"/>
          <w:szCs w:val="24"/>
          <w:highlight w:val="none"/>
        </w:rPr>
        <w:t>。</w:t>
      </w:r>
    </w:p>
    <w:p>
      <w:pPr>
        <w:spacing w:before="39"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（7</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试验检测仪器设备要求：见投标人须知前附表。</w:t>
      </w:r>
    </w:p>
    <w:p>
      <w:pPr>
        <w:spacing w:before="37" w:line="276" w:lineRule="auto"/>
        <w:ind w:left="520" w:right="-71" w:hanging="106"/>
        <w:jc w:val="left"/>
        <w:rPr>
          <w:rFonts w:ascii="宋体" w:hAnsi="宋体" w:cs="宋体"/>
          <w:strike/>
          <w:color w:val="auto"/>
          <w:szCs w:val="24"/>
          <w:highlight w:val="none"/>
        </w:rPr>
      </w:pPr>
      <w:r>
        <w:rPr>
          <w:rFonts w:hint="eastAsia" w:ascii="宋体" w:hAnsi="宋体" w:cs="宋体"/>
          <w:strike/>
          <w:color w:val="auto"/>
          <w:szCs w:val="24"/>
          <w:highlight w:val="none"/>
        </w:rPr>
        <w:t>（8</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其</w:t>
      </w:r>
      <w:r>
        <w:rPr>
          <w:rFonts w:hint="eastAsia" w:ascii="宋体" w:hAnsi="宋体" w:cs="宋体"/>
          <w:strike/>
          <w:color w:val="auto"/>
          <w:spacing w:val="-2"/>
          <w:szCs w:val="24"/>
          <w:highlight w:val="none"/>
        </w:rPr>
        <w:t>他</w:t>
      </w:r>
      <w:r>
        <w:rPr>
          <w:rFonts w:hint="eastAsia" w:ascii="宋体" w:hAnsi="宋体" w:cs="宋体"/>
          <w:strike/>
          <w:color w:val="auto"/>
          <w:szCs w:val="24"/>
          <w:highlight w:val="none"/>
        </w:rPr>
        <w:t>要</w:t>
      </w:r>
      <w:r>
        <w:rPr>
          <w:rFonts w:hint="eastAsia" w:ascii="宋体" w:hAnsi="宋体" w:cs="宋体"/>
          <w:strike/>
          <w:color w:val="auto"/>
          <w:spacing w:val="-2"/>
          <w:szCs w:val="24"/>
          <w:highlight w:val="none"/>
        </w:rPr>
        <w:t>求</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见</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标人</w:t>
      </w:r>
      <w:r>
        <w:rPr>
          <w:rFonts w:hint="eastAsia" w:ascii="宋体" w:hAnsi="宋体" w:cs="宋体"/>
          <w:strike/>
          <w:color w:val="auto"/>
          <w:szCs w:val="24"/>
          <w:highlight w:val="none"/>
        </w:rPr>
        <w:t>须知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 xml:space="preserve">。 </w:t>
      </w:r>
    </w:p>
    <w:p>
      <w:pPr>
        <w:spacing w:before="37" w:line="276" w:lineRule="auto"/>
        <w:ind w:left="520" w:right="-71" w:hanging="106"/>
        <w:jc w:val="left"/>
        <w:rPr>
          <w:rFonts w:ascii="宋体" w:hAnsi="宋体" w:cs="宋体"/>
          <w:strike/>
          <w:color w:val="auto"/>
          <w:szCs w:val="24"/>
          <w:highlight w:val="none"/>
        </w:rPr>
      </w:pPr>
      <w:r>
        <w:rPr>
          <w:rFonts w:hint="eastAsia" w:ascii="宋体" w:hAnsi="宋体" w:cs="宋体"/>
          <w:strike/>
          <w:color w:val="auto"/>
          <w:szCs w:val="24"/>
          <w:highlight w:val="none"/>
        </w:rPr>
        <w:t>需要</w:t>
      </w:r>
      <w:r>
        <w:rPr>
          <w:rFonts w:hint="eastAsia" w:ascii="宋体" w:hAnsi="宋体" w:cs="宋体"/>
          <w:strike/>
          <w:color w:val="auto"/>
          <w:spacing w:val="-2"/>
          <w:szCs w:val="24"/>
          <w:highlight w:val="none"/>
        </w:rPr>
        <w:t>提</w:t>
      </w:r>
      <w:r>
        <w:rPr>
          <w:rFonts w:hint="eastAsia" w:ascii="宋体" w:hAnsi="宋体" w:cs="宋体"/>
          <w:strike/>
          <w:color w:val="auto"/>
          <w:szCs w:val="24"/>
          <w:highlight w:val="none"/>
        </w:rPr>
        <w:t>交</w:t>
      </w:r>
      <w:r>
        <w:rPr>
          <w:rFonts w:hint="eastAsia" w:ascii="宋体" w:hAnsi="宋体" w:cs="宋体"/>
          <w:strike/>
          <w:color w:val="auto"/>
          <w:spacing w:val="-2"/>
          <w:szCs w:val="24"/>
          <w:highlight w:val="none"/>
        </w:rPr>
        <w:t>的</w:t>
      </w:r>
      <w:r>
        <w:rPr>
          <w:rFonts w:hint="eastAsia" w:ascii="宋体" w:hAnsi="宋体" w:cs="宋体"/>
          <w:strike/>
          <w:color w:val="auto"/>
          <w:szCs w:val="24"/>
          <w:highlight w:val="none"/>
        </w:rPr>
        <w:t>相</w:t>
      </w:r>
      <w:r>
        <w:rPr>
          <w:rFonts w:hint="eastAsia" w:ascii="宋体" w:hAnsi="宋体" w:cs="宋体"/>
          <w:strike/>
          <w:color w:val="auto"/>
          <w:spacing w:val="-2"/>
          <w:szCs w:val="24"/>
          <w:highlight w:val="none"/>
        </w:rPr>
        <w:t>关</w:t>
      </w:r>
      <w:r>
        <w:rPr>
          <w:rFonts w:hint="eastAsia" w:ascii="宋体" w:hAnsi="宋体" w:cs="宋体"/>
          <w:strike/>
          <w:color w:val="auto"/>
          <w:szCs w:val="24"/>
          <w:highlight w:val="none"/>
        </w:rPr>
        <w:t>证</w:t>
      </w:r>
      <w:r>
        <w:rPr>
          <w:rFonts w:hint="eastAsia" w:ascii="宋体" w:hAnsi="宋体" w:cs="宋体"/>
          <w:strike/>
          <w:color w:val="auto"/>
          <w:spacing w:val="-2"/>
          <w:szCs w:val="24"/>
          <w:highlight w:val="none"/>
        </w:rPr>
        <w:t>明</w:t>
      </w:r>
      <w:r>
        <w:rPr>
          <w:rFonts w:hint="eastAsia" w:ascii="宋体" w:hAnsi="宋体" w:cs="宋体"/>
          <w:strike/>
          <w:color w:val="auto"/>
          <w:szCs w:val="24"/>
          <w:highlight w:val="none"/>
        </w:rPr>
        <w:t>材</w:t>
      </w:r>
      <w:r>
        <w:rPr>
          <w:rFonts w:hint="eastAsia" w:ascii="宋体" w:hAnsi="宋体" w:cs="宋体"/>
          <w:strike/>
          <w:color w:val="auto"/>
          <w:spacing w:val="-2"/>
          <w:szCs w:val="24"/>
          <w:highlight w:val="none"/>
        </w:rPr>
        <w:t>料</w:t>
      </w:r>
      <w:r>
        <w:rPr>
          <w:rFonts w:hint="eastAsia" w:ascii="宋体" w:hAnsi="宋体" w:cs="宋体"/>
          <w:strike/>
          <w:color w:val="auto"/>
          <w:szCs w:val="24"/>
          <w:highlight w:val="none"/>
        </w:rPr>
        <w:t>见本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 xml:space="preserve">5 </w:t>
      </w:r>
      <w:r>
        <w:rPr>
          <w:rFonts w:hint="eastAsia" w:ascii="宋体" w:hAnsi="宋体" w:cs="宋体"/>
          <w:strike/>
          <w:color w:val="auto"/>
          <w:spacing w:val="-2"/>
          <w:szCs w:val="24"/>
          <w:highlight w:val="none"/>
        </w:rPr>
        <w:t>款</w:t>
      </w:r>
      <w:r>
        <w:rPr>
          <w:rFonts w:hint="eastAsia" w:ascii="宋体" w:hAnsi="宋体" w:cs="宋体"/>
          <w:strike/>
          <w:color w:val="auto"/>
          <w:szCs w:val="24"/>
          <w:highlight w:val="none"/>
        </w:rPr>
        <w:t>的</w:t>
      </w:r>
      <w:r>
        <w:rPr>
          <w:rFonts w:hint="eastAsia" w:ascii="宋体" w:hAnsi="宋体" w:cs="宋体"/>
          <w:strike/>
          <w:color w:val="auto"/>
          <w:spacing w:val="-2"/>
          <w:szCs w:val="24"/>
          <w:highlight w:val="none"/>
        </w:rPr>
        <w:t>规</w:t>
      </w:r>
      <w:r>
        <w:rPr>
          <w:rFonts w:hint="eastAsia" w:ascii="宋体" w:hAnsi="宋体" w:cs="宋体"/>
          <w:strike/>
          <w:color w:val="auto"/>
          <w:szCs w:val="24"/>
          <w:highlight w:val="none"/>
        </w:rPr>
        <w:t>定。</w:t>
      </w:r>
    </w:p>
    <w:p>
      <w:pPr>
        <w:spacing w:before="9" w:line="276" w:lineRule="auto"/>
        <w:ind w:left="100" w:right="40" w:firstLine="420"/>
        <w:jc w:val="left"/>
        <w:rPr>
          <w:rFonts w:ascii="宋体" w:hAnsi="宋体" w:cs="宋体"/>
          <w:strike/>
          <w:color w:val="auto"/>
          <w:szCs w:val="24"/>
          <w:highlight w:val="none"/>
        </w:rPr>
      </w:pPr>
      <w:r>
        <w:rPr>
          <w:rFonts w:hint="eastAsia" w:ascii="宋体" w:hAnsi="宋体" w:cs="宋体"/>
          <w:strike/>
          <w:color w:val="auto"/>
          <w:szCs w:val="24"/>
          <w:highlight w:val="none"/>
        </w:rPr>
        <w:t>1.4.2</w:t>
      </w:r>
      <w:r>
        <w:rPr>
          <w:rFonts w:hint="eastAsia" w:ascii="宋体" w:hAnsi="宋体" w:cs="宋体"/>
          <w:strike/>
          <w:color w:val="auto"/>
          <w:spacing w:val="27"/>
          <w:szCs w:val="24"/>
          <w:highlight w:val="none"/>
        </w:rPr>
        <w:t xml:space="preserve"> </w:t>
      </w:r>
      <w:r>
        <w:rPr>
          <w:rFonts w:hint="eastAsia" w:ascii="宋体" w:hAnsi="宋体" w:cs="宋体"/>
          <w:strike/>
          <w:color w:val="auto"/>
          <w:szCs w:val="24"/>
          <w:highlight w:val="none"/>
        </w:rPr>
        <w:t>投标人须知前附表规定接受联合体投标的，联合体除应符合本章第 1.4.1 项和投标人 须知前附表的要求外，还应遵守以下规定：</w:t>
      </w:r>
    </w:p>
    <w:p>
      <w:pPr>
        <w:spacing w:before="11" w:line="276" w:lineRule="auto"/>
        <w:ind w:left="100" w:right="43" w:firstLine="314"/>
        <w:jc w:val="left"/>
        <w:rPr>
          <w:rFonts w:ascii="宋体" w:hAnsi="宋体" w:cs="宋体"/>
          <w:strike/>
          <w:color w:val="auto"/>
          <w:szCs w:val="24"/>
          <w:highlight w:val="none"/>
        </w:rPr>
      </w:pPr>
      <w:r>
        <w:rPr>
          <w:rFonts w:hint="eastAsia" w:ascii="宋体" w:hAnsi="宋体" w:cs="宋体"/>
          <w:strike/>
          <w:color w:val="auto"/>
          <w:szCs w:val="24"/>
          <w:highlight w:val="none"/>
        </w:rPr>
        <w:t>（1）联合体各方应按招标文件提供的格式签订联合体协议书，明确联合体牵头人和各方权利义务，并承诺就中标项目向招标人承担连带责任；</w:t>
      </w:r>
    </w:p>
    <w:p>
      <w:pPr>
        <w:spacing w:before="6"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（2）由同一专业的单位组成的联合体，按照资质等级较低的单位确定资质等级；</w:t>
      </w:r>
    </w:p>
    <w:p>
      <w:pPr>
        <w:spacing w:before="39" w:line="276" w:lineRule="auto"/>
        <w:ind w:left="100" w:right="43" w:firstLine="314"/>
        <w:jc w:val="left"/>
        <w:rPr>
          <w:rFonts w:ascii="宋体" w:hAnsi="宋体" w:cs="宋体"/>
          <w:strike/>
          <w:color w:val="auto"/>
          <w:szCs w:val="24"/>
          <w:highlight w:val="none"/>
        </w:rPr>
      </w:pPr>
      <w:r>
        <w:rPr>
          <w:rFonts w:hint="eastAsia" w:ascii="宋体" w:hAnsi="宋体" w:cs="宋体"/>
          <w:strike/>
          <w:color w:val="auto"/>
          <w:szCs w:val="24"/>
          <w:highlight w:val="none"/>
        </w:rPr>
        <w:t>（3）联合体各方不得再以自己名义单独或参加其他联合体在本招标项目中投标，否则各相关投标均无效。</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1.4.3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得</w:t>
      </w:r>
      <w:r>
        <w:rPr>
          <w:rFonts w:hint="eastAsia" w:ascii="宋体" w:hAnsi="宋体" w:cs="宋体"/>
          <w:color w:val="auto"/>
          <w:spacing w:val="-2"/>
          <w:szCs w:val="24"/>
          <w:highlight w:val="none"/>
        </w:rPr>
        <w:t>存</w:t>
      </w:r>
      <w:r>
        <w:rPr>
          <w:rFonts w:hint="eastAsia" w:ascii="宋体" w:hAnsi="宋体" w:cs="宋体"/>
          <w:color w:val="auto"/>
          <w:szCs w:val="24"/>
          <w:highlight w:val="none"/>
        </w:rPr>
        <w:t>在</w:t>
      </w:r>
      <w:r>
        <w:rPr>
          <w:rFonts w:hint="eastAsia" w:ascii="宋体" w:hAnsi="宋体" w:cs="宋体"/>
          <w:color w:val="auto"/>
          <w:spacing w:val="-2"/>
          <w:szCs w:val="24"/>
          <w:highlight w:val="none"/>
        </w:rPr>
        <w:t>下列</w:t>
      </w:r>
      <w:r>
        <w:rPr>
          <w:rFonts w:hint="eastAsia" w:ascii="宋体" w:hAnsi="宋体" w:cs="宋体"/>
          <w:color w:val="auto"/>
          <w:szCs w:val="24"/>
          <w:highlight w:val="none"/>
        </w:rPr>
        <w:t>情形</w:t>
      </w:r>
      <w:r>
        <w:rPr>
          <w:rFonts w:hint="eastAsia" w:ascii="宋体" w:hAnsi="宋体" w:cs="宋体"/>
          <w:color w:val="auto"/>
          <w:spacing w:val="-2"/>
          <w:szCs w:val="24"/>
          <w:highlight w:val="none"/>
        </w:rPr>
        <w:t>之</w:t>
      </w:r>
      <w:r>
        <w:rPr>
          <w:rFonts w:hint="eastAsia" w:ascii="宋体" w:hAnsi="宋体" w:cs="宋体"/>
          <w:color w:val="auto"/>
          <w:szCs w:val="24"/>
          <w:highlight w:val="none"/>
        </w:rPr>
        <w:t>一：</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（1）为招标人不具有独立法人资格的附属机构（单位）；</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（2）与招标人存在利害关系且可能影响招标公正性；</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（3）与本标段的其他投标人为同一个单位负责人；</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（4）与本标段的其他投标人存在控股、管理关系；</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）为本标段的招标代理机构；</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）与本标段的招标代理机构同为一个法定代表人；</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7</w:t>
      </w:r>
      <w:r>
        <w:rPr>
          <w:rFonts w:hint="eastAsia" w:ascii="宋体" w:hAnsi="宋体" w:cs="宋体"/>
          <w:color w:val="auto"/>
          <w:szCs w:val="24"/>
          <w:highlight w:val="none"/>
        </w:rPr>
        <w:t>）与本标段的招标代理机构存在控股或参股关系；</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8</w:t>
      </w:r>
      <w:r>
        <w:rPr>
          <w:rFonts w:hint="eastAsia" w:ascii="宋体" w:hAnsi="宋体" w:cs="宋体"/>
          <w:color w:val="auto"/>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（9）被责令停产停业、暂扣或者吊销许可证、暂扣或者吊销执照；（本项事实应当以根据《中华人民共和国行政处罚法》依法作出并已经生效的行政处罚决定为认定依据）</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0）进入清算程序，或被宣告破产，或其他丧失履约能力的情形；</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1）在最近三年内有严重违约或重大质量问题的；（“严重违约”事实应当以司法机关、仲裁机构出具的认定文件为准。“重大质量问题”应当以相关行业主管部门的行政处罚决定或司法机关出具的有关法律文书为准。“最近三年”是指从投标截止时间之日起逆推三年，以相关行业主管部门、司法机关、仲裁机构出具的生效文件落款时间起计算）</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1</w:t>
      </w:r>
      <w:r>
        <w:rPr>
          <w:rFonts w:hint="eastAsia" w:ascii="宋体" w:hAnsi="宋体" w:cs="宋体"/>
          <w:color w:val="auto"/>
          <w:szCs w:val="24"/>
          <w:highlight w:val="none"/>
        </w:rPr>
        <w:t>2）法律法规或投标人须知前附表规定的其他情形。</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费用承担</w:t>
      </w:r>
    </w:p>
    <w:p>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投标人准备和参加投标活动发生的费用自理，中标人支付广州交易集团有限公司（广州公共资源交易中心）服务费。</w:t>
      </w:r>
    </w:p>
    <w:p>
      <w:pPr>
        <w:tabs>
          <w:tab w:val="left" w:pos="5745"/>
        </w:tabs>
        <w:spacing w:before="1" w:line="276" w:lineRule="auto"/>
        <w:jc w:val="left"/>
        <w:rPr>
          <w:rFonts w:ascii="宋体" w:hAnsi="宋体" w:cs="宋体"/>
          <w:color w:val="auto"/>
          <w:sz w:val="11"/>
          <w:szCs w:val="24"/>
          <w:highlight w:val="none"/>
        </w:rPr>
      </w:pPr>
      <w:r>
        <w:rPr>
          <w:rFonts w:hint="eastAsia" w:ascii="宋体" w:hAnsi="宋体" w:cs="宋体"/>
          <w:color w:val="auto"/>
          <w:sz w:val="11"/>
          <w:szCs w:val="24"/>
          <w:highlight w:val="none"/>
        </w:rPr>
        <w:tab/>
      </w: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.6</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保密</w:t>
      </w:r>
    </w:p>
    <w:p>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参与招标投标活动</w:t>
      </w:r>
      <w:r>
        <w:rPr>
          <w:rFonts w:hint="eastAsia" w:ascii="宋体" w:hAnsi="宋体" w:cs="宋体"/>
          <w:color w:val="auto"/>
          <w:spacing w:val="-2"/>
          <w:szCs w:val="24"/>
          <w:highlight w:val="none"/>
        </w:rPr>
        <w:t>的</w:t>
      </w:r>
      <w:r>
        <w:rPr>
          <w:rFonts w:hint="eastAsia" w:ascii="宋体" w:hAnsi="宋体" w:cs="宋体"/>
          <w:color w:val="auto"/>
          <w:szCs w:val="24"/>
          <w:highlight w:val="none"/>
        </w:rPr>
        <w:t>各</w:t>
      </w:r>
      <w:r>
        <w:rPr>
          <w:rFonts w:hint="eastAsia" w:ascii="宋体" w:hAnsi="宋体" w:cs="宋体"/>
          <w:color w:val="auto"/>
          <w:spacing w:val="-2"/>
          <w:szCs w:val="24"/>
          <w:highlight w:val="none"/>
        </w:rPr>
        <w:t>方</w:t>
      </w:r>
      <w:r>
        <w:rPr>
          <w:rFonts w:hint="eastAsia" w:ascii="宋体" w:hAnsi="宋体" w:cs="宋体"/>
          <w:color w:val="auto"/>
          <w:szCs w:val="24"/>
          <w:highlight w:val="none"/>
        </w:rPr>
        <w:t>应对招标文件和投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中的商业和技术等</w:t>
      </w:r>
      <w:r>
        <w:rPr>
          <w:rFonts w:hint="eastAsia" w:ascii="宋体" w:hAnsi="宋体" w:cs="宋体"/>
          <w:color w:val="auto"/>
          <w:spacing w:val="-2"/>
          <w:szCs w:val="24"/>
          <w:highlight w:val="none"/>
        </w:rPr>
        <w:t>秘</w:t>
      </w:r>
      <w:r>
        <w:rPr>
          <w:rFonts w:hint="eastAsia" w:ascii="宋体" w:hAnsi="宋体" w:cs="宋体"/>
          <w:color w:val="auto"/>
          <w:szCs w:val="24"/>
          <w:highlight w:val="none"/>
        </w:rPr>
        <w:t>密</w:t>
      </w:r>
      <w:r>
        <w:rPr>
          <w:rFonts w:hint="eastAsia" w:ascii="宋体" w:hAnsi="宋体" w:cs="宋体"/>
          <w:color w:val="auto"/>
          <w:spacing w:val="-2"/>
          <w:szCs w:val="24"/>
          <w:highlight w:val="none"/>
        </w:rPr>
        <w:t>保</w:t>
      </w:r>
      <w:r>
        <w:rPr>
          <w:rFonts w:hint="eastAsia" w:ascii="宋体" w:hAnsi="宋体" w:cs="宋体"/>
          <w:color w:val="auto"/>
          <w:szCs w:val="24"/>
          <w:highlight w:val="none"/>
        </w:rPr>
        <w:t>密，否则应承担相</w:t>
      </w:r>
      <w:r>
        <w:rPr>
          <w:rFonts w:hint="eastAsia" w:ascii="宋体" w:hAnsi="宋体" w:cs="宋体"/>
          <w:color w:val="auto"/>
          <w:spacing w:val="-2"/>
          <w:szCs w:val="24"/>
          <w:highlight w:val="none"/>
        </w:rPr>
        <w:t>应</w:t>
      </w:r>
      <w:r>
        <w:rPr>
          <w:rFonts w:hint="eastAsia" w:ascii="宋体" w:hAnsi="宋体" w:cs="宋体"/>
          <w:color w:val="auto"/>
          <w:szCs w:val="24"/>
          <w:highlight w:val="none"/>
        </w:rPr>
        <w:t>的</w:t>
      </w:r>
      <w:r>
        <w:rPr>
          <w:rFonts w:hint="eastAsia" w:ascii="宋体" w:hAnsi="宋体" w:cs="宋体"/>
          <w:color w:val="auto"/>
          <w:spacing w:val="-2"/>
          <w:szCs w:val="24"/>
          <w:highlight w:val="none"/>
        </w:rPr>
        <w:t>法</w:t>
      </w:r>
      <w:r>
        <w:rPr>
          <w:rFonts w:hint="eastAsia" w:ascii="宋体" w:hAnsi="宋体" w:cs="宋体"/>
          <w:color w:val="auto"/>
          <w:szCs w:val="24"/>
          <w:highlight w:val="none"/>
        </w:rPr>
        <w:t>律</w:t>
      </w:r>
      <w:r>
        <w:rPr>
          <w:rFonts w:hint="eastAsia" w:ascii="宋体" w:hAnsi="宋体" w:cs="宋体"/>
          <w:color w:val="auto"/>
          <w:spacing w:val="-2"/>
          <w:szCs w:val="24"/>
          <w:highlight w:val="none"/>
        </w:rPr>
        <w:t>责</w:t>
      </w:r>
      <w:r>
        <w:rPr>
          <w:rFonts w:hint="eastAsia" w:ascii="宋体" w:hAnsi="宋体" w:cs="宋体"/>
          <w:color w:val="auto"/>
          <w:szCs w:val="24"/>
          <w:highlight w:val="none"/>
        </w:rPr>
        <w:t>任。</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语言文字</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招标</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使</w:t>
      </w:r>
      <w:r>
        <w:rPr>
          <w:rFonts w:hint="eastAsia" w:ascii="宋体" w:hAnsi="宋体" w:cs="宋体"/>
          <w:color w:val="auto"/>
          <w:szCs w:val="24"/>
          <w:highlight w:val="none"/>
        </w:rPr>
        <w:t>用</w:t>
      </w:r>
      <w:r>
        <w:rPr>
          <w:rFonts w:hint="eastAsia" w:ascii="宋体" w:hAnsi="宋体" w:cs="宋体"/>
          <w:color w:val="auto"/>
          <w:spacing w:val="-2"/>
          <w:szCs w:val="24"/>
          <w:highlight w:val="none"/>
        </w:rPr>
        <w:t>的</w:t>
      </w:r>
      <w:r>
        <w:rPr>
          <w:rFonts w:hint="eastAsia" w:ascii="宋体" w:hAnsi="宋体" w:cs="宋体"/>
          <w:color w:val="auto"/>
          <w:szCs w:val="24"/>
          <w:highlight w:val="none"/>
        </w:rPr>
        <w:t>语</w:t>
      </w:r>
      <w:r>
        <w:rPr>
          <w:rFonts w:hint="eastAsia" w:ascii="宋体" w:hAnsi="宋体" w:cs="宋体"/>
          <w:color w:val="auto"/>
          <w:spacing w:val="-2"/>
          <w:szCs w:val="24"/>
          <w:highlight w:val="none"/>
        </w:rPr>
        <w:t>言</w:t>
      </w:r>
      <w:r>
        <w:rPr>
          <w:rFonts w:hint="eastAsia" w:ascii="宋体" w:hAnsi="宋体" w:cs="宋体"/>
          <w:color w:val="auto"/>
          <w:szCs w:val="24"/>
          <w:highlight w:val="none"/>
        </w:rPr>
        <w:t>文字</w:t>
      </w:r>
      <w:r>
        <w:rPr>
          <w:rFonts w:hint="eastAsia" w:ascii="宋体" w:hAnsi="宋体" w:cs="宋体"/>
          <w:color w:val="auto"/>
          <w:spacing w:val="-2"/>
          <w:szCs w:val="24"/>
          <w:highlight w:val="none"/>
        </w:rPr>
        <w:t>为</w:t>
      </w:r>
      <w:r>
        <w:rPr>
          <w:rFonts w:hint="eastAsia" w:ascii="宋体" w:hAnsi="宋体" w:cs="宋体"/>
          <w:color w:val="auto"/>
          <w:szCs w:val="24"/>
          <w:highlight w:val="none"/>
        </w:rPr>
        <w:t>中</w:t>
      </w:r>
      <w:r>
        <w:rPr>
          <w:rFonts w:hint="eastAsia" w:ascii="宋体" w:hAnsi="宋体" w:cs="宋体"/>
          <w:color w:val="auto"/>
          <w:spacing w:val="-2"/>
          <w:szCs w:val="24"/>
          <w:highlight w:val="none"/>
        </w:rPr>
        <w:t>文</w:t>
      </w:r>
      <w:r>
        <w:rPr>
          <w:rFonts w:hint="eastAsia" w:ascii="宋体" w:hAnsi="宋体" w:cs="宋体"/>
          <w:color w:val="auto"/>
          <w:szCs w:val="24"/>
          <w:highlight w:val="none"/>
        </w:rPr>
        <w:t>。</w:t>
      </w:r>
      <w:r>
        <w:rPr>
          <w:rFonts w:hint="eastAsia" w:ascii="宋体" w:hAnsi="宋体" w:cs="宋体"/>
          <w:color w:val="auto"/>
          <w:spacing w:val="-2"/>
          <w:szCs w:val="24"/>
          <w:highlight w:val="none"/>
        </w:rPr>
        <w:t>专</w:t>
      </w:r>
      <w:r>
        <w:rPr>
          <w:rFonts w:hint="eastAsia" w:ascii="宋体" w:hAnsi="宋体" w:cs="宋体"/>
          <w:color w:val="auto"/>
          <w:szCs w:val="24"/>
          <w:highlight w:val="none"/>
        </w:rPr>
        <w:t>用</w:t>
      </w:r>
      <w:r>
        <w:rPr>
          <w:rFonts w:hint="eastAsia" w:ascii="宋体" w:hAnsi="宋体" w:cs="宋体"/>
          <w:color w:val="auto"/>
          <w:spacing w:val="-2"/>
          <w:szCs w:val="24"/>
          <w:highlight w:val="none"/>
        </w:rPr>
        <w:t>术</w:t>
      </w:r>
      <w:r>
        <w:rPr>
          <w:rFonts w:hint="eastAsia" w:ascii="宋体" w:hAnsi="宋体" w:cs="宋体"/>
          <w:color w:val="auto"/>
          <w:szCs w:val="24"/>
          <w:highlight w:val="none"/>
        </w:rPr>
        <w:t>语</w:t>
      </w:r>
      <w:r>
        <w:rPr>
          <w:rFonts w:hint="eastAsia" w:ascii="宋体" w:hAnsi="宋体" w:cs="宋体"/>
          <w:color w:val="auto"/>
          <w:spacing w:val="-2"/>
          <w:szCs w:val="24"/>
          <w:highlight w:val="none"/>
        </w:rPr>
        <w:t>使</w:t>
      </w:r>
      <w:r>
        <w:rPr>
          <w:rFonts w:hint="eastAsia" w:ascii="宋体" w:hAnsi="宋体" w:cs="宋体"/>
          <w:color w:val="auto"/>
          <w:szCs w:val="24"/>
          <w:highlight w:val="none"/>
        </w:rPr>
        <w:t>用外</w:t>
      </w:r>
      <w:r>
        <w:rPr>
          <w:rFonts w:hint="eastAsia" w:ascii="宋体" w:hAnsi="宋体" w:cs="宋体"/>
          <w:color w:val="auto"/>
          <w:spacing w:val="-2"/>
          <w:szCs w:val="24"/>
          <w:highlight w:val="none"/>
        </w:rPr>
        <w:t>文</w:t>
      </w:r>
      <w:r>
        <w:rPr>
          <w:rFonts w:hint="eastAsia" w:ascii="宋体" w:hAnsi="宋体" w:cs="宋体"/>
          <w:color w:val="auto"/>
          <w:szCs w:val="24"/>
          <w:highlight w:val="none"/>
        </w:rPr>
        <w:t>的</w:t>
      </w:r>
      <w:r>
        <w:rPr>
          <w:rFonts w:hint="eastAsia" w:ascii="宋体" w:hAnsi="宋体" w:cs="宋体"/>
          <w:color w:val="auto"/>
          <w:spacing w:val="-2"/>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附</w:t>
      </w:r>
      <w:r>
        <w:rPr>
          <w:rFonts w:hint="eastAsia" w:ascii="宋体" w:hAnsi="宋体" w:cs="宋体"/>
          <w:color w:val="auto"/>
          <w:szCs w:val="24"/>
          <w:highlight w:val="none"/>
        </w:rPr>
        <w:t>有</w:t>
      </w:r>
      <w:r>
        <w:rPr>
          <w:rFonts w:hint="eastAsia" w:ascii="宋体" w:hAnsi="宋体" w:cs="宋体"/>
          <w:color w:val="auto"/>
          <w:spacing w:val="-2"/>
          <w:szCs w:val="24"/>
          <w:highlight w:val="none"/>
        </w:rPr>
        <w:t>中</w:t>
      </w:r>
      <w:r>
        <w:rPr>
          <w:rFonts w:hint="eastAsia" w:ascii="宋体" w:hAnsi="宋体" w:cs="宋体"/>
          <w:color w:val="auto"/>
          <w:szCs w:val="24"/>
          <w:highlight w:val="none"/>
        </w:rPr>
        <w:t>文</w:t>
      </w:r>
      <w:r>
        <w:rPr>
          <w:rFonts w:hint="eastAsia" w:ascii="宋体" w:hAnsi="宋体" w:cs="宋体"/>
          <w:color w:val="auto"/>
          <w:spacing w:val="-2"/>
          <w:szCs w:val="24"/>
          <w:highlight w:val="none"/>
        </w:rPr>
        <w:t>注</w:t>
      </w:r>
      <w:r>
        <w:rPr>
          <w:rFonts w:hint="eastAsia" w:ascii="宋体" w:hAnsi="宋体" w:cs="宋体"/>
          <w:color w:val="auto"/>
          <w:szCs w:val="24"/>
          <w:highlight w:val="none"/>
        </w:rPr>
        <w:t>释。</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w:t>
      </w:r>
      <w:r>
        <w:rPr>
          <w:rFonts w:hint="eastAsia" w:ascii="宋体" w:hAnsi="宋体" w:cs="宋体"/>
          <w:color w:val="auto"/>
          <w:sz w:val="28"/>
          <w:szCs w:val="24"/>
          <w:highlight w:val="none"/>
        </w:rPr>
        <w:t>8</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计量单位</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所有</w:t>
      </w:r>
      <w:r>
        <w:rPr>
          <w:rFonts w:hint="eastAsia" w:ascii="宋体" w:hAnsi="宋体" w:cs="宋体"/>
          <w:color w:val="auto"/>
          <w:spacing w:val="-2"/>
          <w:szCs w:val="24"/>
          <w:highlight w:val="none"/>
        </w:rPr>
        <w:t>计</w:t>
      </w:r>
      <w:r>
        <w:rPr>
          <w:rFonts w:hint="eastAsia" w:ascii="宋体" w:hAnsi="宋体" w:cs="宋体"/>
          <w:color w:val="auto"/>
          <w:szCs w:val="24"/>
          <w:highlight w:val="none"/>
        </w:rPr>
        <w:t>量</w:t>
      </w:r>
      <w:r>
        <w:rPr>
          <w:rFonts w:hint="eastAsia" w:ascii="宋体" w:hAnsi="宋体" w:cs="宋体"/>
          <w:color w:val="auto"/>
          <w:spacing w:val="-2"/>
          <w:szCs w:val="24"/>
          <w:highlight w:val="none"/>
        </w:rPr>
        <w:t>均</w:t>
      </w:r>
      <w:r>
        <w:rPr>
          <w:rFonts w:hint="eastAsia" w:ascii="宋体" w:hAnsi="宋体" w:cs="宋体"/>
          <w:color w:val="auto"/>
          <w:szCs w:val="24"/>
          <w:highlight w:val="none"/>
        </w:rPr>
        <w:t>采</w:t>
      </w:r>
      <w:r>
        <w:rPr>
          <w:rFonts w:hint="eastAsia" w:ascii="宋体" w:hAnsi="宋体" w:cs="宋体"/>
          <w:color w:val="auto"/>
          <w:spacing w:val="-2"/>
          <w:szCs w:val="24"/>
          <w:highlight w:val="none"/>
        </w:rPr>
        <w:t>用</w:t>
      </w:r>
      <w:r>
        <w:rPr>
          <w:rFonts w:hint="eastAsia" w:ascii="宋体" w:hAnsi="宋体" w:cs="宋体"/>
          <w:color w:val="auto"/>
          <w:szCs w:val="24"/>
          <w:highlight w:val="none"/>
        </w:rPr>
        <w:t>中</w:t>
      </w:r>
      <w:r>
        <w:rPr>
          <w:rFonts w:hint="eastAsia" w:ascii="宋体" w:hAnsi="宋体" w:cs="宋体"/>
          <w:color w:val="auto"/>
          <w:spacing w:val="-2"/>
          <w:szCs w:val="24"/>
          <w:highlight w:val="none"/>
        </w:rPr>
        <w:t>华</w:t>
      </w:r>
      <w:r>
        <w:rPr>
          <w:rFonts w:hint="eastAsia" w:ascii="宋体" w:hAnsi="宋体" w:cs="宋体"/>
          <w:color w:val="auto"/>
          <w:szCs w:val="24"/>
          <w:highlight w:val="none"/>
        </w:rPr>
        <w:t>人</w:t>
      </w:r>
      <w:r>
        <w:rPr>
          <w:rFonts w:hint="eastAsia" w:ascii="宋体" w:hAnsi="宋体" w:cs="宋体"/>
          <w:color w:val="auto"/>
          <w:spacing w:val="-2"/>
          <w:szCs w:val="24"/>
          <w:highlight w:val="none"/>
        </w:rPr>
        <w:t>民</w:t>
      </w:r>
      <w:r>
        <w:rPr>
          <w:rFonts w:hint="eastAsia" w:ascii="宋体" w:hAnsi="宋体" w:cs="宋体"/>
          <w:color w:val="auto"/>
          <w:szCs w:val="24"/>
          <w:highlight w:val="none"/>
        </w:rPr>
        <w:t>共和</w:t>
      </w:r>
      <w:r>
        <w:rPr>
          <w:rFonts w:hint="eastAsia" w:ascii="宋体" w:hAnsi="宋体" w:cs="宋体"/>
          <w:color w:val="auto"/>
          <w:spacing w:val="-2"/>
          <w:szCs w:val="24"/>
          <w:highlight w:val="none"/>
        </w:rPr>
        <w:t>国</w:t>
      </w:r>
      <w:r>
        <w:rPr>
          <w:rFonts w:hint="eastAsia" w:ascii="宋体" w:hAnsi="宋体" w:cs="宋体"/>
          <w:color w:val="auto"/>
          <w:szCs w:val="24"/>
          <w:highlight w:val="none"/>
        </w:rPr>
        <w:t>法</w:t>
      </w:r>
      <w:r>
        <w:rPr>
          <w:rFonts w:hint="eastAsia" w:ascii="宋体" w:hAnsi="宋体" w:cs="宋体"/>
          <w:color w:val="auto"/>
          <w:spacing w:val="-2"/>
          <w:szCs w:val="24"/>
          <w:highlight w:val="none"/>
        </w:rPr>
        <w:t>定</w:t>
      </w:r>
      <w:r>
        <w:rPr>
          <w:rFonts w:hint="eastAsia" w:ascii="宋体" w:hAnsi="宋体" w:cs="宋体"/>
          <w:color w:val="auto"/>
          <w:szCs w:val="24"/>
          <w:highlight w:val="none"/>
        </w:rPr>
        <w:t>计</w:t>
      </w:r>
      <w:r>
        <w:rPr>
          <w:rFonts w:hint="eastAsia" w:ascii="宋体" w:hAnsi="宋体" w:cs="宋体"/>
          <w:color w:val="auto"/>
          <w:spacing w:val="-2"/>
          <w:szCs w:val="24"/>
          <w:highlight w:val="none"/>
        </w:rPr>
        <w:t>量</w:t>
      </w:r>
      <w:r>
        <w:rPr>
          <w:rFonts w:hint="eastAsia" w:ascii="宋体" w:hAnsi="宋体" w:cs="宋体"/>
          <w:color w:val="auto"/>
          <w:szCs w:val="24"/>
          <w:highlight w:val="none"/>
        </w:rPr>
        <w:t>单</w:t>
      </w:r>
      <w:r>
        <w:rPr>
          <w:rFonts w:hint="eastAsia" w:ascii="宋体" w:hAnsi="宋体" w:cs="宋体"/>
          <w:color w:val="auto"/>
          <w:spacing w:val="-2"/>
          <w:szCs w:val="24"/>
          <w:highlight w:val="none"/>
        </w:rPr>
        <w:t>位</w:t>
      </w:r>
      <w:r>
        <w:rPr>
          <w:rFonts w:hint="eastAsia" w:ascii="宋体" w:hAnsi="宋体" w:cs="宋体"/>
          <w:color w:val="auto"/>
          <w:szCs w:val="24"/>
          <w:highlight w:val="none"/>
        </w:rPr>
        <w:t>。</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.9</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踏勘现场</w:t>
      </w:r>
    </w:p>
    <w:p>
      <w:pPr>
        <w:spacing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1.9.1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表规</w:t>
      </w:r>
      <w:r>
        <w:rPr>
          <w:rFonts w:hint="eastAsia" w:ascii="宋体" w:hAnsi="宋体" w:cs="宋体"/>
          <w:color w:val="auto"/>
          <w:szCs w:val="24"/>
          <w:highlight w:val="none"/>
        </w:rPr>
        <w:t>定组</w:t>
      </w:r>
      <w:r>
        <w:rPr>
          <w:rFonts w:hint="eastAsia" w:ascii="宋体" w:hAnsi="宋体" w:cs="宋体"/>
          <w:color w:val="auto"/>
          <w:spacing w:val="-2"/>
          <w:szCs w:val="24"/>
          <w:highlight w:val="none"/>
        </w:rPr>
        <w:t>织</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w:t>
      </w:r>
      <w:r>
        <w:rPr>
          <w:rFonts w:hint="eastAsia" w:ascii="宋体" w:hAnsi="宋体" w:cs="宋体"/>
          <w:color w:val="auto"/>
          <w:szCs w:val="24"/>
          <w:highlight w:val="none"/>
        </w:rPr>
        <w:t>的，招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规</w:t>
      </w:r>
      <w:r>
        <w:rPr>
          <w:rFonts w:hint="eastAsia" w:ascii="宋体" w:hAnsi="宋体" w:cs="宋体"/>
          <w:color w:val="auto"/>
          <w:szCs w:val="24"/>
          <w:highlight w:val="none"/>
        </w:rPr>
        <w:t>定的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41"/>
          <w:szCs w:val="24"/>
          <w:highlight w:val="none"/>
        </w:rPr>
        <w:t>、</w:t>
      </w:r>
      <w:r>
        <w:rPr>
          <w:rFonts w:hint="eastAsia" w:ascii="宋体" w:hAnsi="宋体" w:cs="宋体"/>
          <w:color w:val="auto"/>
          <w:szCs w:val="24"/>
          <w:highlight w:val="none"/>
        </w:rPr>
        <w:t>地 点组</w:t>
      </w:r>
      <w:r>
        <w:rPr>
          <w:rFonts w:hint="eastAsia" w:ascii="宋体" w:hAnsi="宋体" w:cs="宋体"/>
          <w:color w:val="auto"/>
          <w:spacing w:val="-2"/>
          <w:szCs w:val="24"/>
          <w:highlight w:val="none"/>
        </w:rPr>
        <w:t>织</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项</w:t>
      </w:r>
      <w:r>
        <w:rPr>
          <w:rFonts w:hint="eastAsia" w:ascii="宋体" w:hAnsi="宋体" w:cs="宋体"/>
          <w:color w:val="auto"/>
          <w:szCs w:val="24"/>
          <w:highlight w:val="none"/>
        </w:rPr>
        <w:t>目</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91"/>
          <w:szCs w:val="24"/>
          <w:highlight w:val="none"/>
        </w:rPr>
        <w:t>。</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未</w:t>
      </w:r>
      <w:r>
        <w:rPr>
          <w:rFonts w:hint="eastAsia" w:ascii="宋体" w:hAnsi="宋体" w:cs="宋体"/>
          <w:color w:val="auto"/>
          <w:szCs w:val="24"/>
          <w:highlight w:val="none"/>
        </w:rPr>
        <w:t>按</w:t>
      </w:r>
      <w:r>
        <w:rPr>
          <w:rFonts w:hint="eastAsia" w:ascii="宋体" w:hAnsi="宋体" w:cs="宋体"/>
          <w:color w:val="auto"/>
          <w:spacing w:val="-2"/>
          <w:szCs w:val="24"/>
          <w:highlight w:val="none"/>
        </w:rPr>
        <w:t>时</w:t>
      </w:r>
      <w:r>
        <w:rPr>
          <w:rFonts w:hint="eastAsia" w:ascii="宋体" w:hAnsi="宋体" w:cs="宋体"/>
          <w:color w:val="auto"/>
          <w:szCs w:val="24"/>
          <w:highlight w:val="none"/>
        </w:rPr>
        <w:t>参</w:t>
      </w:r>
      <w:r>
        <w:rPr>
          <w:rFonts w:hint="eastAsia" w:ascii="宋体" w:hAnsi="宋体" w:cs="宋体"/>
          <w:color w:val="auto"/>
          <w:spacing w:val="-2"/>
          <w:szCs w:val="24"/>
          <w:highlight w:val="none"/>
        </w:rPr>
        <w:t>加</w:t>
      </w:r>
      <w:r>
        <w:rPr>
          <w:rFonts w:hint="eastAsia" w:ascii="宋体" w:hAnsi="宋体" w:cs="宋体"/>
          <w:color w:val="auto"/>
          <w:szCs w:val="24"/>
          <w:highlight w:val="none"/>
        </w:rPr>
        <w:t>踏勘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场的，不</w:t>
      </w:r>
      <w:r>
        <w:rPr>
          <w:rFonts w:hint="eastAsia" w:ascii="宋体" w:hAnsi="宋体" w:cs="宋体"/>
          <w:color w:val="auto"/>
          <w:spacing w:val="-2"/>
          <w:szCs w:val="24"/>
          <w:highlight w:val="none"/>
        </w:rPr>
        <w:t>影</w:t>
      </w:r>
      <w:r>
        <w:rPr>
          <w:rFonts w:hint="eastAsia" w:ascii="宋体" w:hAnsi="宋体" w:cs="宋体"/>
          <w:color w:val="auto"/>
          <w:szCs w:val="24"/>
          <w:highlight w:val="none"/>
        </w:rPr>
        <w:t>响</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场的</w:t>
      </w:r>
      <w:r>
        <w:rPr>
          <w:rFonts w:hint="eastAsia" w:ascii="宋体" w:hAnsi="宋体" w:cs="宋体"/>
          <w:color w:val="auto"/>
          <w:spacing w:val="-2"/>
          <w:szCs w:val="24"/>
          <w:highlight w:val="none"/>
        </w:rPr>
        <w:t>正常进行</w:t>
      </w:r>
      <w:r>
        <w:rPr>
          <w:rFonts w:hint="eastAsia" w:ascii="宋体" w:hAnsi="宋体" w:cs="宋体"/>
          <w:color w:val="auto"/>
          <w:szCs w:val="24"/>
          <w:highlight w:val="none"/>
        </w:rPr>
        <w:t>。</w:t>
      </w:r>
    </w:p>
    <w:p>
      <w:pPr>
        <w:spacing w:before="6"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1.9.2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w:t>
      </w:r>
      <w:r>
        <w:rPr>
          <w:rFonts w:hint="eastAsia" w:ascii="宋体" w:hAnsi="宋体" w:cs="宋体"/>
          <w:color w:val="auto"/>
          <w:spacing w:val="-2"/>
          <w:szCs w:val="24"/>
          <w:highlight w:val="none"/>
        </w:rPr>
        <w:t>发生</w:t>
      </w:r>
      <w:r>
        <w:rPr>
          <w:rFonts w:hint="eastAsia" w:ascii="宋体" w:hAnsi="宋体" w:cs="宋体"/>
          <w:color w:val="auto"/>
          <w:szCs w:val="24"/>
          <w:highlight w:val="none"/>
        </w:rPr>
        <w:t>的费</w:t>
      </w:r>
      <w:r>
        <w:rPr>
          <w:rFonts w:hint="eastAsia" w:ascii="宋体" w:hAnsi="宋体" w:cs="宋体"/>
          <w:color w:val="auto"/>
          <w:spacing w:val="-2"/>
          <w:szCs w:val="24"/>
          <w:highlight w:val="none"/>
        </w:rPr>
        <w:t>用</w:t>
      </w:r>
      <w:r>
        <w:rPr>
          <w:rFonts w:hint="eastAsia" w:ascii="宋体" w:hAnsi="宋体" w:cs="宋体"/>
          <w:color w:val="auto"/>
          <w:szCs w:val="24"/>
          <w:highlight w:val="none"/>
        </w:rPr>
        <w:t>自</w:t>
      </w:r>
      <w:r>
        <w:rPr>
          <w:rFonts w:hint="eastAsia" w:ascii="宋体" w:hAnsi="宋体" w:cs="宋体"/>
          <w:color w:val="auto"/>
          <w:spacing w:val="-2"/>
          <w:szCs w:val="24"/>
          <w:highlight w:val="none"/>
        </w:rPr>
        <w:t>理</w:t>
      </w:r>
      <w:r>
        <w:rPr>
          <w:rFonts w:hint="eastAsia" w:ascii="宋体" w:hAnsi="宋体" w:cs="宋体"/>
          <w:color w:val="auto"/>
          <w:szCs w:val="24"/>
          <w:highlight w:val="none"/>
        </w:rPr>
        <w:t>。</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1.9.3</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原</w:t>
      </w:r>
      <w:r>
        <w:rPr>
          <w:rFonts w:hint="eastAsia" w:ascii="宋体" w:hAnsi="宋体" w:cs="宋体"/>
          <w:color w:val="auto"/>
          <w:szCs w:val="24"/>
          <w:highlight w:val="none"/>
        </w:rPr>
        <w:t>因</w:t>
      </w:r>
      <w:r>
        <w:rPr>
          <w:rFonts w:hint="eastAsia" w:ascii="宋体" w:hAnsi="宋体" w:cs="宋体"/>
          <w:color w:val="auto"/>
          <w:spacing w:val="-2"/>
          <w:szCs w:val="24"/>
          <w:highlight w:val="none"/>
        </w:rPr>
        <w:t>外，</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自</w:t>
      </w:r>
      <w:r>
        <w:rPr>
          <w:rFonts w:hint="eastAsia" w:ascii="宋体" w:hAnsi="宋体" w:cs="宋体"/>
          <w:color w:val="auto"/>
          <w:spacing w:val="-2"/>
          <w:szCs w:val="24"/>
          <w:highlight w:val="none"/>
        </w:rPr>
        <w:t>行</w:t>
      </w:r>
      <w:r>
        <w:rPr>
          <w:rFonts w:hint="eastAsia" w:ascii="宋体" w:hAnsi="宋体" w:cs="宋体"/>
          <w:color w:val="auto"/>
          <w:szCs w:val="24"/>
          <w:highlight w:val="none"/>
        </w:rPr>
        <w:t>负</w:t>
      </w:r>
      <w:r>
        <w:rPr>
          <w:rFonts w:hint="eastAsia" w:ascii="宋体" w:hAnsi="宋体" w:cs="宋体"/>
          <w:color w:val="auto"/>
          <w:spacing w:val="-2"/>
          <w:szCs w:val="24"/>
          <w:highlight w:val="none"/>
        </w:rPr>
        <w:t>责</w:t>
      </w:r>
      <w:r>
        <w:rPr>
          <w:rFonts w:hint="eastAsia" w:ascii="宋体" w:hAnsi="宋体" w:cs="宋体"/>
          <w:color w:val="auto"/>
          <w:szCs w:val="24"/>
          <w:highlight w:val="none"/>
        </w:rPr>
        <w:t>在</w:t>
      </w:r>
      <w:r>
        <w:rPr>
          <w:rFonts w:hint="eastAsia" w:ascii="宋体" w:hAnsi="宋体" w:cs="宋体"/>
          <w:color w:val="auto"/>
          <w:spacing w:val="-2"/>
          <w:szCs w:val="24"/>
          <w:highlight w:val="none"/>
        </w:rPr>
        <w:t>踏</w:t>
      </w:r>
      <w:r>
        <w:rPr>
          <w:rFonts w:hint="eastAsia" w:ascii="宋体" w:hAnsi="宋体" w:cs="宋体"/>
          <w:color w:val="auto"/>
          <w:szCs w:val="24"/>
          <w:highlight w:val="none"/>
        </w:rPr>
        <w:t>勘</w:t>
      </w:r>
      <w:r>
        <w:rPr>
          <w:rFonts w:hint="eastAsia" w:ascii="宋体" w:hAnsi="宋体" w:cs="宋体"/>
          <w:color w:val="auto"/>
          <w:spacing w:val="-2"/>
          <w:szCs w:val="24"/>
          <w:highlight w:val="none"/>
        </w:rPr>
        <w:t>现</w:t>
      </w:r>
      <w:r>
        <w:rPr>
          <w:rFonts w:hint="eastAsia" w:ascii="宋体" w:hAnsi="宋体" w:cs="宋体"/>
          <w:color w:val="auto"/>
          <w:szCs w:val="24"/>
          <w:highlight w:val="none"/>
        </w:rPr>
        <w:t>场中</w:t>
      </w:r>
      <w:r>
        <w:rPr>
          <w:rFonts w:hint="eastAsia" w:ascii="宋体" w:hAnsi="宋体" w:cs="宋体"/>
          <w:color w:val="auto"/>
          <w:spacing w:val="-2"/>
          <w:szCs w:val="24"/>
          <w:highlight w:val="none"/>
        </w:rPr>
        <w:t>所</w:t>
      </w:r>
      <w:r>
        <w:rPr>
          <w:rFonts w:hint="eastAsia" w:ascii="宋体" w:hAnsi="宋体" w:cs="宋体"/>
          <w:color w:val="auto"/>
          <w:szCs w:val="24"/>
          <w:highlight w:val="none"/>
        </w:rPr>
        <w:t>发</w:t>
      </w:r>
      <w:r>
        <w:rPr>
          <w:rFonts w:hint="eastAsia" w:ascii="宋体" w:hAnsi="宋体" w:cs="宋体"/>
          <w:color w:val="auto"/>
          <w:spacing w:val="-2"/>
          <w:szCs w:val="24"/>
          <w:highlight w:val="none"/>
        </w:rPr>
        <w:t>生</w:t>
      </w:r>
      <w:r>
        <w:rPr>
          <w:rFonts w:hint="eastAsia" w:ascii="宋体" w:hAnsi="宋体" w:cs="宋体"/>
          <w:color w:val="auto"/>
          <w:szCs w:val="24"/>
          <w:highlight w:val="none"/>
        </w:rPr>
        <w:t>的</w:t>
      </w:r>
      <w:r>
        <w:rPr>
          <w:rFonts w:hint="eastAsia" w:ascii="宋体" w:hAnsi="宋体" w:cs="宋体"/>
          <w:color w:val="auto"/>
          <w:spacing w:val="-2"/>
          <w:szCs w:val="24"/>
          <w:highlight w:val="none"/>
        </w:rPr>
        <w:t>人</w:t>
      </w:r>
      <w:r>
        <w:rPr>
          <w:rFonts w:hint="eastAsia" w:ascii="宋体" w:hAnsi="宋体" w:cs="宋体"/>
          <w:color w:val="auto"/>
          <w:szCs w:val="24"/>
          <w:highlight w:val="none"/>
        </w:rPr>
        <w:t>员</w:t>
      </w:r>
      <w:r>
        <w:rPr>
          <w:rFonts w:hint="eastAsia" w:ascii="宋体" w:hAnsi="宋体" w:cs="宋体"/>
          <w:color w:val="auto"/>
          <w:spacing w:val="-2"/>
          <w:szCs w:val="24"/>
          <w:highlight w:val="none"/>
        </w:rPr>
        <w:t>伤</w:t>
      </w:r>
      <w:r>
        <w:rPr>
          <w:rFonts w:hint="eastAsia" w:ascii="宋体" w:hAnsi="宋体" w:cs="宋体"/>
          <w:color w:val="auto"/>
          <w:szCs w:val="24"/>
          <w:highlight w:val="none"/>
        </w:rPr>
        <w:t>亡</w:t>
      </w:r>
      <w:r>
        <w:rPr>
          <w:rFonts w:hint="eastAsia" w:ascii="宋体" w:hAnsi="宋体" w:cs="宋体"/>
          <w:color w:val="auto"/>
          <w:spacing w:val="-2"/>
          <w:szCs w:val="24"/>
          <w:highlight w:val="none"/>
        </w:rPr>
        <w:t>和</w:t>
      </w:r>
      <w:r>
        <w:rPr>
          <w:rFonts w:hint="eastAsia" w:ascii="宋体" w:hAnsi="宋体" w:cs="宋体"/>
          <w:color w:val="auto"/>
          <w:szCs w:val="24"/>
          <w:highlight w:val="none"/>
        </w:rPr>
        <w:t>财产</w:t>
      </w:r>
      <w:r>
        <w:rPr>
          <w:rFonts w:hint="eastAsia" w:ascii="宋体" w:hAnsi="宋体" w:cs="宋体"/>
          <w:color w:val="auto"/>
          <w:spacing w:val="-2"/>
          <w:szCs w:val="24"/>
          <w:highlight w:val="none"/>
        </w:rPr>
        <w:t>损</w:t>
      </w:r>
      <w:r>
        <w:rPr>
          <w:rFonts w:hint="eastAsia" w:ascii="宋体" w:hAnsi="宋体" w:cs="宋体"/>
          <w:color w:val="auto"/>
          <w:szCs w:val="24"/>
          <w:highlight w:val="none"/>
        </w:rPr>
        <w:t>失。</w:t>
      </w:r>
    </w:p>
    <w:p>
      <w:pPr>
        <w:spacing w:before="39" w:line="276" w:lineRule="auto"/>
        <w:ind w:left="100" w:right="39" w:firstLine="420"/>
        <w:jc w:val="left"/>
        <w:rPr>
          <w:rFonts w:ascii="宋体" w:hAnsi="宋体" w:cs="宋体"/>
          <w:color w:val="auto"/>
          <w:szCs w:val="24"/>
          <w:highlight w:val="none"/>
        </w:rPr>
      </w:pPr>
      <w:r>
        <w:rPr>
          <w:rFonts w:hint="eastAsia" w:ascii="宋体" w:hAnsi="宋体" w:cs="宋体"/>
          <w:color w:val="auto"/>
          <w:szCs w:val="24"/>
          <w:highlight w:val="none"/>
        </w:rPr>
        <w:t>1.9.4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踏</w:t>
      </w:r>
      <w:r>
        <w:rPr>
          <w:rFonts w:hint="eastAsia" w:ascii="宋体" w:hAnsi="宋体" w:cs="宋体"/>
          <w:color w:val="auto"/>
          <w:spacing w:val="-2"/>
          <w:szCs w:val="24"/>
          <w:highlight w:val="none"/>
        </w:rPr>
        <w:t>勘</w:t>
      </w:r>
      <w:r>
        <w:rPr>
          <w:rFonts w:hint="eastAsia" w:ascii="宋体" w:hAnsi="宋体" w:cs="宋体"/>
          <w:color w:val="auto"/>
          <w:szCs w:val="24"/>
          <w:highlight w:val="none"/>
        </w:rPr>
        <w:t>现</w:t>
      </w:r>
      <w:r>
        <w:rPr>
          <w:rFonts w:hint="eastAsia" w:ascii="宋体" w:hAnsi="宋体" w:cs="宋体"/>
          <w:color w:val="auto"/>
          <w:spacing w:val="-2"/>
          <w:szCs w:val="24"/>
          <w:highlight w:val="none"/>
        </w:rPr>
        <w:t>场中</w:t>
      </w:r>
      <w:r>
        <w:rPr>
          <w:rFonts w:hint="eastAsia" w:ascii="宋体" w:hAnsi="宋体" w:cs="宋体"/>
          <w:color w:val="auto"/>
          <w:szCs w:val="24"/>
          <w:highlight w:val="none"/>
        </w:rPr>
        <w:t>介绍</w:t>
      </w:r>
      <w:r>
        <w:rPr>
          <w:rFonts w:hint="eastAsia" w:ascii="宋体" w:hAnsi="宋体" w:cs="宋体"/>
          <w:color w:val="auto"/>
          <w:spacing w:val="-2"/>
          <w:szCs w:val="24"/>
          <w:highlight w:val="none"/>
        </w:rPr>
        <w:t>的</w:t>
      </w:r>
      <w:r>
        <w:rPr>
          <w:rFonts w:hint="eastAsia" w:ascii="宋体" w:hAnsi="宋体" w:cs="宋体"/>
          <w:color w:val="auto"/>
          <w:szCs w:val="24"/>
          <w:highlight w:val="none"/>
        </w:rPr>
        <w:t>工</w:t>
      </w:r>
      <w:r>
        <w:rPr>
          <w:rFonts w:hint="eastAsia" w:ascii="宋体" w:hAnsi="宋体" w:cs="宋体"/>
          <w:color w:val="auto"/>
          <w:spacing w:val="-2"/>
          <w:szCs w:val="24"/>
          <w:highlight w:val="none"/>
        </w:rPr>
        <w:t>程</w:t>
      </w:r>
      <w:r>
        <w:rPr>
          <w:rFonts w:hint="eastAsia" w:ascii="宋体" w:hAnsi="宋体" w:cs="宋体"/>
          <w:color w:val="auto"/>
          <w:szCs w:val="24"/>
          <w:highlight w:val="none"/>
        </w:rPr>
        <w:t>场</w:t>
      </w:r>
      <w:r>
        <w:rPr>
          <w:rFonts w:hint="eastAsia" w:ascii="宋体" w:hAnsi="宋体" w:cs="宋体"/>
          <w:color w:val="auto"/>
          <w:spacing w:val="-2"/>
          <w:szCs w:val="24"/>
          <w:highlight w:val="none"/>
        </w:rPr>
        <w:t>地</w:t>
      </w:r>
      <w:r>
        <w:rPr>
          <w:rFonts w:hint="eastAsia" w:ascii="宋体" w:hAnsi="宋体" w:cs="宋体"/>
          <w:color w:val="auto"/>
          <w:szCs w:val="24"/>
          <w:highlight w:val="none"/>
        </w:rPr>
        <w:t>和</w:t>
      </w:r>
      <w:r>
        <w:rPr>
          <w:rFonts w:hint="eastAsia" w:ascii="宋体" w:hAnsi="宋体" w:cs="宋体"/>
          <w:color w:val="auto"/>
          <w:spacing w:val="-2"/>
          <w:szCs w:val="24"/>
          <w:highlight w:val="none"/>
        </w:rPr>
        <w:t>相</w:t>
      </w:r>
      <w:r>
        <w:rPr>
          <w:rFonts w:hint="eastAsia" w:ascii="宋体" w:hAnsi="宋体" w:cs="宋体"/>
          <w:color w:val="auto"/>
          <w:szCs w:val="24"/>
          <w:highlight w:val="none"/>
        </w:rPr>
        <w:t>关</w:t>
      </w:r>
      <w:r>
        <w:rPr>
          <w:rFonts w:hint="eastAsia" w:ascii="宋体" w:hAnsi="宋体" w:cs="宋体"/>
          <w:color w:val="auto"/>
          <w:spacing w:val="-2"/>
          <w:szCs w:val="24"/>
          <w:highlight w:val="none"/>
        </w:rPr>
        <w:t>的</w:t>
      </w:r>
      <w:r>
        <w:rPr>
          <w:rFonts w:hint="eastAsia" w:ascii="宋体" w:hAnsi="宋体" w:cs="宋体"/>
          <w:color w:val="auto"/>
          <w:szCs w:val="24"/>
          <w:highlight w:val="none"/>
        </w:rPr>
        <w:t>周边</w:t>
      </w:r>
      <w:r>
        <w:rPr>
          <w:rFonts w:hint="eastAsia" w:ascii="宋体" w:hAnsi="宋体" w:cs="宋体"/>
          <w:color w:val="auto"/>
          <w:spacing w:val="-2"/>
          <w:szCs w:val="24"/>
          <w:highlight w:val="none"/>
        </w:rPr>
        <w:t>环</w:t>
      </w:r>
      <w:r>
        <w:rPr>
          <w:rFonts w:hint="eastAsia" w:ascii="宋体" w:hAnsi="宋体" w:cs="宋体"/>
          <w:color w:val="auto"/>
          <w:szCs w:val="24"/>
          <w:highlight w:val="none"/>
        </w:rPr>
        <w:t>境</w:t>
      </w:r>
      <w:r>
        <w:rPr>
          <w:rFonts w:hint="eastAsia" w:ascii="宋体" w:hAnsi="宋体" w:cs="宋体"/>
          <w:color w:val="auto"/>
          <w:spacing w:val="-2"/>
          <w:szCs w:val="24"/>
          <w:highlight w:val="none"/>
        </w:rPr>
        <w:t>情况</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供</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编制</w:t>
      </w:r>
      <w:r>
        <w:rPr>
          <w:rFonts w:hint="eastAsia" w:ascii="宋体" w:hAnsi="宋体" w:cs="宋体"/>
          <w:color w:val="auto"/>
          <w:spacing w:val="-2"/>
          <w:szCs w:val="24"/>
          <w:highlight w:val="none"/>
        </w:rPr>
        <w:t>投</w:t>
      </w:r>
      <w:r>
        <w:rPr>
          <w:rFonts w:hint="eastAsia" w:ascii="宋体" w:hAnsi="宋体" w:cs="宋体"/>
          <w:color w:val="auto"/>
          <w:szCs w:val="24"/>
          <w:highlight w:val="none"/>
        </w:rPr>
        <w:t>标文 件时</w:t>
      </w:r>
      <w:r>
        <w:rPr>
          <w:rFonts w:hint="eastAsia" w:ascii="宋体" w:hAnsi="宋体" w:cs="宋体"/>
          <w:color w:val="auto"/>
          <w:spacing w:val="-2"/>
          <w:szCs w:val="24"/>
          <w:highlight w:val="none"/>
        </w:rPr>
        <w:t>参</w:t>
      </w:r>
      <w:r>
        <w:rPr>
          <w:rFonts w:hint="eastAsia" w:ascii="宋体" w:hAnsi="宋体" w:cs="宋体"/>
          <w:color w:val="auto"/>
          <w:szCs w:val="24"/>
          <w:highlight w:val="none"/>
        </w:rPr>
        <w:t>考</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不</w:t>
      </w:r>
      <w:r>
        <w:rPr>
          <w:rFonts w:hint="eastAsia" w:ascii="宋体" w:hAnsi="宋体" w:cs="宋体"/>
          <w:color w:val="auto"/>
          <w:szCs w:val="24"/>
          <w:highlight w:val="none"/>
        </w:rPr>
        <w:t>对</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据</w:t>
      </w:r>
      <w:r>
        <w:rPr>
          <w:rFonts w:hint="eastAsia" w:ascii="宋体" w:hAnsi="宋体" w:cs="宋体"/>
          <w:color w:val="auto"/>
          <w:szCs w:val="24"/>
          <w:highlight w:val="none"/>
        </w:rPr>
        <w:t>此</w:t>
      </w:r>
      <w:r>
        <w:rPr>
          <w:rFonts w:hint="eastAsia" w:ascii="宋体" w:hAnsi="宋体" w:cs="宋体"/>
          <w:color w:val="auto"/>
          <w:spacing w:val="-2"/>
          <w:szCs w:val="24"/>
          <w:highlight w:val="none"/>
        </w:rPr>
        <w:t>作</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判</w:t>
      </w:r>
      <w:r>
        <w:rPr>
          <w:rFonts w:hint="eastAsia" w:ascii="宋体" w:hAnsi="宋体" w:cs="宋体"/>
          <w:color w:val="auto"/>
          <w:spacing w:val="-2"/>
          <w:szCs w:val="24"/>
          <w:highlight w:val="none"/>
        </w:rPr>
        <w:t>断</w:t>
      </w:r>
      <w:r>
        <w:rPr>
          <w:rFonts w:hint="eastAsia" w:ascii="宋体" w:hAnsi="宋体" w:cs="宋体"/>
          <w:color w:val="auto"/>
          <w:szCs w:val="24"/>
          <w:highlight w:val="none"/>
        </w:rPr>
        <w:t>和</w:t>
      </w:r>
      <w:r>
        <w:rPr>
          <w:rFonts w:hint="eastAsia" w:ascii="宋体" w:hAnsi="宋体" w:cs="宋体"/>
          <w:color w:val="auto"/>
          <w:spacing w:val="-2"/>
          <w:szCs w:val="24"/>
          <w:highlight w:val="none"/>
        </w:rPr>
        <w:t>决</w:t>
      </w:r>
      <w:r>
        <w:rPr>
          <w:rFonts w:hint="eastAsia" w:ascii="宋体" w:hAnsi="宋体" w:cs="宋体"/>
          <w:color w:val="auto"/>
          <w:szCs w:val="24"/>
          <w:highlight w:val="none"/>
        </w:rPr>
        <w:t>策负</w:t>
      </w:r>
      <w:r>
        <w:rPr>
          <w:rFonts w:hint="eastAsia" w:ascii="宋体" w:hAnsi="宋体" w:cs="宋体"/>
          <w:color w:val="auto"/>
          <w:spacing w:val="-2"/>
          <w:szCs w:val="24"/>
          <w:highlight w:val="none"/>
        </w:rPr>
        <w:t>责</w:t>
      </w:r>
      <w:r>
        <w:rPr>
          <w:rFonts w:hint="eastAsia" w:ascii="宋体" w:hAnsi="宋体" w:cs="宋体"/>
          <w:color w:val="auto"/>
          <w:szCs w:val="24"/>
          <w:highlight w:val="none"/>
        </w:rPr>
        <w:t>。</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0</w:t>
      </w:r>
      <w:r>
        <w:rPr>
          <w:rFonts w:hint="eastAsia" w:ascii="宋体" w:hAnsi="宋体" w:cs="宋体"/>
          <w:color w:val="auto"/>
          <w:spacing w:val="-2"/>
          <w:sz w:val="28"/>
          <w:szCs w:val="24"/>
          <w:highlight w:val="none"/>
        </w:rPr>
        <w:t xml:space="preserve"> </w:t>
      </w:r>
      <w:r>
        <w:rPr>
          <w:rFonts w:hint="eastAsia" w:ascii="宋体" w:hAnsi="宋体" w:cs="宋体"/>
          <w:color w:val="auto"/>
          <w:sz w:val="28"/>
          <w:szCs w:val="24"/>
          <w:highlight w:val="none"/>
        </w:rPr>
        <w:t>投标预备会</w:t>
      </w:r>
    </w:p>
    <w:p>
      <w:pPr>
        <w:spacing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 xml:space="preserve">1.10.1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人须知前附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规定召开投标预备会</w:t>
      </w:r>
      <w:r>
        <w:rPr>
          <w:rFonts w:hint="eastAsia" w:ascii="宋体" w:hAnsi="宋体" w:cs="宋体"/>
          <w:color w:val="auto"/>
          <w:spacing w:val="-2"/>
          <w:szCs w:val="24"/>
          <w:highlight w:val="none"/>
        </w:rPr>
        <w:t>的，</w:t>
      </w:r>
      <w:r>
        <w:rPr>
          <w:rFonts w:hint="eastAsia" w:ascii="宋体" w:hAnsi="宋体" w:cs="宋体"/>
          <w:color w:val="auto"/>
          <w:szCs w:val="24"/>
          <w:highlight w:val="none"/>
        </w:rPr>
        <w:t>招标人按投标人须知</w:t>
      </w:r>
      <w:r>
        <w:rPr>
          <w:rFonts w:hint="eastAsia" w:ascii="宋体" w:hAnsi="宋体" w:cs="宋体"/>
          <w:color w:val="auto"/>
          <w:spacing w:val="-2"/>
          <w:szCs w:val="24"/>
          <w:highlight w:val="none"/>
        </w:rPr>
        <w:t>前附</w:t>
      </w:r>
      <w:r>
        <w:rPr>
          <w:rFonts w:hint="eastAsia" w:ascii="宋体" w:hAnsi="宋体" w:cs="宋体"/>
          <w:color w:val="auto"/>
          <w:szCs w:val="24"/>
          <w:highlight w:val="none"/>
        </w:rPr>
        <w:t>表规定的时间 和地</w:t>
      </w:r>
      <w:r>
        <w:rPr>
          <w:rFonts w:hint="eastAsia" w:ascii="宋体" w:hAnsi="宋体" w:cs="宋体"/>
          <w:color w:val="auto"/>
          <w:spacing w:val="-2"/>
          <w:szCs w:val="24"/>
          <w:highlight w:val="none"/>
        </w:rPr>
        <w:t>点</w:t>
      </w:r>
      <w:r>
        <w:rPr>
          <w:rFonts w:hint="eastAsia" w:ascii="宋体" w:hAnsi="宋体" w:cs="宋体"/>
          <w:color w:val="auto"/>
          <w:szCs w:val="24"/>
          <w:highlight w:val="none"/>
        </w:rPr>
        <w:t>召</w:t>
      </w:r>
      <w:r>
        <w:rPr>
          <w:rFonts w:hint="eastAsia" w:ascii="宋体" w:hAnsi="宋体" w:cs="宋体"/>
          <w:color w:val="auto"/>
          <w:spacing w:val="-2"/>
          <w:szCs w:val="24"/>
          <w:highlight w:val="none"/>
        </w:rPr>
        <w:t>开</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w:t>
      </w:r>
      <w:r>
        <w:rPr>
          <w:rFonts w:hint="eastAsia" w:ascii="宋体" w:hAnsi="宋体" w:cs="宋体"/>
          <w:color w:val="auto"/>
          <w:spacing w:val="-2"/>
          <w:szCs w:val="24"/>
          <w:highlight w:val="none"/>
        </w:rPr>
        <w:t>备</w:t>
      </w:r>
      <w:r>
        <w:rPr>
          <w:rFonts w:hint="eastAsia" w:ascii="宋体" w:hAnsi="宋体" w:cs="宋体"/>
          <w:color w:val="auto"/>
          <w:szCs w:val="24"/>
          <w:highlight w:val="none"/>
        </w:rPr>
        <w:t>会</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提</w:t>
      </w:r>
      <w:r>
        <w:rPr>
          <w:rFonts w:hint="eastAsia" w:ascii="宋体" w:hAnsi="宋体" w:cs="宋体"/>
          <w:color w:val="auto"/>
          <w:spacing w:val="-2"/>
          <w:szCs w:val="24"/>
          <w:highlight w:val="none"/>
        </w:rPr>
        <w:t>出</w:t>
      </w:r>
      <w:r>
        <w:rPr>
          <w:rFonts w:hint="eastAsia" w:ascii="宋体" w:hAnsi="宋体" w:cs="宋体"/>
          <w:color w:val="auto"/>
          <w:szCs w:val="24"/>
          <w:highlight w:val="none"/>
        </w:rPr>
        <w:t>的</w:t>
      </w:r>
      <w:r>
        <w:rPr>
          <w:rFonts w:hint="eastAsia" w:ascii="宋体" w:hAnsi="宋体" w:cs="宋体"/>
          <w:color w:val="auto"/>
          <w:spacing w:val="-2"/>
          <w:szCs w:val="24"/>
          <w:highlight w:val="none"/>
        </w:rPr>
        <w:t>问</w:t>
      </w:r>
      <w:r>
        <w:rPr>
          <w:rFonts w:hint="eastAsia" w:ascii="宋体" w:hAnsi="宋体" w:cs="宋体"/>
          <w:color w:val="auto"/>
          <w:szCs w:val="24"/>
          <w:highlight w:val="none"/>
        </w:rPr>
        <w:t>题。</w:t>
      </w:r>
    </w:p>
    <w:p>
      <w:pPr>
        <w:spacing w:before="11" w:line="276" w:lineRule="auto"/>
        <w:ind w:left="100" w:right="42" w:firstLine="420"/>
        <w:jc w:val="left"/>
        <w:rPr>
          <w:rFonts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人应按投标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须知前附表规定的时</w:t>
      </w:r>
      <w:r>
        <w:rPr>
          <w:rFonts w:hint="eastAsia" w:ascii="宋体" w:hAnsi="宋体" w:cs="宋体"/>
          <w:color w:val="auto"/>
          <w:spacing w:val="-2"/>
          <w:szCs w:val="24"/>
          <w:highlight w:val="none"/>
        </w:rPr>
        <w:t>间和</w:t>
      </w:r>
      <w:r>
        <w:rPr>
          <w:rFonts w:hint="eastAsia" w:ascii="宋体" w:hAnsi="宋体" w:cs="宋体"/>
          <w:color w:val="auto"/>
          <w:szCs w:val="24"/>
          <w:highlight w:val="none"/>
        </w:rPr>
        <w:t>形式将提出的问题送</w:t>
      </w:r>
      <w:r>
        <w:rPr>
          <w:rFonts w:hint="eastAsia" w:ascii="宋体" w:hAnsi="宋体" w:cs="宋体"/>
          <w:color w:val="auto"/>
          <w:spacing w:val="-2"/>
          <w:szCs w:val="24"/>
          <w:highlight w:val="none"/>
        </w:rPr>
        <w:t>达招</w:t>
      </w:r>
      <w:r>
        <w:rPr>
          <w:rFonts w:hint="eastAsia" w:ascii="宋体" w:hAnsi="宋体" w:cs="宋体"/>
          <w:color w:val="auto"/>
          <w:szCs w:val="24"/>
          <w:highlight w:val="none"/>
        </w:rPr>
        <w:t>标人，以便招 标人</w:t>
      </w:r>
      <w:r>
        <w:rPr>
          <w:rFonts w:hint="eastAsia" w:ascii="宋体" w:hAnsi="宋体" w:cs="宋体"/>
          <w:color w:val="auto"/>
          <w:spacing w:val="-2"/>
          <w:szCs w:val="24"/>
          <w:highlight w:val="none"/>
        </w:rPr>
        <w:t>在</w:t>
      </w:r>
      <w:r>
        <w:rPr>
          <w:rFonts w:hint="eastAsia" w:ascii="宋体" w:hAnsi="宋体" w:cs="宋体"/>
          <w:color w:val="auto"/>
          <w:szCs w:val="24"/>
          <w:highlight w:val="none"/>
        </w:rPr>
        <w:t>会</w:t>
      </w:r>
      <w:r>
        <w:rPr>
          <w:rFonts w:hint="eastAsia" w:ascii="宋体" w:hAnsi="宋体" w:cs="宋体"/>
          <w:color w:val="auto"/>
          <w:spacing w:val="-2"/>
          <w:szCs w:val="24"/>
          <w:highlight w:val="none"/>
        </w:rPr>
        <w:t>议</w:t>
      </w:r>
      <w:r>
        <w:rPr>
          <w:rFonts w:hint="eastAsia" w:ascii="宋体" w:hAnsi="宋体" w:cs="宋体"/>
          <w:color w:val="auto"/>
          <w:szCs w:val="24"/>
          <w:highlight w:val="none"/>
        </w:rPr>
        <w:t>期</w:t>
      </w:r>
      <w:r>
        <w:rPr>
          <w:rFonts w:hint="eastAsia" w:ascii="宋体" w:hAnsi="宋体" w:cs="宋体"/>
          <w:color w:val="auto"/>
          <w:spacing w:val="-2"/>
          <w:szCs w:val="24"/>
          <w:highlight w:val="none"/>
        </w:rPr>
        <w:t>间</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pPr>
        <w:spacing w:before="6" w:line="276" w:lineRule="auto"/>
        <w:ind w:left="100" w:right="43" w:firstLine="420"/>
        <w:jc w:val="left"/>
        <w:rPr>
          <w:rFonts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预备会后，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标人将对投标人所提</w:t>
      </w:r>
      <w:r>
        <w:rPr>
          <w:rFonts w:hint="eastAsia" w:ascii="宋体" w:hAnsi="宋体" w:cs="宋体"/>
          <w:color w:val="auto"/>
          <w:spacing w:val="-2"/>
          <w:szCs w:val="24"/>
          <w:highlight w:val="none"/>
        </w:rPr>
        <w:t>问题</w:t>
      </w:r>
      <w:r>
        <w:rPr>
          <w:rFonts w:hint="eastAsia" w:ascii="宋体" w:hAnsi="宋体" w:cs="宋体"/>
          <w:color w:val="auto"/>
          <w:szCs w:val="24"/>
          <w:highlight w:val="none"/>
        </w:rPr>
        <w:t>的澄清，以投标人须</w:t>
      </w:r>
      <w:r>
        <w:rPr>
          <w:rFonts w:hint="eastAsia" w:ascii="宋体" w:hAnsi="宋体" w:cs="宋体"/>
          <w:color w:val="auto"/>
          <w:spacing w:val="-2"/>
          <w:szCs w:val="24"/>
          <w:highlight w:val="none"/>
        </w:rPr>
        <w:t>知前</w:t>
      </w:r>
      <w:r>
        <w:rPr>
          <w:rFonts w:hint="eastAsia" w:ascii="宋体" w:hAnsi="宋体" w:cs="宋体"/>
          <w:color w:val="auto"/>
          <w:szCs w:val="24"/>
          <w:highlight w:val="none"/>
        </w:rPr>
        <w:t>附表规定的形式通</w:t>
      </w:r>
      <w:r>
        <w:rPr>
          <w:rFonts w:hint="eastAsia" w:ascii="宋体" w:hAnsi="宋体" w:cs="宋体"/>
          <w:color w:val="auto"/>
          <w:spacing w:val="-2"/>
          <w:szCs w:val="24"/>
          <w:highlight w:val="none"/>
        </w:rPr>
        <w:t>知</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w:t>
      </w:r>
      <w:r>
        <w:rPr>
          <w:rFonts w:hint="eastAsia" w:ascii="宋体" w:hAnsi="宋体" w:cs="宋体"/>
          <w:color w:val="auto"/>
          <w:szCs w:val="24"/>
          <w:highlight w:val="none"/>
        </w:rPr>
        <w:t>该</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内</w:t>
      </w:r>
      <w:r>
        <w:rPr>
          <w:rFonts w:hint="eastAsia" w:ascii="宋体" w:hAnsi="宋体" w:cs="宋体"/>
          <w:color w:val="auto"/>
          <w:szCs w:val="24"/>
          <w:highlight w:val="none"/>
        </w:rPr>
        <w:t>容</w:t>
      </w:r>
      <w:r>
        <w:rPr>
          <w:rFonts w:hint="eastAsia" w:ascii="宋体" w:hAnsi="宋体" w:cs="宋体"/>
          <w:color w:val="auto"/>
          <w:spacing w:val="-2"/>
          <w:szCs w:val="24"/>
          <w:highlight w:val="none"/>
        </w:rPr>
        <w:t>为</w:t>
      </w:r>
      <w:r>
        <w:rPr>
          <w:rFonts w:hint="eastAsia" w:ascii="宋体" w:hAnsi="宋体" w:cs="宋体"/>
          <w:color w:val="auto"/>
          <w:szCs w:val="24"/>
          <w:highlight w:val="none"/>
        </w:rPr>
        <w:t>招标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组</w:t>
      </w:r>
      <w:r>
        <w:rPr>
          <w:rFonts w:hint="eastAsia" w:ascii="宋体" w:hAnsi="宋体" w:cs="宋体"/>
          <w:color w:val="auto"/>
          <w:spacing w:val="-2"/>
          <w:szCs w:val="24"/>
          <w:highlight w:val="none"/>
        </w:rPr>
        <w:t>成</w:t>
      </w:r>
      <w:r>
        <w:rPr>
          <w:rFonts w:hint="eastAsia" w:ascii="宋体" w:hAnsi="宋体" w:cs="宋体"/>
          <w:color w:val="auto"/>
          <w:szCs w:val="24"/>
          <w:highlight w:val="none"/>
        </w:rPr>
        <w:t>部</w:t>
      </w:r>
      <w:r>
        <w:rPr>
          <w:rFonts w:hint="eastAsia" w:ascii="宋体" w:hAnsi="宋体" w:cs="宋体"/>
          <w:color w:val="auto"/>
          <w:spacing w:val="-2"/>
          <w:szCs w:val="24"/>
          <w:highlight w:val="none"/>
        </w:rPr>
        <w:t>分</w:t>
      </w:r>
      <w:r>
        <w:rPr>
          <w:rFonts w:hint="eastAsia" w:ascii="宋体" w:hAnsi="宋体" w:cs="宋体"/>
          <w:color w:val="auto"/>
          <w:szCs w:val="24"/>
          <w:highlight w:val="none"/>
        </w:rPr>
        <w:t>。</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1</w:t>
      </w:r>
      <w:r>
        <w:rPr>
          <w:rFonts w:hint="eastAsia" w:ascii="宋体" w:hAnsi="宋体" w:cs="宋体"/>
          <w:color w:val="auto"/>
          <w:position w:val="-1"/>
          <w:sz w:val="28"/>
          <w:szCs w:val="24"/>
          <w:highlight w:val="none"/>
        </w:rPr>
        <w:t>.</w:t>
      </w:r>
      <w:r>
        <w:rPr>
          <w:rFonts w:hint="eastAsia" w:ascii="宋体" w:hAnsi="宋体" w:cs="宋体"/>
          <w:color w:val="auto"/>
          <w:spacing w:val="-12"/>
          <w:position w:val="-1"/>
          <w:sz w:val="28"/>
          <w:szCs w:val="24"/>
          <w:highlight w:val="none"/>
        </w:rPr>
        <w:t>1</w:t>
      </w:r>
      <w:r>
        <w:rPr>
          <w:rFonts w:hint="eastAsia" w:ascii="宋体" w:hAnsi="宋体" w:cs="宋体"/>
          <w:color w:val="auto"/>
          <w:position w:val="-1"/>
          <w:sz w:val="28"/>
          <w:szCs w:val="24"/>
          <w:highlight w:val="none"/>
        </w:rPr>
        <w:t>1</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分包</w:t>
      </w:r>
    </w:p>
    <w:p>
      <w:pPr>
        <w:spacing w:line="276"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如承包单位不具备承担本项目的相应资质，本项</w:t>
      </w:r>
      <w:r>
        <w:rPr>
          <w:rFonts w:hint="eastAsia" w:ascii="宋体" w:hAnsi="宋体" w:cs="宋体"/>
          <w:color w:val="auto"/>
          <w:spacing w:val="-2"/>
          <w:szCs w:val="24"/>
          <w:highlight w:val="none"/>
        </w:rPr>
        <w:t>目</w:t>
      </w:r>
      <w:r>
        <w:rPr>
          <w:rFonts w:hint="eastAsia" w:ascii="宋体" w:hAnsi="宋体" w:cs="宋体"/>
          <w:color w:val="auto"/>
          <w:szCs w:val="24"/>
          <w:highlight w:val="none"/>
        </w:rPr>
        <w:t>应将本项目中的工程部分发包给具有相应资质条件的分包单位</w:t>
      </w:r>
      <w:r>
        <w:rPr>
          <w:rFonts w:hint="eastAsia" w:ascii="宋体" w:hAnsi="宋体" w:cs="宋体"/>
          <w:color w:val="auto"/>
          <w:spacing w:val="-2"/>
          <w:szCs w:val="24"/>
          <w:highlight w:val="none"/>
        </w:rPr>
        <w:t>承包，其他情况严禁分包</w:t>
      </w:r>
      <w:r>
        <w:rPr>
          <w:rFonts w:hint="eastAsia" w:ascii="宋体" w:hAnsi="宋体" w:cs="宋体"/>
          <w:color w:val="auto"/>
          <w:szCs w:val="24"/>
          <w:highlight w:val="none"/>
        </w:rPr>
        <w:t>。</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1</w:t>
      </w:r>
      <w:r>
        <w:rPr>
          <w:rFonts w:hint="eastAsia" w:ascii="宋体" w:hAnsi="宋体" w:cs="宋体"/>
          <w:color w:val="auto"/>
          <w:sz w:val="28"/>
          <w:szCs w:val="24"/>
          <w:highlight w:val="none"/>
        </w:rPr>
        <w:t>.</w:t>
      </w:r>
      <w:r>
        <w:rPr>
          <w:rFonts w:hint="eastAsia" w:ascii="宋体" w:hAnsi="宋体" w:cs="宋体"/>
          <w:color w:val="auto"/>
          <w:spacing w:val="-2"/>
          <w:sz w:val="28"/>
          <w:szCs w:val="24"/>
          <w:highlight w:val="none"/>
        </w:rPr>
        <w:t>1</w:t>
      </w:r>
      <w:r>
        <w:rPr>
          <w:rFonts w:hint="eastAsia" w:ascii="宋体" w:hAnsi="宋体" w:cs="宋体"/>
          <w:color w:val="auto"/>
          <w:sz w:val="28"/>
          <w:szCs w:val="24"/>
          <w:highlight w:val="none"/>
        </w:rPr>
        <w:t>2</w:t>
      </w:r>
      <w:r>
        <w:rPr>
          <w:rFonts w:hint="eastAsia" w:ascii="宋体" w:hAnsi="宋体" w:cs="宋体"/>
          <w:color w:val="auto"/>
          <w:spacing w:val="-1"/>
          <w:sz w:val="28"/>
          <w:szCs w:val="24"/>
          <w:highlight w:val="none"/>
        </w:rPr>
        <w:t xml:space="preserve"> </w:t>
      </w:r>
      <w:r>
        <w:rPr>
          <w:rFonts w:hint="eastAsia" w:ascii="宋体" w:hAnsi="宋体" w:cs="宋体"/>
          <w:color w:val="auto"/>
          <w:sz w:val="28"/>
          <w:szCs w:val="24"/>
          <w:highlight w:val="none"/>
        </w:rPr>
        <w:t>响应和偏差</w:t>
      </w:r>
    </w:p>
    <w:p>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1.12</w:t>
      </w:r>
      <w:r>
        <w:rPr>
          <w:rFonts w:hint="eastAsia" w:ascii="宋体" w:hAnsi="宋体" w:cs="宋体"/>
          <w:color w:val="auto"/>
          <w:spacing w:val="-2"/>
          <w:szCs w:val="24"/>
          <w:highlight w:val="none"/>
        </w:rPr>
        <w:t>.</w:t>
      </w:r>
      <w:r>
        <w:rPr>
          <w:rFonts w:hint="eastAsia" w:ascii="宋体" w:hAnsi="宋体" w:cs="宋体"/>
          <w:color w:val="auto"/>
          <w:szCs w:val="24"/>
          <w:highlight w:val="none"/>
        </w:rPr>
        <w:t>1</w:t>
      </w:r>
      <w:r>
        <w:rPr>
          <w:rFonts w:hint="eastAsia" w:ascii="宋体" w:hAnsi="宋体" w:cs="宋体"/>
          <w:color w:val="auto"/>
          <w:spacing w:val="-21"/>
          <w:szCs w:val="24"/>
          <w:highlight w:val="none"/>
        </w:rPr>
        <w:t xml:space="preserve"> </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应</w:t>
      </w:r>
      <w:r>
        <w:rPr>
          <w:rFonts w:hint="eastAsia" w:ascii="宋体" w:hAnsi="宋体" w:cs="宋体"/>
          <w:color w:val="auto"/>
          <w:szCs w:val="24"/>
          <w:highlight w:val="none"/>
        </w:rPr>
        <w:t>当</w:t>
      </w:r>
      <w:r>
        <w:rPr>
          <w:rFonts w:hint="eastAsia" w:ascii="宋体" w:hAnsi="宋体" w:cs="宋体"/>
          <w:color w:val="auto"/>
          <w:spacing w:val="-2"/>
          <w:szCs w:val="24"/>
          <w:highlight w:val="none"/>
        </w:rPr>
        <w:t>对</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的</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作出</w:t>
      </w:r>
      <w:r>
        <w:rPr>
          <w:rFonts w:hint="eastAsia" w:ascii="宋体" w:hAnsi="宋体" w:cs="宋体"/>
          <w:color w:val="auto"/>
          <w:spacing w:val="-2"/>
          <w:szCs w:val="24"/>
          <w:highlight w:val="none"/>
        </w:rPr>
        <w:t>满</w:t>
      </w:r>
      <w:r>
        <w:rPr>
          <w:rFonts w:hint="eastAsia" w:ascii="宋体" w:hAnsi="宋体" w:cs="宋体"/>
          <w:color w:val="auto"/>
          <w:szCs w:val="24"/>
          <w:highlight w:val="none"/>
        </w:rPr>
        <w:t>足</w:t>
      </w:r>
      <w:r>
        <w:rPr>
          <w:rFonts w:hint="eastAsia" w:ascii="宋体" w:hAnsi="宋体" w:cs="宋体"/>
          <w:color w:val="auto"/>
          <w:spacing w:val="-2"/>
          <w:szCs w:val="24"/>
          <w:highlight w:val="none"/>
        </w:rPr>
        <w:t>性</w:t>
      </w:r>
      <w:r>
        <w:rPr>
          <w:rFonts w:hint="eastAsia" w:ascii="宋体" w:hAnsi="宋体" w:cs="宋体"/>
          <w:color w:val="auto"/>
          <w:szCs w:val="24"/>
          <w:highlight w:val="none"/>
        </w:rPr>
        <w:t>或</w:t>
      </w:r>
      <w:r>
        <w:rPr>
          <w:rFonts w:hint="eastAsia" w:ascii="宋体" w:hAnsi="宋体" w:cs="宋体"/>
          <w:color w:val="auto"/>
          <w:spacing w:val="-2"/>
          <w:szCs w:val="24"/>
          <w:highlight w:val="none"/>
        </w:rPr>
        <w:t>更</w:t>
      </w:r>
      <w:r>
        <w:rPr>
          <w:rFonts w:hint="eastAsia" w:ascii="宋体" w:hAnsi="宋体" w:cs="宋体"/>
          <w:color w:val="auto"/>
          <w:szCs w:val="24"/>
          <w:highlight w:val="none"/>
        </w:rPr>
        <w:t>有</w:t>
      </w:r>
      <w:r>
        <w:rPr>
          <w:rFonts w:hint="eastAsia" w:ascii="宋体" w:hAnsi="宋体" w:cs="宋体"/>
          <w:color w:val="auto"/>
          <w:spacing w:val="-2"/>
          <w:szCs w:val="24"/>
          <w:highlight w:val="none"/>
        </w:rPr>
        <w:t>利</w:t>
      </w:r>
      <w:r>
        <w:rPr>
          <w:rFonts w:hint="eastAsia" w:ascii="宋体" w:hAnsi="宋体" w:cs="宋体"/>
          <w:color w:val="auto"/>
          <w:szCs w:val="24"/>
          <w:highlight w:val="none"/>
        </w:rPr>
        <w:t>于</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2"/>
          <w:szCs w:val="24"/>
          <w:highlight w:val="none"/>
        </w:rPr>
        <w:t>的</w:t>
      </w:r>
      <w:r>
        <w:rPr>
          <w:rFonts w:hint="eastAsia" w:ascii="宋体" w:hAnsi="宋体" w:cs="宋体"/>
          <w:color w:val="auto"/>
          <w:szCs w:val="24"/>
          <w:highlight w:val="none"/>
        </w:rPr>
        <w:t>响</w:t>
      </w:r>
      <w:r>
        <w:rPr>
          <w:rFonts w:hint="eastAsia" w:ascii="宋体" w:hAnsi="宋体" w:cs="宋体"/>
          <w:color w:val="auto"/>
          <w:spacing w:val="-2"/>
          <w:szCs w:val="24"/>
          <w:highlight w:val="none"/>
        </w:rPr>
        <w:t>应</w:t>
      </w:r>
      <w:r>
        <w:rPr>
          <w:rFonts w:hint="eastAsia" w:ascii="宋体" w:hAnsi="宋体" w:cs="宋体"/>
          <w:color w:val="auto"/>
          <w:szCs w:val="24"/>
          <w:highlight w:val="none"/>
        </w:rPr>
        <w:t>， 否则</w:t>
      </w:r>
      <w:r>
        <w:rPr>
          <w:rFonts w:hint="eastAsia" w:ascii="宋体" w:hAnsi="宋体" w:cs="宋体"/>
          <w:color w:val="auto"/>
          <w:spacing w:val="-2"/>
          <w:szCs w:val="24"/>
          <w:highlight w:val="none"/>
        </w:rPr>
        <w:t>，</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的</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将</w:t>
      </w:r>
      <w:r>
        <w:rPr>
          <w:rFonts w:hint="eastAsia" w:ascii="宋体" w:hAnsi="宋体" w:cs="宋体"/>
          <w:color w:val="auto"/>
          <w:spacing w:val="-2"/>
          <w:szCs w:val="24"/>
          <w:highlight w:val="none"/>
        </w:rPr>
        <w:t>被</w:t>
      </w:r>
      <w:r>
        <w:rPr>
          <w:rFonts w:hint="eastAsia" w:ascii="宋体" w:hAnsi="宋体" w:cs="宋体"/>
          <w:color w:val="auto"/>
          <w:szCs w:val="24"/>
          <w:highlight w:val="none"/>
        </w:rPr>
        <w:t>否决</w:t>
      </w:r>
      <w:r>
        <w:rPr>
          <w:rFonts w:hint="eastAsia" w:ascii="宋体" w:hAnsi="宋体" w:cs="宋体"/>
          <w:color w:val="auto"/>
          <w:spacing w:val="-2"/>
          <w:szCs w:val="24"/>
          <w:highlight w:val="none"/>
        </w:rPr>
        <w:t>。</w:t>
      </w:r>
      <w:r>
        <w:rPr>
          <w:rFonts w:hint="eastAsia" w:ascii="宋体" w:hAnsi="宋体" w:cs="宋体"/>
          <w:color w:val="auto"/>
          <w:szCs w:val="24"/>
          <w:highlight w:val="none"/>
        </w:rPr>
        <w:t>实</w:t>
      </w:r>
      <w:r>
        <w:rPr>
          <w:rFonts w:hint="eastAsia" w:ascii="宋体" w:hAnsi="宋体" w:cs="宋体"/>
          <w:color w:val="auto"/>
          <w:spacing w:val="-2"/>
          <w:szCs w:val="24"/>
          <w:highlight w:val="none"/>
        </w:rPr>
        <w:t>质</w:t>
      </w:r>
      <w:r>
        <w:rPr>
          <w:rFonts w:hint="eastAsia" w:ascii="宋体" w:hAnsi="宋体" w:cs="宋体"/>
          <w:color w:val="auto"/>
          <w:szCs w:val="24"/>
          <w:highlight w:val="none"/>
        </w:rPr>
        <w:t>性</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和</w:t>
      </w:r>
      <w:r>
        <w:rPr>
          <w:rFonts w:hint="eastAsia" w:ascii="宋体" w:hAnsi="宋体" w:cs="宋体"/>
          <w:color w:val="auto"/>
          <w:szCs w:val="24"/>
          <w:highlight w:val="none"/>
        </w:rPr>
        <w:t>条</w:t>
      </w:r>
      <w:r>
        <w:rPr>
          <w:rFonts w:hint="eastAsia" w:ascii="宋体" w:hAnsi="宋体" w:cs="宋体"/>
          <w:color w:val="auto"/>
          <w:spacing w:val="-2"/>
          <w:szCs w:val="24"/>
          <w:highlight w:val="none"/>
        </w:rPr>
        <w:t>件</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1.12.2 投标人应根据招标文件的要求提供投标服务保障方案等内容以对招标文件作出响应。</w:t>
      </w:r>
    </w:p>
    <w:p>
      <w:pPr>
        <w:spacing w:before="38" w:line="276" w:lineRule="auto"/>
        <w:ind w:left="100" w:right="145" w:firstLine="434"/>
        <w:rPr>
          <w:rFonts w:ascii="宋体" w:hAnsi="宋体" w:cs="宋体"/>
          <w:color w:val="auto"/>
          <w:szCs w:val="24"/>
          <w:highlight w:val="none"/>
        </w:rPr>
      </w:pPr>
      <w:r>
        <w:rPr>
          <w:rFonts w:hint="eastAsia" w:ascii="宋体" w:hAnsi="宋体" w:cs="宋体"/>
          <w:color w:val="auto"/>
          <w:szCs w:val="24"/>
          <w:highlight w:val="none"/>
        </w:rPr>
        <w:t>1.12.3 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允许投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w:t>
      </w:r>
      <w:r>
        <w:rPr>
          <w:rFonts w:hint="eastAsia" w:ascii="宋体" w:hAnsi="宋体" w:cs="宋体"/>
          <w:color w:val="auto"/>
          <w:spacing w:val="-2"/>
          <w:szCs w:val="24"/>
          <w:highlight w:val="none"/>
        </w:rPr>
        <w:t>偏</w:t>
      </w:r>
      <w:r>
        <w:rPr>
          <w:rFonts w:hint="eastAsia" w:ascii="宋体" w:hAnsi="宋体" w:cs="宋体"/>
          <w:color w:val="auto"/>
          <w:szCs w:val="24"/>
          <w:highlight w:val="none"/>
        </w:rPr>
        <w:t>离招</w:t>
      </w:r>
      <w:r>
        <w:rPr>
          <w:rFonts w:hint="eastAsia" w:ascii="宋体" w:hAnsi="宋体" w:cs="宋体"/>
          <w:color w:val="auto"/>
          <w:spacing w:val="-2"/>
          <w:szCs w:val="24"/>
          <w:highlight w:val="none"/>
        </w:rPr>
        <w:t>标文</w:t>
      </w:r>
      <w:r>
        <w:rPr>
          <w:rFonts w:hint="eastAsia" w:ascii="宋体" w:hAnsi="宋体" w:cs="宋体"/>
          <w:color w:val="auto"/>
          <w:szCs w:val="24"/>
          <w:highlight w:val="none"/>
        </w:rPr>
        <w:t>件某些</w:t>
      </w:r>
      <w:r>
        <w:rPr>
          <w:rFonts w:hint="eastAsia" w:ascii="宋体" w:hAnsi="宋体" w:cs="宋体"/>
          <w:color w:val="auto"/>
          <w:spacing w:val="-2"/>
          <w:szCs w:val="24"/>
          <w:highlight w:val="none"/>
        </w:rPr>
        <w:t>要</w:t>
      </w:r>
      <w:r>
        <w:rPr>
          <w:rFonts w:hint="eastAsia" w:ascii="宋体" w:hAnsi="宋体" w:cs="宋体"/>
          <w:color w:val="auto"/>
          <w:szCs w:val="24"/>
          <w:highlight w:val="none"/>
        </w:rPr>
        <w:t>求的</w:t>
      </w:r>
      <w:r>
        <w:rPr>
          <w:rFonts w:hint="eastAsia" w:ascii="宋体" w:hAnsi="宋体" w:cs="宋体"/>
          <w:color w:val="auto"/>
          <w:spacing w:val="-2"/>
          <w:szCs w:val="24"/>
          <w:highlight w:val="none"/>
        </w:rPr>
        <w:t>，</w:t>
      </w:r>
      <w:r>
        <w:rPr>
          <w:rFonts w:hint="eastAsia" w:ascii="宋体" w:hAnsi="宋体" w:cs="宋体"/>
          <w:color w:val="auto"/>
          <w:szCs w:val="24"/>
          <w:highlight w:val="none"/>
        </w:rPr>
        <w:t>偏差</w:t>
      </w:r>
      <w:r>
        <w:rPr>
          <w:rFonts w:hint="eastAsia" w:ascii="宋体" w:hAnsi="宋体" w:cs="宋体"/>
          <w:color w:val="auto"/>
          <w:spacing w:val="-2"/>
          <w:szCs w:val="24"/>
          <w:highlight w:val="none"/>
        </w:rPr>
        <w:t>应当</w:t>
      </w:r>
      <w:r>
        <w:rPr>
          <w:rFonts w:hint="eastAsia" w:ascii="宋体" w:hAnsi="宋体" w:cs="宋体"/>
          <w:color w:val="auto"/>
          <w:szCs w:val="24"/>
          <w:highlight w:val="none"/>
        </w:rPr>
        <w:t>符合招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文件 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偏</w:t>
      </w:r>
      <w:r>
        <w:rPr>
          <w:rFonts w:hint="eastAsia" w:ascii="宋体" w:hAnsi="宋体" w:cs="宋体"/>
          <w:color w:val="auto"/>
          <w:spacing w:val="-2"/>
          <w:szCs w:val="24"/>
          <w:highlight w:val="none"/>
        </w:rPr>
        <w:t>差</w:t>
      </w:r>
      <w:r>
        <w:rPr>
          <w:rFonts w:hint="eastAsia" w:ascii="宋体" w:hAnsi="宋体" w:cs="宋体"/>
          <w:color w:val="auto"/>
          <w:szCs w:val="24"/>
          <w:highlight w:val="none"/>
        </w:rPr>
        <w:t>范</w:t>
      </w:r>
      <w:r>
        <w:rPr>
          <w:rFonts w:hint="eastAsia" w:ascii="宋体" w:hAnsi="宋体" w:cs="宋体"/>
          <w:color w:val="auto"/>
          <w:spacing w:val="-2"/>
          <w:szCs w:val="24"/>
          <w:highlight w:val="none"/>
        </w:rPr>
        <w:t>围</w:t>
      </w:r>
      <w:r>
        <w:rPr>
          <w:rFonts w:hint="eastAsia" w:ascii="宋体" w:hAnsi="宋体" w:cs="宋体"/>
          <w:color w:val="auto"/>
          <w:szCs w:val="24"/>
          <w:highlight w:val="none"/>
        </w:rPr>
        <w:t>和</w:t>
      </w:r>
      <w:r>
        <w:rPr>
          <w:rFonts w:hint="eastAsia" w:ascii="宋体" w:hAnsi="宋体" w:cs="宋体"/>
          <w:color w:val="auto"/>
          <w:spacing w:val="-2"/>
          <w:szCs w:val="24"/>
          <w:highlight w:val="none"/>
        </w:rPr>
        <w:t>幅</w:t>
      </w:r>
      <w:r>
        <w:rPr>
          <w:rFonts w:hint="eastAsia" w:ascii="宋体" w:hAnsi="宋体" w:cs="宋体"/>
          <w:color w:val="auto"/>
          <w:szCs w:val="24"/>
          <w:highlight w:val="none"/>
        </w:rPr>
        <w:t>度。</w:t>
      </w:r>
    </w:p>
    <w:p>
      <w:pPr>
        <w:spacing w:before="9" w:line="276" w:lineRule="auto"/>
        <w:jc w:val="left"/>
        <w:rPr>
          <w:rFonts w:ascii="宋体" w:hAnsi="宋体" w:cs="宋体"/>
          <w:color w:val="auto"/>
          <w:sz w:val="10"/>
          <w:szCs w:val="24"/>
          <w:highlight w:val="none"/>
        </w:rPr>
      </w:pPr>
    </w:p>
    <w:p>
      <w:pPr>
        <w:spacing w:line="276" w:lineRule="auto"/>
        <w:ind w:left="100" w:right="-20"/>
        <w:jc w:val="left"/>
        <w:rPr>
          <w:rFonts w:ascii="宋体" w:hAnsi="宋体" w:cs="宋体"/>
          <w:color w:val="auto"/>
          <w:sz w:val="32"/>
          <w:szCs w:val="24"/>
          <w:highlight w:val="none"/>
        </w:rPr>
      </w:pPr>
      <w:bookmarkStart w:id="32" w:name="_Toc17674_WPSOffice_Level2"/>
      <w:r>
        <w:rPr>
          <w:rFonts w:hint="eastAsia" w:ascii="宋体" w:hAnsi="宋体" w:cs="宋体"/>
          <w:color w:val="auto"/>
          <w:spacing w:val="1"/>
          <w:sz w:val="32"/>
          <w:szCs w:val="24"/>
          <w:highlight w:val="none"/>
        </w:rPr>
        <w:t>2</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招标文件</w:t>
      </w:r>
      <w:bookmarkEnd w:id="32"/>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组成</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本招标文件包括：</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（1）投标人须知；</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（2）评标办法；</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（3）合同条款及格式；</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（4）招标人要求；</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（5）投标文件格式；</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（6）图纸；</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（7）工程量清单；</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（8）投标人须知前附表规定的其他资料。</w:t>
      </w:r>
    </w:p>
    <w:p>
      <w:pPr>
        <w:spacing w:before="40" w:line="276" w:lineRule="auto"/>
        <w:ind w:left="102" w:right="142" w:firstLine="420" w:firstLineChars="200"/>
        <w:rPr>
          <w:rFonts w:ascii="宋体" w:hAnsi="宋体" w:cs="宋体"/>
          <w:color w:val="auto"/>
          <w:szCs w:val="24"/>
          <w:highlight w:val="none"/>
        </w:rPr>
      </w:pPr>
      <w:r>
        <w:rPr>
          <w:rFonts w:hint="eastAsia" w:ascii="宋体" w:hAnsi="宋体" w:cs="宋体"/>
          <w:color w:val="auto"/>
          <w:szCs w:val="24"/>
          <w:highlight w:val="none"/>
        </w:rPr>
        <w:t>根据本章第 1.10 款、第 2.2 款和第 2.3 款对招标文件所作的澄清、修改，构成招标文件的组成部分。</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澄清</w:t>
      </w:r>
    </w:p>
    <w:p>
      <w:pPr>
        <w:spacing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2.2.1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仔</w:t>
      </w:r>
      <w:r>
        <w:rPr>
          <w:rFonts w:hint="eastAsia" w:ascii="宋体" w:hAnsi="宋体" w:cs="宋体"/>
          <w:color w:val="auto"/>
          <w:spacing w:val="-2"/>
          <w:szCs w:val="24"/>
          <w:highlight w:val="none"/>
        </w:rPr>
        <w:t>细</w:t>
      </w:r>
      <w:r>
        <w:rPr>
          <w:rFonts w:hint="eastAsia" w:ascii="宋体" w:hAnsi="宋体" w:cs="宋体"/>
          <w:color w:val="auto"/>
          <w:szCs w:val="24"/>
          <w:highlight w:val="none"/>
        </w:rPr>
        <w:t>阅</w:t>
      </w:r>
      <w:r>
        <w:rPr>
          <w:rFonts w:hint="eastAsia" w:ascii="宋体" w:hAnsi="宋体" w:cs="宋体"/>
          <w:color w:val="auto"/>
          <w:spacing w:val="-2"/>
          <w:szCs w:val="24"/>
          <w:highlight w:val="none"/>
        </w:rPr>
        <w:t>读和</w:t>
      </w:r>
      <w:r>
        <w:rPr>
          <w:rFonts w:hint="eastAsia" w:ascii="宋体" w:hAnsi="宋体" w:cs="宋体"/>
          <w:color w:val="auto"/>
          <w:szCs w:val="24"/>
          <w:highlight w:val="none"/>
        </w:rPr>
        <w:t>检查</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全</w:t>
      </w:r>
      <w:r>
        <w:rPr>
          <w:rFonts w:hint="eastAsia" w:ascii="宋体" w:hAnsi="宋体" w:cs="宋体"/>
          <w:color w:val="auto"/>
          <w:spacing w:val="-2"/>
          <w:szCs w:val="24"/>
          <w:highlight w:val="none"/>
        </w:rPr>
        <w:t>部</w:t>
      </w:r>
      <w:r>
        <w:rPr>
          <w:rFonts w:hint="eastAsia" w:ascii="宋体" w:hAnsi="宋体" w:cs="宋体"/>
          <w:color w:val="auto"/>
          <w:szCs w:val="24"/>
          <w:highlight w:val="none"/>
        </w:rPr>
        <w:t>内</w:t>
      </w:r>
      <w:r>
        <w:rPr>
          <w:rFonts w:hint="eastAsia" w:ascii="宋体" w:hAnsi="宋体" w:cs="宋体"/>
          <w:color w:val="auto"/>
          <w:spacing w:val="-2"/>
          <w:szCs w:val="24"/>
          <w:highlight w:val="none"/>
        </w:rPr>
        <w:t>容</w:t>
      </w:r>
      <w:r>
        <w:rPr>
          <w:rFonts w:hint="eastAsia" w:ascii="宋体" w:hAnsi="宋体" w:cs="宋体"/>
          <w:color w:val="auto"/>
          <w:spacing w:val="-38"/>
          <w:szCs w:val="24"/>
          <w:highlight w:val="none"/>
        </w:rPr>
        <w:t>。</w:t>
      </w:r>
      <w:r>
        <w:rPr>
          <w:rFonts w:hint="eastAsia" w:ascii="宋体" w:hAnsi="宋体" w:cs="宋体"/>
          <w:color w:val="auto"/>
          <w:szCs w:val="24"/>
          <w:highlight w:val="none"/>
        </w:rPr>
        <w:t>如</w:t>
      </w:r>
      <w:r>
        <w:rPr>
          <w:rFonts w:hint="eastAsia" w:ascii="宋体" w:hAnsi="宋体" w:cs="宋体"/>
          <w:color w:val="auto"/>
          <w:spacing w:val="-2"/>
          <w:szCs w:val="24"/>
          <w:highlight w:val="none"/>
        </w:rPr>
        <w:t>发</w:t>
      </w:r>
      <w:r>
        <w:rPr>
          <w:rFonts w:hint="eastAsia" w:ascii="宋体" w:hAnsi="宋体" w:cs="宋体"/>
          <w:color w:val="auto"/>
          <w:szCs w:val="24"/>
          <w:highlight w:val="none"/>
        </w:rPr>
        <w:t>现</w:t>
      </w:r>
      <w:r>
        <w:rPr>
          <w:rFonts w:hint="eastAsia" w:ascii="宋体" w:hAnsi="宋体" w:cs="宋体"/>
          <w:color w:val="auto"/>
          <w:spacing w:val="-2"/>
          <w:szCs w:val="24"/>
          <w:highlight w:val="none"/>
        </w:rPr>
        <w:t>缺</w:t>
      </w:r>
      <w:r>
        <w:rPr>
          <w:rFonts w:hint="eastAsia" w:ascii="宋体" w:hAnsi="宋体" w:cs="宋体"/>
          <w:color w:val="auto"/>
          <w:szCs w:val="24"/>
          <w:highlight w:val="none"/>
        </w:rPr>
        <w:t>页</w:t>
      </w:r>
      <w:r>
        <w:rPr>
          <w:rFonts w:hint="eastAsia" w:ascii="宋体" w:hAnsi="宋体" w:cs="宋体"/>
          <w:color w:val="auto"/>
          <w:spacing w:val="-2"/>
          <w:szCs w:val="24"/>
          <w:highlight w:val="none"/>
        </w:rPr>
        <w:t>或</w:t>
      </w:r>
      <w:r>
        <w:rPr>
          <w:rFonts w:hint="eastAsia" w:ascii="宋体" w:hAnsi="宋体" w:cs="宋体"/>
          <w:color w:val="auto"/>
          <w:szCs w:val="24"/>
          <w:highlight w:val="none"/>
        </w:rPr>
        <w:t>附</w:t>
      </w:r>
      <w:r>
        <w:rPr>
          <w:rFonts w:hint="eastAsia" w:ascii="宋体" w:hAnsi="宋体" w:cs="宋体"/>
          <w:color w:val="auto"/>
          <w:spacing w:val="-2"/>
          <w:szCs w:val="24"/>
          <w:highlight w:val="none"/>
        </w:rPr>
        <w:t>件</w:t>
      </w:r>
      <w:r>
        <w:rPr>
          <w:rFonts w:hint="eastAsia" w:ascii="宋体" w:hAnsi="宋体" w:cs="宋体"/>
          <w:color w:val="auto"/>
          <w:szCs w:val="24"/>
          <w:highlight w:val="none"/>
        </w:rPr>
        <w:t>不全</w:t>
      </w:r>
      <w:r>
        <w:rPr>
          <w:rFonts w:hint="eastAsia" w:ascii="宋体" w:hAnsi="宋体" w:cs="宋体"/>
          <w:color w:val="auto"/>
          <w:spacing w:val="-41"/>
          <w:szCs w:val="24"/>
          <w:highlight w:val="none"/>
        </w:rPr>
        <w:t>，</w:t>
      </w:r>
      <w:r>
        <w:rPr>
          <w:rFonts w:hint="eastAsia" w:ascii="宋体" w:hAnsi="宋体" w:cs="宋体"/>
          <w:color w:val="auto"/>
          <w:szCs w:val="24"/>
          <w:highlight w:val="none"/>
        </w:rPr>
        <w:t>应及</w:t>
      </w:r>
      <w:r>
        <w:rPr>
          <w:rFonts w:hint="eastAsia" w:ascii="宋体" w:hAnsi="宋体" w:cs="宋体"/>
          <w:color w:val="auto"/>
          <w:spacing w:val="-2"/>
          <w:szCs w:val="24"/>
          <w:highlight w:val="none"/>
        </w:rPr>
        <w:t>时</w:t>
      </w:r>
      <w:r>
        <w:rPr>
          <w:rFonts w:hint="eastAsia" w:ascii="宋体" w:hAnsi="宋体" w:cs="宋体"/>
          <w:color w:val="auto"/>
          <w:szCs w:val="24"/>
          <w:highlight w:val="none"/>
        </w:rPr>
        <w:t>向招标人提出，以便</w:t>
      </w:r>
      <w:r>
        <w:rPr>
          <w:rFonts w:hint="eastAsia" w:ascii="宋体" w:hAnsi="宋体" w:cs="宋体"/>
          <w:color w:val="auto"/>
          <w:spacing w:val="-2"/>
          <w:szCs w:val="24"/>
          <w:highlight w:val="none"/>
        </w:rPr>
        <w:t>补</w:t>
      </w:r>
      <w:r>
        <w:rPr>
          <w:rFonts w:hint="eastAsia" w:ascii="宋体" w:hAnsi="宋体" w:cs="宋体"/>
          <w:color w:val="auto"/>
          <w:szCs w:val="24"/>
          <w:highlight w:val="none"/>
        </w:rPr>
        <w:t>齐。</w:t>
      </w:r>
      <w:r>
        <w:rPr>
          <w:rFonts w:hint="eastAsia" w:ascii="宋体" w:hAnsi="宋体" w:cs="宋体"/>
          <w:color w:val="auto"/>
          <w:spacing w:val="-2"/>
          <w:szCs w:val="24"/>
          <w:highlight w:val="none"/>
        </w:rPr>
        <w:t>如</w:t>
      </w:r>
      <w:r>
        <w:rPr>
          <w:rFonts w:hint="eastAsia" w:ascii="宋体" w:hAnsi="宋体" w:cs="宋体"/>
          <w:color w:val="auto"/>
          <w:szCs w:val="24"/>
          <w:highlight w:val="none"/>
        </w:rPr>
        <w:t>有疑问，应按投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前附表规定的时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和形</w:t>
      </w:r>
      <w:r>
        <w:rPr>
          <w:rFonts w:hint="eastAsia" w:ascii="宋体" w:hAnsi="宋体" w:cs="宋体"/>
          <w:color w:val="auto"/>
          <w:spacing w:val="-2"/>
          <w:szCs w:val="24"/>
          <w:highlight w:val="none"/>
        </w:rPr>
        <w:t>式</w:t>
      </w:r>
      <w:r>
        <w:rPr>
          <w:rFonts w:hint="eastAsia" w:ascii="宋体" w:hAnsi="宋体" w:cs="宋体"/>
          <w:color w:val="auto"/>
          <w:szCs w:val="24"/>
          <w:highlight w:val="none"/>
        </w:rPr>
        <w:t>将提出的问题</w:t>
      </w:r>
      <w:r>
        <w:rPr>
          <w:rFonts w:hint="eastAsia" w:ascii="宋体" w:hAnsi="宋体" w:cs="宋体"/>
          <w:color w:val="auto"/>
          <w:spacing w:val="-2"/>
          <w:szCs w:val="24"/>
          <w:highlight w:val="none"/>
        </w:rPr>
        <w:t>送</w:t>
      </w:r>
      <w:r>
        <w:rPr>
          <w:rFonts w:hint="eastAsia" w:ascii="宋体" w:hAnsi="宋体" w:cs="宋体"/>
          <w:color w:val="auto"/>
          <w:szCs w:val="24"/>
          <w:highlight w:val="none"/>
        </w:rPr>
        <w:t>达招标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要</w:t>
      </w:r>
      <w:r>
        <w:rPr>
          <w:rFonts w:hint="eastAsia" w:ascii="宋体" w:hAnsi="宋体" w:cs="宋体"/>
          <w:color w:val="auto"/>
          <w:szCs w:val="24"/>
          <w:highlight w:val="none"/>
        </w:rPr>
        <w:t>求</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zCs w:val="24"/>
          <w:highlight w:val="none"/>
        </w:rPr>
        <w:t>予</w:t>
      </w:r>
      <w:r>
        <w:rPr>
          <w:rFonts w:hint="eastAsia" w:ascii="宋体" w:hAnsi="宋体" w:cs="宋体"/>
          <w:color w:val="auto"/>
          <w:spacing w:val="-2"/>
          <w:szCs w:val="24"/>
          <w:highlight w:val="none"/>
        </w:rPr>
        <w:t>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pPr>
        <w:spacing w:before="7"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2.2.2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w:t>
      </w:r>
      <w:r>
        <w:rPr>
          <w:rFonts w:hint="eastAsia" w:ascii="宋体" w:hAnsi="宋体" w:cs="宋体"/>
          <w:color w:val="auto"/>
          <w:spacing w:val="-2"/>
          <w:szCs w:val="24"/>
          <w:highlight w:val="none"/>
        </w:rPr>
        <w:t>澄</w:t>
      </w:r>
      <w:r>
        <w:rPr>
          <w:rFonts w:hint="eastAsia" w:ascii="宋体" w:hAnsi="宋体" w:cs="宋体"/>
          <w:color w:val="auto"/>
          <w:szCs w:val="24"/>
          <w:highlight w:val="none"/>
        </w:rPr>
        <w:t>清</w:t>
      </w:r>
      <w:r>
        <w:rPr>
          <w:rFonts w:hint="eastAsia" w:ascii="宋体" w:hAnsi="宋体" w:cs="宋体"/>
          <w:color w:val="auto"/>
          <w:spacing w:val="-2"/>
          <w:szCs w:val="24"/>
          <w:highlight w:val="none"/>
        </w:rPr>
        <w:t>以投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式发</w:t>
      </w:r>
      <w:r>
        <w:rPr>
          <w:rFonts w:hint="eastAsia" w:ascii="宋体" w:hAnsi="宋体" w:cs="宋体"/>
          <w:color w:val="auto"/>
          <w:spacing w:val="-2"/>
          <w:szCs w:val="24"/>
          <w:highlight w:val="none"/>
        </w:rPr>
        <w:t>给</w:t>
      </w:r>
      <w:r>
        <w:rPr>
          <w:rFonts w:hint="eastAsia" w:ascii="宋体" w:hAnsi="宋体" w:cs="宋体"/>
          <w:color w:val="auto"/>
          <w:szCs w:val="24"/>
          <w:highlight w:val="none"/>
        </w:rPr>
        <w:t>所</w:t>
      </w:r>
      <w:r>
        <w:rPr>
          <w:rFonts w:hint="eastAsia" w:ascii="宋体" w:hAnsi="宋体" w:cs="宋体"/>
          <w:color w:val="auto"/>
          <w:spacing w:val="-2"/>
          <w:szCs w:val="24"/>
          <w:highlight w:val="none"/>
        </w:rPr>
        <w:t>有</w:t>
      </w:r>
      <w:r>
        <w:rPr>
          <w:rFonts w:hint="eastAsia" w:ascii="宋体" w:hAnsi="宋体" w:cs="宋体"/>
          <w:color w:val="auto"/>
          <w:szCs w:val="24"/>
          <w:highlight w:val="none"/>
        </w:rPr>
        <w:t>购</w:t>
      </w:r>
      <w:r>
        <w:rPr>
          <w:rFonts w:hint="eastAsia" w:ascii="宋体" w:hAnsi="宋体" w:cs="宋体"/>
          <w:color w:val="auto"/>
          <w:spacing w:val="-2"/>
          <w:szCs w:val="24"/>
          <w:highlight w:val="none"/>
        </w:rPr>
        <w:t>买</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标人</w:t>
      </w:r>
      <w:r>
        <w:rPr>
          <w:rFonts w:hint="eastAsia" w:ascii="宋体" w:hAnsi="宋体" w:cs="宋体"/>
          <w:color w:val="auto"/>
          <w:spacing w:val="-22"/>
          <w:szCs w:val="24"/>
          <w:highlight w:val="none"/>
        </w:rPr>
        <w:t>，</w:t>
      </w:r>
      <w:r>
        <w:rPr>
          <w:rFonts w:hint="eastAsia" w:ascii="宋体" w:hAnsi="宋体" w:cs="宋体"/>
          <w:color w:val="auto"/>
          <w:szCs w:val="24"/>
          <w:highlight w:val="none"/>
        </w:rPr>
        <w:t>但 不指</w:t>
      </w:r>
      <w:r>
        <w:rPr>
          <w:rFonts w:hint="eastAsia" w:ascii="宋体" w:hAnsi="宋体" w:cs="宋体"/>
          <w:color w:val="auto"/>
          <w:spacing w:val="-2"/>
          <w:szCs w:val="24"/>
          <w:highlight w:val="none"/>
        </w:rPr>
        <w:t>明</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问</w:t>
      </w:r>
      <w:r>
        <w:rPr>
          <w:rFonts w:hint="eastAsia" w:ascii="宋体" w:hAnsi="宋体" w:cs="宋体"/>
          <w:color w:val="auto"/>
          <w:spacing w:val="-2"/>
          <w:szCs w:val="24"/>
          <w:highlight w:val="none"/>
        </w:rPr>
        <w:t>题</w:t>
      </w:r>
      <w:r>
        <w:rPr>
          <w:rFonts w:hint="eastAsia" w:ascii="宋体" w:hAnsi="宋体" w:cs="宋体"/>
          <w:color w:val="auto"/>
          <w:szCs w:val="24"/>
          <w:highlight w:val="none"/>
        </w:rPr>
        <w:t>的</w:t>
      </w:r>
      <w:r>
        <w:rPr>
          <w:rFonts w:hint="eastAsia" w:ascii="宋体" w:hAnsi="宋体" w:cs="宋体"/>
          <w:color w:val="auto"/>
          <w:spacing w:val="-2"/>
          <w:szCs w:val="24"/>
          <w:highlight w:val="none"/>
        </w:rPr>
        <w:t>来</w:t>
      </w:r>
      <w:r>
        <w:rPr>
          <w:rFonts w:hint="eastAsia" w:ascii="宋体" w:hAnsi="宋体" w:cs="宋体"/>
          <w:color w:val="auto"/>
          <w:szCs w:val="24"/>
          <w:highlight w:val="none"/>
        </w:rPr>
        <w:t>源</w:t>
      </w:r>
      <w:r>
        <w:rPr>
          <w:rFonts w:hint="eastAsia" w:ascii="宋体" w:hAnsi="宋体" w:cs="宋体"/>
          <w:color w:val="auto"/>
          <w:spacing w:val="-2"/>
          <w:szCs w:val="24"/>
          <w:highlight w:val="none"/>
        </w:rPr>
        <w:t>。</w:t>
      </w:r>
      <w:r>
        <w:rPr>
          <w:rFonts w:hint="eastAsia" w:ascii="宋体" w:hAnsi="宋体" w:cs="宋体"/>
          <w:color w:val="auto"/>
          <w:szCs w:val="24"/>
          <w:highlight w:val="none"/>
        </w:rPr>
        <w:t>澄清</w:t>
      </w:r>
      <w:r>
        <w:rPr>
          <w:rFonts w:hint="eastAsia" w:ascii="宋体" w:hAnsi="宋体" w:cs="宋体"/>
          <w:color w:val="auto"/>
          <w:spacing w:val="-2"/>
          <w:szCs w:val="24"/>
          <w:highlight w:val="none"/>
        </w:rPr>
        <w:t>发</w:t>
      </w:r>
      <w:r>
        <w:rPr>
          <w:rFonts w:hint="eastAsia" w:ascii="宋体" w:hAnsi="宋体" w:cs="宋体"/>
          <w:color w:val="auto"/>
          <w:szCs w:val="24"/>
          <w:highlight w:val="none"/>
        </w:rPr>
        <w:t>出</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距</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5"/>
          <w:szCs w:val="24"/>
          <w:highlight w:val="none"/>
        </w:rPr>
        <w:t xml:space="preserve"> </w:t>
      </w:r>
      <w:r>
        <w:rPr>
          <w:rFonts w:hint="eastAsia" w:ascii="宋体" w:hAnsi="宋体" w:cs="宋体"/>
          <w:color w:val="auto"/>
          <w:szCs w:val="24"/>
          <w:highlight w:val="none"/>
        </w:rPr>
        <w:t>4.2.1</w:t>
      </w:r>
      <w:r>
        <w:rPr>
          <w:rFonts w:hint="eastAsia" w:ascii="宋体" w:hAnsi="宋体" w:cs="宋体"/>
          <w:color w:val="auto"/>
          <w:spacing w:val="8"/>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间不足15</w:t>
      </w:r>
      <w:r>
        <w:rPr>
          <w:rFonts w:hint="eastAsia" w:ascii="宋体" w:hAnsi="宋体" w:cs="宋体"/>
          <w:color w:val="auto"/>
          <w:spacing w:val="-2"/>
          <w:szCs w:val="24"/>
          <w:highlight w:val="none"/>
        </w:rPr>
        <w:t>日的，</w:t>
      </w:r>
      <w:r>
        <w:rPr>
          <w:rFonts w:hint="eastAsia" w:ascii="宋体" w:hAnsi="宋体" w:cs="宋体"/>
          <w:color w:val="auto"/>
          <w:position w:val="-1"/>
          <w:szCs w:val="24"/>
          <w:highlight w:val="none"/>
        </w:rPr>
        <w:t>并且</w:t>
      </w:r>
      <w:r>
        <w:rPr>
          <w:rFonts w:hint="eastAsia" w:ascii="宋体" w:hAnsi="宋体" w:cs="宋体"/>
          <w:color w:val="auto"/>
          <w:spacing w:val="-2"/>
          <w:position w:val="-1"/>
          <w:szCs w:val="24"/>
          <w:highlight w:val="none"/>
        </w:rPr>
        <w:t>澄</w:t>
      </w:r>
      <w:r>
        <w:rPr>
          <w:rFonts w:hint="eastAsia" w:ascii="宋体" w:hAnsi="宋体" w:cs="宋体"/>
          <w:color w:val="auto"/>
          <w:position w:val="-1"/>
          <w:szCs w:val="24"/>
          <w:highlight w:val="none"/>
        </w:rPr>
        <w:t>清</w:t>
      </w:r>
      <w:r>
        <w:rPr>
          <w:rFonts w:hint="eastAsia" w:ascii="宋体" w:hAnsi="宋体" w:cs="宋体"/>
          <w:color w:val="auto"/>
          <w:spacing w:val="-2"/>
          <w:position w:val="-1"/>
          <w:szCs w:val="24"/>
          <w:highlight w:val="none"/>
        </w:rPr>
        <w:t>内</w:t>
      </w:r>
      <w:r>
        <w:rPr>
          <w:rFonts w:hint="eastAsia" w:ascii="宋体" w:hAnsi="宋体" w:cs="宋体"/>
          <w:color w:val="auto"/>
          <w:position w:val="-1"/>
          <w:szCs w:val="24"/>
          <w:highlight w:val="none"/>
        </w:rPr>
        <w:t>容</w:t>
      </w:r>
      <w:r>
        <w:rPr>
          <w:rFonts w:hint="eastAsia" w:ascii="宋体" w:hAnsi="宋体" w:cs="宋体"/>
          <w:color w:val="auto"/>
          <w:spacing w:val="-2"/>
          <w:position w:val="-1"/>
          <w:szCs w:val="24"/>
          <w:highlight w:val="none"/>
        </w:rPr>
        <w:t>可</w:t>
      </w:r>
      <w:r>
        <w:rPr>
          <w:rFonts w:hint="eastAsia" w:ascii="宋体" w:hAnsi="宋体" w:cs="宋体"/>
          <w:color w:val="auto"/>
          <w:position w:val="-1"/>
          <w:szCs w:val="24"/>
          <w:highlight w:val="none"/>
        </w:rPr>
        <w:t>能</w:t>
      </w:r>
      <w:r>
        <w:rPr>
          <w:rFonts w:hint="eastAsia" w:ascii="宋体" w:hAnsi="宋体" w:cs="宋体"/>
          <w:color w:val="auto"/>
          <w:spacing w:val="-2"/>
          <w:position w:val="-1"/>
          <w:szCs w:val="24"/>
          <w:highlight w:val="none"/>
        </w:rPr>
        <w:t>影</w:t>
      </w:r>
      <w:r>
        <w:rPr>
          <w:rFonts w:hint="eastAsia" w:ascii="宋体" w:hAnsi="宋体" w:cs="宋体"/>
          <w:color w:val="auto"/>
          <w:position w:val="-1"/>
          <w:szCs w:val="24"/>
          <w:highlight w:val="none"/>
        </w:rPr>
        <w:t>响</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标文</w:t>
      </w:r>
      <w:r>
        <w:rPr>
          <w:rFonts w:hint="eastAsia" w:ascii="宋体" w:hAnsi="宋体" w:cs="宋体"/>
          <w:color w:val="auto"/>
          <w:spacing w:val="-2"/>
          <w:position w:val="-1"/>
          <w:szCs w:val="24"/>
          <w:highlight w:val="none"/>
        </w:rPr>
        <w:t>件</w:t>
      </w:r>
      <w:r>
        <w:rPr>
          <w:rFonts w:hint="eastAsia" w:ascii="宋体" w:hAnsi="宋体" w:cs="宋体"/>
          <w:color w:val="auto"/>
          <w:position w:val="-1"/>
          <w:szCs w:val="24"/>
          <w:highlight w:val="none"/>
        </w:rPr>
        <w:t>编</w:t>
      </w:r>
      <w:r>
        <w:rPr>
          <w:rFonts w:hint="eastAsia" w:ascii="宋体" w:hAnsi="宋体" w:cs="宋体"/>
          <w:color w:val="auto"/>
          <w:spacing w:val="-2"/>
          <w:position w:val="-1"/>
          <w:szCs w:val="24"/>
          <w:highlight w:val="none"/>
        </w:rPr>
        <w:t>制</w:t>
      </w:r>
      <w:r>
        <w:rPr>
          <w:rFonts w:hint="eastAsia" w:ascii="宋体" w:hAnsi="宋体" w:cs="宋体"/>
          <w:color w:val="auto"/>
          <w:position w:val="-1"/>
          <w:szCs w:val="24"/>
          <w:highlight w:val="none"/>
        </w:rPr>
        <w:t>的</w:t>
      </w:r>
      <w:r>
        <w:rPr>
          <w:rFonts w:hint="eastAsia" w:ascii="宋体" w:hAnsi="宋体" w:cs="宋体"/>
          <w:color w:val="auto"/>
          <w:spacing w:val="-2"/>
          <w:position w:val="-1"/>
          <w:szCs w:val="24"/>
          <w:highlight w:val="none"/>
        </w:rPr>
        <w:t>，</w:t>
      </w:r>
      <w:r>
        <w:rPr>
          <w:rFonts w:hint="eastAsia" w:ascii="宋体" w:hAnsi="宋体" w:cs="宋体"/>
          <w:color w:val="auto"/>
          <w:position w:val="-1"/>
          <w:szCs w:val="24"/>
          <w:highlight w:val="none"/>
        </w:rPr>
        <w:t>将</w:t>
      </w:r>
      <w:r>
        <w:rPr>
          <w:rFonts w:hint="eastAsia" w:ascii="宋体" w:hAnsi="宋体" w:cs="宋体"/>
          <w:color w:val="auto"/>
          <w:spacing w:val="-2"/>
          <w:position w:val="-1"/>
          <w:szCs w:val="24"/>
          <w:highlight w:val="none"/>
        </w:rPr>
        <w:t>相</w:t>
      </w:r>
      <w:r>
        <w:rPr>
          <w:rFonts w:hint="eastAsia" w:ascii="宋体" w:hAnsi="宋体" w:cs="宋体"/>
          <w:color w:val="auto"/>
          <w:position w:val="-1"/>
          <w:szCs w:val="24"/>
          <w:highlight w:val="none"/>
        </w:rPr>
        <w:t>应</w:t>
      </w:r>
      <w:r>
        <w:rPr>
          <w:rFonts w:hint="eastAsia" w:ascii="宋体" w:hAnsi="宋体" w:cs="宋体"/>
          <w:color w:val="auto"/>
          <w:spacing w:val="-2"/>
          <w:position w:val="-1"/>
          <w:szCs w:val="24"/>
          <w:highlight w:val="none"/>
        </w:rPr>
        <w:t>延</w:t>
      </w:r>
      <w:r>
        <w:rPr>
          <w:rFonts w:hint="eastAsia" w:ascii="宋体" w:hAnsi="宋体" w:cs="宋体"/>
          <w:color w:val="auto"/>
          <w:position w:val="-1"/>
          <w:szCs w:val="24"/>
          <w:highlight w:val="none"/>
        </w:rPr>
        <w:t>长投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截</w:t>
      </w:r>
      <w:r>
        <w:rPr>
          <w:rFonts w:hint="eastAsia" w:ascii="宋体" w:hAnsi="宋体" w:cs="宋体"/>
          <w:color w:val="auto"/>
          <w:spacing w:val="-2"/>
          <w:position w:val="-1"/>
          <w:szCs w:val="24"/>
          <w:highlight w:val="none"/>
        </w:rPr>
        <w:t>止</w:t>
      </w:r>
      <w:r>
        <w:rPr>
          <w:rFonts w:hint="eastAsia" w:ascii="宋体" w:hAnsi="宋体" w:cs="宋体"/>
          <w:color w:val="auto"/>
          <w:position w:val="-1"/>
          <w:szCs w:val="24"/>
          <w:highlight w:val="none"/>
        </w:rPr>
        <w:t>时</w:t>
      </w:r>
      <w:r>
        <w:rPr>
          <w:rFonts w:hint="eastAsia" w:ascii="宋体" w:hAnsi="宋体" w:cs="宋体"/>
          <w:color w:val="auto"/>
          <w:spacing w:val="-2"/>
          <w:position w:val="-1"/>
          <w:szCs w:val="24"/>
          <w:highlight w:val="none"/>
        </w:rPr>
        <w:t>间</w:t>
      </w:r>
      <w:r>
        <w:rPr>
          <w:rFonts w:hint="eastAsia" w:ascii="宋体" w:hAnsi="宋体" w:cs="宋体"/>
          <w:color w:val="auto"/>
          <w:position w:val="-1"/>
          <w:szCs w:val="24"/>
          <w:highlight w:val="none"/>
        </w:rPr>
        <w:t>。</w:t>
      </w:r>
    </w:p>
    <w:p>
      <w:pPr>
        <w:spacing w:before="39" w:line="276" w:lineRule="auto"/>
        <w:ind w:left="100" w:right="44" w:firstLine="420"/>
        <w:rPr>
          <w:rFonts w:ascii="宋体" w:hAnsi="宋体" w:cs="宋体"/>
          <w:color w:val="auto"/>
          <w:szCs w:val="24"/>
          <w:highlight w:val="none"/>
        </w:rPr>
      </w:pPr>
      <w:r>
        <w:rPr>
          <w:rFonts w:hint="eastAsia" w:ascii="宋体" w:hAnsi="宋体" w:cs="宋体"/>
          <w:color w:val="auto"/>
          <w:szCs w:val="24"/>
          <w:highlight w:val="none"/>
        </w:rPr>
        <w:t>2.2.3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在</w:t>
      </w:r>
      <w:r>
        <w:rPr>
          <w:rFonts w:hint="eastAsia" w:ascii="宋体" w:hAnsi="宋体" w:cs="宋体"/>
          <w:color w:val="auto"/>
          <w:szCs w:val="24"/>
          <w:highlight w:val="none"/>
        </w:rPr>
        <w:t>收</w:t>
      </w:r>
      <w:r>
        <w:rPr>
          <w:rFonts w:hint="eastAsia" w:ascii="宋体" w:hAnsi="宋体" w:cs="宋体"/>
          <w:color w:val="auto"/>
          <w:spacing w:val="-2"/>
          <w:szCs w:val="24"/>
          <w:highlight w:val="none"/>
        </w:rPr>
        <w:t>到</w:t>
      </w:r>
      <w:r>
        <w:rPr>
          <w:rFonts w:hint="eastAsia" w:ascii="宋体" w:hAnsi="宋体" w:cs="宋体"/>
          <w:color w:val="auto"/>
          <w:szCs w:val="24"/>
          <w:highlight w:val="none"/>
        </w:rPr>
        <w:t>澄</w:t>
      </w:r>
      <w:r>
        <w:rPr>
          <w:rFonts w:hint="eastAsia" w:ascii="宋体" w:hAnsi="宋体" w:cs="宋体"/>
          <w:color w:val="auto"/>
          <w:spacing w:val="-2"/>
          <w:szCs w:val="24"/>
          <w:highlight w:val="none"/>
        </w:rPr>
        <w:t>清后</w:t>
      </w:r>
      <w:r>
        <w:rPr>
          <w:rFonts w:hint="eastAsia" w:ascii="宋体" w:hAnsi="宋体" w:cs="宋体"/>
          <w:color w:val="auto"/>
          <w:spacing w:val="-38"/>
          <w:szCs w:val="24"/>
          <w:highlight w:val="none"/>
        </w:rPr>
        <w:t>，</w:t>
      </w:r>
      <w:r>
        <w:rPr>
          <w:rFonts w:hint="eastAsia" w:ascii="宋体" w:hAnsi="宋体" w:cs="宋体"/>
          <w:color w:val="auto"/>
          <w:szCs w:val="24"/>
          <w:highlight w:val="none"/>
        </w:rPr>
        <w:t>应</w:t>
      </w:r>
      <w:r>
        <w:rPr>
          <w:rFonts w:hint="eastAsia" w:ascii="宋体" w:hAnsi="宋体" w:cs="宋体"/>
          <w:color w:val="auto"/>
          <w:spacing w:val="-2"/>
          <w:szCs w:val="24"/>
          <w:highlight w:val="none"/>
        </w:rPr>
        <w:t>按</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和</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color w:val="auto"/>
          <w:spacing w:val="-2"/>
          <w:szCs w:val="24"/>
          <w:highlight w:val="none"/>
        </w:rPr>
        <w:t>招</w:t>
      </w:r>
      <w:r>
        <w:rPr>
          <w:rFonts w:hint="eastAsia" w:ascii="宋体" w:hAnsi="宋体" w:cs="宋体"/>
          <w:color w:val="auto"/>
          <w:szCs w:val="24"/>
          <w:highlight w:val="none"/>
        </w:rPr>
        <w:t>标人</w:t>
      </w:r>
      <w:r>
        <w:rPr>
          <w:rFonts w:hint="eastAsia" w:ascii="宋体" w:hAnsi="宋体" w:cs="宋体"/>
          <w:color w:val="auto"/>
          <w:spacing w:val="-41"/>
          <w:szCs w:val="24"/>
          <w:highlight w:val="none"/>
        </w:rPr>
        <w:t>，</w:t>
      </w:r>
      <w:r>
        <w:rPr>
          <w:rFonts w:hint="eastAsia" w:ascii="宋体" w:hAnsi="宋体" w:cs="宋体"/>
          <w:color w:val="auto"/>
          <w:szCs w:val="24"/>
          <w:highlight w:val="none"/>
        </w:rPr>
        <w:t>确</w:t>
      </w:r>
      <w:r>
        <w:rPr>
          <w:rFonts w:hint="eastAsia" w:ascii="宋体" w:hAnsi="宋体" w:cs="宋体"/>
          <w:color w:val="auto"/>
          <w:spacing w:val="-2"/>
          <w:szCs w:val="24"/>
          <w:highlight w:val="none"/>
        </w:rPr>
        <w:t>认已</w:t>
      </w:r>
      <w:r>
        <w:rPr>
          <w:rFonts w:hint="eastAsia" w:ascii="宋体" w:hAnsi="宋体" w:cs="宋体"/>
          <w:color w:val="auto"/>
          <w:szCs w:val="24"/>
          <w:highlight w:val="none"/>
        </w:rPr>
        <w:t>收到</w:t>
      </w:r>
      <w:r>
        <w:rPr>
          <w:rFonts w:hint="eastAsia" w:ascii="宋体" w:hAnsi="宋体" w:cs="宋体"/>
          <w:color w:val="auto"/>
          <w:spacing w:val="-2"/>
          <w:szCs w:val="24"/>
          <w:highlight w:val="none"/>
        </w:rPr>
        <w:t>该</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w:t>
      </w:r>
    </w:p>
    <w:p>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2.2.4</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非</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认</w:t>
      </w:r>
      <w:r>
        <w:rPr>
          <w:rFonts w:hint="eastAsia" w:ascii="宋体" w:hAnsi="宋体" w:cs="宋体"/>
          <w:color w:val="auto"/>
          <w:szCs w:val="24"/>
          <w:highlight w:val="none"/>
        </w:rPr>
        <w:t>为</w:t>
      </w:r>
      <w:r>
        <w:rPr>
          <w:rFonts w:hint="eastAsia" w:ascii="宋体" w:hAnsi="宋体" w:cs="宋体"/>
          <w:color w:val="auto"/>
          <w:spacing w:val="-2"/>
          <w:szCs w:val="24"/>
          <w:highlight w:val="none"/>
        </w:rPr>
        <w:t>确有</w:t>
      </w:r>
      <w:r>
        <w:rPr>
          <w:rFonts w:hint="eastAsia" w:ascii="宋体" w:hAnsi="宋体" w:cs="宋体"/>
          <w:color w:val="auto"/>
          <w:szCs w:val="24"/>
          <w:highlight w:val="none"/>
        </w:rPr>
        <w:t>必要</w:t>
      </w:r>
      <w:r>
        <w:rPr>
          <w:rFonts w:hint="eastAsia" w:ascii="宋体" w:hAnsi="宋体" w:cs="宋体"/>
          <w:color w:val="auto"/>
          <w:spacing w:val="-2"/>
          <w:szCs w:val="24"/>
          <w:highlight w:val="none"/>
        </w:rPr>
        <w:t>答</w:t>
      </w:r>
      <w:r>
        <w:rPr>
          <w:rFonts w:hint="eastAsia" w:ascii="宋体" w:hAnsi="宋体" w:cs="宋体"/>
          <w:color w:val="auto"/>
          <w:szCs w:val="24"/>
          <w:highlight w:val="none"/>
        </w:rPr>
        <w:t>复</w:t>
      </w:r>
      <w:r>
        <w:rPr>
          <w:rFonts w:hint="eastAsia" w:ascii="宋体" w:hAnsi="宋体" w:cs="宋体"/>
          <w:color w:val="auto"/>
          <w:spacing w:val="-2"/>
          <w:szCs w:val="24"/>
          <w:highlight w:val="none"/>
        </w:rPr>
        <w:t>，</w:t>
      </w:r>
      <w:r>
        <w:rPr>
          <w:rFonts w:hint="eastAsia" w:ascii="宋体" w:hAnsi="宋体" w:cs="宋体"/>
          <w:color w:val="auto"/>
          <w:szCs w:val="24"/>
          <w:highlight w:val="none"/>
        </w:rPr>
        <w:t>否</w:t>
      </w:r>
      <w:r>
        <w:rPr>
          <w:rFonts w:hint="eastAsia" w:ascii="宋体" w:hAnsi="宋体" w:cs="宋体"/>
          <w:color w:val="auto"/>
          <w:spacing w:val="-2"/>
          <w:szCs w:val="24"/>
          <w:highlight w:val="none"/>
        </w:rPr>
        <w:t>则</w:t>
      </w:r>
      <w:r>
        <w:rPr>
          <w:rFonts w:hint="eastAsia" w:ascii="宋体" w:hAnsi="宋体" w:cs="宋体"/>
          <w:color w:val="auto"/>
          <w:szCs w:val="24"/>
          <w:highlight w:val="none"/>
        </w:rPr>
        <w:t>，</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有权</w:t>
      </w:r>
      <w:r>
        <w:rPr>
          <w:rFonts w:hint="eastAsia" w:ascii="宋体" w:hAnsi="宋体" w:cs="宋体"/>
          <w:color w:val="auto"/>
          <w:spacing w:val="-2"/>
          <w:szCs w:val="24"/>
          <w:highlight w:val="none"/>
        </w:rPr>
        <w:t>拒</w:t>
      </w:r>
      <w:r>
        <w:rPr>
          <w:rFonts w:hint="eastAsia" w:ascii="宋体" w:hAnsi="宋体" w:cs="宋体"/>
          <w:color w:val="auto"/>
          <w:szCs w:val="24"/>
          <w:highlight w:val="none"/>
        </w:rPr>
        <w:t>绝</w:t>
      </w:r>
      <w:r>
        <w:rPr>
          <w:rFonts w:hint="eastAsia" w:ascii="宋体" w:hAnsi="宋体" w:cs="宋体"/>
          <w:color w:val="auto"/>
          <w:spacing w:val="-2"/>
          <w:szCs w:val="24"/>
          <w:highlight w:val="none"/>
        </w:rPr>
        <w:t>回</w:t>
      </w:r>
      <w:r>
        <w:rPr>
          <w:rFonts w:hint="eastAsia" w:ascii="宋体" w:hAnsi="宋体" w:cs="宋体"/>
          <w:color w:val="auto"/>
          <w:szCs w:val="24"/>
          <w:highlight w:val="none"/>
        </w:rPr>
        <w:t>复</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在</w:t>
      </w:r>
      <w:r>
        <w:rPr>
          <w:rFonts w:hint="eastAsia" w:ascii="宋体" w:hAnsi="宋体" w:cs="宋体"/>
          <w:color w:val="auto"/>
          <w:spacing w:val="-2"/>
          <w:szCs w:val="24"/>
          <w:highlight w:val="none"/>
        </w:rPr>
        <w:t>本</w:t>
      </w:r>
      <w:r>
        <w:rPr>
          <w:rFonts w:hint="eastAsia" w:ascii="宋体" w:hAnsi="宋体" w:cs="宋体"/>
          <w:color w:val="auto"/>
          <w:szCs w:val="24"/>
          <w:highlight w:val="none"/>
        </w:rPr>
        <w:t>章第</w:t>
      </w:r>
      <w:r>
        <w:rPr>
          <w:rFonts w:hint="eastAsia" w:ascii="宋体" w:hAnsi="宋体" w:cs="宋体"/>
          <w:color w:val="auto"/>
          <w:spacing w:val="15"/>
          <w:szCs w:val="24"/>
          <w:highlight w:val="none"/>
        </w:rPr>
        <w:t xml:space="preserve"> </w:t>
      </w:r>
      <w:r>
        <w:rPr>
          <w:rFonts w:hint="eastAsia" w:ascii="宋体" w:hAnsi="宋体" w:cs="宋体"/>
          <w:color w:val="auto"/>
          <w:szCs w:val="24"/>
          <w:highlight w:val="none"/>
        </w:rPr>
        <w:t>2.</w:t>
      </w:r>
      <w:r>
        <w:rPr>
          <w:rFonts w:hint="eastAsia" w:ascii="宋体" w:hAnsi="宋体" w:cs="宋体"/>
          <w:color w:val="auto"/>
          <w:spacing w:val="-2"/>
          <w:szCs w:val="24"/>
          <w:highlight w:val="none"/>
        </w:rPr>
        <w:t>2</w:t>
      </w:r>
      <w:r>
        <w:rPr>
          <w:rFonts w:hint="eastAsia" w:ascii="宋体" w:hAnsi="宋体" w:cs="宋体"/>
          <w:color w:val="auto"/>
          <w:szCs w:val="24"/>
          <w:highlight w:val="none"/>
        </w:rPr>
        <w:t>.1项规定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后</w:t>
      </w:r>
      <w:r>
        <w:rPr>
          <w:rFonts w:hint="eastAsia" w:ascii="宋体" w:hAnsi="宋体" w:cs="宋体"/>
          <w:color w:val="auto"/>
          <w:spacing w:val="-2"/>
          <w:szCs w:val="24"/>
          <w:highlight w:val="none"/>
        </w:rPr>
        <w:t>的</w:t>
      </w:r>
      <w:r>
        <w:rPr>
          <w:rFonts w:hint="eastAsia" w:ascii="宋体" w:hAnsi="宋体" w:cs="宋体"/>
          <w:color w:val="auto"/>
          <w:szCs w:val="24"/>
          <w:highlight w:val="none"/>
        </w:rPr>
        <w:t>任</w:t>
      </w:r>
      <w:r>
        <w:rPr>
          <w:rFonts w:hint="eastAsia" w:ascii="宋体" w:hAnsi="宋体" w:cs="宋体"/>
          <w:color w:val="auto"/>
          <w:spacing w:val="-2"/>
          <w:szCs w:val="24"/>
          <w:highlight w:val="none"/>
        </w:rPr>
        <w:t>何</w:t>
      </w:r>
      <w:r>
        <w:rPr>
          <w:rFonts w:hint="eastAsia" w:ascii="宋体" w:hAnsi="宋体" w:cs="宋体"/>
          <w:color w:val="auto"/>
          <w:szCs w:val="24"/>
          <w:highlight w:val="none"/>
        </w:rPr>
        <w:t>澄</w:t>
      </w:r>
      <w:r>
        <w:rPr>
          <w:rFonts w:hint="eastAsia" w:ascii="宋体" w:hAnsi="宋体" w:cs="宋体"/>
          <w:color w:val="auto"/>
          <w:spacing w:val="-2"/>
          <w:szCs w:val="24"/>
          <w:highlight w:val="none"/>
        </w:rPr>
        <w:t>清</w:t>
      </w:r>
      <w:r>
        <w:rPr>
          <w:rFonts w:hint="eastAsia" w:ascii="宋体" w:hAnsi="宋体" w:cs="宋体"/>
          <w:color w:val="auto"/>
          <w:szCs w:val="24"/>
          <w:highlight w:val="none"/>
        </w:rPr>
        <w:t>要求。</w:t>
      </w:r>
    </w:p>
    <w:p>
      <w:pPr>
        <w:spacing w:before="1" w:line="276" w:lineRule="auto"/>
        <w:jc w:val="left"/>
        <w:rPr>
          <w:rFonts w:ascii="宋体" w:hAnsi="宋体" w:cs="宋体"/>
          <w:color w:val="auto"/>
          <w:sz w:val="11"/>
          <w:szCs w:val="24"/>
          <w:highlight w:val="none"/>
        </w:rPr>
      </w:pPr>
    </w:p>
    <w:p>
      <w:pPr>
        <w:spacing w:line="276" w:lineRule="auto"/>
        <w:ind w:left="195" w:right="570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修改</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2.3.1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以</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须知</w:t>
      </w:r>
      <w:r>
        <w:rPr>
          <w:rFonts w:hint="eastAsia" w:ascii="宋体" w:hAnsi="宋体" w:cs="宋体"/>
          <w:color w:val="auto"/>
          <w:szCs w:val="24"/>
          <w:highlight w:val="none"/>
        </w:rPr>
        <w:t>前附</w:t>
      </w:r>
      <w:r>
        <w:rPr>
          <w:rFonts w:hint="eastAsia" w:ascii="宋体" w:hAnsi="宋体" w:cs="宋体"/>
          <w:color w:val="auto"/>
          <w:spacing w:val="-2"/>
          <w:szCs w:val="24"/>
          <w:highlight w:val="none"/>
        </w:rPr>
        <w:t>表</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形</w:t>
      </w:r>
      <w:r>
        <w:rPr>
          <w:rFonts w:hint="eastAsia" w:ascii="宋体" w:hAnsi="宋体" w:cs="宋体"/>
          <w:color w:val="auto"/>
          <w:szCs w:val="24"/>
          <w:highlight w:val="none"/>
        </w:rPr>
        <w:t>式</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标文</w:t>
      </w:r>
      <w:r>
        <w:rPr>
          <w:rFonts w:hint="eastAsia" w:ascii="宋体" w:hAnsi="宋体" w:cs="宋体"/>
          <w:color w:val="auto"/>
          <w:spacing w:val="-2"/>
          <w:szCs w:val="24"/>
          <w:highlight w:val="none"/>
        </w:rPr>
        <w:t>件</w:t>
      </w:r>
      <w:r>
        <w:rPr>
          <w:rFonts w:hint="eastAsia" w:ascii="宋体" w:hAnsi="宋体" w:cs="宋体"/>
          <w:color w:val="auto"/>
          <w:spacing w:val="-24"/>
          <w:szCs w:val="24"/>
          <w:highlight w:val="none"/>
        </w:rPr>
        <w:t>，</w:t>
      </w:r>
      <w:r>
        <w:rPr>
          <w:rFonts w:hint="eastAsia" w:ascii="宋体" w:hAnsi="宋体" w:cs="宋体"/>
          <w:color w:val="auto"/>
          <w:szCs w:val="24"/>
          <w:highlight w:val="none"/>
        </w:rPr>
        <w:t>并</w:t>
      </w:r>
      <w:r>
        <w:rPr>
          <w:rFonts w:hint="eastAsia" w:ascii="宋体" w:hAnsi="宋体" w:cs="宋体"/>
          <w:color w:val="auto"/>
          <w:spacing w:val="-2"/>
          <w:szCs w:val="24"/>
          <w:highlight w:val="none"/>
        </w:rPr>
        <w:t>通</w:t>
      </w:r>
      <w:r>
        <w:rPr>
          <w:rFonts w:hint="eastAsia" w:ascii="宋体" w:hAnsi="宋体" w:cs="宋体"/>
          <w:color w:val="auto"/>
          <w:szCs w:val="24"/>
          <w:highlight w:val="none"/>
        </w:rPr>
        <w:t>知</w:t>
      </w:r>
      <w:r>
        <w:rPr>
          <w:rFonts w:hint="eastAsia" w:ascii="宋体" w:hAnsi="宋体" w:cs="宋体"/>
          <w:strike/>
          <w:color w:val="auto"/>
          <w:spacing w:val="-2"/>
          <w:szCs w:val="24"/>
          <w:highlight w:val="none"/>
        </w:rPr>
        <w:t>所</w:t>
      </w:r>
      <w:r>
        <w:rPr>
          <w:rFonts w:hint="eastAsia" w:ascii="宋体" w:hAnsi="宋体" w:cs="宋体"/>
          <w:strike/>
          <w:color w:val="auto"/>
          <w:szCs w:val="24"/>
          <w:highlight w:val="none"/>
        </w:rPr>
        <w:t>有</w:t>
      </w:r>
      <w:r>
        <w:rPr>
          <w:rFonts w:hint="eastAsia" w:ascii="宋体" w:hAnsi="宋体" w:cs="宋体"/>
          <w:strike/>
          <w:color w:val="auto"/>
          <w:spacing w:val="-2"/>
          <w:szCs w:val="24"/>
          <w:highlight w:val="none"/>
        </w:rPr>
        <w:t>已购</w:t>
      </w:r>
      <w:r>
        <w:rPr>
          <w:rFonts w:hint="eastAsia" w:ascii="宋体" w:hAnsi="宋体" w:cs="宋体"/>
          <w:strike/>
          <w:color w:val="auto"/>
          <w:szCs w:val="24"/>
          <w:highlight w:val="none"/>
        </w:rPr>
        <w:t>买招</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文</w:t>
      </w:r>
      <w:r>
        <w:rPr>
          <w:rFonts w:hint="eastAsia" w:ascii="宋体" w:hAnsi="宋体" w:cs="宋体"/>
          <w:strike/>
          <w:color w:val="auto"/>
          <w:spacing w:val="-2"/>
          <w:szCs w:val="24"/>
          <w:highlight w:val="none"/>
        </w:rPr>
        <w:t>件</w:t>
      </w:r>
      <w:r>
        <w:rPr>
          <w:rFonts w:hint="eastAsia" w:ascii="宋体" w:hAnsi="宋体" w:cs="宋体"/>
          <w:strike/>
          <w:color w:val="auto"/>
          <w:szCs w:val="24"/>
          <w:highlight w:val="none"/>
        </w:rPr>
        <w:t xml:space="preserve">的 </w:t>
      </w: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时间</w:t>
      </w:r>
      <w:r>
        <w:rPr>
          <w:rFonts w:hint="eastAsia" w:ascii="宋体" w:hAnsi="宋体" w:cs="宋体"/>
          <w:color w:val="auto"/>
          <w:spacing w:val="-2"/>
          <w:szCs w:val="24"/>
          <w:highlight w:val="none"/>
        </w:rPr>
        <w:t>距</w:t>
      </w:r>
      <w:r>
        <w:rPr>
          <w:rFonts w:hint="eastAsia" w:ascii="宋体" w:hAnsi="宋体" w:cs="宋体"/>
          <w:color w:val="auto"/>
          <w:szCs w:val="24"/>
          <w:highlight w:val="none"/>
        </w:rPr>
        <w:t>本</w:t>
      </w:r>
      <w:r>
        <w:rPr>
          <w:rFonts w:hint="eastAsia" w:ascii="宋体" w:hAnsi="宋体" w:cs="宋体"/>
          <w:color w:val="auto"/>
          <w:spacing w:val="-2"/>
          <w:szCs w:val="24"/>
          <w:highlight w:val="none"/>
        </w:rPr>
        <w:t>章</w:t>
      </w:r>
      <w:r>
        <w:rPr>
          <w:rFonts w:hint="eastAsia" w:ascii="宋体" w:hAnsi="宋体" w:cs="宋体"/>
          <w:color w:val="auto"/>
          <w:szCs w:val="24"/>
          <w:highlight w:val="none"/>
        </w:rPr>
        <w:t>第</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4</w:t>
      </w:r>
      <w:r>
        <w:rPr>
          <w:rFonts w:hint="eastAsia" w:ascii="宋体" w:hAnsi="宋体" w:cs="宋体"/>
          <w:color w:val="auto"/>
          <w:spacing w:val="-2"/>
          <w:szCs w:val="24"/>
          <w:highlight w:val="none"/>
        </w:rPr>
        <w:t>.</w:t>
      </w:r>
      <w:r>
        <w:rPr>
          <w:rFonts w:hint="eastAsia" w:ascii="宋体" w:hAnsi="宋体" w:cs="宋体"/>
          <w:color w:val="auto"/>
          <w:szCs w:val="24"/>
          <w:highlight w:val="none"/>
        </w:rPr>
        <w:t>2.1</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项</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w:t>
      </w:r>
      <w:r>
        <w:rPr>
          <w:rFonts w:hint="eastAsia" w:ascii="宋体" w:hAnsi="宋体" w:cs="宋体"/>
          <w:color w:val="auto"/>
          <w:spacing w:val="-2"/>
          <w:szCs w:val="24"/>
          <w:highlight w:val="none"/>
        </w:rPr>
        <w:t>间</w:t>
      </w:r>
      <w:r>
        <w:rPr>
          <w:rFonts w:hint="eastAsia" w:ascii="宋体" w:hAnsi="宋体" w:cs="宋体"/>
          <w:color w:val="auto"/>
          <w:szCs w:val="24"/>
          <w:highlight w:val="none"/>
        </w:rPr>
        <w:t>不足 15</w:t>
      </w:r>
      <w:r>
        <w:rPr>
          <w:rFonts w:hint="eastAsia" w:ascii="宋体" w:hAnsi="宋体" w:cs="宋体"/>
          <w:color w:val="auto"/>
          <w:spacing w:val="2"/>
          <w:szCs w:val="24"/>
          <w:highlight w:val="none"/>
        </w:rPr>
        <w:t xml:space="preserve"> </w:t>
      </w:r>
      <w:r>
        <w:rPr>
          <w:rFonts w:hint="eastAsia" w:ascii="宋体" w:hAnsi="宋体" w:cs="宋体"/>
          <w:color w:val="auto"/>
          <w:spacing w:val="-2"/>
          <w:szCs w:val="24"/>
          <w:highlight w:val="none"/>
        </w:rPr>
        <w:t>日</w:t>
      </w:r>
      <w:r>
        <w:rPr>
          <w:rFonts w:hint="eastAsia" w:ascii="宋体" w:hAnsi="宋体" w:cs="宋体"/>
          <w:color w:val="auto"/>
          <w:szCs w:val="24"/>
          <w:highlight w:val="none"/>
        </w:rPr>
        <w:t>的，</w:t>
      </w:r>
      <w:r>
        <w:rPr>
          <w:rFonts w:hint="eastAsia" w:ascii="宋体" w:hAnsi="宋体" w:cs="宋体"/>
          <w:color w:val="auto"/>
          <w:spacing w:val="-2"/>
          <w:szCs w:val="24"/>
          <w:highlight w:val="none"/>
        </w:rPr>
        <w:t>并</w:t>
      </w:r>
      <w:r>
        <w:rPr>
          <w:rFonts w:hint="eastAsia" w:ascii="宋体" w:hAnsi="宋体" w:cs="宋体"/>
          <w:color w:val="auto"/>
          <w:szCs w:val="24"/>
          <w:highlight w:val="none"/>
        </w:rPr>
        <w:t>且</w:t>
      </w:r>
      <w:r>
        <w:rPr>
          <w:rFonts w:hint="eastAsia" w:ascii="宋体" w:hAnsi="宋体" w:cs="宋体"/>
          <w:color w:val="auto"/>
          <w:spacing w:val="-2"/>
          <w:szCs w:val="24"/>
          <w:highlight w:val="none"/>
        </w:rPr>
        <w:t>修改</w:t>
      </w:r>
      <w:r>
        <w:rPr>
          <w:rFonts w:hint="eastAsia" w:ascii="宋体" w:hAnsi="宋体" w:cs="宋体"/>
          <w:color w:val="auto"/>
          <w:szCs w:val="24"/>
          <w:highlight w:val="none"/>
        </w:rPr>
        <w:t>内 容可</w:t>
      </w:r>
      <w:r>
        <w:rPr>
          <w:rFonts w:hint="eastAsia" w:ascii="宋体" w:hAnsi="宋体" w:cs="宋体"/>
          <w:color w:val="auto"/>
          <w:spacing w:val="-2"/>
          <w:szCs w:val="24"/>
          <w:highlight w:val="none"/>
        </w:rPr>
        <w:t>能</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文</w:t>
      </w:r>
      <w:r>
        <w:rPr>
          <w:rFonts w:hint="eastAsia" w:ascii="宋体" w:hAnsi="宋体" w:cs="宋体"/>
          <w:color w:val="auto"/>
          <w:spacing w:val="-2"/>
          <w:szCs w:val="24"/>
          <w:highlight w:val="none"/>
        </w:rPr>
        <w:t>件</w:t>
      </w:r>
      <w:r>
        <w:rPr>
          <w:rFonts w:hint="eastAsia" w:ascii="宋体" w:hAnsi="宋体" w:cs="宋体"/>
          <w:color w:val="auto"/>
          <w:szCs w:val="24"/>
          <w:highlight w:val="none"/>
        </w:rPr>
        <w:t>编</w:t>
      </w:r>
      <w:r>
        <w:rPr>
          <w:rFonts w:hint="eastAsia" w:ascii="宋体" w:hAnsi="宋体" w:cs="宋体"/>
          <w:color w:val="auto"/>
          <w:spacing w:val="-2"/>
          <w:szCs w:val="24"/>
          <w:highlight w:val="none"/>
        </w:rPr>
        <w:t>制</w:t>
      </w:r>
      <w:r>
        <w:rPr>
          <w:rFonts w:hint="eastAsia" w:ascii="宋体" w:hAnsi="宋体" w:cs="宋体"/>
          <w:color w:val="auto"/>
          <w:szCs w:val="24"/>
          <w:highlight w:val="none"/>
        </w:rPr>
        <w:t>的，</w:t>
      </w:r>
      <w:r>
        <w:rPr>
          <w:rFonts w:hint="eastAsia" w:ascii="宋体" w:hAnsi="宋体" w:cs="宋体"/>
          <w:color w:val="auto"/>
          <w:spacing w:val="-2"/>
          <w:szCs w:val="24"/>
          <w:highlight w:val="none"/>
        </w:rPr>
        <w:t>将</w:t>
      </w:r>
      <w:r>
        <w:rPr>
          <w:rFonts w:hint="eastAsia" w:ascii="宋体" w:hAnsi="宋体" w:cs="宋体"/>
          <w:color w:val="auto"/>
          <w:szCs w:val="24"/>
          <w:highlight w:val="none"/>
        </w:rPr>
        <w:t>相</w:t>
      </w:r>
      <w:r>
        <w:rPr>
          <w:rFonts w:hint="eastAsia" w:ascii="宋体" w:hAnsi="宋体" w:cs="宋体"/>
          <w:color w:val="auto"/>
          <w:spacing w:val="-2"/>
          <w:szCs w:val="24"/>
          <w:highlight w:val="none"/>
        </w:rPr>
        <w:t>应</w:t>
      </w:r>
      <w:r>
        <w:rPr>
          <w:rFonts w:hint="eastAsia" w:ascii="宋体" w:hAnsi="宋体" w:cs="宋体"/>
          <w:color w:val="auto"/>
          <w:szCs w:val="24"/>
          <w:highlight w:val="none"/>
        </w:rPr>
        <w:t>延</w:t>
      </w:r>
      <w:r>
        <w:rPr>
          <w:rFonts w:hint="eastAsia" w:ascii="宋体" w:hAnsi="宋体" w:cs="宋体"/>
          <w:color w:val="auto"/>
          <w:spacing w:val="-2"/>
          <w:szCs w:val="24"/>
          <w:highlight w:val="none"/>
        </w:rPr>
        <w:t>长</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截</w:t>
      </w:r>
      <w:r>
        <w:rPr>
          <w:rFonts w:hint="eastAsia" w:ascii="宋体" w:hAnsi="宋体" w:cs="宋体"/>
          <w:color w:val="auto"/>
          <w:spacing w:val="-2"/>
          <w:szCs w:val="24"/>
          <w:highlight w:val="none"/>
        </w:rPr>
        <w:t>止</w:t>
      </w:r>
      <w:r>
        <w:rPr>
          <w:rFonts w:hint="eastAsia" w:ascii="宋体" w:hAnsi="宋体" w:cs="宋体"/>
          <w:color w:val="auto"/>
          <w:szCs w:val="24"/>
          <w:highlight w:val="none"/>
        </w:rPr>
        <w:t>时间。</w:t>
      </w:r>
    </w:p>
    <w:p>
      <w:pPr>
        <w:spacing w:before="6"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2.3.2 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r>
        <w:rPr>
          <w:rFonts w:hint="eastAsia" w:ascii="宋体" w:hAnsi="宋体" w:cs="宋体"/>
          <w:color w:val="auto"/>
          <w:spacing w:val="-2"/>
          <w:szCs w:val="24"/>
          <w:highlight w:val="none"/>
        </w:rPr>
        <w:t>内容</w:t>
      </w:r>
      <w:r>
        <w:rPr>
          <w:rFonts w:hint="eastAsia" w:ascii="宋体" w:hAnsi="宋体" w:cs="宋体"/>
          <w:color w:val="auto"/>
          <w:szCs w:val="24"/>
          <w:highlight w:val="none"/>
        </w:rPr>
        <w:t>后</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按</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w:t>
      </w:r>
      <w:r>
        <w:rPr>
          <w:rFonts w:hint="eastAsia" w:ascii="宋体" w:hAnsi="宋体" w:cs="宋体"/>
          <w:color w:val="auto"/>
          <w:spacing w:val="-2"/>
          <w:szCs w:val="24"/>
          <w:highlight w:val="none"/>
        </w:rPr>
        <w:t>时</w:t>
      </w:r>
      <w:r>
        <w:rPr>
          <w:rFonts w:hint="eastAsia" w:ascii="宋体" w:hAnsi="宋体" w:cs="宋体"/>
          <w:color w:val="auto"/>
          <w:szCs w:val="24"/>
          <w:highlight w:val="none"/>
        </w:rPr>
        <w:t>间</w:t>
      </w:r>
      <w:r>
        <w:rPr>
          <w:rFonts w:hint="eastAsia" w:ascii="宋体" w:hAnsi="宋体" w:cs="宋体"/>
          <w:color w:val="auto"/>
          <w:spacing w:val="-2"/>
          <w:szCs w:val="24"/>
          <w:highlight w:val="none"/>
        </w:rPr>
        <w:t>和</w:t>
      </w:r>
      <w:r>
        <w:rPr>
          <w:rFonts w:hint="eastAsia" w:ascii="宋体" w:hAnsi="宋体" w:cs="宋体"/>
          <w:color w:val="auto"/>
          <w:szCs w:val="24"/>
          <w:highlight w:val="none"/>
        </w:rPr>
        <w:t>形</w:t>
      </w:r>
      <w:r>
        <w:rPr>
          <w:rFonts w:hint="eastAsia" w:ascii="宋体" w:hAnsi="宋体" w:cs="宋体"/>
          <w:color w:val="auto"/>
          <w:spacing w:val="-2"/>
          <w:szCs w:val="24"/>
          <w:highlight w:val="none"/>
        </w:rPr>
        <w:t>式</w:t>
      </w:r>
      <w:r>
        <w:rPr>
          <w:rFonts w:hint="eastAsia" w:ascii="宋体" w:hAnsi="宋体" w:cs="宋体"/>
          <w:color w:val="auto"/>
          <w:szCs w:val="24"/>
          <w:highlight w:val="none"/>
        </w:rPr>
        <w:t>通</w:t>
      </w:r>
      <w:r>
        <w:rPr>
          <w:rFonts w:hint="eastAsia" w:ascii="宋体" w:hAnsi="宋体" w:cs="宋体"/>
          <w:color w:val="auto"/>
          <w:spacing w:val="-2"/>
          <w:szCs w:val="24"/>
          <w:highlight w:val="none"/>
        </w:rPr>
        <w:t>知</w:t>
      </w:r>
      <w:r>
        <w:rPr>
          <w:rFonts w:hint="eastAsia" w:ascii="宋体" w:hAnsi="宋体" w:cs="宋体"/>
          <w:color w:val="auto"/>
          <w:szCs w:val="24"/>
          <w:highlight w:val="none"/>
        </w:rPr>
        <w:t>招标</w:t>
      </w:r>
      <w:r>
        <w:rPr>
          <w:rFonts w:hint="eastAsia" w:ascii="宋体" w:hAnsi="宋体" w:cs="宋体"/>
          <w:color w:val="auto"/>
          <w:spacing w:val="-2"/>
          <w:szCs w:val="24"/>
          <w:highlight w:val="none"/>
        </w:rPr>
        <w:t>人</w:t>
      </w:r>
      <w:r>
        <w:rPr>
          <w:rFonts w:hint="eastAsia" w:ascii="宋体" w:hAnsi="宋体" w:cs="宋体"/>
          <w:color w:val="auto"/>
          <w:spacing w:val="-38"/>
          <w:szCs w:val="24"/>
          <w:highlight w:val="none"/>
        </w:rPr>
        <w:t>，</w:t>
      </w:r>
      <w:r>
        <w:rPr>
          <w:rFonts w:hint="eastAsia" w:ascii="宋体" w:hAnsi="宋体" w:cs="宋体"/>
          <w:color w:val="auto"/>
          <w:spacing w:val="-2"/>
          <w:szCs w:val="24"/>
          <w:highlight w:val="none"/>
        </w:rPr>
        <w:t>确</w:t>
      </w:r>
      <w:r>
        <w:rPr>
          <w:rFonts w:hint="eastAsia" w:ascii="宋体" w:hAnsi="宋体" w:cs="宋体"/>
          <w:color w:val="auto"/>
          <w:szCs w:val="24"/>
          <w:highlight w:val="none"/>
        </w:rPr>
        <w:t>认已收</w:t>
      </w:r>
      <w:r>
        <w:rPr>
          <w:rFonts w:hint="eastAsia" w:ascii="宋体" w:hAnsi="宋体" w:cs="宋体"/>
          <w:color w:val="auto"/>
          <w:spacing w:val="-2"/>
          <w:szCs w:val="24"/>
          <w:highlight w:val="none"/>
        </w:rPr>
        <w:t>到</w:t>
      </w:r>
      <w:r>
        <w:rPr>
          <w:rFonts w:hint="eastAsia" w:ascii="宋体" w:hAnsi="宋体" w:cs="宋体"/>
          <w:color w:val="auto"/>
          <w:szCs w:val="24"/>
          <w:highlight w:val="none"/>
        </w:rPr>
        <w:t>该</w:t>
      </w:r>
      <w:r>
        <w:rPr>
          <w:rFonts w:hint="eastAsia" w:ascii="宋体" w:hAnsi="宋体" w:cs="宋体"/>
          <w:color w:val="auto"/>
          <w:spacing w:val="-2"/>
          <w:szCs w:val="24"/>
          <w:highlight w:val="none"/>
        </w:rPr>
        <w:t>修</w:t>
      </w:r>
      <w:r>
        <w:rPr>
          <w:rFonts w:hint="eastAsia" w:ascii="宋体" w:hAnsi="宋体" w:cs="宋体"/>
          <w:color w:val="auto"/>
          <w:szCs w:val="24"/>
          <w:highlight w:val="none"/>
        </w:rPr>
        <w:t>改。</w:t>
      </w:r>
    </w:p>
    <w:p>
      <w:pPr>
        <w:spacing w:before="7" w:line="276" w:lineRule="auto"/>
        <w:jc w:val="left"/>
        <w:rPr>
          <w:rFonts w:ascii="宋体" w:hAnsi="宋体" w:cs="宋体"/>
          <w:color w:val="auto"/>
          <w:sz w:val="12"/>
          <w:szCs w:val="24"/>
          <w:highlight w:val="none"/>
        </w:rPr>
      </w:pPr>
    </w:p>
    <w:p>
      <w:pPr>
        <w:spacing w:line="276" w:lineRule="auto"/>
        <w:ind w:left="190" w:right="570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2</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招标文件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异议</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投标</w:t>
      </w:r>
      <w:r>
        <w:rPr>
          <w:rFonts w:hint="eastAsia" w:ascii="宋体" w:hAnsi="宋体" w:cs="宋体"/>
          <w:color w:val="auto"/>
          <w:spacing w:val="-2"/>
          <w:szCs w:val="24"/>
          <w:highlight w:val="none"/>
        </w:rPr>
        <w:t>人</w:t>
      </w:r>
      <w:r>
        <w:rPr>
          <w:rFonts w:hint="eastAsia" w:ascii="宋体" w:hAnsi="宋体" w:cs="宋体"/>
          <w:color w:val="auto"/>
          <w:szCs w:val="24"/>
          <w:highlight w:val="none"/>
        </w:rPr>
        <w:t>或</w:t>
      </w:r>
      <w:r>
        <w:rPr>
          <w:rFonts w:hint="eastAsia" w:ascii="宋体" w:hAnsi="宋体" w:cs="宋体"/>
          <w:color w:val="auto"/>
          <w:spacing w:val="-2"/>
          <w:szCs w:val="24"/>
          <w:highlight w:val="none"/>
        </w:rPr>
        <w:t>者</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利</w:t>
      </w:r>
      <w:r>
        <w:rPr>
          <w:rFonts w:hint="eastAsia" w:ascii="宋体" w:hAnsi="宋体" w:cs="宋体"/>
          <w:color w:val="auto"/>
          <w:spacing w:val="-2"/>
          <w:szCs w:val="24"/>
          <w:highlight w:val="none"/>
        </w:rPr>
        <w:t>害</w:t>
      </w:r>
      <w:r>
        <w:rPr>
          <w:rFonts w:hint="eastAsia" w:ascii="宋体" w:hAnsi="宋体" w:cs="宋体"/>
          <w:color w:val="auto"/>
          <w:szCs w:val="24"/>
          <w:highlight w:val="none"/>
        </w:rPr>
        <w:t>关</w:t>
      </w:r>
      <w:r>
        <w:rPr>
          <w:rFonts w:hint="eastAsia" w:ascii="宋体" w:hAnsi="宋体" w:cs="宋体"/>
          <w:color w:val="auto"/>
          <w:spacing w:val="-2"/>
          <w:szCs w:val="24"/>
          <w:highlight w:val="none"/>
        </w:rPr>
        <w:t>系</w:t>
      </w:r>
      <w:r>
        <w:rPr>
          <w:rFonts w:hint="eastAsia" w:ascii="宋体" w:hAnsi="宋体" w:cs="宋体"/>
          <w:color w:val="auto"/>
          <w:szCs w:val="24"/>
          <w:highlight w:val="none"/>
        </w:rPr>
        <w:t>人对</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有</w:t>
      </w:r>
      <w:r>
        <w:rPr>
          <w:rFonts w:hint="eastAsia" w:ascii="宋体" w:hAnsi="宋体" w:cs="宋体"/>
          <w:color w:val="auto"/>
          <w:szCs w:val="24"/>
          <w:highlight w:val="none"/>
        </w:rPr>
        <w:t>异</w:t>
      </w:r>
      <w:r>
        <w:rPr>
          <w:rFonts w:hint="eastAsia" w:ascii="宋体" w:hAnsi="宋体" w:cs="宋体"/>
          <w:color w:val="auto"/>
          <w:spacing w:val="-2"/>
          <w:szCs w:val="24"/>
          <w:highlight w:val="none"/>
        </w:rPr>
        <w:t>议的</w:t>
      </w:r>
      <w:r>
        <w:rPr>
          <w:rFonts w:hint="eastAsia" w:ascii="宋体" w:hAnsi="宋体" w:cs="宋体"/>
          <w:color w:val="auto"/>
          <w:spacing w:val="-74"/>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当在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截</w:t>
      </w:r>
      <w:r>
        <w:rPr>
          <w:rFonts w:hint="eastAsia" w:ascii="宋体" w:hAnsi="宋体" w:cs="宋体"/>
          <w:color w:val="auto"/>
          <w:szCs w:val="24"/>
          <w:highlight w:val="none"/>
        </w:rPr>
        <w:t>止</w:t>
      </w:r>
      <w:r>
        <w:rPr>
          <w:rFonts w:hint="eastAsia" w:ascii="宋体" w:hAnsi="宋体" w:cs="宋体"/>
          <w:color w:val="auto"/>
          <w:spacing w:val="-2"/>
          <w:szCs w:val="24"/>
          <w:highlight w:val="none"/>
        </w:rPr>
        <w:t>时</w:t>
      </w:r>
      <w:r>
        <w:rPr>
          <w:rFonts w:hint="eastAsia" w:ascii="宋体" w:hAnsi="宋体" w:cs="宋体"/>
          <w:color w:val="auto"/>
          <w:szCs w:val="24"/>
          <w:highlight w:val="none"/>
        </w:rPr>
        <w:t xml:space="preserve">间 </w:t>
      </w:r>
      <w:r>
        <w:rPr>
          <w:rFonts w:hint="eastAsia" w:ascii="宋体" w:hAnsi="宋体" w:cs="宋体"/>
          <w:color w:val="auto"/>
          <w:spacing w:val="-2"/>
          <w:szCs w:val="24"/>
          <w:highlight w:val="none"/>
        </w:rPr>
        <w:t>1</w:t>
      </w:r>
      <w:r>
        <w:rPr>
          <w:rFonts w:hint="eastAsia" w:ascii="宋体" w:hAnsi="宋体" w:cs="宋体"/>
          <w:color w:val="auto"/>
          <w:szCs w:val="24"/>
          <w:highlight w:val="none"/>
        </w:rPr>
        <w:t xml:space="preserve">0 </w:t>
      </w:r>
      <w:r>
        <w:rPr>
          <w:rFonts w:hint="eastAsia" w:ascii="宋体" w:hAnsi="宋体" w:cs="宋体"/>
          <w:color w:val="auto"/>
          <w:spacing w:val="-2"/>
          <w:szCs w:val="24"/>
          <w:highlight w:val="none"/>
        </w:rPr>
        <w:t>日前</w:t>
      </w:r>
      <w:r>
        <w:rPr>
          <w:rFonts w:hint="eastAsia" w:ascii="宋体" w:hAnsi="宋体" w:cs="宋体"/>
          <w:color w:val="auto"/>
          <w:szCs w:val="24"/>
          <w:highlight w:val="none"/>
        </w:rPr>
        <w:t>以书</w:t>
      </w:r>
      <w:r>
        <w:rPr>
          <w:rFonts w:hint="eastAsia" w:ascii="宋体" w:hAnsi="宋体" w:cs="宋体"/>
          <w:color w:val="auto"/>
          <w:spacing w:val="-2"/>
          <w:szCs w:val="24"/>
          <w:highlight w:val="none"/>
        </w:rPr>
        <w:t>面</w:t>
      </w:r>
      <w:r>
        <w:rPr>
          <w:rFonts w:hint="eastAsia" w:ascii="宋体" w:hAnsi="宋体" w:cs="宋体"/>
          <w:color w:val="auto"/>
          <w:szCs w:val="24"/>
          <w:highlight w:val="none"/>
        </w:rPr>
        <w:t>形式提出</w:t>
      </w:r>
      <w:r>
        <w:rPr>
          <w:rFonts w:hint="eastAsia" w:ascii="宋体" w:hAnsi="宋体" w:cs="宋体"/>
          <w:color w:val="auto"/>
          <w:spacing w:val="-2"/>
          <w:szCs w:val="24"/>
          <w:highlight w:val="none"/>
        </w:rPr>
        <w:t>。</w:t>
      </w:r>
      <w:r>
        <w:rPr>
          <w:rFonts w:hint="eastAsia" w:ascii="宋体" w:hAnsi="宋体" w:cs="宋体"/>
          <w:color w:val="auto"/>
          <w:szCs w:val="24"/>
          <w:highlight w:val="none"/>
        </w:rPr>
        <w:t>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将</w:t>
      </w:r>
      <w:r>
        <w:rPr>
          <w:rFonts w:hint="eastAsia" w:ascii="宋体" w:hAnsi="宋体" w:cs="宋体"/>
          <w:color w:val="auto"/>
          <w:szCs w:val="24"/>
          <w:highlight w:val="none"/>
        </w:rPr>
        <w:t>在</w:t>
      </w:r>
      <w:r>
        <w:rPr>
          <w:rFonts w:hint="eastAsia" w:ascii="宋体" w:hAnsi="宋体" w:cs="宋体"/>
          <w:color w:val="auto"/>
          <w:spacing w:val="-2"/>
          <w:szCs w:val="24"/>
          <w:highlight w:val="none"/>
        </w:rPr>
        <w:t>收</w:t>
      </w:r>
      <w:r>
        <w:rPr>
          <w:rFonts w:hint="eastAsia" w:ascii="宋体" w:hAnsi="宋体" w:cs="宋体"/>
          <w:color w:val="auto"/>
          <w:szCs w:val="24"/>
          <w:highlight w:val="none"/>
        </w:rPr>
        <w:t>到</w:t>
      </w:r>
      <w:r>
        <w:rPr>
          <w:rFonts w:hint="eastAsia" w:ascii="宋体" w:hAnsi="宋体" w:cs="宋体"/>
          <w:color w:val="auto"/>
          <w:spacing w:val="-2"/>
          <w:szCs w:val="24"/>
          <w:highlight w:val="none"/>
        </w:rPr>
        <w:t>异</w:t>
      </w:r>
      <w:r>
        <w:rPr>
          <w:rFonts w:hint="eastAsia" w:ascii="宋体" w:hAnsi="宋体" w:cs="宋体"/>
          <w:color w:val="auto"/>
          <w:szCs w:val="24"/>
          <w:highlight w:val="none"/>
        </w:rPr>
        <w:t>议之</w:t>
      </w:r>
      <w:r>
        <w:rPr>
          <w:rFonts w:hint="eastAsia" w:ascii="宋体" w:hAnsi="宋体" w:cs="宋体"/>
          <w:color w:val="auto"/>
          <w:spacing w:val="-2"/>
          <w:szCs w:val="24"/>
          <w:highlight w:val="none"/>
        </w:rPr>
        <w:t>日</w:t>
      </w:r>
      <w:r>
        <w:rPr>
          <w:rFonts w:hint="eastAsia" w:ascii="宋体" w:hAnsi="宋体" w:cs="宋体"/>
          <w:color w:val="auto"/>
          <w:szCs w:val="24"/>
          <w:highlight w:val="none"/>
        </w:rPr>
        <w:t>起 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日</w:t>
      </w:r>
      <w:r>
        <w:rPr>
          <w:rFonts w:hint="eastAsia" w:ascii="宋体" w:hAnsi="宋体" w:cs="宋体"/>
          <w:color w:val="auto"/>
          <w:spacing w:val="-2"/>
          <w:szCs w:val="24"/>
          <w:highlight w:val="none"/>
        </w:rPr>
        <w:t>内</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；作</w:t>
      </w:r>
      <w:r>
        <w:rPr>
          <w:rFonts w:hint="eastAsia" w:ascii="宋体" w:hAnsi="宋体" w:cs="宋体"/>
          <w:color w:val="auto"/>
          <w:spacing w:val="-2"/>
          <w:szCs w:val="24"/>
          <w:highlight w:val="none"/>
        </w:rPr>
        <w:t>出</w:t>
      </w:r>
      <w:r>
        <w:rPr>
          <w:rFonts w:hint="eastAsia" w:ascii="宋体" w:hAnsi="宋体" w:cs="宋体"/>
          <w:color w:val="auto"/>
          <w:szCs w:val="24"/>
          <w:highlight w:val="none"/>
        </w:rPr>
        <w:t>答</w:t>
      </w:r>
      <w:r>
        <w:rPr>
          <w:rFonts w:hint="eastAsia" w:ascii="宋体" w:hAnsi="宋体" w:cs="宋体"/>
          <w:color w:val="auto"/>
          <w:spacing w:val="-2"/>
          <w:szCs w:val="24"/>
          <w:highlight w:val="none"/>
        </w:rPr>
        <w:t>复</w:t>
      </w:r>
      <w:r>
        <w:rPr>
          <w:rFonts w:hint="eastAsia" w:ascii="宋体" w:hAnsi="宋体" w:cs="宋体"/>
          <w:color w:val="auto"/>
          <w:szCs w:val="24"/>
          <w:highlight w:val="none"/>
        </w:rPr>
        <w:t>前</w:t>
      </w:r>
      <w:r>
        <w:rPr>
          <w:rFonts w:hint="eastAsia" w:ascii="宋体" w:hAnsi="宋体" w:cs="宋体"/>
          <w:color w:val="auto"/>
          <w:spacing w:val="-2"/>
          <w:szCs w:val="24"/>
          <w:highlight w:val="none"/>
        </w:rPr>
        <w:t>，</w:t>
      </w:r>
      <w:r>
        <w:rPr>
          <w:rFonts w:hint="eastAsia" w:ascii="宋体" w:hAnsi="宋体" w:cs="宋体"/>
          <w:color w:val="auto"/>
          <w:szCs w:val="24"/>
          <w:highlight w:val="none"/>
        </w:rPr>
        <w:t>将</w:t>
      </w:r>
      <w:r>
        <w:rPr>
          <w:rFonts w:hint="eastAsia" w:ascii="宋体" w:hAnsi="宋体" w:cs="宋体"/>
          <w:color w:val="auto"/>
          <w:spacing w:val="-2"/>
          <w:szCs w:val="24"/>
          <w:highlight w:val="none"/>
        </w:rPr>
        <w:t>暂</w:t>
      </w:r>
      <w:r>
        <w:rPr>
          <w:rFonts w:hint="eastAsia" w:ascii="宋体" w:hAnsi="宋体" w:cs="宋体"/>
          <w:color w:val="auto"/>
          <w:szCs w:val="24"/>
          <w:highlight w:val="none"/>
        </w:rPr>
        <w:t>停</w:t>
      </w:r>
      <w:r>
        <w:rPr>
          <w:rFonts w:hint="eastAsia" w:ascii="宋体" w:hAnsi="宋体" w:cs="宋体"/>
          <w:color w:val="auto"/>
          <w:spacing w:val="-2"/>
          <w:szCs w:val="24"/>
          <w:highlight w:val="none"/>
        </w:rPr>
        <w:t>招</w:t>
      </w:r>
      <w:r>
        <w:rPr>
          <w:rFonts w:hint="eastAsia" w:ascii="宋体" w:hAnsi="宋体" w:cs="宋体"/>
          <w:color w:val="auto"/>
          <w:szCs w:val="24"/>
          <w:highlight w:val="none"/>
        </w:rPr>
        <w:t>标投</w:t>
      </w:r>
      <w:r>
        <w:rPr>
          <w:rFonts w:hint="eastAsia" w:ascii="宋体" w:hAnsi="宋体" w:cs="宋体"/>
          <w:color w:val="auto"/>
          <w:spacing w:val="-2"/>
          <w:szCs w:val="24"/>
          <w:highlight w:val="none"/>
        </w:rPr>
        <w:t>标</w:t>
      </w:r>
      <w:r>
        <w:rPr>
          <w:rFonts w:hint="eastAsia" w:ascii="宋体" w:hAnsi="宋体" w:cs="宋体"/>
          <w:color w:val="auto"/>
          <w:szCs w:val="24"/>
          <w:highlight w:val="none"/>
        </w:rPr>
        <w:t>活</w:t>
      </w:r>
      <w:r>
        <w:rPr>
          <w:rFonts w:hint="eastAsia" w:ascii="宋体" w:hAnsi="宋体" w:cs="宋体"/>
          <w:color w:val="auto"/>
          <w:spacing w:val="-2"/>
          <w:szCs w:val="24"/>
          <w:highlight w:val="none"/>
        </w:rPr>
        <w:t>动</w:t>
      </w:r>
      <w:r>
        <w:rPr>
          <w:rFonts w:hint="eastAsia" w:ascii="宋体" w:hAnsi="宋体" w:cs="宋体"/>
          <w:color w:val="auto"/>
          <w:szCs w:val="24"/>
          <w:highlight w:val="none"/>
        </w:rPr>
        <w:t>。</w:t>
      </w:r>
    </w:p>
    <w:p>
      <w:pPr>
        <w:spacing w:before="1" w:line="276" w:lineRule="auto"/>
        <w:jc w:val="left"/>
        <w:rPr>
          <w:rFonts w:ascii="宋体" w:hAnsi="宋体" w:cs="宋体"/>
          <w:color w:val="auto"/>
          <w:sz w:val="11"/>
          <w:szCs w:val="24"/>
          <w:highlight w:val="none"/>
        </w:rPr>
      </w:pPr>
    </w:p>
    <w:p>
      <w:pPr>
        <w:spacing w:line="276" w:lineRule="auto"/>
        <w:ind w:left="100" w:right="-20"/>
        <w:jc w:val="left"/>
        <w:rPr>
          <w:rFonts w:ascii="宋体" w:hAnsi="宋体" w:cs="宋体"/>
          <w:color w:val="auto"/>
          <w:sz w:val="32"/>
          <w:szCs w:val="24"/>
          <w:highlight w:val="none"/>
        </w:rPr>
      </w:pPr>
      <w:bookmarkStart w:id="33" w:name="_Toc3382_WPSOffice_Level2"/>
      <w:r>
        <w:rPr>
          <w:rFonts w:hint="eastAsia" w:ascii="宋体" w:hAnsi="宋体" w:cs="宋体"/>
          <w:color w:val="auto"/>
          <w:spacing w:val="1"/>
          <w:sz w:val="32"/>
          <w:szCs w:val="24"/>
          <w:highlight w:val="none"/>
        </w:rPr>
        <w:t>3</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投标文件</w:t>
      </w:r>
      <w:bookmarkEnd w:id="33"/>
    </w:p>
    <w:p>
      <w:pPr>
        <w:spacing w:line="276" w:lineRule="auto"/>
        <w:ind w:left="195" w:right="5920"/>
        <w:jc w:val="center"/>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.1投标文件的组成</w:t>
      </w:r>
    </w:p>
    <w:p>
      <w:pPr>
        <w:spacing w:line="276" w:lineRule="auto"/>
        <w:ind w:left="460" w:right="-20"/>
        <w:rPr>
          <w:rFonts w:ascii="宋体" w:hAnsi="宋体" w:cs="宋体"/>
          <w:color w:val="auto"/>
          <w:spacing w:val="-2"/>
          <w:szCs w:val="24"/>
          <w:highlight w:val="none"/>
        </w:rPr>
      </w:pPr>
      <w:r>
        <w:rPr>
          <w:rFonts w:hint="eastAsia" w:ascii="宋体" w:hAnsi="宋体" w:cs="宋体"/>
          <w:color w:val="auto"/>
          <w:spacing w:val="-2"/>
          <w:szCs w:val="24"/>
          <w:highlight w:val="none"/>
        </w:rPr>
        <w:t>3.1.1 投标文件应包括下列内容：投标文件由</w:t>
      </w:r>
      <w:r>
        <w:rPr>
          <w:rFonts w:hint="eastAsia" w:ascii="宋体" w:hAnsi="宋体" w:cs="宋体"/>
          <w:strike/>
          <w:color w:val="auto"/>
          <w:spacing w:val="-2"/>
          <w:szCs w:val="24"/>
          <w:highlight w:val="none"/>
        </w:rPr>
        <w:t>资格审查部分</w:t>
      </w:r>
      <w:r>
        <w:rPr>
          <w:rFonts w:hint="eastAsia" w:ascii="宋体" w:hAnsi="宋体" w:cs="宋体"/>
          <w:color w:val="auto"/>
          <w:spacing w:val="-2"/>
          <w:szCs w:val="24"/>
          <w:highlight w:val="none"/>
        </w:rPr>
        <w:t>、技术部分、经济部分组成。</w:t>
      </w:r>
    </w:p>
    <w:p>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1、资格审查部分主要包括下列内容：</w:t>
      </w:r>
    </w:p>
    <w:p>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（1）基本情况表(按第五章 投标文件格式四）</w:t>
      </w:r>
    </w:p>
    <w:p>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（2）投标人声明(按招标公告附件一）</w:t>
      </w:r>
    </w:p>
    <w:p>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（3）按招标公告第3点投标人资格要求提供相关资料</w:t>
      </w:r>
    </w:p>
    <w:p>
      <w:pPr>
        <w:spacing w:line="276" w:lineRule="auto"/>
        <w:ind w:left="100" w:right="39" w:firstLine="420"/>
        <w:rPr>
          <w:rFonts w:ascii="宋体" w:hAnsi="宋体" w:cs="宋体"/>
          <w:strike/>
          <w:color w:val="auto"/>
          <w:spacing w:val="-2"/>
          <w:szCs w:val="24"/>
          <w:highlight w:val="none"/>
        </w:rPr>
      </w:pPr>
      <w:r>
        <w:rPr>
          <w:rFonts w:hint="eastAsia" w:ascii="宋体" w:hAnsi="宋体" w:cs="宋体"/>
          <w:strike/>
          <w:color w:val="auto"/>
          <w:spacing w:val="-2"/>
          <w:szCs w:val="24"/>
          <w:highlight w:val="none"/>
        </w:rPr>
        <w:t>（4）按本招标文件规定提交的其它所有资料</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2、 技术部分主要包括下列内容：</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（1）投标文件目录；</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（2）投标函及投标函附录（按第五章 投标文件格式一）；</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（3）法定代表人证明书（按第五章 投标文件格式二）；</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（4）授权委托书（按第五章 投标文件格式三）；</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（6）类似工程业绩表（按第五章 投标文件格式四）；</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（7）拟投入人员一览表</w:t>
      </w:r>
      <w:bookmarkStart w:id="34" w:name="_Hlk151020597"/>
      <w:r>
        <w:rPr>
          <w:rFonts w:hint="eastAsia" w:ascii="宋体" w:hAnsi="宋体" w:cs="宋体"/>
          <w:color w:val="auto"/>
          <w:spacing w:val="-2"/>
          <w:szCs w:val="24"/>
          <w:highlight w:val="none"/>
        </w:rPr>
        <w:t>、主要人员简历表</w:t>
      </w:r>
      <w:bookmarkEnd w:id="34"/>
      <w:r>
        <w:rPr>
          <w:rFonts w:hint="eastAsia" w:ascii="宋体" w:hAnsi="宋体" w:cs="宋体"/>
          <w:color w:val="auto"/>
          <w:spacing w:val="-2"/>
          <w:szCs w:val="24"/>
          <w:highlight w:val="none"/>
        </w:rPr>
        <w:t>（按第五章 投标文件格式五）；</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（8）服务保障方案；</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（10）</w:t>
      </w:r>
      <w:r>
        <w:rPr>
          <w:rFonts w:hint="eastAsia" w:ascii="宋体" w:hAnsi="宋体" w:cs="宋体"/>
          <w:color w:val="auto"/>
          <w:spacing w:val="-2"/>
          <w:szCs w:val="24"/>
          <w:highlight w:val="none"/>
          <w:lang w:eastAsia="zh-CN"/>
        </w:rPr>
        <w:t>捐赠</w:t>
      </w:r>
      <w:r>
        <w:rPr>
          <w:rFonts w:hint="eastAsia" w:ascii="宋体" w:hAnsi="宋体" w:cs="宋体"/>
          <w:color w:val="auto"/>
          <w:spacing w:val="-2"/>
          <w:szCs w:val="24"/>
          <w:highlight w:val="none"/>
        </w:rPr>
        <w:t>承诺函（按第五章 投标文件格式七）；</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（11）按本招标文件规定提交的其它所有资料。</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3、经济部分投标文件主要包括下列内容：</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（1）投标报价表（按照第五章提供的格式）；</w:t>
      </w:r>
    </w:p>
    <w:p>
      <w:pPr>
        <w:spacing w:line="276" w:lineRule="auto"/>
        <w:ind w:left="100" w:right="39" w:firstLine="420"/>
        <w:rPr>
          <w:rFonts w:ascii="宋体" w:hAnsi="宋体" w:cs="宋体"/>
          <w:color w:val="auto"/>
          <w:spacing w:val="-2"/>
          <w:szCs w:val="24"/>
          <w:highlight w:val="none"/>
        </w:rPr>
      </w:pPr>
      <w:r>
        <w:rPr>
          <w:rFonts w:hint="eastAsia" w:ascii="宋体" w:hAnsi="宋体" w:cs="宋体"/>
          <w:color w:val="auto"/>
          <w:spacing w:val="-2"/>
          <w:szCs w:val="24"/>
          <w:highlight w:val="none"/>
        </w:rPr>
        <w:t>（2）投标人认为有必要提供的其它证明材料。</w:t>
      </w:r>
    </w:p>
    <w:p>
      <w:pPr>
        <w:spacing w:before="40"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4"/>
          <w:highlight w:val="none"/>
        </w:rPr>
        <w:t>）</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函</w:t>
      </w:r>
      <w:r>
        <w:rPr>
          <w:rFonts w:hint="eastAsia" w:ascii="宋体" w:hAnsi="宋体" w:cs="宋体"/>
          <w:color w:val="auto"/>
          <w:spacing w:val="-2"/>
          <w:szCs w:val="24"/>
          <w:highlight w:val="none"/>
        </w:rPr>
        <w:t>及</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函</w:t>
      </w:r>
      <w:r>
        <w:rPr>
          <w:rFonts w:hint="eastAsia" w:ascii="宋体" w:hAnsi="宋体" w:cs="宋体"/>
          <w:color w:val="auto"/>
          <w:spacing w:val="-2"/>
          <w:szCs w:val="24"/>
          <w:highlight w:val="none"/>
        </w:rPr>
        <w:t>附录</w:t>
      </w:r>
      <w:r>
        <w:rPr>
          <w:rFonts w:hint="eastAsia" w:ascii="宋体" w:hAnsi="宋体" w:cs="宋体"/>
          <w:color w:val="auto"/>
          <w:szCs w:val="24"/>
          <w:highlight w:val="none"/>
        </w:rPr>
        <w:t>；</w:t>
      </w:r>
    </w:p>
    <w:p>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（2</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法</w:t>
      </w:r>
      <w:r>
        <w:rPr>
          <w:rFonts w:hint="eastAsia" w:ascii="宋体" w:hAnsi="宋体" w:cs="宋体"/>
          <w:strike/>
          <w:color w:val="auto"/>
          <w:spacing w:val="-2"/>
          <w:szCs w:val="24"/>
          <w:highlight w:val="none"/>
        </w:rPr>
        <w:t>定</w:t>
      </w:r>
      <w:r>
        <w:rPr>
          <w:rFonts w:hint="eastAsia" w:ascii="宋体" w:hAnsi="宋体" w:cs="宋体"/>
          <w:strike/>
          <w:color w:val="auto"/>
          <w:szCs w:val="24"/>
          <w:highlight w:val="none"/>
        </w:rPr>
        <w:t>代</w:t>
      </w:r>
      <w:r>
        <w:rPr>
          <w:rFonts w:hint="eastAsia" w:ascii="宋体" w:hAnsi="宋体" w:cs="宋体"/>
          <w:strike/>
          <w:color w:val="auto"/>
          <w:spacing w:val="-2"/>
          <w:szCs w:val="24"/>
          <w:highlight w:val="none"/>
        </w:rPr>
        <w:t>表</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身</w:t>
      </w:r>
      <w:r>
        <w:rPr>
          <w:rFonts w:hint="eastAsia" w:ascii="宋体" w:hAnsi="宋体" w:cs="宋体"/>
          <w:strike/>
          <w:color w:val="auto"/>
          <w:szCs w:val="24"/>
          <w:highlight w:val="none"/>
        </w:rPr>
        <w:t>份</w:t>
      </w:r>
      <w:r>
        <w:rPr>
          <w:rFonts w:hint="eastAsia" w:ascii="宋体" w:hAnsi="宋体" w:cs="宋体"/>
          <w:strike/>
          <w:color w:val="auto"/>
          <w:spacing w:val="-2"/>
          <w:szCs w:val="24"/>
          <w:highlight w:val="none"/>
        </w:rPr>
        <w:t>证明</w:t>
      </w:r>
      <w:r>
        <w:rPr>
          <w:rFonts w:hint="eastAsia" w:ascii="宋体" w:hAnsi="宋体" w:cs="宋体"/>
          <w:strike/>
          <w:color w:val="auto"/>
          <w:szCs w:val="24"/>
          <w:highlight w:val="none"/>
        </w:rPr>
        <w:t>或授</w:t>
      </w:r>
      <w:r>
        <w:rPr>
          <w:rFonts w:hint="eastAsia" w:ascii="宋体" w:hAnsi="宋体" w:cs="宋体"/>
          <w:strike/>
          <w:color w:val="auto"/>
          <w:spacing w:val="-2"/>
          <w:szCs w:val="24"/>
          <w:highlight w:val="none"/>
        </w:rPr>
        <w:t>权</w:t>
      </w:r>
      <w:r>
        <w:rPr>
          <w:rFonts w:hint="eastAsia" w:ascii="宋体" w:hAnsi="宋体" w:cs="宋体"/>
          <w:strike/>
          <w:color w:val="auto"/>
          <w:szCs w:val="24"/>
          <w:highlight w:val="none"/>
        </w:rPr>
        <w:t>委</w:t>
      </w:r>
      <w:r>
        <w:rPr>
          <w:rFonts w:hint="eastAsia" w:ascii="宋体" w:hAnsi="宋体" w:cs="宋体"/>
          <w:strike/>
          <w:color w:val="auto"/>
          <w:spacing w:val="-2"/>
          <w:szCs w:val="24"/>
          <w:highlight w:val="none"/>
        </w:rPr>
        <w:t>托</w:t>
      </w:r>
      <w:r>
        <w:rPr>
          <w:rFonts w:hint="eastAsia" w:ascii="宋体" w:hAnsi="宋体" w:cs="宋体"/>
          <w:strike/>
          <w:color w:val="auto"/>
          <w:szCs w:val="24"/>
          <w:highlight w:val="none"/>
        </w:rPr>
        <w:t>书；</w:t>
      </w:r>
    </w:p>
    <w:p>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联</w:t>
      </w:r>
      <w:r>
        <w:rPr>
          <w:rFonts w:hint="eastAsia" w:ascii="宋体" w:hAnsi="宋体" w:cs="宋体"/>
          <w:strike/>
          <w:color w:val="auto"/>
          <w:spacing w:val="-2"/>
          <w:szCs w:val="24"/>
          <w:highlight w:val="none"/>
        </w:rPr>
        <w:t>合</w:t>
      </w:r>
      <w:r>
        <w:rPr>
          <w:rFonts w:hint="eastAsia" w:ascii="宋体" w:hAnsi="宋体" w:cs="宋体"/>
          <w:strike/>
          <w:color w:val="auto"/>
          <w:szCs w:val="24"/>
          <w:highlight w:val="none"/>
        </w:rPr>
        <w:t>体</w:t>
      </w:r>
      <w:r>
        <w:rPr>
          <w:rFonts w:hint="eastAsia" w:ascii="宋体" w:hAnsi="宋体" w:cs="宋体"/>
          <w:strike/>
          <w:color w:val="auto"/>
          <w:spacing w:val="-2"/>
          <w:szCs w:val="24"/>
          <w:highlight w:val="none"/>
        </w:rPr>
        <w:t>协</w:t>
      </w:r>
      <w:r>
        <w:rPr>
          <w:rFonts w:hint="eastAsia" w:ascii="宋体" w:hAnsi="宋体" w:cs="宋体"/>
          <w:strike/>
          <w:color w:val="auto"/>
          <w:szCs w:val="24"/>
          <w:highlight w:val="none"/>
        </w:rPr>
        <w:t>议</w:t>
      </w:r>
      <w:r>
        <w:rPr>
          <w:rFonts w:hint="eastAsia" w:ascii="宋体" w:hAnsi="宋体" w:cs="宋体"/>
          <w:strike/>
          <w:color w:val="auto"/>
          <w:spacing w:val="-2"/>
          <w:szCs w:val="24"/>
          <w:highlight w:val="none"/>
        </w:rPr>
        <w:t>书</w:t>
      </w:r>
      <w:r>
        <w:rPr>
          <w:rFonts w:hint="eastAsia" w:ascii="宋体" w:hAnsi="宋体" w:cs="宋体"/>
          <w:strike/>
          <w:color w:val="auto"/>
          <w:szCs w:val="24"/>
          <w:highlight w:val="none"/>
        </w:rPr>
        <w:t>；</w:t>
      </w:r>
    </w:p>
    <w:p>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保</w:t>
      </w:r>
      <w:r>
        <w:rPr>
          <w:rFonts w:hint="eastAsia" w:ascii="宋体" w:hAnsi="宋体" w:cs="宋体"/>
          <w:strike/>
          <w:color w:val="auto"/>
          <w:spacing w:val="-2"/>
          <w:szCs w:val="24"/>
          <w:highlight w:val="none"/>
        </w:rPr>
        <w:t>证</w:t>
      </w:r>
      <w:r>
        <w:rPr>
          <w:rFonts w:hint="eastAsia" w:ascii="宋体" w:hAnsi="宋体" w:cs="宋体"/>
          <w:strike/>
          <w:color w:val="auto"/>
          <w:szCs w:val="24"/>
          <w:highlight w:val="none"/>
        </w:rPr>
        <w:t>金；</w:t>
      </w:r>
    </w:p>
    <w:p>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（5</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报</w:t>
      </w:r>
      <w:r>
        <w:rPr>
          <w:rFonts w:hint="eastAsia" w:ascii="宋体" w:hAnsi="宋体" w:cs="宋体"/>
          <w:strike/>
          <w:color w:val="auto"/>
          <w:spacing w:val="-2"/>
          <w:szCs w:val="24"/>
          <w:highlight w:val="none"/>
        </w:rPr>
        <w:t>酬</w:t>
      </w:r>
      <w:r>
        <w:rPr>
          <w:rFonts w:hint="eastAsia" w:ascii="宋体" w:hAnsi="宋体" w:cs="宋体"/>
          <w:strike/>
          <w:color w:val="auto"/>
          <w:szCs w:val="24"/>
          <w:highlight w:val="none"/>
        </w:rPr>
        <w:t>清</w:t>
      </w:r>
      <w:r>
        <w:rPr>
          <w:rFonts w:hint="eastAsia" w:ascii="宋体" w:hAnsi="宋体" w:cs="宋体"/>
          <w:strike/>
          <w:color w:val="auto"/>
          <w:spacing w:val="-3"/>
          <w:szCs w:val="24"/>
          <w:highlight w:val="none"/>
        </w:rPr>
        <w:t>单</w:t>
      </w:r>
      <w:r>
        <w:rPr>
          <w:rFonts w:hint="eastAsia" w:ascii="宋体" w:hAnsi="宋体" w:cs="宋体"/>
          <w:strike/>
          <w:color w:val="auto"/>
          <w:szCs w:val="24"/>
          <w:highlight w:val="none"/>
        </w:rPr>
        <w:t>；</w:t>
      </w:r>
    </w:p>
    <w:p>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（6</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格</w:t>
      </w:r>
      <w:r>
        <w:rPr>
          <w:rFonts w:hint="eastAsia" w:ascii="宋体" w:hAnsi="宋体" w:cs="宋体"/>
          <w:strike/>
          <w:color w:val="auto"/>
          <w:szCs w:val="24"/>
          <w:highlight w:val="none"/>
        </w:rPr>
        <w:t>审</w:t>
      </w:r>
      <w:r>
        <w:rPr>
          <w:rFonts w:hint="eastAsia" w:ascii="宋体" w:hAnsi="宋体" w:cs="宋体"/>
          <w:strike/>
          <w:color w:val="auto"/>
          <w:spacing w:val="-2"/>
          <w:szCs w:val="24"/>
          <w:highlight w:val="none"/>
        </w:rPr>
        <w:t>查</w:t>
      </w:r>
      <w:r>
        <w:rPr>
          <w:rFonts w:hint="eastAsia" w:ascii="宋体" w:hAnsi="宋体" w:cs="宋体"/>
          <w:strike/>
          <w:color w:val="auto"/>
          <w:szCs w:val="24"/>
          <w:highlight w:val="none"/>
        </w:rPr>
        <w:t>资</w:t>
      </w:r>
      <w:r>
        <w:rPr>
          <w:rFonts w:hint="eastAsia" w:ascii="宋体" w:hAnsi="宋体" w:cs="宋体"/>
          <w:strike/>
          <w:color w:val="auto"/>
          <w:spacing w:val="-2"/>
          <w:szCs w:val="24"/>
          <w:highlight w:val="none"/>
        </w:rPr>
        <w:t>料</w:t>
      </w:r>
      <w:r>
        <w:rPr>
          <w:rFonts w:hint="eastAsia" w:ascii="宋体" w:hAnsi="宋体" w:cs="宋体"/>
          <w:strike/>
          <w:color w:val="auto"/>
          <w:szCs w:val="24"/>
          <w:highlight w:val="none"/>
        </w:rPr>
        <w:t>；</w:t>
      </w:r>
    </w:p>
    <w:p>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（7</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监</w:t>
      </w:r>
      <w:r>
        <w:rPr>
          <w:rFonts w:hint="eastAsia" w:ascii="宋体" w:hAnsi="宋体" w:cs="宋体"/>
          <w:strike/>
          <w:color w:val="auto"/>
          <w:spacing w:val="-2"/>
          <w:szCs w:val="24"/>
          <w:highlight w:val="none"/>
        </w:rPr>
        <w:t>理</w:t>
      </w:r>
      <w:r>
        <w:rPr>
          <w:rFonts w:hint="eastAsia" w:ascii="宋体" w:hAnsi="宋体" w:cs="宋体"/>
          <w:strike/>
          <w:color w:val="auto"/>
          <w:szCs w:val="24"/>
          <w:highlight w:val="none"/>
        </w:rPr>
        <w:t>大</w:t>
      </w:r>
      <w:r>
        <w:rPr>
          <w:rFonts w:hint="eastAsia" w:ascii="宋体" w:hAnsi="宋体" w:cs="宋体"/>
          <w:strike/>
          <w:color w:val="auto"/>
          <w:spacing w:val="-2"/>
          <w:szCs w:val="24"/>
          <w:highlight w:val="none"/>
        </w:rPr>
        <w:t>纲</w:t>
      </w:r>
      <w:r>
        <w:rPr>
          <w:rFonts w:hint="eastAsia" w:ascii="宋体" w:hAnsi="宋体" w:cs="宋体"/>
          <w:strike/>
          <w:color w:val="auto"/>
          <w:szCs w:val="24"/>
          <w:highlight w:val="none"/>
        </w:rPr>
        <w:t>；</w:t>
      </w:r>
    </w:p>
    <w:p>
      <w:pPr>
        <w:spacing w:before="39"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（8</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投</w:t>
      </w:r>
      <w:r>
        <w:rPr>
          <w:rFonts w:hint="eastAsia" w:ascii="宋体" w:hAnsi="宋体" w:cs="宋体"/>
          <w:strike/>
          <w:color w:val="auto"/>
          <w:spacing w:val="-2"/>
          <w:szCs w:val="24"/>
          <w:highlight w:val="none"/>
        </w:rPr>
        <w:t>标</w:t>
      </w:r>
      <w:r>
        <w:rPr>
          <w:rFonts w:hint="eastAsia" w:ascii="宋体" w:hAnsi="宋体" w:cs="宋体"/>
          <w:strike/>
          <w:color w:val="auto"/>
          <w:szCs w:val="24"/>
          <w:highlight w:val="none"/>
        </w:rPr>
        <w:t>人</w:t>
      </w:r>
      <w:r>
        <w:rPr>
          <w:rFonts w:hint="eastAsia" w:ascii="宋体" w:hAnsi="宋体" w:cs="宋体"/>
          <w:strike/>
          <w:color w:val="auto"/>
          <w:spacing w:val="-2"/>
          <w:szCs w:val="24"/>
          <w:highlight w:val="none"/>
        </w:rPr>
        <w:t>须</w:t>
      </w:r>
      <w:r>
        <w:rPr>
          <w:rFonts w:hint="eastAsia" w:ascii="宋体" w:hAnsi="宋体" w:cs="宋体"/>
          <w:strike/>
          <w:color w:val="auto"/>
          <w:szCs w:val="24"/>
          <w:highlight w:val="none"/>
        </w:rPr>
        <w:t>知</w:t>
      </w:r>
      <w:r>
        <w:rPr>
          <w:rFonts w:hint="eastAsia" w:ascii="宋体" w:hAnsi="宋体" w:cs="宋体"/>
          <w:strike/>
          <w:color w:val="auto"/>
          <w:spacing w:val="-2"/>
          <w:szCs w:val="24"/>
          <w:highlight w:val="none"/>
        </w:rPr>
        <w:t>前</w:t>
      </w:r>
      <w:r>
        <w:rPr>
          <w:rFonts w:hint="eastAsia" w:ascii="宋体" w:hAnsi="宋体" w:cs="宋体"/>
          <w:strike/>
          <w:color w:val="auto"/>
          <w:szCs w:val="24"/>
          <w:highlight w:val="none"/>
        </w:rPr>
        <w:t>附</w:t>
      </w:r>
      <w:r>
        <w:rPr>
          <w:rFonts w:hint="eastAsia" w:ascii="宋体" w:hAnsi="宋体" w:cs="宋体"/>
          <w:strike/>
          <w:color w:val="auto"/>
          <w:spacing w:val="-2"/>
          <w:szCs w:val="24"/>
          <w:highlight w:val="none"/>
        </w:rPr>
        <w:t>表规</w:t>
      </w:r>
      <w:r>
        <w:rPr>
          <w:rFonts w:hint="eastAsia" w:ascii="宋体" w:hAnsi="宋体" w:cs="宋体"/>
          <w:strike/>
          <w:color w:val="auto"/>
          <w:szCs w:val="24"/>
          <w:highlight w:val="none"/>
        </w:rPr>
        <w:t>定的</w:t>
      </w:r>
      <w:r>
        <w:rPr>
          <w:rFonts w:hint="eastAsia" w:ascii="宋体" w:hAnsi="宋体" w:cs="宋体"/>
          <w:strike/>
          <w:color w:val="auto"/>
          <w:spacing w:val="-2"/>
          <w:szCs w:val="24"/>
          <w:highlight w:val="none"/>
        </w:rPr>
        <w:t>其</w:t>
      </w:r>
      <w:r>
        <w:rPr>
          <w:rFonts w:hint="eastAsia" w:ascii="宋体" w:hAnsi="宋体" w:cs="宋体"/>
          <w:strike/>
          <w:color w:val="auto"/>
          <w:szCs w:val="24"/>
          <w:highlight w:val="none"/>
        </w:rPr>
        <w:t>他</w:t>
      </w:r>
      <w:r>
        <w:rPr>
          <w:rFonts w:hint="eastAsia" w:ascii="宋体" w:hAnsi="宋体" w:cs="宋体"/>
          <w:strike/>
          <w:color w:val="auto"/>
          <w:spacing w:val="-2"/>
          <w:szCs w:val="24"/>
          <w:highlight w:val="none"/>
        </w:rPr>
        <w:t>资</w:t>
      </w:r>
      <w:r>
        <w:rPr>
          <w:rFonts w:hint="eastAsia" w:ascii="宋体" w:hAnsi="宋体" w:cs="宋体"/>
          <w:strike/>
          <w:color w:val="auto"/>
          <w:szCs w:val="24"/>
          <w:highlight w:val="none"/>
        </w:rPr>
        <w:t>料。</w:t>
      </w:r>
    </w:p>
    <w:p>
      <w:pPr>
        <w:spacing w:before="39" w:line="276" w:lineRule="auto"/>
        <w:ind w:right="-20"/>
        <w:jc w:val="left"/>
        <w:rPr>
          <w:rFonts w:ascii="宋体" w:hAnsi="宋体" w:cs="宋体"/>
          <w:color w:val="auto"/>
          <w:spacing w:val="-2"/>
          <w:szCs w:val="24"/>
          <w:highlight w:val="none"/>
        </w:rPr>
      </w:pPr>
      <w:r>
        <w:rPr>
          <w:rFonts w:hint="eastAsia" w:ascii="宋体" w:hAnsi="宋体" w:cs="宋体"/>
          <w:color w:val="auto"/>
          <w:spacing w:val="-2"/>
          <w:szCs w:val="24"/>
          <w:highlight w:val="none"/>
        </w:rPr>
        <w:t>投标人在评标过程中作出的符合法律法规和招标文件规定的澄清确认，构成投标文件的组成部分。</w:t>
      </w:r>
    </w:p>
    <w:p>
      <w:pPr>
        <w:spacing w:line="276" w:lineRule="auto"/>
        <w:ind w:left="460" w:right="-20"/>
        <w:jc w:val="left"/>
        <w:rPr>
          <w:rFonts w:ascii="宋体" w:hAnsi="宋体" w:cs="宋体"/>
          <w:color w:val="auto"/>
          <w:szCs w:val="24"/>
          <w:highlight w:val="none"/>
        </w:rPr>
      </w:pPr>
      <w:r>
        <w:rPr>
          <w:rFonts w:hint="eastAsia" w:ascii="宋体" w:hAnsi="宋体" w:cs="宋体"/>
          <w:color w:val="auto"/>
          <w:position w:val="-1"/>
          <w:szCs w:val="24"/>
          <w:highlight w:val="none"/>
        </w:rPr>
        <w:t>3.1.2</w:t>
      </w:r>
      <w:r>
        <w:rPr>
          <w:rFonts w:hint="eastAsia" w:ascii="宋体" w:hAnsi="宋体" w:cs="宋体"/>
          <w:color w:val="auto"/>
          <w:spacing w:val="51"/>
          <w:position w:val="-1"/>
          <w:szCs w:val="24"/>
          <w:highlight w:val="none"/>
        </w:rPr>
        <w:t xml:space="preserve"> </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须</w:t>
      </w:r>
      <w:r>
        <w:rPr>
          <w:rFonts w:hint="eastAsia" w:ascii="宋体" w:hAnsi="宋体" w:cs="宋体"/>
          <w:color w:val="auto"/>
          <w:position w:val="-1"/>
          <w:szCs w:val="24"/>
          <w:highlight w:val="none"/>
        </w:rPr>
        <w:t>知</w:t>
      </w:r>
      <w:r>
        <w:rPr>
          <w:rFonts w:hint="eastAsia" w:ascii="宋体" w:hAnsi="宋体" w:cs="宋体"/>
          <w:color w:val="auto"/>
          <w:spacing w:val="-2"/>
          <w:position w:val="-1"/>
          <w:szCs w:val="24"/>
          <w:highlight w:val="none"/>
        </w:rPr>
        <w:t>前</w:t>
      </w:r>
      <w:r>
        <w:rPr>
          <w:rFonts w:hint="eastAsia" w:ascii="宋体" w:hAnsi="宋体" w:cs="宋体"/>
          <w:color w:val="auto"/>
          <w:position w:val="-1"/>
          <w:szCs w:val="24"/>
          <w:highlight w:val="none"/>
        </w:rPr>
        <w:t>附</w:t>
      </w:r>
      <w:r>
        <w:rPr>
          <w:rFonts w:hint="eastAsia" w:ascii="宋体" w:hAnsi="宋体" w:cs="宋体"/>
          <w:color w:val="auto"/>
          <w:spacing w:val="-2"/>
          <w:position w:val="-1"/>
          <w:szCs w:val="24"/>
          <w:highlight w:val="none"/>
        </w:rPr>
        <w:t>表规</w:t>
      </w:r>
      <w:r>
        <w:rPr>
          <w:rFonts w:hint="eastAsia" w:ascii="宋体" w:hAnsi="宋体" w:cs="宋体"/>
          <w:color w:val="auto"/>
          <w:position w:val="-1"/>
          <w:szCs w:val="24"/>
          <w:highlight w:val="none"/>
        </w:rPr>
        <w:t>定不</w:t>
      </w:r>
      <w:r>
        <w:rPr>
          <w:rFonts w:hint="eastAsia" w:ascii="宋体" w:hAnsi="宋体" w:cs="宋体"/>
          <w:color w:val="auto"/>
          <w:spacing w:val="-2"/>
          <w:position w:val="-1"/>
          <w:szCs w:val="24"/>
          <w:highlight w:val="none"/>
        </w:rPr>
        <w:t>接</w:t>
      </w:r>
      <w:r>
        <w:rPr>
          <w:rFonts w:hint="eastAsia" w:ascii="宋体" w:hAnsi="宋体" w:cs="宋体"/>
          <w:color w:val="auto"/>
          <w:position w:val="-1"/>
          <w:szCs w:val="24"/>
          <w:highlight w:val="none"/>
        </w:rPr>
        <w:t>受</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的</w:t>
      </w:r>
      <w:r>
        <w:rPr>
          <w:rFonts w:hint="eastAsia" w:ascii="宋体" w:hAnsi="宋体" w:cs="宋体"/>
          <w:color w:val="auto"/>
          <w:spacing w:val="-10"/>
          <w:position w:val="-1"/>
          <w:szCs w:val="24"/>
          <w:highlight w:val="none"/>
        </w:rPr>
        <w:t>，</w:t>
      </w:r>
      <w:r>
        <w:rPr>
          <w:rFonts w:hint="eastAsia" w:ascii="宋体" w:hAnsi="宋体" w:cs="宋体"/>
          <w:color w:val="auto"/>
          <w:position w:val="-1"/>
          <w:szCs w:val="24"/>
          <w:highlight w:val="none"/>
        </w:rPr>
        <w:t>或投</w:t>
      </w:r>
      <w:r>
        <w:rPr>
          <w:rFonts w:hint="eastAsia" w:ascii="宋体" w:hAnsi="宋体" w:cs="宋体"/>
          <w:color w:val="auto"/>
          <w:spacing w:val="-2"/>
          <w:position w:val="-1"/>
          <w:szCs w:val="24"/>
          <w:highlight w:val="none"/>
        </w:rPr>
        <w:t>标</w:t>
      </w:r>
      <w:r>
        <w:rPr>
          <w:rFonts w:hint="eastAsia" w:ascii="宋体" w:hAnsi="宋体" w:cs="宋体"/>
          <w:color w:val="auto"/>
          <w:position w:val="-1"/>
          <w:szCs w:val="24"/>
          <w:highlight w:val="none"/>
        </w:rPr>
        <w:t>人</w:t>
      </w:r>
      <w:r>
        <w:rPr>
          <w:rFonts w:hint="eastAsia" w:ascii="宋体" w:hAnsi="宋体" w:cs="宋体"/>
          <w:color w:val="auto"/>
          <w:spacing w:val="-2"/>
          <w:position w:val="-1"/>
          <w:szCs w:val="24"/>
          <w:highlight w:val="none"/>
        </w:rPr>
        <w:t>没</w:t>
      </w:r>
      <w:r>
        <w:rPr>
          <w:rFonts w:hint="eastAsia" w:ascii="宋体" w:hAnsi="宋体" w:cs="宋体"/>
          <w:color w:val="auto"/>
          <w:position w:val="-1"/>
          <w:szCs w:val="24"/>
          <w:highlight w:val="none"/>
        </w:rPr>
        <w:t>有</w:t>
      </w:r>
      <w:r>
        <w:rPr>
          <w:rFonts w:hint="eastAsia" w:ascii="宋体" w:hAnsi="宋体" w:cs="宋体"/>
          <w:color w:val="auto"/>
          <w:spacing w:val="-2"/>
          <w:position w:val="-1"/>
          <w:szCs w:val="24"/>
          <w:highlight w:val="none"/>
        </w:rPr>
        <w:t>组</w:t>
      </w:r>
      <w:r>
        <w:rPr>
          <w:rFonts w:hint="eastAsia" w:ascii="宋体" w:hAnsi="宋体" w:cs="宋体"/>
          <w:color w:val="auto"/>
          <w:position w:val="-1"/>
          <w:szCs w:val="24"/>
          <w:highlight w:val="none"/>
        </w:rPr>
        <w:t>成</w:t>
      </w:r>
      <w:r>
        <w:rPr>
          <w:rFonts w:hint="eastAsia" w:ascii="宋体" w:hAnsi="宋体" w:cs="宋体"/>
          <w:color w:val="auto"/>
          <w:spacing w:val="-2"/>
          <w:position w:val="-1"/>
          <w:szCs w:val="24"/>
          <w:highlight w:val="none"/>
        </w:rPr>
        <w:t>联</w:t>
      </w:r>
      <w:r>
        <w:rPr>
          <w:rFonts w:hint="eastAsia" w:ascii="宋体" w:hAnsi="宋体" w:cs="宋体"/>
          <w:color w:val="auto"/>
          <w:position w:val="-1"/>
          <w:szCs w:val="24"/>
          <w:highlight w:val="none"/>
        </w:rPr>
        <w:t>合</w:t>
      </w:r>
      <w:r>
        <w:rPr>
          <w:rFonts w:hint="eastAsia" w:ascii="宋体" w:hAnsi="宋体" w:cs="宋体"/>
          <w:color w:val="auto"/>
          <w:spacing w:val="-2"/>
          <w:position w:val="-1"/>
          <w:szCs w:val="24"/>
          <w:highlight w:val="none"/>
        </w:rPr>
        <w:t>体</w:t>
      </w:r>
      <w:r>
        <w:rPr>
          <w:rFonts w:hint="eastAsia" w:ascii="宋体" w:hAnsi="宋体" w:cs="宋体"/>
          <w:color w:val="auto"/>
          <w:position w:val="-1"/>
          <w:szCs w:val="24"/>
          <w:highlight w:val="none"/>
        </w:rPr>
        <w:t>的</w:t>
      </w:r>
      <w:r>
        <w:rPr>
          <w:rFonts w:hint="eastAsia" w:ascii="宋体" w:hAnsi="宋体" w:cs="宋体"/>
          <w:color w:val="auto"/>
          <w:spacing w:val="-7"/>
          <w:position w:val="-1"/>
          <w:szCs w:val="24"/>
          <w:highlight w:val="none"/>
        </w:rPr>
        <w:t>，</w:t>
      </w:r>
      <w:r>
        <w:rPr>
          <w:rFonts w:hint="eastAsia" w:ascii="宋体" w:hAnsi="宋体" w:cs="宋体"/>
          <w:color w:val="auto"/>
          <w:spacing w:val="-2"/>
          <w:position w:val="-1"/>
          <w:szCs w:val="24"/>
          <w:highlight w:val="none"/>
        </w:rPr>
        <w:t>投</w:t>
      </w:r>
      <w:r>
        <w:rPr>
          <w:rFonts w:hint="eastAsia" w:ascii="宋体" w:hAnsi="宋体" w:cs="宋体"/>
          <w:color w:val="auto"/>
          <w:position w:val="-1"/>
          <w:szCs w:val="24"/>
          <w:highlight w:val="none"/>
        </w:rPr>
        <w:t>标</w:t>
      </w:r>
      <w:r>
        <w:rPr>
          <w:rFonts w:hint="eastAsia" w:ascii="宋体" w:hAnsi="宋体" w:cs="宋体"/>
          <w:color w:val="auto"/>
          <w:spacing w:val="-2"/>
          <w:position w:val="-1"/>
          <w:szCs w:val="24"/>
          <w:highlight w:val="none"/>
        </w:rPr>
        <w:t>文</w:t>
      </w:r>
      <w:r>
        <w:rPr>
          <w:rFonts w:hint="eastAsia" w:ascii="宋体" w:hAnsi="宋体" w:cs="宋体"/>
          <w:color w:val="auto"/>
          <w:position w:val="-1"/>
          <w:szCs w:val="24"/>
          <w:highlight w:val="none"/>
        </w:rPr>
        <w:t>件</w:t>
      </w:r>
    </w:p>
    <w:p>
      <w:pPr>
        <w:spacing w:before="39" w:line="276" w:lineRule="auto"/>
        <w:ind w:left="100" w:right="-20"/>
        <w:jc w:val="left"/>
        <w:rPr>
          <w:rFonts w:ascii="宋体" w:hAnsi="宋体" w:cs="宋体"/>
          <w:color w:val="auto"/>
          <w:szCs w:val="24"/>
          <w:highlight w:val="none"/>
        </w:rPr>
      </w:pPr>
      <w:r>
        <w:rPr>
          <w:rFonts w:hint="eastAsia" w:ascii="宋体" w:hAnsi="宋体" w:cs="宋体"/>
          <w:color w:val="auto"/>
          <w:szCs w:val="24"/>
          <w:highlight w:val="none"/>
        </w:rPr>
        <w:t>不包</w:t>
      </w:r>
      <w:r>
        <w:rPr>
          <w:rFonts w:hint="eastAsia" w:ascii="宋体" w:hAnsi="宋体" w:cs="宋体"/>
          <w:color w:val="auto"/>
          <w:spacing w:val="-2"/>
          <w:szCs w:val="24"/>
          <w:highlight w:val="none"/>
        </w:rPr>
        <w:t>括</w:t>
      </w:r>
      <w:r>
        <w:rPr>
          <w:rFonts w:hint="eastAsia" w:ascii="宋体" w:hAnsi="宋体" w:cs="宋体"/>
          <w:strike/>
          <w:color w:val="auto"/>
          <w:szCs w:val="24"/>
          <w:highlight w:val="none"/>
        </w:rPr>
        <w:t>本</w:t>
      </w:r>
      <w:r>
        <w:rPr>
          <w:rFonts w:hint="eastAsia" w:ascii="宋体" w:hAnsi="宋体" w:cs="宋体"/>
          <w:strike/>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1.</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（3</w:t>
      </w:r>
      <w:r>
        <w:rPr>
          <w:rFonts w:hint="eastAsia" w:ascii="宋体" w:hAnsi="宋体" w:cs="宋体"/>
          <w:strike/>
          <w:color w:val="auto"/>
          <w:spacing w:val="-2"/>
          <w:szCs w:val="24"/>
          <w:highlight w:val="none"/>
        </w:rPr>
        <w:t>）</w:t>
      </w:r>
      <w:r>
        <w:rPr>
          <w:rFonts w:hint="eastAsia" w:ascii="宋体" w:hAnsi="宋体" w:cs="宋体"/>
          <w:strike/>
          <w:color w:val="auto"/>
          <w:szCs w:val="24"/>
          <w:highlight w:val="none"/>
        </w:rPr>
        <w:t>目所</w:t>
      </w:r>
      <w:r>
        <w:rPr>
          <w:rFonts w:hint="eastAsia" w:ascii="宋体" w:hAnsi="宋体" w:cs="宋体"/>
          <w:strike/>
          <w:color w:val="auto"/>
          <w:spacing w:val="-2"/>
          <w:szCs w:val="24"/>
          <w:highlight w:val="none"/>
        </w:rPr>
        <w:t>指</w:t>
      </w:r>
      <w:r>
        <w:rPr>
          <w:rFonts w:hint="eastAsia" w:ascii="宋体" w:hAnsi="宋体" w:cs="宋体"/>
          <w:strike/>
          <w:color w:val="auto"/>
          <w:szCs w:val="24"/>
          <w:highlight w:val="none"/>
        </w:rPr>
        <w:t>的</w:t>
      </w:r>
      <w:r>
        <w:rPr>
          <w:rFonts w:hint="eastAsia" w:ascii="宋体" w:hAnsi="宋体" w:cs="宋体"/>
          <w:color w:val="auto"/>
          <w:spacing w:val="-2"/>
          <w:szCs w:val="24"/>
          <w:highlight w:val="none"/>
        </w:rPr>
        <w:t>联</w:t>
      </w:r>
      <w:r>
        <w:rPr>
          <w:rFonts w:hint="eastAsia" w:ascii="宋体" w:hAnsi="宋体" w:cs="宋体"/>
          <w:color w:val="auto"/>
          <w:szCs w:val="24"/>
          <w:highlight w:val="none"/>
        </w:rPr>
        <w:t>合</w:t>
      </w:r>
      <w:r>
        <w:rPr>
          <w:rFonts w:hint="eastAsia" w:ascii="宋体" w:hAnsi="宋体" w:cs="宋体"/>
          <w:color w:val="auto"/>
          <w:spacing w:val="-2"/>
          <w:szCs w:val="24"/>
          <w:highlight w:val="none"/>
        </w:rPr>
        <w:t>体</w:t>
      </w:r>
      <w:r>
        <w:rPr>
          <w:rFonts w:hint="eastAsia" w:ascii="宋体" w:hAnsi="宋体" w:cs="宋体"/>
          <w:color w:val="auto"/>
          <w:szCs w:val="24"/>
          <w:highlight w:val="none"/>
        </w:rPr>
        <w:t>协</w:t>
      </w:r>
      <w:r>
        <w:rPr>
          <w:rFonts w:hint="eastAsia" w:ascii="宋体" w:hAnsi="宋体" w:cs="宋体"/>
          <w:color w:val="auto"/>
          <w:spacing w:val="-2"/>
          <w:szCs w:val="24"/>
          <w:highlight w:val="none"/>
        </w:rPr>
        <w:t>议</w:t>
      </w:r>
      <w:r>
        <w:rPr>
          <w:rFonts w:hint="eastAsia" w:ascii="宋体" w:hAnsi="宋体" w:cs="宋体"/>
          <w:color w:val="auto"/>
          <w:szCs w:val="24"/>
          <w:highlight w:val="none"/>
        </w:rPr>
        <w:t>书。</w:t>
      </w:r>
    </w:p>
    <w:p>
      <w:pPr>
        <w:spacing w:before="37" w:line="276" w:lineRule="auto"/>
        <w:ind w:left="100" w:right="41" w:firstLine="360"/>
        <w:rPr>
          <w:rFonts w:ascii="宋体" w:hAnsi="宋体" w:cs="宋体"/>
          <w:color w:val="auto"/>
          <w:szCs w:val="24"/>
          <w:highlight w:val="none"/>
        </w:rPr>
      </w:pPr>
      <w:r>
        <w:rPr>
          <w:rFonts w:hint="eastAsia" w:ascii="宋体" w:hAnsi="宋体" w:cs="宋体"/>
          <w:color w:val="auto"/>
          <w:szCs w:val="24"/>
          <w:highlight w:val="none"/>
        </w:rPr>
        <w:t>3.1.3</w:t>
      </w:r>
      <w:r>
        <w:rPr>
          <w:rFonts w:hint="eastAsia" w:ascii="宋体" w:hAnsi="宋体" w:cs="宋体"/>
          <w:color w:val="auto"/>
          <w:spacing w:val="12"/>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表未</w:t>
      </w:r>
      <w:r>
        <w:rPr>
          <w:rFonts w:hint="eastAsia" w:ascii="宋体" w:hAnsi="宋体" w:cs="宋体"/>
          <w:color w:val="auto"/>
          <w:szCs w:val="24"/>
          <w:highlight w:val="none"/>
        </w:rPr>
        <w:t>要求</w:t>
      </w:r>
      <w:r>
        <w:rPr>
          <w:rFonts w:hint="eastAsia" w:ascii="宋体" w:hAnsi="宋体" w:cs="宋体"/>
          <w:color w:val="auto"/>
          <w:spacing w:val="-2"/>
          <w:szCs w:val="24"/>
          <w:highlight w:val="none"/>
        </w:rPr>
        <w:t>提</w:t>
      </w:r>
      <w:r>
        <w:rPr>
          <w:rFonts w:hint="eastAsia" w:ascii="宋体" w:hAnsi="宋体" w:cs="宋体"/>
          <w:color w:val="auto"/>
          <w:szCs w:val="24"/>
          <w:highlight w:val="none"/>
        </w:rPr>
        <w:t>交</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保</w:t>
      </w:r>
      <w:r>
        <w:rPr>
          <w:rFonts w:hint="eastAsia" w:ascii="宋体" w:hAnsi="宋体" w:cs="宋体"/>
          <w:color w:val="auto"/>
          <w:szCs w:val="24"/>
          <w:highlight w:val="none"/>
        </w:rPr>
        <w:t>证</w:t>
      </w:r>
      <w:r>
        <w:rPr>
          <w:rFonts w:hint="eastAsia" w:ascii="宋体" w:hAnsi="宋体" w:cs="宋体"/>
          <w:color w:val="auto"/>
          <w:spacing w:val="-2"/>
          <w:szCs w:val="24"/>
          <w:highlight w:val="none"/>
        </w:rPr>
        <w:t>金</w:t>
      </w:r>
      <w:r>
        <w:rPr>
          <w:rFonts w:hint="eastAsia" w:ascii="宋体" w:hAnsi="宋体" w:cs="宋体"/>
          <w:color w:val="auto"/>
          <w:szCs w:val="24"/>
          <w:highlight w:val="none"/>
        </w:rPr>
        <w:t>的</w:t>
      </w:r>
      <w:r>
        <w:rPr>
          <w:rFonts w:hint="eastAsia" w:ascii="宋体" w:hAnsi="宋体" w:cs="宋体"/>
          <w:color w:val="auto"/>
          <w:spacing w:val="-2"/>
          <w:szCs w:val="24"/>
          <w:highlight w:val="none"/>
        </w:rPr>
        <w:t>，</w:t>
      </w:r>
      <w:r>
        <w:rPr>
          <w:rFonts w:hint="eastAsia" w:ascii="宋体" w:hAnsi="宋体" w:cs="宋体"/>
          <w:color w:val="auto"/>
          <w:szCs w:val="24"/>
          <w:highlight w:val="none"/>
        </w:rPr>
        <w:t>投标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不</w:t>
      </w:r>
      <w:r>
        <w:rPr>
          <w:rFonts w:hint="eastAsia" w:ascii="宋体" w:hAnsi="宋体" w:cs="宋体"/>
          <w:color w:val="auto"/>
          <w:szCs w:val="24"/>
          <w:highlight w:val="none"/>
        </w:rPr>
        <w:t>包</w:t>
      </w:r>
      <w:r>
        <w:rPr>
          <w:rFonts w:hint="eastAsia" w:ascii="宋体" w:hAnsi="宋体" w:cs="宋体"/>
          <w:color w:val="auto"/>
          <w:spacing w:val="-2"/>
          <w:szCs w:val="24"/>
          <w:highlight w:val="none"/>
        </w:rPr>
        <w:t>括</w:t>
      </w:r>
      <w:r>
        <w:rPr>
          <w:rFonts w:hint="eastAsia" w:ascii="宋体" w:hAnsi="宋体" w:cs="宋体"/>
          <w:color w:val="auto"/>
          <w:szCs w:val="24"/>
          <w:highlight w:val="none"/>
        </w:rPr>
        <w:t>本</w:t>
      </w:r>
      <w:r>
        <w:rPr>
          <w:rFonts w:hint="eastAsia" w:ascii="宋体" w:hAnsi="宋体" w:cs="宋体"/>
          <w:color w:val="auto"/>
          <w:spacing w:val="-2"/>
          <w:szCs w:val="24"/>
          <w:highlight w:val="none"/>
        </w:rPr>
        <w:t>章</w:t>
      </w:r>
      <w:r>
        <w:rPr>
          <w:rFonts w:hint="eastAsia" w:ascii="宋体" w:hAnsi="宋体" w:cs="宋体"/>
          <w:strike/>
          <w:color w:val="auto"/>
          <w:szCs w:val="24"/>
          <w:highlight w:val="none"/>
        </w:rPr>
        <w:t>第 3</w:t>
      </w:r>
      <w:r>
        <w:rPr>
          <w:rFonts w:hint="eastAsia" w:ascii="宋体" w:hAnsi="宋体" w:cs="宋体"/>
          <w:strike/>
          <w:color w:val="auto"/>
          <w:spacing w:val="-2"/>
          <w:szCs w:val="24"/>
          <w:highlight w:val="none"/>
        </w:rPr>
        <w:t>.1</w:t>
      </w:r>
      <w:r>
        <w:rPr>
          <w:rFonts w:hint="eastAsia" w:ascii="宋体" w:hAnsi="宋体" w:cs="宋体"/>
          <w:strike/>
          <w:color w:val="auto"/>
          <w:szCs w:val="24"/>
          <w:highlight w:val="none"/>
        </w:rPr>
        <w:t>.1</w:t>
      </w:r>
      <w:r>
        <w:rPr>
          <w:rFonts w:hint="eastAsia" w:ascii="宋体" w:hAnsi="宋体" w:cs="宋体"/>
          <w:strike/>
          <w:color w:val="auto"/>
          <w:spacing w:val="1"/>
          <w:szCs w:val="24"/>
          <w:highlight w:val="none"/>
        </w:rPr>
        <w:t>（</w:t>
      </w:r>
      <w:r>
        <w:rPr>
          <w:rFonts w:hint="eastAsia" w:ascii="宋体" w:hAnsi="宋体" w:cs="宋体"/>
          <w:strike/>
          <w:color w:val="auto"/>
          <w:spacing w:val="-2"/>
          <w:szCs w:val="24"/>
          <w:highlight w:val="none"/>
        </w:rPr>
        <w:t>4</w:t>
      </w:r>
      <w:r>
        <w:rPr>
          <w:rFonts w:hint="eastAsia" w:ascii="宋体" w:hAnsi="宋体" w:cs="宋体"/>
          <w:strike/>
          <w:color w:val="auto"/>
          <w:szCs w:val="24"/>
          <w:highlight w:val="none"/>
        </w:rPr>
        <w:t>）</w:t>
      </w:r>
      <w:r>
        <w:rPr>
          <w:rFonts w:hint="eastAsia" w:ascii="宋体" w:hAnsi="宋体" w:cs="宋体"/>
          <w:strike/>
          <w:color w:val="auto"/>
          <w:spacing w:val="-2"/>
          <w:szCs w:val="24"/>
          <w:highlight w:val="none"/>
        </w:rPr>
        <w:t>目</w:t>
      </w:r>
      <w:r>
        <w:rPr>
          <w:rFonts w:hint="eastAsia" w:ascii="宋体" w:hAnsi="宋体" w:cs="宋体"/>
          <w:strike/>
          <w:color w:val="auto"/>
          <w:spacing w:val="1"/>
          <w:szCs w:val="24"/>
          <w:highlight w:val="none"/>
        </w:rPr>
        <w:t>所指</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保</w:t>
      </w:r>
      <w:r>
        <w:rPr>
          <w:rFonts w:hint="eastAsia" w:ascii="宋体" w:hAnsi="宋体" w:cs="宋体"/>
          <w:color w:val="auto"/>
          <w:szCs w:val="24"/>
          <w:highlight w:val="none"/>
        </w:rPr>
        <w:t>证</w:t>
      </w:r>
      <w:r>
        <w:rPr>
          <w:rFonts w:hint="eastAsia" w:ascii="宋体" w:hAnsi="宋体" w:cs="宋体"/>
          <w:color w:val="auto"/>
          <w:spacing w:val="-2"/>
          <w:szCs w:val="24"/>
          <w:highlight w:val="none"/>
        </w:rPr>
        <w:t>金</w:t>
      </w:r>
      <w:r>
        <w:rPr>
          <w:rFonts w:hint="eastAsia" w:ascii="宋体" w:hAnsi="宋体" w:cs="宋体"/>
          <w:color w:val="auto"/>
          <w:szCs w:val="24"/>
          <w:highlight w:val="none"/>
        </w:rPr>
        <w:t>。</w:t>
      </w:r>
    </w:p>
    <w:p>
      <w:pPr>
        <w:spacing w:before="7"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投标报价</w:t>
      </w:r>
    </w:p>
    <w:p>
      <w:pPr>
        <w:spacing w:line="276" w:lineRule="auto"/>
        <w:ind w:left="100" w:right="40" w:firstLine="420"/>
        <w:rPr>
          <w:rFonts w:ascii="宋体" w:hAnsi="宋体" w:cs="宋体"/>
          <w:color w:val="auto"/>
          <w:szCs w:val="24"/>
          <w:highlight w:val="none"/>
        </w:rPr>
      </w:pPr>
      <w:r>
        <w:rPr>
          <w:rFonts w:hint="eastAsia" w:ascii="宋体" w:hAnsi="宋体" w:cs="宋体"/>
          <w:color w:val="auto"/>
          <w:szCs w:val="24"/>
          <w:highlight w:val="none"/>
        </w:rPr>
        <w:t>3.2.1</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应</w:t>
      </w:r>
      <w:r>
        <w:rPr>
          <w:rFonts w:hint="eastAsia" w:ascii="宋体" w:hAnsi="宋体" w:cs="宋体"/>
          <w:color w:val="auto"/>
          <w:spacing w:val="-2"/>
          <w:szCs w:val="24"/>
          <w:highlight w:val="none"/>
        </w:rPr>
        <w:t>包</w:t>
      </w:r>
      <w:r>
        <w:rPr>
          <w:rFonts w:hint="eastAsia" w:ascii="宋体" w:hAnsi="宋体" w:cs="宋体"/>
          <w:color w:val="auto"/>
          <w:szCs w:val="24"/>
          <w:highlight w:val="none"/>
        </w:rPr>
        <w:t>括</w:t>
      </w:r>
      <w:r>
        <w:rPr>
          <w:rFonts w:hint="eastAsia" w:ascii="宋体" w:hAnsi="宋体" w:cs="宋体"/>
          <w:color w:val="auto"/>
          <w:spacing w:val="-2"/>
          <w:szCs w:val="24"/>
          <w:highlight w:val="none"/>
        </w:rPr>
        <w:t>国家</w:t>
      </w:r>
      <w:r>
        <w:rPr>
          <w:rFonts w:hint="eastAsia" w:ascii="宋体" w:hAnsi="宋体" w:cs="宋体"/>
          <w:color w:val="auto"/>
          <w:szCs w:val="24"/>
          <w:highlight w:val="none"/>
        </w:rPr>
        <w:t>规定</w:t>
      </w:r>
      <w:r>
        <w:rPr>
          <w:rFonts w:hint="eastAsia" w:ascii="宋体" w:hAnsi="宋体" w:cs="宋体"/>
          <w:color w:val="auto"/>
          <w:spacing w:val="-2"/>
          <w:szCs w:val="24"/>
          <w:highlight w:val="none"/>
        </w:rPr>
        <w:t>的</w:t>
      </w:r>
      <w:r>
        <w:rPr>
          <w:rFonts w:hint="eastAsia" w:ascii="宋体" w:hAnsi="宋体" w:cs="宋体"/>
          <w:color w:val="auto"/>
          <w:szCs w:val="24"/>
          <w:highlight w:val="none"/>
        </w:rPr>
        <w:t>增</w:t>
      </w:r>
      <w:r>
        <w:rPr>
          <w:rFonts w:hint="eastAsia" w:ascii="宋体" w:hAnsi="宋体" w:cs="宋体"/>
          <w:color w:val="auto"/>
          <w:spacing w:val="-2"/>
          <w:szCs w:val="24"/>
          <w:highlight w:val="none"/>
        </w:rPr>
        <w:t>值</w:t>
      </w:r>
      <w:r>
        <w:rPr>
          <w:rFonts w:hint="eastAsia" w:ascii="宋体" w:hAnsi="宋体" w:cs="宋体"/>
          <w:color w:val="auto"/>
          <w:szCs w:val="24"/>
          <w:highlight w:val="none"/>
        </w:rPr>
        <w:t>税</w:t>
      </w:r>
      <w:r>
        <w:rPr>
          <w:rFonts w:hint="eastAsia" w:ascii="宋体" w:hAnsi="宋体" w:cs="宋体"/>
          <w:color w:val="auto"/>
          <w:spacing w:val="-2"/>
          <w:szCs w:val="24"/>
          <w:highlight w:val="none"/>
        </w:rPr>
        <w:t>税</w:t>
      </w:r>
      <w:r>
        <w:rPr>
          <w:rFonts w:hint="eastAsia" w:ascii="宋体" w:hAnsi="宋体" w:cs="宋体"/>
          <w:color w:val="auto"/>
          <w:szCs w:val="24"/>
          <w:highlight w:val="none"/>
        </w:rPr>
        <w:t>金</w:t>
      </w:r>
      <w:r>
        <w:rPr>
          <w:rFonts w:hint="eastAsia" w:ascii="宋体" w:hAnsi="宋体" w:cs="宋体"/>
          <w:color w:val="auto"/>
          <w:spacing w:val="-14"/>
          <w:szCs w:val="24"/>
          <w:highlight w:val="none"/>
        </w:rPr>
        <w:t>，</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另</w:t>
      </w:r>
      <w:r>
        <w:rPr>
          <w:rFonts w:hint="eastAsia" w:ascii="宋体" w:hAnsi="宋体" w:cs="宋体"/>
          <w:color w:val="auto"/>
          <w:spacing w:val="-2"/>
          <w:szCs w:val="24"/>
          <w:highlight w:val="none"/>
        </w:rPr>
        <w:t>有</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外</w:t>
      </w:r>
      <w:r>
        <w:rPr>
          <w:rFonts w:hint="eastAsia" w:ascii="宋体" w:hAnsi="宋体" w:cs="宋体"/>
          <w:color w:val="auto"/>
          <w:spacing w:val="-12"/>
          <w:szCs w:val="24"/>
          <w:highlight w:val="none"/>
        </w:rPr>
        <w:t>，</w:t>
      </w:r>
      <w:r>
        <w:rPr>
          <w:rFonts w:hint="eastAsia" w:ascii="宋体" w:hAnsi="宋体" w:cs="宋体"/>
          <w:color w:val="auto"/>
          <w:spacing w:val="-2"/>
          <w:szCs w:val="24"/>
          <w:highlight w:val="none"/>
        </w:rPr>
        <w:t>增</w:t>
      </w:r>
      <w:r>
        <w:rPr>
          <w:rFonts w:hint="eastAsia" w:ascii="宋体" w:hAnsi="宋体" w:cs="宋体"/>
          <w:color w:val="auto"/>
          <w:szCs w:val="24"/>
          <w:highlight w:val="none"/>
        </w:rPr>
        <w:t>值</w:t>
      </w:r>
      <w:r>
        <w:rPr>
          <w:rFonts w:hint="eastAsia" w:ascii="宋体" w:hAnsi="宋体" w:cs="宋体"/>
          <w:color w:val="auto"/>
          <w:spacing w:val="-2"/>
          <w:szCs w:val="24"/>
          <w:highlight w:val="none"/>
        </w:rPr>
        <w:t>税</w:t>
      </w:r>
      <w:r>
        <w:rPr>
          <w:rFonts w:hint="eastAsia" w:ascii="宋体" w:hAnsi="宋体" w:cs="宋体"/>
          <w:color w:val="auto"/>
          <w:szCs w:val="24"/>
          <w:highlight w:val="none"/>
        </w:rPr>
        <w:t>税金按一般计税方法</w:t>
      </w:r>
      <w:r>
        <w:rPr>
          <w:rFonts w:hint="eastAsia" w:ascii="宋体" w:hAnsi="宋体" w:cs="宋体"/>
          <w:color w:val="auto"/>
          <w:spacing w:val="2"/>
          <w:szCs w:val="24"/>
          <w:highlight w:val="none"/>
        </w:rPr>
        <w:t>计</w:t>
      </w:r>
      <w:r>
        <w:rPr>
          <w:rFonts w:hint="eastAsia" w:ascii="宋体" w:hAnsi="宋体" w:cs="宋体"/>
          <w:color w:val="auto"/>
          <w:szCs w:val="24"/>
          <w:highlight w:val="none"/>
        </w:rPr>
        <w:t>算。投标人应按第五章“投标文件格</w:t>
      </w:r>
      <w:r>
        <w:rPr>
          <w:rFonts w:hint="eastAsia" w:ascii="宋体" w:hAnsi="宋体" w:cs="宋体"/>
          <w:color w:val="auto"/>
          <w:spacing w:val="3"/>
          <w:szCs w:val="24"/>
          <w:highlight w:val="none"/>
        </w:rPr>
        <w:t>式</w:t>
      </w:r>
      <w:r>
        <w:rPr>
          <w:rFonts w:hint="eastAsia" w:ascii="宋体" w:hAnsi="宋体" w:cs="宋体"/>
          <w:color w:val="auto"/>
          <w:szCs w:val="24"/>
          <w:highlight w:val="none"/>
        </w:rPr>
        <w:t>”的要求在投标函中进行报价</w:t>
      </w:r>
      <w:r>
        <w:rPr>
          <w:rFonts w:hint="eastAsia" w:ascii="宋体" w:hAnsi="宋体" w:cs="宋体"/>
          <w:strike/>
          <w:color w:val="auto"/>
          <w:szCs w:val="24"/>
          <w:highlight w:val="none"/>
        </w:rPr>
        <w:t>并</w:t>
      </w:r>
      <w:r>
        <w:rPr>
          <w:rFonts w:hint="eastAsia" w:ascii="宋体" w:hAnsi="宋体" w:cs="宋体"/>
          <w:strike/>
          <w:color w:val="auto"/>
          <w:spacing w:val="2"/>
          <w:szCs w:val="24"/>
          <w:highlight w:val="none"/>
        </w:rPr>
        <w:t>填</w:t>
      </w:r>
      <w:r>
        <w:rPr>
          <w:rFonts w:hint="eastAsia" w:ascii="宋体" w:hAnsi="宋体" w:cs="宋体"/>
          <w:strike/>
          <w:color w:val="auto"/>
          <w:szCs w:val="24"/>
          <w:highlight w:val="none"/>
        </w:rPr>
        <w:t>写监理</w:t>
      </w:r>
      <w:r>
        <w:rPr>
          <w:rFonts w:hint="eastAsia" w:ascii="宋体" w:hAnsi="宋体" w:cs="宋体"/>
          <w:strike/>
          <w:color w:val="auto"/>
          <w:spacing w:val="-2"/>
          <w:szCs w:val="24"/>
          <w:highlight w:val="none"/>
        </w:rPr>
        <w:t>报</w:t>
      </w:r>
      <w:r>
        <w:rPr>
          <w:rFonts w:hint="eastAsia" w:ascii="宋体" w:hAnsi="宋体" w:cs="宋体"/>
          <w:strike/>
          <w:color w:val="auto"/>
          <w:szCs w:val="24"/>
          <w:highlight w:val="none"/>
        </w:rPr>
        <w:t>酬</w:t>
      </w:r>
      <w:r>
        <w:rPr>
          <w:rFonts w:hint="eastAsia" w:ascii="宋体" w:hAnsi="宋体" w:cs="宋体"/>
          <w:strike/>
          <w:color w:val="auto"/>
          <w:spacing w:val="-2"/>
          <w:szCs w:val="24"/>
          <w:highlight w:val="none"/>
        </w:rPr>
        <w:t>清</w:t>
      </w:r>
      <w:r>
        <w:rPr>
          <w:rFonts w:hint="eastAsia" w:ascii="宋体" w:hAnsi="宋体" w:cs="宋体"/>
          <w:strike/>
          <w:color w:val="auto"/>
          <w:szCs w:val="24"/>
          <w:highlight w:val="none"/>
        </w:rPr>
        <w:t>单</w:t>
      </w:r>
      <w:r>
        <w:rPr>
          <w:rFonts w:hint="eastAsia" w:ascii="宋体" w:hAnsi="宋体" w:cs="宋体"/>
          <w:color w:val="auto"/>
          <w:szCs w:val="24"/>
          <w:highlight w:val="none"/>
        </w:rPr>
        <w:t>。</w:t>
      </w:r>
    </w:p>
    <w:p>
      <w:pPr>
        <w:spacing w:before="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3.2.2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应</w:t>
      </w:r>
      <w:r>
        <w:rPr>
          <w:rFonts w:hint="eastAsia" w:ascii="宋体" w:hAnsi="宋体" w:cs="宋体"/>
          <w:color w:val="auto"/>
          <w:szCs w:val="24"/>
          <w:highlight w:val="none"/>
        </w:rPr>
        <w:t>充</w:t>
      </w:r>
      <w:r>
        <w:rPr>
          <w:rFonts w:hint="eastAsia" w:ascii="宋体" w:hAnsi="宋体" w:cs="宋体"/>
          <w:color w:val="auto"/>
          <w:spacing w:val="-2"/>
          <w:szCs w:val="24"/>
          <w:highlight w:val="none"/>
        </w:rPr>
        <w:t>分</w:t>
      </w:r>
      <w:r>
        <w:rPr>
          <w:rFonts w:hint="eastAsia" w:ascii="宋体" w:hAnsi="宋体" w:cs="宋体"/>
          <w:color w:val="auto"/>
          <w:szCs w:val="24"/>
          <w:highlight w:val="none"/>
        </w:rPr>
        <w:t>了</w:t>
      </w:r>
      <w:r>
        <w:rPr>
          <w:rFonts w:hint="eastAsia" w:ascii="宋体" w:hAnsi="宋体" w:cs="宋体"/>
          <w:color w:val="auto"/>
          <w:spacing w:val="-2"/>
          <w:szCs w:val="24"/>
          <w:highlight w:val="none"/>
        </w:rPr>
        <w:t>解该</w:t>
      </w:r>
      <w:r>
        <w:rPr>
          <w:rFonts w:hint="eastAsia" w:ascii="宋体" w:hAnsi="宋体" w:cs="宋体"/>
          <w:color w:val="auto"/>
          <w:szCs w:val="24"/>
          <w:highlight w:val="none"/>
        </w:rPr>
        <w:t>项目</w:t>
      </w:r>
      <w:r>
        <w:rPr>
          <w:rFonts w:hint="eastAsia" w:ascii="宋体" w:hAnsi="宋体" w:cs="宋体"/>
          <w:color w:val="auto"/>
          <w:spacing w:val="-2"/>
          <w:szCs w:val="24"/>
          <w:highlight w:val="none"/>
        </w:rPr>
        <w:t>的</w:t>
      </w:r>
      <w:r>
        <w:rPr>
          <w:rFonts w:hint="eastAsia" w:ascii="宋体" w:hAnsi="宋体" w:cs="宋体"/>
          <w:color w:val="auto"/>
          <w:szCs w:val="24"/>
          <w:highlight w:val="none"/>
        </w:rPr>
        <w:t>总</w:t>
      </w:r>
      <w:r>
        <w:rPr>
          <w:rFonts w:hint="eastAsia" w:ascii="宋体" w:hAnsi="宋体" w:cs="宋体"/>
          <w:color w:val="auto"/>
          <w:spacing w:val="-2"/>
          <w:szCs w:val="24"/>
          <w:highlight w:val="none"/>
        </w:rPr>
        <w:t>体</w:t>
      </w:r>
      <w:r>
        <w:rPr>
          <w:rFonts w:hint="eastAsia" w:ascii="宋体" w:hAnsi="宋体" w:cs="宋体"/>
          <w:color w:val="auto"/>
          <w:szCs w:val="24"/>
          <w:highlight w:val="none"/>
        </w:rPr>
        <w:t>情</w:t>
      </w:r>
      <w:r>
        <w:rPr>
          <w:rFonts w:hint="eastAsia" w:ascii="宋体" w:hAnsi="宋体" w:cs="宋体"/>
          <w:color w:val="auto"/>
          <w:spacing w:val="-2"/>
          <w:szCs w:val="24"/>
          <w:highlight w:val="none"/>
        </w:rPr>
        <w:t>况</w:t>
      </w:r>
      <w:r>
        <w:rPr>
          <w:rFonts w:hint="eastAsia" w:ascii="宋体" w:hAnsi="宋体" w:cs="宋体"/>
          <w:color w:val="auto"/>
          <w:szCs w:val="24"/>
          <w:highlight w:val="none"/>
        </w:rPr>
        <w:t>以</w:t>
      </w:r>
      <w:r>
        <w:rPr>
          <w:rFonts w:hint="eastAsia" w:ascii="宋体" w:hAnsi="宋体" w:cs="宋体"/>
          <w:color w:val="auto"/>
          <w:spacing w:val="-2"/>
          <w:szCs w:val="24"/>
          <w:highlight w:val="none"/>
        </w:rPr>
        <w:t>及</w:t>
      </w:r>
      <w:r>
        <w:rPr>
          <w:rFonts w:hint="eastAsia" w:ascii="宋体" w:hAnsi="宋体" w:cs="宋体"/>
          <w:color w:val="auto"/>
          <w:szCs w:val="24"/>
          <w:highlight w:val="none"/>
        </w:rPr>
        <w:t>影</w:t>
      </w:r>
      <w:r>
        <w:rPr>
          <w:rFonts w:hint="eastAsia" w:ascii="宋体" w:hAnsi="宋体" w:cs="宋体"/>
          <w:color w:val="auto"/>
          <w:spacing w:val="-2"/>
          <w:szCs w:val="24"/>
          <w:highlight w:val="none"/>
        </w:rPr>
        <w:t>响</w:t>
      </w:r>
      <w:r>
        <w:rPr>
          <w:rFonts w:hint="eastAsia" w:ascii="宋体" w:hAnsi="宋体" w:cs="宋体"/>
          <w:color w:val="auto"/>
          <w:szCs w:val="24"/>
          <w:highlight w:val="none"/>
        </w:rPr>
        <w:t>投标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w:t>
      </w:r>
      <w:r>
        <w:rPr>
          <w:rFonts w:hint="eastAsia" w:ascii="宋体" w:hAnsi="宋体" w:cs="宋体"/>
          <w:color w:val="auto"/>
          <w:spacing w:val="-2"/>
          <w:szCs w:val="24"/>
          <w:highlight w:val="none"/>
        </w:rPr>
        <w:t>的</w:t>
      </w:r>
      <w:r>
        <w:rPr>
          <w:rFonts w:hint="eastAsia" w:ascii="宋体" w:hAnsi="宋体" w:cs="宋体"/>
          <w:color w:val="auto"/>
          <w:szCs w:val="24"/>
          <w:highlight w:val="none"/>
        </w:rPr>
        <w:t>其</w:t>
      </w:r>
      <w:r>
        <w:rPr>
          <w:rFonts w:hint="eastAsia" w:ascii="宋体" w:hAnsi="宋体" w:cs="宋体"/>
          <w:color w:val="auto"/>
          <w:spacing w:val="-2"/>
          <w:szCs w:val="24"/>
          <w:highlight w:val="none"/>
        </w:rPr>
        <w:t>他</w:t>
      </w:r>
      <w:r>
        <w:rPr>
          <w:rFonts w:hint="eastAsia" w:ascii="宋体" w:hAnsi="宋体" w:cs="宋体"/>
          <w:color w:val="auto"/>
          <w:szCs w:val="24"/>
          <w:highlight w:val="none"/>
        </w:rPr>
        <w:t>要</w:t>
      </w:r>
      <w:r>
        <w:rPr>
          <w:rFonts w:hint="eastAsia" w:ascii="宋体" w:hAnsi="宋体" w:cs="宋体"/>
          <w:color w:val="auto"/>
          <w:spacing w:val="-2"/>
          <w:szCs w:val="24"/>
          <w:highlight w:val="none"/>
        </w:rPr>
        <w:t>素</w:t>
      </w:r>
      <w:r>
        <w:rPr>
          <w:rFonts w:hint="eastAsia" w:ascii="宋体" w:hAnsi="宋体" w:cs="宋体"/>
          <w:color w:val="auto"/>
          <w:szCs w:val="24"/>
          <w:highlight w:val="none"/>
        </w:rPr>
        <w:t>。</w:t>
      </w:r>
    </w:p>
    <w:p>
      <w:pPr>
        <w:spacing w:before="37"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3.2.3 本项目的报价方式见投标人须知前附表。投标人在投标截止时间前修改投标函中的投 标报价总额</w:t>
      </w:r>
      <w:r>
        <w:rPr>
          <w:rFonts w:hint="eastAsia" w:ascii="宋体" w:hAnsi="宋体" w:cs="宋体"/>
          <w:strike/>
          <w:color w:val="auto"/>
          <w:szCs w:val="24"/>
          <w:highlight w:val="none"/>
        </w:rPr>
        <w:t>，应同时修改投标文件“监理报酬清单”中的相应报价</w:t>
      </w:r>
      <w:r>
        <w:rPr>
          <w:rFonts w:hint="eastAsia" w:ascii="宋体" w:hAnsi="宋体" w:cs="宋体"/>
          <w:color w:val="auto"/>
          <w:szCs w:val="24"/>
          <w:highlight w:val="none"/>
        </w:rPr>
        <w:t>。此修改须符合本章第 4.3 款的有关要求。</w:t>
      </w:r>
    </w:p>
    <w:p>
      <w:pPr>
        <w:spacing w:before="6"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3.2.4 招</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设</w:t>
      </w:r>
      <w:r>
        <w:rPr>
          <w:rFonts w:hint="eastAsia" w:ascii="宋体" w:hAnsi="宋体" w:cs="宋体"/>
          <w:color w:val="auto"/>
          <w:szCs w:val="24"/>
          <w:highlight w:val="none"/>
        </w:rPr>
        <w:t>有</w:t>
      </w:r>
      <w:r>
        <w:rPr>
          <w:rFonts w:hint="eastAsia" w:ascii="宋体" w:hAnsi="宋体" w:cs="宋体"/>
          <w:color w:val="auto"/>
          <w:spacing w:val="-2"/>
          <w:szCs w:val="24"/>
          <w:highlight w:val="none"/>
        </w:rPr>
        <w:t>最</w:t>
      </w:r>
      <w:r>
        <w:rPr>
          <w:rFonts w:hint="eastAsia" w:ascii="宋体" w:hAnsi="宋体" w:cs="宋体"/>
          <w:color w:val="auto"/>
          <w:szCs w:val="24"/>
          <w:highlight w:val="none"/>
        </w:rPr>
        <w:t>高</w:t>
      </w:r>
      <w:r>
        <w:rPr>
          <w:rFonts w:hint="eastAsia" w:ascii="宋体" w:hAnsi="宋体" w:cs="宋体"/>
          <w:color w:val="auto"/>
          <w:spacing w:val="-2"/>
          <w:szCs w:val="24"/>
          <w:highlight w:val="none"/>
        </w:rPr>
        <w:t>投标</w:t>
      </w:r>
      <w:r>
        <w:rPr>
          <w:rFonts w:hint="eastAsia" w:ascii="宋体" w:hAnsi="宋体" w:cs="宋体"/>
          <w:color w:val="auto"/>
          <w:szCs w:val="24"/>
          <w:highlight w:val="none"/>
        </w:rPr>
        <w:t>限价</w:t>
      </w:r>
      <w:r>
        <w:rPr>
          <w:rFonts w:hint="eastAsia" w:ascii="宋体" w:hAnsi="宋体" w:cs="宋体"/>
          <w:color w:val="auto"/>
          <w:spacing w:val="-2"/>
          <w:szCs w:val="24"/>
          <w:highlight w:val="none"/>
        </w:rPr>
        <w:t>的，投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的</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报</w:t>
      </w:r>
      <w:r>
        <w:rPr>
          <w:rFonts w:hint="eastAsia" w:ascii="宋体" w:hAnsi="宋体" w:cs="宋体"/>
          <w:color w:val="auto"/>
          <w:szCs w:val="24"/>
          <w:highlight w:val="none"/>
        </w:rPr>
        <w:t>价不</w:t>
      </w:r>
      <w:r>
        <w:rPr>
          <w:rFonts w:hint="eastAsia" w:ascii="宋体" w:hAnsi="宋体" w:cs="宋体"/>
          <w:color w:val="auto"/>
          <w:spacing w:val="-2"/>
          <w:szCs w:val="24"/>
          <w:highlight w:val="none"/>
        </w:rPr>
        <w:t>得</w:t>
      </w:r>
      <w:r>
        <w:rPr>
          <w:rFonts w:hint="eastAsia" w:ascii="宋体" w:hAnsi="宋体" w:cs="宋体"/>
          <w:color w:val="auto"/>
          <w:szCs w:val="24"/>
          <w:highlight w:val="none"/>
        </w:rPr>
        <w:t>超</w:t>
      </w:r>
      <w:r>
        <w:rPr>
          <w:rFonts w:hint="eastAsia" w:ascii="宋体" w:hAnsi="宋体" w:cs="宋体"/>
          <w:color w:val="auto"/>
          <w:spacing w:val="-2"/>
          <w:szCs w:val="24"/>
          <w:highlight w:val="none"/>
        </w:rPr>
        <w:t>过</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w:t>
      </w:r>
      <w:r>
        <w:rPr>
          <w:rFonts w:hint="eastAsia" w:ascii="宋体" w:hAnsi="宋体" w:cs="宋体"/>
          <w:color w:val="auto"/>
          <w:spacing w:val="-2"/>
          <w:szCs w:val="24"/>
          <w:highlight w:val="none"/>
        </w:rPr>
        <w:t>价</w:t>
      </w:r>
      <w:r>
        <w:rPr>
          <w:rFonts w:hint="eastAsia" w:ascii="宋体" w:hAnsi="宋体" w:cs="宋体"/>
          <w:color w:val="auto"/>
          <w:spacing w:val="-38"/>
          <w:szCs w:val="24"/>
          <w:highlight w:val="none"/>
        </w:rPr>
        <w:t>，</w:t>
      </w:r>
      <w:r>
        <w:rPr>
          <w:rFonts w:hint="eastAsia" w:ascii="宋体" w:hAnsi="宋体" w:cs="宋体"/>
          <w:color w:val="auto"/>
          <w:szCs w:val="24"/>
          <w:highlight w:val="none"/>
        </w:rPr>
        <w:t>最</w:t>
      </w:r>
      <w:r>
        <w:rPr>
          <w:rFonts w:hint="eastAsia" w:ascii="宋体" w:hAnsi="宋体" w:cs="宋体"/>
          <w:color w:val="auto"/>
          <w:spacing w:val="-2"/>
          <w:szCs w:val="24"/>
          <w:highlight w:val="none"/>
        </w:rPr>
        <w:t>高</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限价在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w:t>
      </w:r>
      <w:r>
        <w:rPr>
          <w:rFonts w:hint="eastAsia" w:ascii="宋体" w:hAnsi="宋体" w:cs="宋体"/>
          <w:color w:val="auto"/>
          <w:szCs w:val="24"/>
          <w:highlight w:val="none"/>
        </w:rPr>
        <w:t>表</w:t>
      </w:r>
      <w:r>
        <w:rPr>
          <w:rFonts w:hint="eastAsia" w:ascii="宋体" w:hAnsi="宋体" w:cs="宋体"/>
          <w:color w:val="auto"/>
          <w:spacing w:val="-2"/>
          <w:szCs w:val="24"/>
          <w:highlight w:val="none"/>
        </w:rPr>
        <w:t>中</w:t>
      </w:r>
      <w:r>
        <w:rPr>
          <w:rFonts w:hint="eastAsia" w:ascii="宋体" w:hAnsi="宋体" w:cs="宋体"/>
          <w:color w:val="auto"/>
          <w:szCs w:val="24"/>
          <w:highlight w:val="none"/>
        </w:rPr>
        <w:t>载明。</w:t>
      </w:r>
    </w:p>
    <w:p>
      <w:pPr>
        <w:spacing w:before="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3.2.5</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投</w:t>
      </w:r>
      <w:r>
        <w:rPr>
          <w:rFonts w:hint="eastAsia" w:ascii="宋体" w:hAnsi="宋体" w:cs="宋体"/>
          <w:color w:val="auto"/>
          <w:spacing w:val="-2"/>
          <w:szCs w:val="24"/>
          <w:highlight w:val="none"/>
        </w:rPr>
        <w:t>标</w:t>
      </w:r>
      <w:r>
        <w:rPr>
          <w:rFonts w:hint="eastAsia" w:ascii="宋体" w:hAnsi="宋体" w:cs="宋体"/>
          <w:color w:val="auto"/>
          <w:szCs w:val="24"/>
          <w:highlight w:val="none"/>
        </w:rPr>
        <w:t>报</w:t>
      </w:r>
      <w:r>
        <w:rPr>
          <w:rFonts w:hint="eastAsia" w:ascii="宋体" w:hAnsi="宋体" w:cs="宋体"/>
          <w:color w:val="auto"/>
          <w:spacing w:val="-2"/>
          <w:szCs w:val="24"/>
          <w:highlight w:val="none"/>
        </w:rPr>
        <w:t>价</w:t>
      </w:r>
      <w:r>
        <w:rPr>
          <w:rFonts w:hint="eastAsia" w:ascii="宋体" w:hAnsi="宋体" w:cs="宋体"/>
          <w:color w:val="auto"/>
          <w:szCs w:val="24"/>
          <w:highlight w:val="none"/>
        </w:rPr>
        <w:t>的</w:t>
      </w:r>
      <w:r>
        <w:rPr>
          <w:rFonts w:hint="eastAsia" w:ascii="宋体" w:hAnsi="宋体" w:cs="宋体"/>
          <w:color w:val="auto"/>
          <w:spacing w:val="-2"/>
          <w:szCs w:val="24"/>
          <w:highlight w:val="none"/>
        </w:rPr>
        <w:t>其</w:t>
      </w:r>
      <w:r>
        <w:rPr>
          <w:rFonts w:hint="eastAsia" w:ascii="宋体" w:hAnsi="宋体" w:cs="宋体"/>
          <w:color w:val="auto"/>
          <w:szCs w:val="24"/>
          <w:highlight w:val="none"/>
        </w:rPr>
        <w:t>他</w:t>
      </w:r>
      <w:r>
        <w:rPr>
          <w:rFonts w:hint="eastAsia" w:ascii="宋体" w:hAnsi="宋体" w:cs="宋体"/>
          <w:color w:val="auto"/>
          <w:spacing w:val="-2"/>
          <w:szCs w:val="24"/>
          <w:highlight w:val="none"/>
        </w:rPr>
        <w:t>要求</w:t>
      </w:r>
      <w:r>
        <w:rPr>
          <w:rFonts w:hint="eastAsia" w:ascii="宋体" w:hAnsi="宋体" w:cs="宋体"/>
          <w:color w:val="auto"/>
          <w:szCs w:val="24"/>
          <w:highlight w:val="none"/>
        </w:rPr>
        <w:t>见投</w:t>
      </w:r>
      <w:r>
        <w:rPr>
          <w:rFonts w:hint="eastAsia" w:ascii="宋体" w:hAnsi="宋体" w:cs="宋体"/>
          <w:color w:val="auto"/>
          <w:spacing w:val="-2"/>
          <w:szCs w:val="24"/>
          <w:highlight w:val="none"/>
        </w:rPr>
        <w:t>标</w:t>
      </w:r>
      <w:r>
        <w:rPr>
          <w:rFonts w:hint="eastAsia" w:ascii="宋体" w:hAnsi="宋体" w:cs="宋体"/>
          <w:color w:val="auto"/>
          <w:szCs w:val="24"/>
          <w:highlight w:val="none"/>
        </w:rPr>
        <w:t>人</w:t>
      </w:r>
      <w:r>
        <w:rPr>
          <w:rFonts w:hint="eastAsia" w:ascii="宋体" w:hAnsi="宋体" w:cs="宋体"/>
          <w:color w:val="auto"/>
          <w:spacing w:val="-2"/>
          <w:szCs w:val="24"/>
          <w:highlight w:val="none"/>
        </w:rPr>
        <w:t>须</w:t>
      </w:r>
      <w:r>
        <w:rPr>
          <w:rFonts w:hint="eastAsia" w:ascii="宋体" w:hAnsi="宋体" w:cs="宋体"/>
          <w:color w:val="auto"/>
          <w:szCs w:val="24"/>
          <w:highlight w:val="none"/>
        </w:rPr>
        <w:t>知</w:t>
      </w:r>
      <w:r>
        <w:rPr>
          <w:rFonts w:hint="eastAsia" w:ascii="宋体" w:hAnsi="宋体" w:cs="宋体"/>
          <w:color w:val="auto"/>
          <w:spacing w:val="-2"/>
          <w:szCs w:val="24"/>
          <w:highlight w:val="none"/>
        </w:rPr>
        <w:t>前</w:t>
      </w:r>
      <w:r>
        <w:rPr>
          <w:rFonts w:hint="eastAsia" w:ascii="宋体" w:hAnsi="宋体" w:cs="宋体"/>
          <w:color w:val="auto"/>
          <w:szCs w:val="24"/>
          <w:highlight w:val="none"/>
        </w:rPr>
        <w:t>附</w:t>
      </w:r>
      <w:r>
        <w:rPr>
          <w:rFonts w:hint="eastAsia" w:ascii="宋体" w:hAnsi="宋体" w:cs="宋体"/>
          <w:color w:val="auto"/>
          <w:spacing w:val="-2"/>
          <w:szCs w:val="24"/>
          <w:highlight w:val="none"/>
        </w:rPr>
        <w:t>表</w:t>
      </w:r>
      <w:r>
        <w:rPr>
          <w:rFonts w:hint="eastAsia" w:ascii="宋体" w:hAnsi="宋体" w:cs="宋体"/>
          <w:color w:val="auto"/>
          <w:szCs w:val="24"/>
          <w:highlight w:val="none"/>
        </w:rPr>
        <w:t>。</w:t>
      </w:r>
    </w:p>
    <w:p>
      <w:pPr>
        <w:spacing w:before="5" w:line="276" w:lineRule="auto"/>
        <w:jc w:val="left"/>
        <w:rPr>
          <w:rFonts w:ascii="宋体" w:hAnsi="宋体" w:cs="宋体"/>
          <w:color w:val="auto"/>
          <w:sz w:val="15"/>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投标有效期</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3.3.1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除</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人</w:t>
      </w:r>
      <w:r>
        <w:rPr>
          <w:rFonts w:hint="eastAsia" w:ascii="宋体" w:hAnsi="宋体" w:cs="宋体"/>
          <w:color w:val="auto"/>
          <w:szCs w:val="24"/>
          <w:highlight w:val="none"/>
        </w:rPr>
        <w:t>须</w:t>
      </w:r>
      <w:r>
        <w:rPr>
          <w:rFonts w:hint="eastAsia" w:ascii="宋体" w:hAnsi="宋体" w:cs="宋体"/>
          <w:color w:val="auto"/>
          <w:spacing w:val="-2"/>
          <w:szCs w:val="24"/>
          <w:highlight w:val="none"/>
        </w:rPr>
        <w:t>知</w:t>
      </w:r>
      <w:r>
        <w:rPr>
          <w:rFonts w:hint="eastAsia" w:ascii="宋体" w:hAnsi="宋体" w:cs="宋体"/>
          <w:color w:val="auto"/>
          <w:szCs w:val="24"/>
          <w:highlight w:val="none"/>
        </w:rPr>
        <w:t>前</w:t>
      </w:r>
      <w:r>
        <w:rPr>
          <w:rFonts w:hint="eastAsia" w:ascii="宋体" w:hAnsi="宋体" w:cs="宋体"/>
          <w:color w:val="auto"/>
          <w:spacing w:val="-2"/>
          <w:szCs w:val="24"/>
          <w:highlight w:val="none"/>
        </w:rPr>
        <w:t>附表</w:t>
      </w:r>
      <w:r>
        <w:rPr>
          <w:rFonts w:hint="eastAsia" w:ascii="宋体" w:hAnsi="宋体" w:cs="宋体"/>
          <w:color w:val="auto"/>
          <w:szCs w:val="24"/>
          <w:highlight w:val="none"/>
        </w:rPr>
        <w:t>另有</w:t>
      </w:r>
      <w:r>
        <w:rPr>
          <w:rFonts w:hint="eastAsia" w:ascii="宋体" w:hAnsi="宋体" w:cs="宋体"/>
          <w:color w:val="auto"/>
          <w:spacing w:val="-2"/>
          <w:szCs w:val="24"/>
          <w:highlight w:val="none"/>
        </w:rPr>
        <w:t>规</w:t>
      </w:r>
      <w:r>
        <w:rPr>
          <w:rFonts w:hint="eastAsia" w:ascii="宋体" w:hAnsi="宋体" w:cs="宋体"/>
          <w:color w:val="auto"/>
          <w:szCs w:val="24"/>
          <w:highlight w:val="none"/>
        </w:rPr>
        <w:t>定</w:t>
      </w:r>
      <w:r>
        <w:rPr>
          <w:rFonts w:hint="eastAsia" w:ascii="宋体" w:hAnsi="宋体" w:cs="宋体"/>
          <w:color w:val="auto"/>
          <w:spacing w:val="-2"/>
          <w:szCs w:val="24"/>
          <w:highlight w:val="none"/>
        </w:rPr>
        <w:t>外</w:t>
      </w:r>
      <w:r>
        <w:rPr>
          <w:rFonts w:hint="eastAsia" w:ascii="宋体" w:hAnsi="宋体" w:cs="宋体"/>
          <w:color w:val="auto"/>
          <w:szCs w:val="24"/>
          <w:highlight w:val="none"/>
        </w:rPr>
        <w:t>，</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为</w:t>
      </w:r>
      <w:r>
        <w:rPr>
          <w:rFonts w:hint="eastAsia" w:ascii="宋体" w:hAnsi="宋体" w:cs="宋体"/>
          <w:color w:val="auto"/>
          <w:spacing w:val="1"/>
          <w:szCs w:val="24"/>
          <w:highlight w:val="none"/>
        </w:rPr>
        <w:t xml:space="preserve"> </w:t>
      </w:r>
      <w:r>
        <w:rPr>
          <w:rFonts w:hint="eastAsia" w:ascii="宋体" w:hAnsi="宋体" w:cs="宋体"/>
          <w:color w:val="auto"/>
          <w:szCs w:val="24"/>
          <w:highlight w:val="none"/>
        </w:rPr>
        <w:t>90</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天。</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3.3.2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有</w:t>
      </w:r>
      <w:r>
        <w:rPr>
          <w:rFonts w:hint="eastAsia" w:ascii="宋体" w:hAnsi="宋体" w:cs="宋体"/>
          <w:color w:val="auto"/>
          <w:szCs w:val="24"/>
          <w:highlight w:val="none"/>
        </w:rPr>
        <w:t>效</w:t>
      </w:r>
      <w:r>
        <w:rPr>
          <w:rFonts w:hint="eastAsia" w:ascii="宋体" w:hAnsi="宋体" w:cs="宋体"/>
          <w:color w:val="auto"/>
          <w:spacing w:val="-2"/>
          <w:szCs w:val="24"/>
          <w:highlight w:val="none"/>
        </w:rPr>
        <w:t>期</w:t>
      </w:r>
      <w:r>
        <w:rPr>
          <w:rFonts w:hint="eastAsia" w:ascii="宋体" w:hAnsi="宋体" w:cs="宋体"/>
          <w:color w:val="auto"/>
          <w:szCs w:val="24"/>
          <w:highlight w:val="none"/>
        </w:rPr>
        <w:t>内</w:t>
      </w:r>
      <w:r>
        <w:rPr>
          <w:rFonts w:hint="eastAsia" w:ascii="宋体" w:hAnsi="宋体" w:cs="宋体"/>
          <w:color w:val="auto"/>
          <w:spacing w:val="-2"/>
          <w:szCs w:val="24"/>
          <w:highlight w:val="none"/>
        </w:rPr>
        <w:t>，投</w:t>
      </w:r>
      <w:r>
        <w:rPr>
          <w:rFonts w:hint="eastAsia" w:ascii="宋体" w:hAnsi="宋体" w:cs="宋体"/>
          <w:color w:val="auto"/>
          <w:szCs w:val="24"/>
          <w:highlight w:val="none"/>
        </w:rPr>
        <w:t>标人</w:t>
      </w:r>
      <w:r>
        <w:rPr>
          <w:rFonts w:hint="eastAsia" w:ascii="宋体" w:hAnsi="宋体" w:cs="宋体"/>
          <w:color w:val="auto"/>
          <w:spacing w:val="-2"/>
          <w:szCs w:val="24"/>
          <w:highlight w:val="none"/>
        </w:rPr>
        <w:t>撤</w:t>
      </w:r>
      <w:r>
        <w:rPr>
          <w:rFonts w:hint="eastAsia" w:ascii="宋体" w:hAnsi="宋体" w:cs="宋体"/>
          <w:color w:val="auto"/>
          <w:szCs w:val="24"/>
          <w:highlight w:val="none"/>
        </w:rPr>
        <w:t>销</w:t>
      </w:r>
      <w:r>
        <w:rPr>
          <w:rFonts w:hint="eastAsia" w:ascii="宋体" w:hAnsi="宋体" w:cs="宋体"/>
          <w:color w:val="auto"/>
          <w:spacing w:val="-2"/>
          <w:szCs w:val="24"/>
          <w:highlight w:val="none"/>
        </w:rPr>
        <w:t>投</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的</w:t>
      </w:r>
      <w:r>
        <w:rPr>
          <w:rFonts w:hint="eastAsia" w:ascii="宋体" w:hAnsi="宋体" w:cs="宋体"/>
          <w:color w:val="auto"/>
          <w:szCs w:val="24"/>
          <w:highlight w:val="none"/>
        </w:rPr>
        <w:t>，</w:t>
      </w:r>
      <w:r>
        <w:rPr>
          <w:rFonts w:hint="eastAsia" w:ascii="宋体" w:hAnsi="宋体" w:cs="宋体"/>
          <w:color w:val="auto"/>
          <w:spacing w:val="-2"/>
          <w:szCs w:val="24"/>
          <w:highlight w:val="none"/>
        </w:rPr>
        <w:t>应</w:t>
      </w:r>
      <w:r>
        <w:rPr>
          <w:rFonts w:hint="eastAsia" w:ascii="宋体" w:hAnsi="宋体" w:cs="宋体"/>
          <w:color w:val="auto"/>
          <w:szCs w:val="24"/>
          <w:highlight w:val="none"/>
        </w:rPr>
        <w:t>承担</w:t>
      </w:r>
      <w:r>
        <w:rPr>
          <w:rFonts w:hint="eastAsia" w:ascii="宋体" w:hAnsi="宋体" w:cs="宋体"/>
          <w:color w:val="auto"/>
          <w:spacing w:val="-2"/>
          <w:szCs w:val="24"/>
          <w:highlight w:val="none"/>
        </w:rPr>
        <w:t>招</w:t>
      </w:r>
      <w:r>
        <w:rPr>
          <w:rFonts w:hint="eastAsia" w:ascii="宋体" w:hAnsi="宋体" w:cs="宋体"/>
          <w:color w:val="auto"/>
          <w:szCs w:val="24"/>
          <w:highlight w:val="none"/>
        </w:rPr>
        <w:t>标</w:t>
      </w:r>
      <w:r>
        <w:rPr>
          <w:rFonts w:hint="eastAsia" w:ascii="宋体" w:hAnsi="宋体" w:cs="宋体"/>
          <w:color w:val="auto"/>
          <w:spacing w:val="-2"/>
          <w:szCs w:val="24"/>
          <w:highlight w:val="none"/>
        </w:rPr>
        <w:t>文</w:t>
      </w:r>
      <w:r>
        <w:rPr>
          <w:rFonts w:hint="eastAsia" w:ascii="宋体" w:hAnsi="宋体" w:cs="宋体"/>
          <w:color w:val="auto"/>
          <w:szCs w:val="24"/>
          <w:highlight w:val="none"/>
        </w:rPr>
        <w:t>件</w:t>
      </w:r>
      <w:r>
        <w:rPr>
          <w:rFonts w:hint="eastAsia" w:ascii="宋体" w:hAnsi="宋体" w:cs="宋体"/>
          <w:color w:val="auto"/>
          <w:spacing w:val="-2"/>
          <w:szCs w:val="24"/>
          <w:highlight w:val="none"/>
        </w:rPr>
        <w:t>和</w:t>
      </w:r>
      <w:r>
        <w:rPr>
          <w:rFonts w:hint="eastAsia" w:ascii="宋体" w:hAnsi="宋体" w:cs="宋体"/>
          <w:color w:val="auto"/>
          <w:szCs w:val="24"/>
          <w:highlight w:val="none"/>
        </w:rPr>
        <w:t>法</w:t>
      </w:r>
      <w:r>
        <w:rPr>
          <w:rFonts w:hint="eastAsia" w:ascii="宋体" w:hAnsi="宋体" w:cs="宋体"/>
          <w:color w:val="auto"/>
          <w:spacing w:val="-2"/>
          <w:szCs w:val="24"/>
          <w:highlight w:val="none"/>
        </w:rPr>
        <w:t>律</w:t>
      </w:r>
      <w:r>
        <w:rPr>
          <w:rFonts w:hint="eastAsia" w:ascii="宋体" w:hAnsi="宋体" w:cs="宋体"/>
          <w:color w:val="auto"/>
          <w:szCs w:val="24"/>
          <w:highlight w:val="none"/>
        </w:rPr>
        <w:t>规</w:t>
      </w:r>
      <w:r>
        <w:rPr>
          <w:rFonts w:hint="eastAsia" w:ascii="宋体" w:hAnsi="宋体" w:cs="宋体"/>
          <w:color w:val="auto"/>
          <w:spacing w:val="-2"/>
          <w:szCs w:val="24"/>
          <w:highlight w:val="none"/>
        </w:rPr>
        <w:t>定</w:t>
      </w:r>
      <w:r>
        <w:rPr>
          <w:rFonts w:hint="eastAsia" w:ascii="宋体" w:hAnsi="宋体" w:cs="宋体"/>
          <w:color w:val="auto"/>
          <w:szCs w:val="24"/>
          <w:highlight w:val="none"/>
        </w:rPr>
        <w:t>的责</w:t>
      </w:r>
      <w:r>
        <w:rPr>
          <w:rFonts w:hint="eastAsia" w:ascii="宋体" w:hAnsi="宋体" w:cs="宋体"/>
          <w:color w:val="auto"/>
          <w:spacing w:val="-2"/>
          <w:szCs w:val="24"/>
          <w:highlight w:val="none"/>
        </w:rPr>
        <w:t>任</w:t>
      </w:r>
      <w:r>
        <w:rPr>
          <w:rFonts w:hint="eastAsia" w:ascii="宋体" w:hAnsi="宋体" w:cs="宋体"/>
          <w:color w:val="auto"/>
          <w:szCs w:val="24"/>
          <w:highlight w:val="none"/>
        </w:rPr>
        <w:t>。</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 效期。投标人应予以书面答复，同意延长的，</w:t>
      </w:r>
      <w:r>
        <w:rPr>
          <w:rFonts w:hint="eastAsia" w:ascii="宋体" w:hAnsi="宋体" w:cs="宋体"/>
          <w:strike/>
          <w:color w:val="auto"/>
          <w:szCs w:val="24"/>
          <w:highlight w:val="none"/>
        </w:rPr>
        <w:t>应相应延长其投标保证金的有效期，</w:t>
      </w:r>
      <w:r>
        <w:rPr>
          <w:rFonts w:hint="eastAsia" w:ascii="宋体" w:hAnsi="宋体" w:cs="宋体"/>
          <w:color w:val="auto"/>
          <w:szCs w:val="24"/>
          <w:highlight w:val="none"/>
        </w:rPr>
        <w:t>但不得要求或被允许修改其投标文件；投标人拒绝延长的，其投标失效</w:t>
      </w:r>
      <w:r>
        <w:rPr>
          <w:rFonts w:hint="eastAsia" w:ascii="宋体" w:hAnsi="宋体" w:cs="宋体"/>
          <w:strike/>
          <w:color w:val="auto"/>
          <w:szCs w:val="24"/>
          <w:highlight w:val="none"/>
        </w:rPr>
        <w:t>，但投标人有权收回其投标保证金及以现金或者支票形式递交的投标保证金的银行同期存款利息</w:t>
      </w:r>
      <w:r>
        <w:rPr>
          <w:rFonts w:hint="eastAsia" w:ascii="宋体" w:hAnsi="宋体" w:cs="宋体"/>
          <w:color w:val="auto"/>
          <w:szCs w:val="24"/>
          <w:highlight w:val="none"/>
        </w:rPr>
        <w:t>。</w:t>
      </w:r>
    </w:p>
    <w:p>
      <w:pPr>
        <w:spacing w:before="5"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.4</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投标保证金</w:t>
      </w:r>
    </w:p>
    <w:p>
      <w:pPr>
        <w:spacing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3.4.1 投标人在递交投标文件的同时，应按投标人须知前附表规定的金额形式和第五章“投</w:t>
      </w:r>
    </w:p>
    <w:p>
      <w:pPr>
        <w:spacing w:line="276" w:lineRule="auto"/>
        <w:ind w:right="-20"/>
        <w:jc w:val="left"/>
        <w:rPr>
          <w:rFonts w:ascii="宋体" w:hAnsi="宋体" w:cs="宋体"/>
          <w:strike/>
          <w:color w:val="auto"/>
          <w:szCs w:val="24"/>
          <w:highlight w:val="none"/>
        </w:rPr>
      </w:pPr>
      <w:r>
        <w:rPr>
          <w:rFonts w:hint="eastAsia" w:ascii="宋体" w:hAnsi="宋体" w:cs="宋体"/>
          <w:strike/>
          <w:color w:val="auto"/>
          <w:szCs w:val="24"/>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3.4.2 投标人不按本章第 3.4.1 项要求提交投标保证金的，评标委员会将否决其投标。</w:t>
      </w:r>
    </w:p>
    <w:p>
      <w:pPr>
        <w:spacing w:before="39" w:line="276" w:lineRule="auto"/>
        <w:ind w:left="100" w:right="119" w:firstLine="420"/>
        <w:rPr>
          <w:rFonts w:ascii="宋体" w:hAnsi="宋体" w:cs="宋体"/>
          <w:strike/>
          <w:color w:val="auto"/>
          <w:szCs w:val="24"/>
          <w:highlight w:val="none"/>
        </w:rPr>
      </w:pPr>
      <w:r>
        <w:rPr>
          <w:rFonts w:hint="eastAsia" w:ascii="宋体" w:hAnsi="宋体" w:cs="宋体"/>
          <w:strike/>
          <w:color w:val="auto"/>
          <w:szCs w:val="24"/>
          <w:highlight w:val="none"/>
        </w:rPr>
        <w:t>3.4.3 招标人最迟将在与中标人签订合同后 5 日内，向未中标的投标人和中标人退还投标保 证金。投标保证金以现金或者支票形式递交的，还应退还银行同期存款利息。</w:t>
      </w:r>
    </w:p>
    <w:p>
      <w:pPr>
        <w:spacing w:before="11"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3.4.4 有下列情形之一的，投标保证金将不予退还：</w:t>
      </w:r>
    </w:p>
    <w:p>
      <w:pPr>
        <w:spacing w:before="11" w:line="276" w:lineRule="auto"/>
        <w:ind w:left="520" w:right="-20" w:firstLine="525" w:firstLineChars="250"/>
        <w:jc w:val="left"/>
        <w:rPr>
          <w:rFonts w:ascii="宋体" w:hAnsi="宋体" w:cs="宋体"/>
          <w:strike/>
          <w:color w:val="auto"/>
          <w:szCs w:val="24"/>
          <w:highlight w:val="none"/>
        </w:rPr>
      </w:pPr>
      <w:r>
        <w:rPr>
          <w:rFonts w:hint="eastAsia" w:ascii="宋体" w:hAnsi="宋体" w:cs="宋体"/>
          <w:strike/>
          <w:color w:val="auto"/>
          <w:szCs w:val="21"/>
          <w:highlight w:val="none"/>
        </w:rPr>
        <w:t>因中标人原因未能在规定期限内签署合同协议。</w:t>
      </w:r>
    </w:p>
    <w:p>
      <w:pPr>
        <w:spacing w:before="39"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（1）投标人在投标有效期内撤销投标文件；</w:t>
      </w:r>
    </w:p>
    <w:p>
      <w:pPr>
        <w:spacing w:before="37" w:line="276" w:lineRule="auto"/>
        <w:ind w:left="100" w:right="123" w:firstLine="314"/>
        <w:jc w:val="left"/>
        <w:rPr>
          <w:rFonts w:ascii="宋体" w:hAnsi="宋体" w:cs="宋体"/>
          <w:strike/>
          <w:color w:val="auto"/>
          <w:szCs w:val="24"/>
          <w:highlight w:val="none"/>
        </w:rPr>
      </w:pPr>
      <w:r>
        <w:rPr>
          <w:rFonts w:hint="eastAsia" w:ascii="宋体" w:hAnsi="宋体" w:cs="宋体"/>
          <w:strike/>
          <w:color w:val="auto"/>
          <w:szCs w:val="24"/>
          <w:highlight w:val="none"/>
        </w:rPr>
        <w:t>（2）中标人在收到中标通知书后，无正当理由不与招标人订立合同，在签订合同时向招标人提出附加条件，或者不按照招标文件要求提交履约保证金；</w:t>
      </w:r>
    </w:p>
    <w:p>
      <w:pPr>
        <w:spacing w:before="9" w:line="276" w:lineRule="auto"/>
        <w:ind w:left="415" w:right="-20"/>
        <w:jc w:val="left"/>
        <w:rPr>
          <w:rFonts w:ascii="宋体" w:hAnsi="宋体" w:cs="宋体"/>
          <w:strike/>
          <w:color w:val="auto"/>
          <w:szCs w:val="24"/>
          <w:highlight w:val="none"/>
        </w:rPr>
      </w:pPr>
      <w:r>
        <w:rPr>
          <w:rFonts w:hint="eastAsia" w:ascii="宋体" w:hAnsi="宋体" w:cs="宋体"/>
          <w:strike/>
          <w:color w:val="auto"/>
          <w:szCs w:val="24"/>
          <w:highlight w:val="none"/>
        </w:rPr>
        <w:t>（3）发生投标人须知前附表规定的其他可以不予退还投标保证金的情形。</w:t>
      </w:r>
    </w:p>
    <w:p>
      <w:pPr>
        <w:spacing w:before="5" w:line="276" w:lineRule="auto"/>
        <w:jc w:val="left"/>
        <w:rPr>
          <w:rFonts w:ascii="宋体" w:hAnsi="宋体" w:cs="宋体"/>
          <w:color w:val="auto"/>
          <w:sz w:val="15"/>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资格审查</w:t>
      </w:r>
      <w:r>
        <w:rPr>
          <w:rFonts w:hint="eastAsia" w:ascii="宋体" w:hAnsi="宋体" w:cs="宋体"/>
          <w:color w:val="auto"/>
          <w:spacing w:val="-3"/>
          <w:sz w:val="28"/>
          <w:szCs w:val="24"/>
          <w:highlight w:val="none"/>
        </w:rPr>
        <w:t>资</w:t>
      </w:r>
      <w:r>
        <w:rPr>
          <w:rFonts w:hint="eastAsia" w:ascii="宋体" w:hAnsi="宋体" w:cs="宋体"/>
          <w:color w:val="auto"/>
          <w:sz w:val="28"/>
          <w:szCs w:val="24"/>
          <w:highlight w:val="none"/>
        </w:rPr>
        <w:t>料</w:t>
      </w:r>
      <w:r>
        <w:rPr>
          <w:rFonts w:hint="eastAsia" w:ascii="宋体" w:hAnsi="宋体" w:cs="宋体"/>
          <w:color w:val="auto"/>
          <w:spacing w:val="-3"/>
          <w:sz w:val="28"/>
          <w:szCs w:val="24"/>
          <w:highlight w:val="none"/>
        </w:rPr>
        <w:t>（</w:t>
      </w:r>
      <w:r>
        <w:rPr>
          <w:rFonts w:hint="eastAsia" w:ascii="宋体" w:hAnsi="宋体" w:cs="宋体"/>
          <w:color w:val="auto"/>
          <w:sz w:val="28"/>
          <w:szCs w:val="24"/>
          <w:highlight w:val="none"/>
        </w:rPr>
        <w:t>适用于</w:t>
      </w:r>
      <w:r>
        <w:rPr>
          <w:rFonts w:hint="eastAsia" w:ascii="宋体" w:hAnsi="宋体" w:cs="宋体"/>
          <w:color w:val="auto"/>
          <w:spacing w:val="-3"/>
          <w:sz w:val="28"/>
          <w:szCs w:val="24"/>
          <w:highlight w:val="none"/>
        </w:rPr>
        <w:t>已</w:t>
      </w:r>
      <w:r>
        <w:rPr>
          <w:rFonts w:hint="eastAsia" w:ascii="宋体" w:hAnsi="宋体" w:cs="宋体"/>
          <w:color w:val="auto"/>
          <w:sz w:val="28"/>
          <w:szCs w:val="24"/>
          <w:highlight w:val="none"/>
        </w:rPr>
        <w:t>进行</w:t>
      </w:r>
      <w:r>
        <w:rPr>
          <w:rFonts w:hint="eastAsia" w:ascii="宋体" w:hAnsi="宋体" w:cs="宋体"/>
          <w:color w:val="auto"/>
          <w:spacing w:val="-3"/>
          <w:sz w:val="28"/>
          <w:szCs w:val="24"/>
          <w:highlight w:val="none"/>
        </w:rPr>
        <w:t>资格</w:t>
      </w:r>
      <w:r>
        <w:rPr>
          <w:rFonts w:hint="eastAsia" w:ascii="宋体" w:hAnsi="宋体" w:cs="宋体"/>
          <w:color w:val="auto"/>
          <w:sz w:val="28"/>
          <w:szCs w:val="24"/>
          <w:highlight w:val="none"/>
        </w:rPr>
        <w:t>预审的）</w:t>
      </w:r>
    </w:p>
    <w:p>
      <w:pPr>
        <w:spacing w:line="276" w:lineRule="auto"/>
        <w:ind w:left="100" w:right="148" w:firstLine="420"/>
        <w:rPr>
          <w:rFonts w:ascii="宋体" w:hAnsi="宋体" w:cs="宋体"/>
          <w:color w:val="auto"/>
          <w:szCs w:val="24"/>
          <w:highlight w:val="none"/>
        </w:rPr>
      </w:pPr>
      <w:r>
        <w:rPr>
          <w:rFonts w:hint="eastAsia" w:ascii="宋体" w:hAnsi="宋体" w:cs="宋体"/>
          <w:color w:val="auto"/>
          <w:szCs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spacing w:before="5"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3</w:t>
      </w:r>
      <w:r>
        <w:rPr>
          <w:rFonts w:hint="eastAsia" w:ascii="宋体" w:hAnsi="宋体" w:cs="宋体"/>
          <w:strike/>
          <w:color w:val="auto"/>
          <w:sz w:val="28"/>
          <w:szCs w:val="24"/>
          <w:highlight w:val="none"/>
        </w:rPr>
        <w:t>.5</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资格审查</w:t>
      </w:r>
      <w:r>
        <w:rPr>
          <w:rFonts w:hint="eastAsia" w:ascii="宋体" w:hAnsi="宋体" w:cs="宋体"/>
          <w:strike/>
          <w:color w:val="auto"/>
          <w:spacing w:val="-3"/>
          <w:sz w:val="28"/>
          <w:szCs w:val="24"/>
          <w:highlight w:val="none"/>
        </w:rPr>
        <w:t>资</w:t>
      </w:r>
      <w:r>
        <w:rPr>
          <w:rFonts w:hint="eastAsia" w:ascii="宋体" w:hAnsi="宋体" w:cs="宋体"/>
          <w:strike/>
          <w:color w:val="auto"/>
          <w:sz w:val="28"/>
          <w:szCs w:val="24"/>
          <w:highlight w:val="none"/>
        </w:rPr>
        <w:t>料</w:t>
      </w:r>
      <w:r>
        <w:rPr>
          <w:rFonts w:hint="eastAsia" w:ascii="宋体" w:hAnsi="宋体" w:cs="宋体"/>
          <w:strike/>
          <w:color w:val="auto"/>
          <w:spacing w:val="-3"/>
          <w:sz w:val="28"/>
          <w:szCs w:val="24"/>
          <w:highlight w:val="none"/>
        </w:rPr>
        <w:t>（</w:t>
      </w:r>
      <w:r>
        <w:rPr>
          <w:rFonts w:hint="eastAsia" w:ascii="宋体" w:hAnsi="宋体" w:cs="宋体"/>
          <w:strike/>
          <w:color w:val="auto"/>
          <w:sz w:val="28"/>
          <w:szCs w:val="24"/>
          <w:highlight w:val="none"/>
        </w:rPr>
        <w:t>适用于</w:t>
      </w:r>
      <w:r>
        <w:rPr>
          <w:rFonts w:hint="eastAsia" w:ascii="宋体" w:hAnsi="宋体" w:cs="宋体"/>
          <w:strike/>
          <w:color w:val="auto"/>
          <w:spacing w:val="-3"/>
          <w:sz w:val="28"/>
          <w:szCs w:val="24"/>
          <w:highlight w:val="none"/>
        </w:rPr>
        <w:t>未</w:t>
      </w:r>
      <w:r>
        <w:rPr>
          <w:rFonts w:hint="eastAsia" w:ascii="宋体" w:hAnsi="宋体" w:cs="宋体"/>
          <w:strike/>
          <w:color w:val="auto"/>
          <w:sz w:val="28"/>
          <w:szCs w:val="24"/>
          <w:highlight w:val="none"/>
        </w:rPr>
        <w:t>进行</w:t>
      </w:r>
      <w:r>
        <w:rPr>
          <w:rFonts w:hint="eastAsia" w:ascii="宋体" w:hAnsi="宋体" w:cs="宋体"/>
          <w:strike/>
          <w:color w:val="auto"/>
          <w:spacing w:val="-3"/>
          <w:sz w:val="28"/>
          <w:szCs w:val="24"/>
          <w:highlight w:val="none"/>
        </w:rPr>
        <w:t>资格</w:t>
      </w:r>
      <w:r>
        <w:rPr>
          <w:rFonts w:hint="eastAsia" w:ascii="宋体" w:hAnsi="宋体" w:cs="宋体"/>
          <w:strike/>
          <w:color w:val="auto"/>
          <w:sz w:val="28"/>
          <w:szCs w:val="24"/>
          <w:highlight w:val="none"/>
        </w:rPr>
        <w:t>预审的）</w:t>
      </w:r>
    </w:p>
    <w:p>
      <w:pPr>
        <w:spacing w:line="276" w:lineRule="auto"/>
        <w:ind w:left="100" w:right="148" w:firstLine="420"/>
        <w:rPr>
          <w:rFonts w:ascii="宋体" w:hAnsi="宋体" w:cs="宋体"/>
          <w:strike/>
          <w:color w:val="auto"/>
          <w:szCs w:val="24"/>
          <w:highlight w:val="none"/>
        </w:rPr>
      </w:pPr>
      <w:r>
        <w:rPr>
          <w:rFonts w:hint="eastAsia" w:ascii="宋体" w:hAnsi="宋体" w:cs="宋体"/>
          <w:strike/>
          <w:color w:val="auto"/>
          <w:szCs w:val="24"/>
          <w:highlight w:val="none"/>
        </w:rPr>
        <w:t>除投标人须知前附表另有规定外，投标人应按下列规定提供资格审查资料，以证明其满足本章第 1.4 款规定的资质、财务、业绩、信誉等要求。</w:t>
      </w:r>
    </w:p>
    <w:p>
      <w:pPr>
        <w:spacing w:line="276" w:lineRule="auto"/>
        <w:ind w:left="100" w:right="148" w:firstLine="420"/>
        <w:rPr>
          <w:rFonts w:ascii="宋体" w:hAnsi="宋体" w:cs="宋体"/>
          <w:strike/>
          <w:color w:val="auto"/>
          <w:szCs w:val="21"/>
          <w:highlight w:val="none"/>
        </w:rPr>
      </w:pPr>
      <w:r>
        <w:rPr>
          <w:rFonts w:hint="eastAsia" w:ascii="宋体" w:hAnsi="宋体" w:cs="宋体"/>
          <w:strike/>
          <w:color w:val="auto"/>
          <w:szCs w:val="24"/>
          <w:highlight w:val="none"/>
        </w:rPr>
        <w:t>3.5.1“基本情况表”</w:t>
      </w:r>
      <w:r>
        <w:rPr>
          <w:rFonts w:hint="eastAsia" w:ascii="宋体" w:hAnsi="宋体" w:cs="宋体"/>
          <w:strike/>
          <w:color w:val="auto"/>
          <w:szCs w:val="21"/>
          <w:highlight w:val="none"/>
        </w:rPr>
        <w:t>应附投标人营业执照（或副本）、投标人资质证书等材料的原件清晰彩色扫描件。</w:t>
      </w:r>
    </w:p>
    <w:p>
      <w:pPr>
        <w:spacing w:line="276" w:lineRule="auto"/>
        <w:ind w:left="100" w:right="148" w:firstLine="420"/>
        <w:rPr>
          <w:rFonts w:ascii="宋体" w:hAnsi="宋体" w:cs="宋体"/>
          <w:b/>
          <w:strike/>
          <w:color w:val="auto"/>
          <w:szCs w:val="21"/>
          <w:highlight w:val="none"/>
        </w:rPr>
      </w:pPr>
      <w:r>
        <w:rPr>
          <w:rFonts w:hint="eastAsia" w:ascii="宋体" w:hAnsi="宋体" w:cs="宋体"/>
          <w:strike/>
          <w:color w:val="auto"/>
          <w:szCs w:val="24"/>
          <w:highlight w:val="none"/>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r>
        <w:rPr>
          <w:rFonts w:hint="eastAsia" w:ascii="宋体" w:hAnsi="宋体" w:cs="宋体"/>
          <w:b/>
          <w:strike/>
          <w:color w:val="auto"/>
          <w:szCs w:val="24"/>
          <w:highlight w:val="none"/>
        </w:rPr>
        <w:t>（</w:t>
      </w:r>
      <w:r>
        <w:rPr>
          <w:rFonts w:hint="eastAsia" w:ascii="宋体" w:hAnsi="宋体" w:cs="宋体"/>
          <w:b/>
          <w:strike/>
          <w:color w:val="auto"/>
          <w:szCs w:val="21"/>
          <w:highlight w:val="none"/>
        </w:rPr>
        <w:t>本项目资格审查不要求。）</w:t>
      </w:r>
    </w:p>
    <w:p>
      <w:pPr>
        <w:spacing w:line="276" w:lineRule="auto"/>
        <w:ind w:left="100" w:right="148" w:firstLine="420"/>
        <w:rPr>
          <w:rFonts w:ascii="宋体" w:hAnsi="宋体" w:cs="宋体"/>
          <w:strike/>
          <w:color w:val="auto"/>
          <w:szCs w:val="24"/>
          <w:highlight w:val="none"/>
        </w:rPr>
      </w:pPr>
      <w:r>
        <w:rPr>
          <w:rFonts w:hint="eastAsia" w:ascii="宋体" w:hAnsi="宋体" w:cs="宋体"/>
          <w:strike/>
          <w:color w:val="auto"/>
          <w:szCs w:val="24"/>
          <w:highlight w:val="none"/>
        </w:rPr>
        <w:t>3.5.3 “正在服务和新承接的项目情况表”应附中标通知书和（或）合同协议书复印件。每张表格只填写一个项目，并标明序号。</w:t>
      </w:r>
      <w:r>
        <w:rPr>
          <w:rFonts w:hint="eastAsia" w:ascii="宋体" w:hAnsi="宋体" w:cs="宋体"/>
          <w:b/>
          <w:bCs/>
          <w:strike/>
          <w:color w:val="auto"/>
          <w:szCs w:val="24"/>
          <w:highlight w:val="none"/>
        </w:rPr>
        <w:t>（</w:t>
      </w:r>
      <w:r>
        <w:rPr>
          <w:rFonts w:hint="eastAsia" w:ascii="宋体" w:hAnsi="宋体" w:cs="宋体"/>
          <w:b/>
          <w:bCs/>
          <w:strike/>
          <w:color w:val="auto"/>
          <w:szCs w:val="21"/>
          <w:highlight w:val="none"/>
        </w:rPr>
        <w:t>本项目资格审查不要求。）</w:t>
      </w:r>
    </w:p>
    <w:p>
      <w:pPr>
        <w:spacing w:line="276" w:lineRule="auto"/>
        <w:ind w:left="100" w:right="148" w:firstLine="420"/>
        <w:rPr>
          <w:rFonts w:ascii="宋体" w:hAnsi="宋体" w:cs="宋体"/>
          <w:b/>
          <w:bCs/>
          <w:strike/>
          <w:color w:val="auto"/>
          <w:szCs w:val="24"/>
          <w:highlight w:val="none"/>
          <w:u w:val="single"/>
        </w:rPr>
      </w:pPr>
      <w:r>
        <w:rPr>
          <w:rFonts w:hint="eastAsia" w:ascii="宋体" w:hAnsi="宋体" w:cs="宋体"/>
          <w:strike/>
          <w:color w:val="auto"/>
          <w:szCs w:val="24"/>
          <w:highlight w:val="none"/>
        </w:rPr>
        <w:t>3.5.4 “近年发生的诉讼及仲裁情况”应说明投标人败诉的项目服务合同的相关情况，并附法院或 仲裁机构作出的判决、裁决等有关法律文书复印件，具体时间要求见投标人须知前附表。</w:t>
      </w:r>
      <w:r>
        <w:rPr>
          <w:rFonts w:hint="eastAsia" w:ascii="宋体" w:hAnsi="宋体" w:cs="宋体"/>
          <w:b/>
          <w:bCs/>
          <w:strike/>
          <w:color w:val="auto"/>
          <w:szCs w:val="24"/>
          <w:highlight w:val="none"/>
          <w:u w:val="single"/>
        </w:rPr>
        <w:t>（本项目资格审查不要求。）</w:t>
      </w:r>
    </w:p>
    <w:p>
      <w:pPr>
        <w:spacing w:line="276" w:lineRule="auto"/>
        <w:ind w:left="100" w:right="148" w:firstLine="420"/>
        <w:rPr>
          <w:rFonts w:ascii="宋体" w:hAnsi="宋体" w:cs="宋体"/>
          <w:strike/>
          <w:color w:val="auto"/>
          <w:szCs w:val="24"/>
          <w:highlight w:val="none"/>
        </w:rPr>
      </w:pPr>
      <w:r>
        <w:rPr>
          <w:rFonts w:hint="eastAsia" w:ascii="宋体" w:hAnsi="宋体" w:cs="宋体"/>
          <w:strike/>
          <w:color w:val="auto"/>
          <w:szCs w:val="24"/>
          <w:highlight w:val="none"/>
        </w:rPr>
        <w:t>3.5.5  “拟投入人员一览表”应填报满足本章第 1.4.1 项规定的项目负责人和其他主要人员的相关信息。</w:t>
      </w:r>
      <w:r>
        <w:rPr>
          <w:rFonts w:hint="eastAsia" w:ascii="宋体" w:hAnsi="宋体" w:cs="宋体"/>
          <w:strike/>
          <w:color w:val="auto"/>
          <w:szCs w:val="24"/>
          <w:highlight w:val="none"/>
          <w:u w:val="single"/>
        </w:rPr>
        <w:t>要求详见招标公告。</w:t>
      </w:r>
    </w:p>
    <w:p>
      <w:pPr>
        <w:spacing w:line="276" w:lineRule="auto"/>
        <w:ind w:left="100" w:right="148" w:firstLine="420"/>
        <w:rPr>
          <w:rFonts w:ascii="宋体" w:hAnsi="宋体" w:cs="宋体"/>
          <w:strike/>
          <w:color w:val="auto"/>
          <w:szCs w:val="24"/>
          <w:highlight w:val="none"/>
        </w:rPr>
      </w:pPr>
      <w:r>
        <w:rPr>
          <w:rFonts w:hint="eastAsia" w:ascii="宋体" w:hAnsi="宋体" w:cs="宋体"/>
          <w:strike/>
          <w:color w:val="auto"/>
          <w:szCs w:val="24"/>
          <w:highlight w:val="none"/>
        </w:rPr>
        <w:t>3.5.6  “拟投入本项目的主要试验检测仪器设备表”应填报满足本章第 1.4.1 项规定的试验检测仪器设备。</w:t>
      </w:r>
      <w:r>
        <w:rPr>
          <w:rFonts w:hint="eastAsia" w:ascii="宋体" w:hAnsi="宋体" w:cs="宋体"/>
          <w:b/>
          <w:bCs/>
          <w:strike/>
          <w:color w:val="auto"/>
          <w:szCs w:val="24"/>
          <w:highlight w:val="none"/>
          <w:u w:val="single"/>
        </w:rPr>
        <w:t>（本项目资格审查不要求。）</w:t>
      </w:r>
    </w:p>
    <w:p>
      <w:pPr>
        <w:spacing w:before="9" w:line="276" w:lineRule="auto"/>
        <w:ind w:left="100" w:right="139" w:firstLine="420"/>
        <w:rPr>
          <w:rFonts w:ascii="宋体" w:hAnsi="宋体" w:cs="宋体"/>
          <w:strike/>
          <w:color w:val="auto"/>
          <w:szCs w:val="21"/>
          <w:highlight w:val="none"/>
        </w:rPr>
      </w:pPr>
      <w:r>
        <w:rPr>
          <w:rFonts w:hint="eastAsia" w:ascii="宋体" w:hAnsi="宋体" w:cs="宋体"/>
          <w:strike/>
          <w:color w:val="auto"/>
          <w:szCs w:val="24"/>
          <w:highlight w:val="none"/>
        </w:rPr>
        <w:t xml:space="preserve">3.5.7  </w:t>
      </w:r>
      <w:r>
        <w:rPr>
          <w:rFonts w:hint="eastAsia" w:ascii="宋体" w:hAnsi="宋体" w:cs="宋体"/>
          <w:strike/>
          <w:color w:val="auto"/>
          <w:szCs w:val="21"/>
          <w:highlight w:val="none"/>
        </w:rPr>
        <w:t>本项目不接受联合体投标。</w:t>
      </w:r>
    </w:p>
    <w:p>
      <w:pPr>
        <w:spacing w:before="9" w:line="276" w:lineRule="auto"/>
        <w:ind w:left="100" w:right="139" w:firstLine="420"/>
        <w:rPr>
          <w:rFonts w:ascii="宋体" w:hAnsi="宋体" w:cs="宋体"/>
          <w:strike/>
          <w:color w:val="auto"/>
          <w:szCs w:val="24"/>
          <w:highlight w:val="none"/>
        </w:rPr>
      </w:pPr>
      <w:r>
        <w:rPr>
          <w:rFonts w:hint="eastAsia" w:ascii="宋体" w:hAnsi="宋体" w:cs="宋体"/>
          <w:strike/>
          <w:color w:val="auto"/>
          <w:szCs w:val="24"/>
          <w:highlight w:val="none"/>
        </w:rPr>
        <w:t>3.5.8 投标人出具按照招标文件要求的格式签署盖章的《投标人声明》（格式见招标公告附件）。</w:t>
      </w:r>
    </w:p>
    <w:p>
      <w:pPr>
        <w:pStyle w:val="20"/>
        <w:ind w:firstLine="630" w:firstLineChars="300"/>
        <w:rPr>
          <w:rFonts w:hAnsi="宋体" w:cs="宋体"/>
          <w:color w:val="auto"/>
          <w:kern w:val="2"/>
          <w:sz w:val="21"/>
          <w:szCs w:val="24"/>
          <w:highlight w:val="none"/>
        </w:rPr>
      </w:pPr>
      <w:r>
        <w:rPr>
          <w:rFonts w:hint="eastAsia" w:hAnsi="宋体" w:cs="宋体"/>
          <w:strike/>
          <w:color w:val="auto"/>
          <w:kern w:val="2"/>
          <w:sz w:val="21"/>
          <w:szCs w:val="24"/>
          <w:highlight w:val="none"/>
        </w:rPr>
        <w:t>3</w:t>
      </w:r>
      <w:r>
        <w:rPr>
          <w:rFonts w:hAnsi="宋体" w:cs="宋体"/>
          <w:strike/>
          <w:color w:val="auto"/>
          <w:kern w:val="2"/>
          <w:sz w:val="21"/>
          <w:szCs w:val="24"/>
          <w:highlight w:val="none"/>
        </w:rPr>
        <w:t>.5.9</w:t>
      </w:r>
      <w:r>
        <w:rPr>
          <w:rFonts w:hint="eastAsia" w:hAnsi="宋体" w:cs="宋体"/>
          <w:strike/>
          <w:color w:val="auto"/>
          <w:kern w:val="2"/>
          <w:sz w:val="21"/>
          <w:szCs w:val="24"/>
          <w:highlight w:val="none"/>
        </w:rPr>
        <w:t>其他符合招标公告“投标人资格要求“规定的证明材料。</w:t>
      </w:r>
    </w:p>
    <w:p>
      <w:pPr>
        <w:spacing w:before="9"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备选投标</w:t>
      </w:r>
      <w:r>
        <w:rPr>
          <w:rFonts w:hint="eastAsia" w:ascii="宋体" w:hAnsi="宋体" w:cs="宋体"/>
          <w:color w:val="auto"/>
          <w:spacing w:val="-3"/>
          <w:sz w:val="28"/>
          <w:szCs w:val="24"/>
          <w:highlight w:val="none"/>
        </w:rPr>
        <w:t>方</w:t>
      </w:r>
      <w:r>
        <w:rPr>
          <w:rFonts w:hint="eastAsia" w:ascii="宋体" w:hAnsi="宋体" w:cs="宋体"/>
          <w:color w:val="auto"/>
          <w:sz w:val="28"/>
          <w:szCs w:val="24"/>
          <w:highlight w:val="none"/>
        </w:rPr>
        <w:t>案</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3.6.1 除投标人须知前附表规定允许外，投标人不得递交备选投标方案，否则其投标将被否决。</w:t>
      </w:r>
    </w:p>
    <w:p>
      <w:pPr>
        <w:spacing w:before="6" w:line="276" w:lineRule="auto"/>
        <w:ind w:left="100" w:right="37" w:firstLine="420"/>
        <w:jc w:val="left"/>
        <w:rPr>
          <w:rFonts w:ascii="宋体" w:hAnsi="宋体" w:cs="宋体"/>
          <w:color w:val="auto"/>
          <w:szCs w:val="24"/>
          <w:highlight w:val="none"/>
        </w:rPr>
      </w:pPr>
      <w:r>
        <w:rPr>
          <w:rFonts w:hint="eastAsia" w:ascii="宋体" w:hAnsi="宋体" w:cs="宋体"/>
          <w:color w:val="auto"/>
          <w:szCs w:val="24"/>
          <w:highlight w:val="none"/>
        </w:rPr>
        <w:t>3.6.2  允许投标人递交备选投标方案的，只有中标人所递交的备选投标方案方可予以考虑。 评标委员会认为中标人的备选投标方案优于其按照招标文件要求编制的投标方案的，招标人可以接受该备选投标方案。</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3.6.3 投标人提供两个或两个以上投标报价，或者在投标文件中提供一个报价，但同时提供两个或两个以上服务保障方案的，视为提供备选方案。</w:t>
      </w:r>
    </w:p>
    <w:p>
      <w:pPr>
        <w:spacing w:before="8"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3</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编制</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3.7.1 投标文件应按第五章“投标文件格式”进行编写，如有必要，可以增加附页，作为投标文件的组成部分。</w:t>
      </w:r>
      <w:r>
        <w:rPr>
          <w:rFonts w:hint="eastAsia" w:ascii="宋体" w:hAnsi="宋体" w:cs="宋体"/>
          <w:strike/>
          <w:color w:val="auto"/>
          <w:szCs w:val="24"/>
          <w:highlight w:val="none"/>
        </w:rPr>
        <w:t>其中，投标函附录在满足招标文件实质性要求的基础上，可以提出比招标文件要求更有利于招标人的承诺</w:t>
      </w:r>
      <w:r>
        <w:rPr>
          <w:rFonts w:hint="eastAsia" w:ascii="宋体" w:hAnsi="宋体" w:cs="宋体"/>
          <w:color w:val="auto"/>
          <w:szCs w:val="24"/>
          <w:highlight w:val="none"/>
        </w:rPr>
        <w:t>。</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3.7.2 投标文件应当对招标文件有关项目服务期限、投标有效期、</w:t>
      </w:r>
      <w:r>
        <w:rPr>
          <w:rFonts w:hint="eastAsia" w:ascii="宋体" w:hAnsi="宋体" w:cs="宋体"/>
          <w:strike/>
          <w:color w:val="auto"/>
          <w:szCs w:val="24"/>
          <w:highlight w:val="none"/>
        </w:rPr>
        <w:t>委托人要求</w:t>
      </w:r>
      <w:r>
        <w:rPr>
          <w:rFonts w:hint="eastAsia" w:ascii="宋体" w:hAnsi="宋体" w:cs="宋体"/>
          <w:color w:val="auto"/>
          <w:szCs w:val="24"/>
          <w:highlight w:val="none"/>
        </w:rPr>
        <w:t>、招标范围等实质性内容作出响应。</w:t>
      </w:r>
    </w:p>
    <w:p>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五章“投标文件格式”的要求。投标文件应尽量避免涂改、行间插字或删除。如果出现上述情况，改动之处应由投标人的法定代表人或其授权的代理人签字或盖单位章。</w:t>
      </w:r>
    </w:p>
    <w:p>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before="6"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（3）投标文件的正本与副本应分别装订，并编制目录，投标文件需分册装订的，具体分册装订要求见投标人须知前附表规定。</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3.7.3（B）投标文件全部采用电子文档，除投标人须知前附表另有规定外，投标文件所附证书证件均为原件清晰彩色扫描件，并采用单位</w:t>
      </w:r>
      <w:r>
        <w:rPr>
          <w:rFonts w:hint="eastAsia" w:ascii="宋体" w:hAnsi="宋体" w:cs="宋体"/>
          <w:strike/>
          <w:color w:val="auto"/>
          <w:szCs w:val="24"/>
          <w:highlight w:val="none"/>
        </w:rPr>
        <w:t>和个人</w:t>
      </w:r>
      <w:r>
        <w:rPr>
          <w:rFonts w:hint="eastAsia" w:ascii="宋体" w:hAnsi="宋体" w:cs="宋体"/>
          <w:color w:val="auto"/>
          <w:szCs w:val="24"/>
          <w:highlight w:val="none"/>
        </w:rPr>
        <w:t>数字证书，按招标文件要求在相应位置加盖电子印章。暂不实施关于采用个人数字证书和加盖个人电子印章的要求。</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w:t>
      </w:r>
    </w:p>
    <w:p>
      <w:pPr>
        <w:spacing w:before="6"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相关操作详见广州交易集团有限公司（广州公共资源交易中心）网站最新发布的《建设工程全流程电子化项目操作指南》。</w:t>
      </w:r>
    </w:p>
    <w:p>
      <w:pPr>
        <w:spacing w:before="1" w:line="276" w:lineRule="auto"/>
        <w:jc w:val="left"/>
        <w:rPr>
          <w:rFonts w:ascii="宋体" w:hAnsi="宋体" w:cs="宋体"/>
          <w:color w:val="auto"/>
          <w:sz w:val="11"/>
          <w:szCs w:val="24"/>
          <w:highlight w:val="none"/>
        </w:rPr>
      </w:pPr>
    </w:p>
    <w:p>
      <w:pPr>
        <w:spacing w:line="276" w:lineRule="auto"/>
        <w:ind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4</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投标</w:t>
      </w: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密</w:t>
      </w:r>
      <w:r>
        <w:rPr>
          <w:rFonts w:hint="eastAsia" w:ascii="宋体" w:hAnsi="宋体" w:cs="宋体"/>
          <w:color w:val="auto"/>
          <w:spacing w:val="-3"/>
          <w:sz w:val="28"/>
          <w:szCs w:val="24"/>
          <w:highlight w:val="none"/>
        </w:rPr>
        <w:t>封</w:t>
      </w:r>
      <w:r>
        <w:rPr>
          <w:rFonts w:hint="eastAsia" w:ascii="宋体" w:hAnsi="宋体" w:cs="宋体"/>
          <w:color w:val="auto"/>
          <w:sz w:val="28"/>
          <w:szCs w:val="24"/>
          <w:highlight w:val="none"/>
        </w:rPr>
        <w:t>和标记</w:t>
      </w:r>
    </w:p>
    <w:p>
      <w:pPr>
        <w:spacing w:line="276" w:lineRule="auto"/>
        <w:ind w:left="100" w:right="42" w:firstLine="420"/>
        <w:rPr>
          <w:rFonts w:ascii="宋体" w:hAnsi="宋体" w:cs="宋体"/>
          <w:strike/>
          <w:color w:val="auto"/>
          <w:szCs w:val="24"/>
          <w:highlight w:val="none"/>
        </w:rPr>
      </w:pPr>
      <w:r>
        <w:rPr>
          <w:rFonts w:hint="eastAsia" w:ascii="宋体" w:hAnsi="宋体" w:cs="宋体"/>
          <w:strike/>
          <w:color w:val="auto"/>
          <w:szCs w:val="24"/>
          <w:highlight w:val="none"/>
        </w:rPr>
        <w:t>4.1.1 （A）投标文件应密封包装，并在封套的封口处加盖投标人单位章或由投标人的法定代表人或其授权的代理人签字。</w:t>
      </w:r>
    </w:p>
    <w:p>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4.1.1 （B）投标人应当按照招标文件和电子招标投标交易平台的要求加密投标文件，具体要求见投标人须知前附表。</w:t>
      </w:r>
    </w:p>
    <w:p>
      <w:pPr>
        <w:spacing w:before="6"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4.1.2 投标文件封套上应写明的内容见投标人须知前附表。</w:t>
      </w:r>
    </w:p>
    <w:p>
      <w:pPr>
        <w:spacing w:before="37" w:line="276" w:lineRule="auto"/>
        <w:ind w:left="100" w:right="42" w:firstLine="420"/>
        <w:rPr>
          <w:rFonts w:ascii="宋体" w:hAnsi="宋体" w:cs="宋体"/>
          <w:strike/>
          <w:color w:val="auto"/>
          <w:szCs w:val="24"/>
          <w:highlight w:val="none"/>
        </w:rPr>
      </w:pPr>
      <w:r>
        <w:rPr>
          <w:rFonts w:hint="eastAsia" w:ascii="宋体" w:hAnsi="宋体" w:cs="宋体"/>
          <w:strike/>
          <w:color w:val="auto"/>
          <w:szCs w:val="24"/>
          <w:highlight w:val="none"/>
        </w:rPr>
        <w:t>4.1.3 未按本章第 4.1.1 项要求密封的投标文件，招标人将予以拒收。</w:t>
      </w:r>
    </w:p>
    <w:p>
      <w:pPr>
        <w:spacing w:before="1" w:line="276" w:lineRule="auto"/>
        <w:jc w:val="left"/>
        <w:rPr>
          <w:rFonts w:ascii="宋体" w:hAnsi="宋体" w:cs="宋体"/>
          <w:color w:val="auto"/>
          <w:sz w:val="11"/>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4</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投标文件</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递交</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4.2.1 投标人应在投标人须知前附表规定的投标截止时间前递交投标文件。</w:t>
      </w:r>
    </w:p>
    <w:p>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4.2.2 （A）投标人递交投标文件的地点：见投标人须知前附表。</w:t>
      </w:r>
    </w:p>
    <w:p>
      <w:pPr>
        <w:spacing w:before="39"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4.2.2 （B）投标人通过下载招标文件的电子招标投标交易平台递交电子投标文件。</w:t>
      </w:r>
    </w:p>
    <w:p>
      <w:pPr>
        <w:spacing w:before="40"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pPr>
        <w:spacing w:before="37"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4.2.4 （A）招标人收到投标文件后，向投标人出具签收凭证。</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4.2.4 （B）投标人完成电子投标文件上传后，电子招标投标交易平台即时向投标人发出递交回执通知。递交时间以递交回执通知载明的传输完成时间为准。</w:t>
      </w:r>
    </w:p>
    <w:p>
      <w:pPr>
        <w:spacing w:before="6" w:line="276" w:lineRule="auto"/>
        <w:ind w:left="520" w:right="-20"/>
        <w:jc w:val="left"/>
        <w:rPr>
          <w:rFonts w:ascii="宋体" w:hAnsi="宋体" w:cs="宋体"/>
          <w:strike/>
          <w:color w:val="auto"/>
          <w:szCs w:val="24"/>
          <w:highlight w:val="none"/>
        </w:rPr>
      </w:pPr>
      <w:r>
        <w:rPr>
          <w:rFonts w:hint="eastAsia" w:ascii="宋体" w:hAnsi="宋体" w:cs="宋体"/>
          <w:strike/>
          <w:color w:val="auto"/>
          <w:szCs w:val="24"/>
          <w:highlight w:val="none"/>
        </w:rPr>
        <w:t>4.2.5 （A）逾期送达的投标文件，招标人将予以拒收。</w:t>
      </w:r>
    </w:p>
    <w:p>
      <w:pPr>
        <w:spacing w:before="37"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4.2.5 （B）逾期送达的投标文件，电子招标投标交易平台将予以拒收。</w:t>
      </w:r>
    </w:p>
    <w:p>
      <w:pPr>
        <w:spacing w:before="1" w:line="276" w:lineRule="auto"/>
        <w:jc w:val="left"/>
        <w:rPr>
          <w:rFonts w:ascii="宋体" w:hAnsi="宋体" w:cs="宋体"/>
          <w:color w:val="auto"/>
          <w:sz w:val="11"/>
          <w:szCs w:val="24"/>
          <w:highlight w:val="none"/>
        </w:rPr>
      </w:pPr>
    </w:p>
    <w:p>
      <w:pPr>
        <w:spacing w:before="37" w:line="276" w:lineRule="auto"/>
        <w:ind w:left="100" w:right="42" w:firstLine="184"/>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4</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投标文件</w:t>
      </w:r>
      <w:r>
        <w:rPr>
          <w:rFonts w:hint="eastAsia" w:ascii="宋体" w:hAnsi="宋体" w:cs="宋体"/>
          <w:color w:val="auto"/>
          <w:spacing w:val="-3"/>
          <w:position w:val="-1"/>
          <w:sz w:val="28"/>
          <w:szCs w:val="24"/>
          <w:highlight w:val="none"/>
        </w:rPr>
        <w:t>的</w:t>
      </w:r>
      <w:r>
        <w:rPr>
          <w:rFonts w:hint="eastAsia" w:ascii="宋体" w:hAnsi="宋体" w:cs="宋体"/>
          <w:color w:val="auto"/>
          <w:position w:val="-1"/>
          <w:sz w:val="28"/>
          <w:szCs w:val="24"/>
          <w:highlight w:val="none"/>
        </w:rPr>
        <w:t>修</w:t>
      </w:r>
      <w:r>
        <w:rPr>
          <w:rFonts w:hint="eastAsia" w:ascii="宋体" w:hAnsi="宋体" w:cs="宋体"/>
          <w:color w:val="auto"/>
          <w:spacing w:val="-3"/>
          <w:position w:val="-1"/>
          <w:sz w:val="28"/>
          <w:szCs w:val="24"/>
          <w:highlight w:val="none"/>
        </w:rPr>
        <w:t>改</w:t>
      </w:r>
      <w:r>
        <w:rPr>
          <w:rFonts w:hint="eastAsia" w:ascii="宋体" w:hAnsi="宋体" w:cs="宋体"/>
          <w:color w:val="auto"/>
          <w:position w:val="-1"/>
          <w:sz w:val="28"/>
          <w:szCs w:val="24"/>
          <w:highlight w:val="none"/>
        </w:rPr>
        <w:t>与撤回</w:t>
      </w:r>
    </w:p>
    <w:p>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4.3.1 在本章第 4.2.1 项规定的投标截止时间前，投标人可以修改或撤回已递交的投标文件，但应以书面形式通知招标人。</w:t>
      </w:r>
    </w:p>
    <w:p>
      <w:pPr>
        <w:spacing w:before="11" w:line="276" w:lineRule="auto"/>
        <w:ind w:left="100" w:right="141" w:firstLine="420"/>
        <w:rPr>
          <w:rFonts w:ascii="宋体" w:hAnsi="宋体" w:cs="宋体"/>
          <w:strike/>
          <w:color w:val="auto"/>
          <w:szCs w:val="24"/>
          <w:highlight w:val="none"/>
        </w:rPr>
      </w:pPr>
      <w:r>
        <w:rPr>
          <w:rFonts w:hint="eastAsia" w:ascii="宋体" w:hAnsi="宋体" w:cs="宋体"/>
          <w:strike/>
          <w:color w:val="auto"/>
          <w:szCs w:val="24"/>
          <w:highlight w:val="none"/>
        </w:rPr>
        <w:t>4.3.2 （A）投标人修改或撤回已递交投标文件的书面通知应按照本章第 3.7.3（A）项的要求签字或盖章。招标人收到书面通知后，向投标人出具签收凭证。</w:t>
      </w:r>
    </w:p>
    <w:p>
      <w:pPr>
        <w:spacing w:before="6"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4.3.2 （B）投标人修改或撤回已递交投标文件的通知，应按照本章第 3.7.3（B）项的要求加盖电子印章。电子招标投标交易平台收到通知后，即时向投标人发出确认回执通知。</w:t>
      </w:r>
    </w:p>
    <w:p>
      <w:pPr>
        <w:spacing w:before="9" w:line="276" w:lineRule="auto"/>
        <w:ind w:left="100" w:right="139" w:firstLine="420"/>
        <w:rPr>
          <w:rFonts w:ascii="宋体" w:hAnsi="宋体" w:cs="宋体"/>
          <w:strike/>
          <w:color w:val="auto"/>
          <w:szCs w:val="24"/>
          <w:highlight w:val="none"/>
        </w:rPr>
      </w:pPr>
      <w:r>
        <w:rPr>
          <w:rFonts w:hint="eastAsia" w:ascii="宋体" w:hAnsi="宋体" w:cs="宋体"/>
          <w:strike/>
          <w:color w:val="auto"/>
          <w:szCs w:val="24"/>
          <w:highlight w:val="none"/>
        </w:rPr>
        <w:t>4.3.3 投标人撤回投标文件的，招标人自收到投标人书面撤回通知之日起 5 日内退还已收取的投标保证金。</w:t>
      </w:r>
    </w:p>
    <w:p>
      <w:pPr>
        <w:spacing w:before="11" w:line="276" w:lineRule="auto"/>
        <w:ind w:left="100" w:right="141" w:firstLine="420"/>
        <w:rPr>
          <w:rFonts w:ascii="宋体" w:hAnsi="宋体" w:cs="宋体"/>
          <w:color w:val="auto"/>
          <w:szCs w:val="24"/>
          <w:highlight w:val="none"/>
        </w:rPr>
      </w:pPr>
      <w:r>
        <w:rPr>
          <w:rFonts w:hint="eastAsia" w:ascii="宋体" w:hAnsi="宋体" w:cs="宋体"/>
          <w:color w:val="auto"/>
          <w:szCs w:val="24"/>
          <w:highlight w:val="none"/>
        </w:rPr>
        <w:t>4.3.4 修改的内容为投标文件的组成部分。修改的投标文件应按照本章第3条、第4条的规定进行编制、密封、标记和递交，并标明“修改”字样。</w:t>
      </w:r>
    </w:p>
    <w:p>
      <w:pPr>
        <w:spacing w:before="7" w:line="276" w:lineRule="auto"/>
        <w:jc w:val="left"/>
        <w:rPr>
          <w:rFonts w:ascii="宋体" w:hAnsi="宋体" w:cs="宋体"/>
          <w:color w:val="auto"/>
          <w:sz w:val="10"/>
          <w:szCs w:val="24"/>
          <w:highlight w:val="none"/>
        </w:rPr>
      </w:pPr>
    </w:p>
    <w:p>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5</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开标</w:t>
      </w:r>
    </w:p>
    <w:p>
      <w:pPr>
        <w:spacing w:line="276" w:lineRule="auto"/>
        <w:ind w:left="237" w:right="-20"/>
        <w:jc w:val="left"/>
        <w:rPr>
          <w:rFonts w:ascii="宋体" w:hAnsi="宋体" w:cs="宋体"/>
          <w:strike/>
          <w:color w:val="auto"/>
          <w:sz w:val="28"/>
          <w:szCs w:val="24"/>
          <w:highlight w:val="none"/>
        </w:rPr>
      </w:pPr>
      <w:r>
        <w:rPr>
          <w:rFonts w:hint="eastAsia" w:ascii="宋体" w:hAnsi="宋体" w:cs="宋体"/>
          <w:strike/>
          <w:color w:val="auto"/>
          <w:spacing w:val="1"/>
          <w:sz w:val="28"/>
          <w:szCs w:val="24"/>
          <w:highlight w:val="none"/>
        </w:rPr>
        <w:t>5</w:t>
      </w:r>
      <w:r>
        <w:rPr>
          <w:rFonts w:hint="eastAsia" w:ascii="宋体" w:hAnsi="宋体" w:cs="宋体"/>
          <w:strike/>
          <w:color w:val="auto"/>
          <w:sz w:val="28"/>
          <w:szCs w:val="24"/>
          <w:highlight w:val="none"/>
        </w:rPr>
        <w:t>.1</w:t>
      </w:r>
      <w:r>
        <w:rPr>
          <w:rFonts w:hint="eastAsia" w:ascii="宋体" w:hAnsi="宋体" w:cs="宋体"/>
          <w:strike/>
          <w:color w:val="auto"/>
          <w:spacing w:val="68"/>
          <w:sz w:val="28"/>
          <w:szCs w:val="24"/>
          <w:highlight w:val="none"/>
        </w:rPr>
        <w:t xml:space="preserve"> </w:t>
      </w:r>
      <w:r>
        <w:rPr>
          <w:rFonts w:hint="eastAsia" w:ascii="宋体" w:hAnsi="宋体" w:cs="宋体"/>
          <w:strike/>
          <w:color w:val="auto"/>
          <w:sz w:val="28"/>
          <w:szCs w:val="24"/>
          <w:highlight w:val="none"/>
        </w:rPr>
        <w:t>开标时间</w:t>
      </w:r>
      <w:r>
        <w:rPr>
          <w:rFonts w:hint="eastAsia" w:ascii="宋体" w:hAnsi="宋体" w:cs="宋体"/>
          <w:strike/>
          <w:color w:val="auto"/>
          <w:spacing w:val="-3"/>
          <w:sz w:val="28"/>
          <w:szCs w:val="24"/>
          <w:highlight w:val="none"/>
        </w:rPr>
        <w:t>和</w:t>
      </w:r>
      <w:r>
        <w:rPr>
          <w:rFonts w:hint="eastAsia" w:ascii="宋体" w:hAnsi="宋体" w:cs="宋体"/>
          <w:strike/>
          <w:color w:val="auto"/>
          <w:sz w:val="28"/>
          <w:szCs w:val="24"/>
          <w:highlight w:val="none"/>
        </w:rPr>
        <w:t>地</w:t>
      </w:r>
      <w:r>
        <w:rPr>
          <w:rFonts w:hint="eastAsia" w:ascii="宋体" w:hAnsi="宋体" w:cs="宋体"/>
          <w:strike/>
          <w:color w:val="auto"/>
          <w:spacing w:val="-2"/>
          <w:sz w:val="28"/>
          <w:szCs w:val="24"/>
          <w:highlight w:val="none"/>
        </w:rPr>
        <w:t>点</w:t>
      </w:r>
      <w:r>
        <w:rPr>
          <w:rFonts w:hint="eastAsia" w:ascii="宋体" w:hAnsi="宋体" w:cs="宋体"/>
          <w:strike/>
          <w:color w:val="auto"/>
          <w:spacing w:val="2"/>
          <w:sz w:val="28"/>
          <w:szCs w:val="24"/>
          <w:highlight w:val="none"/>
        </w:rPr>
        <w:t>（</w:t>
      </w:r>
      <w:r>
        <w:rPr>
          <w:rFonts w:hint="eastAsia" w:ascii="宋体" w:hAnsi="宋体" w:cs="宋体"/>
          <w:strike/>
          <w:color w:val="auto"/>
          <w:spacing w:val="-4"/>
          <w:sz w:val="28"/>
          <w:szCs w:val="24"/>
          <w:highlight w:val="none"/>
        </w:rPr>
        <w:t>A</w:t>
      </w:r>
      <w:r>
        <w:rPr>
          <w:rFonts w:hint="eastAsia" w:ascii="宋体" w:hAnsi="宋体" w:cs="宋体"/>
          <w:strike/>
          <w:color w:val="auto"/>
          <w:sz w:val="28"/>
          <w:szCs w:val="24"/>
          <w:highlight w:val="none"/>
        </w:rPr>
        <w:t>）</w:t>
      </w:r>
    </w:p>
    <w:p>
      <w:pPr>
        <w:spacing w:line="276" w:lineRule="auto"/>
        <w:ind w:left="100" w:right="141" w:firstLine="420"/>
        <w:rPr>
          <w:rFonts w:ascii="宋体" w:hAnsi="宋体" w:cs="宋体"/>
          <w:strike/>
          <w:color w:val="auto"/>
          <w:szCs w:val="24"/>
          <w:highlight w:val="none"/>
        </w:rPr>
      </w:pPr>
      <w:r>
        <w:rPr>
          <w:rFonts w:hint="eastAsia" w:ascii="宋体" w:hAnsi="宋体" w:cs="宋体"/>
          <w:strike/>
          <w:color w:val="auto"/>
          <w:szCs w:val="24"/>
          <w:highlight w:val="none"/>
        </w:rPr>
        <w:t>招标人在本章第 4.2.1 项规定的投标截止时间（开标时间）和投标人须知前附表规定的地点 公开开标，并邀请所有投标人的法定代表人或其委托代理人准时参加。</w:t>
      </w:r>
    </w:p>
    <w:p>
      <w:pPr>
        <w:spacing w:before="7"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开标时间</w:t>
      </w:r>
      <w:r>
        <w:rPr>
          <w:rFonts w:hint="eastAsia" w:ascii="宋体" w:hAnsi="宋体" w:cs="宋体"/>
          <w:color w:val="auto"/>
          <w:spacing w:val="-3"/>
          <w:sz w:val="28"/>
          <w:szCs w:val="24"/>
          <w:highlight w:val="none"/>
        </w:rPr>
        <w:t>和</w:t>
      </w:r>
      <w:r>
        <w:rPr>
          <w:rFonts w:hint="eastAsia" w:ascii="宋体" w:hAnsi="宋体" w:cs="宋体"/>
          <w:color w:val="auto"/>
          <w:sz w:val="28"/>
          <w:szCs w:val="24"/>
          <w:highlight w:val="none"/>
        </w:rPr>
        <w:t>地</w:t>
      </w:r>
      <w:r>
        <w:rPr>
          <w:rFonts w:hint="eastAsia" w:ascii="宋体" w:hAnsi="宋体" w:cs="宋体"/>
          <w:color w:val="auto"/>
          <w:spacing w:val="-3"/>
          <w:sz w:val="28"/>
          <w:szCs w:val="24"/>
          <w:highlight w:val="none"/>
        </w:rPr>
        <w:t>点</w:t>
      </w:r>
      <w:r>
        <w:rPr>
          <w:rFonts w:hint="eastAsia" w:ascii="宋体" w:hAnsi="宋体" w:cs="宋体"/>
          <w:color w:val="auto"/>
          <w:spacing w:val="1"/>
          <w:sz w:val="28"/>
          <w:szCs w:val="24"/>
          <w:highlight w:val="none"/>
        </w:rPr>
        <w:t>（</w:t>
      </w:r>
      <w:r>
        <w:rPr>
          <w:rFonts w:hint="eastAsia" w:ascii="宋体" w:hAnsi="宋体" w:cs="宋体"/>
          <w:color w:val="auto"/>
          <w:spacing w:val="-2"/>
          <w:sz w:val="28"/>
          <w:szCs w:val="24"/>
          <w:highlight w:val="none"/>
        </w:rPr>
        <w:t>B</w:t>
      </w:r>
      <w:r>
        <w:rPr>
          <w:rFonts w:hint="eastAsia" w:ascii="宋体" w:hAnsi="宋体" w:cs="宋体"/>
          <w:color w:val="auto"/>
          <w:sz w:val="28"/>
          <w:szCs w:val="24"/>
          <w:highlight w:val="none"/>
        </w:rPr>
        <w:t>）</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招标人在本章第 4.2.1 项规定的投标截止时间（开标时间）,通过电子招标投标交易平台公开开标，所有投标人的法定代表人或其委托代理人应当准时参加。</w:t>
      </w:r>
    </w:p>
    <w:p>
      <w:pPr>
        <w:spacing w:line="276" w:lineRule="auto"/>
        <w:ind w:left="100" w:right="142" w:firstLine="420"/>
        <w:rPr>
          <w:rFonts w:ascii="宋体" w:hAnsi="宋体" w:cs="宋体"/>
          <w:color w:val="auto"/>
          <w:szCs w:val="24"/>
          <w:highlight w:val="none"/>
          <w:u w:val="single"/>
        </w:rPr>
      </w:pPr>
      <w:r>
        <w:rPr>
          <w:rFonts w:hint="eastAsia" w:ascii="宋体" w:hAnsi="宋体" w:cs="宋体"/>
          <w:color w:val="auto"/>
          <w:szCs w:val="24"/>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before="10"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开标程序</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5.2.1主持人按下列程序进行开标：</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（1）宣布开标纪律；</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（2）投标人通过电子招标投标交易平台对已递交的电子投标文件进行解密，公布招标项目名称、投标人名称、</w:t>
      </w:r>
      <w:r>
        <w:rPr>
          <w:rFonts w:hint="eastAsia" w:ascii="宋体" w:hAnsi="宋体" w:cs="宋体"/>
          <w:strike/>
          <w:color w:val="auto"/>
          <w:szCs w:val="24"/>
          <w:highlight w:val="none"/>
        </w:rPr>
        <w:t>投标保证金的递交情况</w:t>
      </w:r>
      <w:r>
        <w:rPr>
          <w:rFonts w:hint="eastAsia" w:ascii="宋体" w:hAnsi="宋体" w:cs="宋体"/>
          <w:color w:val="auto"/>
          <w:szCs w:val="24"/>
          <w:highlight w:val="none"/>
        </w:rPr>
        <w:t>、投标报价、项目服务期限及其他内容，并记录在案；</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（3）宣布开标人、唱标人、记录人、监标人等有关人员姓名；</w:t>
      </w:r>
    </w:p>
    <w:p>
      <w:pPr>
        <w:spacing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（4）（A）检查投标文件的密封情况，按照投标人须知前附表规定的开标顺序当众开标， 公布招标项目名称、投标人名称、投标保证金的递交情况、投标报价、监理服务期限及其他内容，并记录在案；</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（4）公布在投标截止时间前递交投标文件的投标人名称；</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）投标人代表、招标人代表、监标人、记录人等有关人员在开标记录上签字确认；若有关人员不签字的，不影响开标程序；</w:t>
      </w:r>
    </w:p>
    <w:p>
      <w:pPr>
        <w:spacing w:line="276" w:lineRule="auto"/>
        <w:ind w:left="100" w:right="142" w:firstLine="420"/>
        <w:rPr>
          <w:rFonts w:ascii="宋体" w:hAnsi="宋体" w:cs="宋体"/>
          <w:strike/>
          <w:color w:val="auto"/>
          <w:szCs w:val="24"/>
          <w:highlight w:val="none"/>
        </w:rPr>
      </w:pPr>
      <w:r>
        <w:rPr>
          <w:rFonts w:hint="eastAsia" w:ascii="宋体" w:hAnsi="宋体" w:cs="宋体"/>
          <w:strike/>
          <w:color w:val="auto"/>
          <w:szCs w:val="24"/>
          <w:highlight w:val="none"/>
        </w:rPr>
        <w:t>（</w:t>
      </w:r>
      <w:r>
        <w:rPr>
          <w:rFonts w:ascii="宋体" w:hAnsi="宋体" w:cs="宋体"/>
          <w:strike/>
          <w:color w:val="auto"/>
          <w:szCs w:val="24"/>
          <w:highlight w:val="none"/>
        </w:rPr>
        <w:t>5</w:t>
      </w:r>
      <w:r>
        <w:rPr>
          <w:rFonts w:hint="eastAsia" w:ascii="宋体" w:hAnsi="宋体" w:cs="宋体"/>
          <w:strike/>
          <w:color w:val="auto"/>
          <w:szCs w:val="24"/>
          <w:highlight w:val="none"/>
        </w:rPr>
        <w:t>）（B）投标人代表、招标人代表、监标人、记录人等有关人员使用本人的电子印章在开标记录上签字确认；</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6</w:t>
      </w:r>
      <w:r>
        <w:rPr>
          <w:rFonts w:hint="eastAsia" w:ascii="宋体" w:hAnsi="宋体" w:cs="宋体"/>
          <w:color w:val="auto"/>
          <w:szCs w:val="24"/>
          <w:highlight w:val="none"/>
        </w:rPr>
        <w:t>）开标结束。</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5.2.2投标截止时间前未完成投标文件传输的或因投标人之外的原因造成投标文件未解密的，视为投标人其撤回投标文件。因投标人原因造成投标文件未解密的或未在投标截止时间后一个小时解密的，视为撤销其投标文件。</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5.2.3开标时，两个（含两个）以上的投标人加密打包投标文件电脑机器特征码一致的，不参与下一程序，并由评标委员会否决其投标。</w:t>
      </w: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5</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开标异议</w:t>
      </w:r>
    </w:p>
    <w:p>
      <w:pPr>
        <w:spacing w:line="276" w:lineRule="auto"/>
        <w:ind w:left="460" w:right="-20"/>
        <w:jc w:val="left"/>
        <w:rPr>
          <w:rFonts w:ascii="宋体" w:hAnsi="宋体" w:cs="宋体"/>
          <w:color w:val="auto"/>
          <w:szCs w:val="24"/>
          <w:highlight w:val="none"/>
        </w:rPr>
      </w:pPr>
      <w:r>
        <w:rPr>
          <w:rFonts w:hint="eastAsia" w:ascii="宋体" w:hAnsi="宋体" w:cs="宋体"/>
          <w:color w:val="auto"/>
          <w:szCs w:val="24"/>
          <w:highlight w:val="none"/>
        </w:rPr>
        <w:t>投标人对开标有异议的，应当在开标现场提出，招标人当场作出答复，并制作记录。</w:t>
      </w:r>
    </w:p>
    <w:p>
      <w:pPr>
        <w:spacing w:before="8" w:line="276" w:lineRule="auto"/>
        <w:jc w:val="left"/>
        <w:rPr>
          <w:rFonts w:ascii="宋体" w:hAnsi="宋体" w:cs="宋体"/>
          <w:color w:val="auto"/>
          <w:sz w:val="13"/>
          <w:szCs w:val="24"/>
          <w:highlight w:val="none"/>
        </w:rPr>
      </w:pPr>
    </w:p>
    <w:p>
      <w:pPr>
        <w:spacing w:line="276" w:lineRule="auto"/>
        <w:ind w:left="142"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6</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评标</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 评标委员会</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6.1.2 评标委员会成员有下列情形之一的，应当回避：</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（1）投标人或投标人主要负责人的近亲属；</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（2）项目主管部门或者行政监督部门的人员；</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（3）与投标人有经济利益关系，可能影响对投标公正评审的；</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（4）曾因在招标、评标以及其他与招标投标有关活动中从事违法行为而受过行政处罚或刑事处罚的；</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（5）与投标人有其他利害关系。</w:t>
      </w:r>
    </w:p>
    <w:p>
      <w:pPr>
        <w:spacing w:before="39"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6.1.3 评标过程中，评标委员会成员有回避事由、擅离职守或者因健康等原因不能继续评标 的，招标人有权更换。被更换的评标委员会成员作出的评审结论无效，由更换后的评标委员会 成员重新进行评审。</w:t>
      </w:r>
    </w:p>
    <w:p>
      <w:pPr>
        <w:spacing w:before="8"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6</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评标原则</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评标活动遵循公平、公正、科学和择优的原则。</w:t>
      </w:r>
    </w:p>
    <w:p>
      <w:pPr>
        <w:spacing w:before="8"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position w:val="-1"/>
          <w:sz w:val="28"/>
          <w:szCs w:val="24"/>
          <w:highlight w:val="none"/>
        </w:rPr>
        <w:t>6</w:t>
      </w:r>
      <w:r>
        <w:rPr>
          <w:rFonts w:hint="eastAsia" w:ascii="宋体" w:hAnsi="宋体" w:cs="宋体"/>
          <w:color w:val="auto"/>
          <w:position w:val="-1"/>
          <w:sz w:val="28"/>
          <w:szCs w:val="24"/>
          <w:highlight w:val="none"/>
        </w:rPr>
        <w:t>.3</w:t>
      </w:r>
      <w:r>
        <w:rPr>
          <w:rFonts w:hint="eastAsia" w:ascii="宋体" w:hAnsi="宋体" w:cs="宋体"/>
          <w:color w:val="auto"/>
          <w:spacing w:val="68"/>
          <w:position w:val="-1"/>
          <w:sz w:val="28"/>
          <w:szCs w:val="24"/>
          <w:highlight w:val="none"/>
        </w:rPr>
        <w:t xml:space="preserve"> </w:t>
      </w:r>
      <w:r>
        <w:rPr>
          <w:rFonts w:hint="eastAsia" w:ascii="宋体" w:hAnsi="宋体" w:cs="宋体"/>
          <w:color w:val="auto"/>
          <w:position w:val="-1"/>
          <w:sz w:val="28"/>
          <w:szCs w:val="24"/>
          <w:highlight w:val="none"/>
        </w:rPr>
        <w:t>评标</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6.3.1 评标委员会按照第三章“评标办法”规定的方法、评审因素、标准和程序对投标文件进 行评审。第三章“评标办法”没有规定的方法、评审因素和标准，不作为评标依据。</w:t>
      </w:r>
    </w:p>
    <w:p>
      <w:pPr>
        <w:spacing w:before="11"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6.3.2</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评标完成后，评标委员会应当向招标人提交书面评标报告和中标候选人名单。评标委员会推荐中标候选人的人数见投标人须知前附表。</w:t>
      </w:r>
    </w:p>
    <w:p>
      <w:pPr>
        <w:spacing w:before="7" w:line="276" w:lineRule="auto"/>
        <w:jc w:val="left"/>
        <w:rPr>
          <w:rFonts w:ascii="宋体" w:hAnsi="宋体" w:cs="宋体"/>
          <w:color w:val="auto"/>
          <w:sz w:val="10"/>
          <w:szCs w:val="24"/>
          <w:highlight w:val="none"/>
        </w:rPr>
      </w:pPr>
    </w:p>
    <w:p>
      <w:pPr>
        <w:spacing w:line="276" w:lineRule="auto"/>
        <w:ind w:left="55" w:right="6760"/>
        <w:jc w:val="center"/>
        <w:rPr>
          <w:rFonts w:ascii="宋体" w:hAnsi="宋体" w:cs="宋体"/>
          <w:color w:val="auto"/>
          <w:sz w:val="32"/>
          <w:szCs w:val="24"/>
          <w:highlight w:val="none"/>
        </w:rPr>
      </w:pPr>
      <w:r>
        <w:rPr>
          <w:rFonts w:hint="eastAsia" w:ascii="宋体" w:hAnsi="宋体" w:cs="宋体"/>
          <w:color w:val="auto"/>
          <w:spacing w:val="1"/>
          <w:sz w:val="32"/>
          <w:szCs w:val="24"/>
          <w:highlight w:val="none"/>
        </w:rPr>
        <w:t>7</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w w:val="99"/>
          <w:sz w:val="32"/>
          <w:szCs w:val="24"/>
          <w:highlight w:val="none"/>
        </w:rPr>
        <w:t>合同授予</w:t>
      </w: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公示</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招标人在收到评标报告之日起 3 日内，按照投标人须知前附表规定的公示媒介和期限公示中标候选人，公示期不得少于 3 天。</w:t>
      </w:r>
    </w:p>
    <w:p>
      <w:pPr>
        <w:spacing w:before="7"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评标结果</w:t>
      </w:r>
      <w:r>
        <w:rPr>
          <w:rFonts w:hint="eastAsia" w:ascii="宋体" w:hAnsi="宋体" w:cs="宋体"/>
          <w:color w:val="auto"/>
          <w:spacing w:val="-3"/>
          <w:sz w:val="28"/>
          <w:szCs w:val="24"/>
          <w:highlight w:val="none"/>
        </w:rPr>
        <w:t>异</w:t>
      </w:r>
      <w:r>
        <w:rPr>
          <w:rFonts w:hint="eastAsia" w:ascii="宋体" w:hAnsi="宋体" w:cs="宋体"/>
          <w:color w:val="auto"/>
          <w:sz w:val="28"/>
          <w:szCs w:val="24"/>
          <w:highlight w:val="none"/>
        </w:rPr>
        <w:t>议</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投标人或者其他利害关系人对评标结果有异议的，应当在中标候选人公示期间提出。招标人将在收到异议之日起 3 日内作出答复；作出答复前，将暂停招标投标活动。</w:t>
      </w:r>
    </w:p>
    <w:p>
      <w:pPr>
        <w:spacing w:before="9"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中标候选</w:t>
      </w:r>
      <w:r>
        <w:rPr>
          <w:rFonts w:hint="eastAsia" w:ascii="宋体" w:hAnsi="宋体" w:cs="宋体"/>
          <w:color w:val="auto"/>
          <w:spacing w:val="-3"/>
          <w:sz w:val="28"/>
          <w:szCs w:val="24"/>
          <w:highlight w:val="none"/>
        </w:rPr>
        <w:t>人</w:t>
      </w:r>
      <w:r>
        <w:rPr>
          <w:rFonts w:hint="eastAsia" w:ascii="宋体" w:hAnsi="宋体" w:cs="宋体"/>
          <w:color w:val="auto"/>
          <w:sz w:val="28"/>
          <w:szCs w:val="24"/>
          <w:highlight w:val="none"/>
        </w:rPr>
        <w:t>履</w:t>
      </w:r>
      <w:r>
        <w:rPr>
          <w:rFonts w:hint="eastAsia" w:ascii="宋体" w:hAnsi="宋体" w:cs="宋体"/>
          <w:color w:val="auto"/>
          <w:spacing w:val="-3"/>
          <w:sz w:val="28"/>
          <w:szCs w:val="24"/>
          <w:highlight w:val="none"/>
        </w:rPr>
        <w:t>约</w:t>
      </w:r>
      <w:r>
        <w:rPr>
          <w:rFonts w:hint="eastAsia" w:ascii="宋体" w:hAnsi="宋体" w:cs="宋体"/>
          <w:color w:val="auto"/>
          <w:sz w:val="28"/>
          <w:szCs w:val="24"/>
          <w:highlight w:val="none"/>
        </w:rPr>
        <w:t>能力审查</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before="9"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定标</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按照投标人须知前附表的规定，招标人或招标人授权的评标委员会依法确定中标人。</w:t>
      </w:r>
    </w:p>
    <w:p>
      <w:pPr>
        <w:spacing w:before="8" w:line="276" w:lineRule="auto"/>
        <w:jc w:val="left"/>
        <w:rPr>
          <w:rFonts w:ascii="宋体" w:hAnsi="宋体" w:cs="宋体"/>
          <w:color w:val="auto"/>
          <w:sz w:val="15"/>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中标通知</w:t>
      </w:r>
    </w:p>
    <w:p>
      <w:pPr>
        <w:spacing w:line="276" w:lineRule="auto"/>
        <w:ind w:left="100" w:right="39" w:firstLine="420"/>
        <w:rPr>
          <w:rFonts w:ascii="宋体" w:hAnsi="宋体" w:cs="宋体"/>
          <w:color w:val="auto"/>
          <w:szCs w:val="24"/>
          <w:highlight w:val="none"/>
        </w:rPr>
      </w:pPr>
      <w:r>
        <w:rPr>
          <w:rFonts w:hint="eastAsia" w:ascii="宋体" w:hAnsi="宋体" w:cs="宋体"/>
          <w:color w:val="auto"/>
          <w:szCs w:val="24"/>
          <w:highlight w:val="none"/>
        </w:rPr>
        <w:t>在本章第 3.3 款规定的投标有效期内，招标人</w:t>
      </w:r>
      <w:r>
        <w:rPr>
          <w:rFonts w:hint="eastAsia" w:ascii="宋体" w:hAnsi="宋体" w:cs="宋体"/>
          <w:strike/>
          <w:color w:val="auto"/>
          <w:szCs w:val="24"/>
          <w:highlight w:val="none"/>
        </w:rPr>
        <w:t>以书面形式</w:t>
      </w:r>
      <w:r>
        <w:rPr>
          <w:rFonts w:hint="eastAsia" w:ascii="宋体" w:hAnsi="宋体" w:cs="宋体"/>
          <w:color w:val="auto"/>
          <w:szCs w:val="24"/>
          <w:highlight w:val="none"/>
        </w:rPr>
        <w:t>向中标人发出中标通知书，同时将中标结果通知未中标的投标人。具体中标通知书发放形式以交易中心平台规定为准。</w:t>
      </w:r>
    </w:p>
    <w:p>
      <w:pPr>
        <w:spacing w:before="9"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.6</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履约保证金</w:t>
      </w:r>
    </w:p>
    <w:p>
      <w:pPr>
        <w:spacing w:line="276" w:lineRule="auto"/>
        <w:ind w:left="100" w:right="-20" w:firstLine="348" w:firstLineChars="166"/>
        <w:jc w:val="left"/>
        <w:rPr>
          <w:rFonts w:ascii="宋体" w:hAnsi="宋体" w:cs="宋体"/>
          <w:color w:val="auto"/>
          <w:szCs w:val="24"/>
          <w:highlight w:val="none"/>
        </w:rPr>
      </w:pPr>
      <w:r>
        <w:rPr>
          <w:rFonts w:hint="eastAsia" w:ascii="宋体" w:hAnsi="宋体" w:cs="宋体"/>
          <w:color w:val="auto"/>
          <w:szCs w:val="24"/>
          <w:highlight w:val="none"/>
        </w:rPr>
        <w:t>7.6.1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before="11"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7.6.2</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中标人不能按本章第 7.6.1 项要求提交履约保证金的，视为放弃中标，其投标保证金 不予退还，给招标人造成的损失超过投标保证金数额的，中标人还应当对超过部分予以赔偿。</w:t>
      </w:r>
    </w:p>
    <w:p>
      <w:pPr>
        <w:pStyle w:val="20"/>
        <w:spacing w:line="276" w:lineRule="auto"/>
        <w:rPr>
          <w:rFonts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7</w:t>
      </w:r>
      <w:r>
        <w:rPr>
          <w:rFonts w:hint="eastAsia" w:ascii="宋体" w:hAnsi="宋体" w:cs="宋体"/>
          <w:color w:val="auto"/>
          <w:sz w:val="28"/>
          <w:szCs w:val="24"/>
          <w:highlight w:val="none"/>
        </w:rPr>
        <w:t>.7</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签订合同</w:t>
      </w:r>
    </w:p>
    <w:p>
      <w:pPr>
        <w:spacing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7.7.1</w:t>
      </w:r>
      <w:r>
        <w:rPr>
          <w:rFonts w:hint="eastAsia" w:ascii="宋体" w:hAnsi="宋体" w:cs="宋体"/>
          <w:color w:val="auto"/>
          <w:spacing w:val="51"/>
          <w:szCs w:val="24"/>
          <w:highlight w:val="none"/>
        </w:rPr>
        <w:t xml:space="preserve"> </w:t>
      </w:r>
      <w:r>
        <w:rPr>
          <w:rFonts w:hint="eastAsia" w:ascii="宋体" w:hAnsi="宋体" w:cs="宋体"/>
          <w:color w:val="auto"/>
          <w:szCs w:val="24"/>
          <w:highlight w:val="none"/>
        </w:rPr>
        <w:t>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spacing w:before="9"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7.7.2 发出中标通知书后，招标人无正当理由拒签合同，或者在签订合同时向中标人提出附加条件的，招标人向中标人退还投标保证金；给中标人造成损失的，还应当赔偿损失。</w:t>
      </w:r>
    </w:p>
    <w:p>
      <w:pPr>
        <w:spacing w:before="6" w:line="276" w:lineRule="auto"/>
        <w:ind w:left="100" w:right="139" w:firstLine="420"/>
        <w:rPr>
          <w:rFonts w:ascii="宋体" w:hAnsi="宋体" w:cs="宋体"/>
          <w:color w:val="auto"/>
          <w:szCs w:val="24"/>
          <w:highlight w:val="none"/>
        </w:rPr>
      </w:pPr>
      <w:r>
        <w:rPr>
          <w:rFonts w:hint="eastAsia" w:ascii="宋体" w:hAnsi="宋体" w:cs="宋体"/>
          <w:color w:val="auto"/>
          <w:szCs w:val="24"/>
          <w:highlight w:val="none"/>
        </w:rPr>
        <w:t>7.7.3</w:t>
      </w:r>
      <w:r>
        <w:rPr>
          <w:rFonts w:hint="eastAsia" w:ascii="宋体" w:hAnsi="宋体" w:cs="宋体"/>
          <w:color w:val="auto"/>
          <w:spacing w:val="-2"/>
          <w:szCs w:val="24"/>
          <w:highlight w:val="none"/>
        </w:rPr>
        <w:t xml:space="preserve"> </w:t>
      </w:r>
      <w:r>
        <w:rPr>
          <w:rFonts w:hint="eastAsia" w:ascii="宋体" w:hAnsi="宋体" w:cs="宋体"/>
          <w:color w:val="auto"/>
          <w:szCs w:val="24"/>
          <w:highlight w:val="none"/>
        </w:rPr>
        <w:t>联合体中标的，联合体各方应当共同与招标人签订合同，就中标项目向招标人承担连带责任。</w:t>
      </w:r>
    </w:p>
    <w:p>
      <w:pPr>
        <w:spacing w:before="10" w:line="276" w:lineRule="auto"/>
        <w:jc w:val="left"/>
        <w:rPr>
          <w:rFonts w:ascii="宋体" w:hAnsi="宋体" w:cs="宋体"/>
          <w:color w:val="auto"/>
          <w:sz w:val="10"/>
          <w:szCs w:val="24"/>
          <w:highlight w:val="none"/>
        </w:rPr>
      </w:pPr>
    </w:p>
    <w:p>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8</w:t>
      </w:r>
      <w:r>
        <w:rPr>
          <w:rFonts w:hint="eastAsia" w:ascii="宋体" w:hAnsi="宋体" w:cs="宋体"/>
          <w:color w:val="auto"/>
          <w:spacing w:val="-1"/>
          <w:sz w:val="32"/>
          <w:szCs w:val="24"/>
          <w:highlight w:val="none"/>
        </w:rPr>
        <w:t>.</w:t>
      </w:r>
      <w:r>
        <w:rPr>
          <w:rFonts w:hint="eastAsia" w:ascii="宋体" w:hAnsi="宋体" w:cs="宋体"/>
          <w:color w:val="auto"/>
          <w:spacing w:val="2"/>
          <w:sz w:val="32"/>
          <w:szCs w:val="24"/>
          <w:highlight w:val="none"/>
        </w:rPr>
        <w:t>纪律和监督</w:t>
      </w: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.1</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对招标人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招标人不得泄露招标投标活动中应当保密的情况和资料，不得与投标人串通损害国家利益、 社会公共利益或者他人合法权益。</w:t>
      </w:r>
    </w:p>
    <w:p>
      <w:pPr>
        <w:spacing w:before="10"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.2</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对投标人</w:t>
      </w:r>
      <w:r>
        <w:rPr>
          <w:rFonts w:hint="eastAsia" w:ascii="宋体" w:hAnsi="宋体" w:cs="宋体"/>
          <w:color w:val="auto"/>
          <w:spacing w:val="-3"/>
          <w:sz w:val="28"/>
          <w:szCs w:val="24"/>
          <w:highlight w:val="none"/>
        </w:rPr>
        <w:t>的</w:t>
      </w:r>
      <w:r>
        <w:rPr>
          <w:rFonts w:hint="eastAsia" w:ascii="宋体" w:hAnsi="宋体" w:cs="宋体"/>
          <w:color w:val="auto"/>
          <w:sz w:val="28"/>
          <w:szCs w:val="24"/>
          <w:highlight w:val="none"/>
        </w:rPr>
        <w:t>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pPr>
        <w:spacing w:line="276" w:lineRule="auto"/>
        <w:ind w:left="100" w:right="34" w:firstLine="420"/>
        <w:jc w:val="left"/>
        <w:rPr>
          <w:rFonts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 扰、影响评标工作。</w:t>
      </w:r>
    </w:p>
    <w:p>
      <w:pPr>
        <w:spacing w:before="8"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.3</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对评标委</w:t>
      </w:r>
      <w:r>
        <w:rPr>
          <w:rFonts w:hint="eastAsia" w:ascii="宋体" w:hAnsi="宋体" w:cs="宋体"/>
          <w:color w:val="auto"/>
          <w:spacing w:val="-3"/>
          <w:sz w:val="28"/>
          <w:szCs w:val="24"/>
          <w:highlight w:val="none"/>
        </w:rPr>
        <w:t>员</w:t>
      </w:r>
      <w:r>
        <w:rPr>
          <w:rFonts w:hint="eastAsia" w:ascii="宋体" w:hAnsi="宋体" w:cs="宋体"/>
          <w:color w:val="auto"/>
          <w:sz w:val="28"/>
          <w:szCs w:val="24"/>
          <w:highlight w:val="none"/>
        </w:rPr>
        <w:t>会</w:t>
      </w:r>
      <w:r>
        <w:rPr>
          <w:rFonts w:hint="eastAsia" w:ascii="宋体" w:hAnsi="宋体" w:cs="宋体"/>
          <w:color w:val="auto"/>
          <w:spacing w:val="-3"/>
          <w:sz w:val="28"/>
          <w:szCs w:val="24"/>
          <w:highlight w:val="none"/>
        </w:rPr>
        <w:t>成</w:t>
      </w:r>
      <w:r>
        <w:rPr>
          <w:rFonts w:hint="eastAsia" w:ascii="宋体" w:hAnsi="宋体" w:cs="宋体"/>
          <w:color w:val="auto"/>
          <w:sz w:val="28"/>
          <w:szCs w:val="24"/>
          <w:highlight w:val="none"/>
        </w:rPr>
        <w:t>员的纪</w:t>
      </w:r>
      <w:r>
        <w:rPr>
          <w:rFonts w:hint="eastAsia" w:ascii="宋体" w:hAnsi="宋体" w:cs="宋体"/>
          <w:color w:val="auto"/>
          <w:spacing w:val="-3"/>
          <w:sz w:val="28"/>
          <w:szCs w:val="24"/>
          <w:highlight w:val="none"/>
        </w:rPr>
        <w:t>律</w:t>
      </w:r>
      <w:r>
        <w:rPr>
          <w:rFonts w:hint="eastAsia" w:ascii="宋体" w:hAnsi="宋体" w:cs="宋体"/>
          <w:color w:val="auto"/>
          <w:sz w:val="28"/>
          <w:szCs w:val="24"/>
          <w:highlight w:val="none"/>
        </w:rPr>
        <w:t>要求</w:t>
      </w:r>
    </w:p>
    <w:p>
      <w:pPr>
        <w:spacing w:line="276" w:lineRule="auto"/>
        <w:ind w:left="100" w:right="142" w:firstLine="420"/>
        <w:rPr>
          <w:rFonts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评标委员会成员不得收受他人的财物或者其他好处，不得向他人透露对投标文件的评审和 比较、中标候选人的推荐情况以及评标有关的其他情况。在评标活动中，评标委员会成员应当客观、公正地履行职责，遵守职业道德，不得擅离职守，影响评标程序正常进行，不得使用第</w:t>
      </w:r>
    </w:p>
    <w:p>
      <w:pPr>
        <w:spacing w:line="276" w:lineRule="auto"/>
        <w:ind w:left="100" w:right="-20"/>
        <w:jc w:val="left"/>
        <w:rPr>
          <w:rFonts w:ascii="宋体" w:hAnsi="宋体" w:cs="宋体"/>
          <w:color w:val="auto"/>
          <w:szCs w:val="24"/>
          <w:highlight w:val="none"/>
        </w:rPr>
      </w:pPr>
      <w:r>
        <w:rPr>
          <w:rFonts w:hint="eastAsia" w:ascii="宋体" w:hAnsi="宋体" w:cs="宋体"/>
          <w:color w:val="auto"/>
          <w:szCs w:val="24"/>
          <w:highlight w:val="none"/>
        </w:rPr>
        <w:t>三章“评标办法”没有规定的评审因素和标准进行评标。</w:t>
      </w:r>
    </w:p>
    <w:p>
      <w:pPr>
        <w:spacing w:before="8" w:line="276" w:lineRule="auto"/>
        <w:jc w:val="left"/>
        <w:rPr>
          <w:rFonts w:ascii="宋体" w:hAnsi="宋体" w:cs="宋体"/>
          <w:color w:val="auto"/>
          <w:sz w:val="15"/>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.4</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对与评标</w:t>
      </w:r>
      <w:r>
        <w:rPr>
          <w:rFonts w:hint="eastAsia" w:ascii="宋体" w:hAnsi="宋体" w:cs="宋体"/>
          <w:color w:val="auto"/>
          <w:spacing w:val="-3"/>
          <w:sz w:val="28"/>
          <w:szCs w:val="24"/>
          <w:highlight w:val="none"/>
        </w:rPr>
        <w:t>活</w:t>
      </w:r>
      <w:r>
        <w:rPr>
          <w:rFonts w:hint="eastAsia" w:ascii="宋体" w:hAnsi="宋体" w:cs="宋体"/>
          <w:color w:val="auto"/>
          <w:sz w:val="28"/>
          <w:szCs w:val="24"/>
          <w:highlight w:val="none"/>
        </w:rPr>
        <w:t>动</w:t>
      </w:r>
      <w:r>
        <w:rPr>
          <w:rFonts w:hint="eastAsia" w:ascii="宋体" w:hAnsi="宋体" w:cs="宋体"/>
          <w:color w:val="auto"/>
          <w:spacing w:val="-3"/>
          <w:sz w:val="28"/>
          <w:szCs w:val="24"/>
          <w:highlight w:val="none"/>
        </w:rPr>
        <w:t>有</w:t>
      </w:r>
      <w:r>
        <w:rPr>
          <w:rFonts w:hint="eastAsia" w:ascii="宋体" w:hAnsi="宋体" w:cs="宋体"/>
          <w:color w:val="auto"/>
          <w:sz w:val="28"/>
          <w:szCs w:val="24"/>
          <w:highlight w:val="none"/>
        </w:rPr>
        <w:t>关的工</w:t>
      </w:r>
      <w:r>
        <w:rPr>
          <w:rFonts w:hint="eastAsia" w:ascii="宋体" w:hAnsi="宋体" w:cs="宋体"/>
          <w:color w:val="auto"/>
          <w:spacing w:val="-3"/>
          <w:sz w:val="28"/>
          <w:szCs w:val="24"/>
          <w:highlight w:val="none"/>
        </w:rPr>
        <w:t>作</w:t>
      </w:r>
      <w:r>
        <w:rPr>
          <w:rFonts w:hint="eastAsia" w:ascii="宋体" w:hAnsi="宋体" w:cs="宋体"/>
          <w:color w:val="auto"/>
          <w:sz w:val="28"/>
          <w:szCs w:val="24"/>
          <w:highlight w:val="none"/>
        </w:rPr>
        <w:t>人员</w:t>
      </w:r>
      <w:r>
        <w:rPr>
          <w:rFonts w:hint="eastAsia" w:ascii="宋体" w:hAnsi="宋体" w:cs="宋体"/>
          <w:color w:val="auto"/>
          <w:spacing w:val="-3"/>
          <w:sz w:val="28"/>
          <w:szCs w:val="24"/>
          <w:highlight w:val="none"/>
        </w:rPr>
        <w:t>的纪</w:t>
      </w:r>
      <w:r>
        <w:rPr>
          <w:rFonts w:hint="eastAsia" w:ascii="宋体" w:hAnsi="宋体" w:cs="宋体"/>
          <w:color w:val="auto"/>
          <w:sz w:val="28"/>
          <w:szCs w:val="24"/>
          <w:highlight w:val="none"/>
        </w:rPr>
        <w:t>律要求</w:t>
      </w:r>
    </w:p>
    <w:p>
      <w:pPr>
        <w:spacing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w:t>
      </w:r>
    </w:p>
    <w:p>
      <w:pPr>
        <w:spacing w:before="8" w:line="276" w:lineRule="auto"/>
        <w:jc w:val="left"/>
        <w:rPr>
          <w:rFonts w:ascii="宋体" w:hAnsi="宋体" w:cs="宋体"/>
          <w:color w:val="auto"/>
          <w:sz w:val="12"/>
          <w:szCs w:val="24"/>
          <w:highlight w:val="none"/>
        </w:rPr>
      </w:pPr>
    </w:p>
    <w:p>
      <w:pPr>
        <w:spacing w:line="276" w:lineRule="auto"/>
        <w:ind w:left="237" w:right="-20"/>
        <w:jc w:val="left"/>
        <w:rPr>
          <w:rFonts w:ascii="宋体" w:hAnsi="宋体" w:cs="宋体"/>
          <w:color w:val="auto"/>
          <w:sz w:val="28"/>
          <w:szCs w:val="24"/>
          <w:highlight w:val="none"/>
        </w:rPr>
      </w:pPr>
      <w:r>
        <w:rPr>
          <w:rFonts w:hint="eastAsia" w:ascii="宋体" w:hAnsi="宋体" w:cs="宋体"/>
          <w:color w:val="auto"/>
          <w:spacing w:val="1"/>
          <w:sz w:val="28"/>
          <w:szCs w:val="24"/>
          <w:highlight w:val="none"/>
        </w:rPr>
        <w:t>8</w:t>
      </w:r>
      <w:r>
        <w:rPr>
          <w:rFonts w:hint="eastAsia" w:ascii="宋体" w:hAnsi="宋体" w:cs="宋体"/>
          <w:color w:val="auto"/>
          <w:sz w:val="28"/>
          <w:szCs w:val="24"/>
          <w:highlight w:val="none"/>
        </w:rPr>
        <w:t>.5</w:t>
      </w:r>
      <w:r>
        <w:rPr>
          <w:rFonts w:hint="eastAsia" w:ascii="宋体" w:hAnsi="宋体" w:cs="宋体"/>
          <w:color w:val="auto"/>
          <w:spacing w:val="68"/>
          <w:sz w:val="28"/>
          <w:szCs w:val="24"/>
          <w:highlight w:val="none"/>
        </w:rPr>
        <w:t xml:space="preserve"> </w:t>
      </w:r>
      <w:r>
        <w:rPr>
          <w:rFonts w:hint="eastAsia" w:ascii="宋体" w:hAnsi="宋体" w:cs="宋体"/>
          <w:color w:val="auto"/>
          <w:sz w:val="28"/>
          <w:szCs w:val="24"/>
          <w:highlight w:val="none"/>
        </w:rPr>
        <w:t>投诉</w:t>
      </w:r>
    </w:p>
    <w:p>
      <w:pPr>
        <w:spacing w:line="276" w:lineRule="auto"/>
        <w:ind w:left="100" w:right="42" w:firstLine="420"/>
        <w:rPr>
          <w:rFonts w:ascii="宋体" w:hAnsi="宋体" w:cs="宋体"/>
          <w:color w:val="auto"/>
          <w:szCs w:val="24"/>
          <w:highlight w:val="none"/>
        </w:rPr>
      </w:pPr>
      <w:r>
        <w:rPr>
          <w:rFonts w:hint="eastAsia" w:ascii="宋体" w:hAnsi="宋体" w:cs="宋体"/>
          <w:color w:val="auto"/>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before="10" w:line="276" w:lineRule="auto"/>
        <w:ind w:left="100" w:right="41" w:firstLine="420"/>
        <w:rPr>
          <w:rFonts w:ascii="宋体" w:hAnsi="宋体" w:cs="宋体"/>
          <w:color w:val="auto"/>
          <w:szCs w:val="24"/>
          <w:highlight w:val="none"/>
        </w:rPr>
      </w:pPr>
      <w:r>
        <w:rPr>
          <w:rFonts w:hint="eastAsia" w:ascii="宋体" w:hAnsi="宋体" w:cs="宋体"/>
          <w:color w:val="auto"/>
          <w:szCs w:val="24"/>
          <w:highlight w:val="none"/>
        </w:rPr>
        <w:t>8.5.2 投标人或者其他利害关系人对招标文件、开标和评标结果提出投诉的，应当按照投标人须知第 2.4 款、第 5.3 款和第 7.2 款的规定先向招标人提出异议。异议答复期间不计算在第 8.5.1 项规定的期限内。</w:t>
      </w:r>
    </w:p>
    <w:p>
      <w:pPr>
        <w:spacing w:before="1" w:line="276" w:lineRule="auto"/>
        <w:jc w:val="left"/>
        <w:rPr>
          <w:rFonts w:ascii="宋体" w:hAnsi="宋体" w:cs="宋体"/>
          <w:color w:val="auto"/>
          <w:sz w:val="11"/>
          <w:szCs w:val="24"/>
          <w:highlight w:val="none"/>
        </w:rPr>
      </w:pPr>
    </w:p>
    <w:p>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9</w:t>
      </w:r>
      <w:r>
        <w:rPr>
          <w:rFonts w:hint="eastAsia" w:ascii="宋体" w:hAnsi="宋体" w:cs="宋体"/>
          <w:color w:val="auto"/>
          <w:sz w:val="32"/>
          <w:szCs w:val="24"/>
          <w:highlight w:val="none"/>
        </w:rPr>
        <w:t>.</w:t>
      </w:r>
      <w:r>
        <w:rPr>
          <w:rFonts w:hint="eastAsia" w:ascii="宋体" w:hAnsi="宋体" w:cs="宋体"/>
          <w:color w:val="auto"/>
          <w:spacing w:val="78"/>
          <w:sz w:val="32"/>
          <w:szCs w:val="24"/>
          <w:highlight w:val="none"/>
        </w:rPr>
        <w:t xml:space="preserve"> </w:t>
      </w:r>
      <w:r>
        <w:rPr>
          <w:rFonts w:hint="eastAsia" w:ascii="宋体" w:hAnsi="宋体" w:cs="宋体"/>
          <w:color w:val="auto"/>
          <w:spacing w:val="2"/>
          <w:sz w:val="32"/>
          <w:szCs w:val="24"/>
          <w:highlight w:val="none"/>
        </w:rPr>
        <w:t>是否采用电</w:t>
      </w:r>
      <w:r>
        <w:rPr>
          <w:rFonts w:hint="eastAsia" w:ascii="宋体" w:hAnsi="宋体" w:cs="宋体"/>
          <w:color w:val="auto"/>
          <w:sz w:val="32"/>
          <w:szCs w:val="24"/>
          <w:highlight w:val="none"/>
        </w:rPr>
        <w:t>子</w:t>
      </w:r>
      <w:r>
        <w:rPr>
          <w:rFonts w:hint="eastAsia" w:ascii="宋体" w:hAnsi="宋体" w:cs="宋体"/>
          <w:color w:val="auto"/>
          <w:spacing w:val="2"/>
          <w:sz w:val="32"/>
          <w:szCs w:val="24"/>
          <w:highlight w:val="none"/>
        </w:rPr>
        <w:t>招标投</w:t>
      </w:r>
      <w:r>
        <w:rPr>
          <w:rFonts w:hint="eastAsia" w:ascii="宋体" w:hAnsi="宋体" w:cs="宋体"/>
          <w:color w:val="auto"/>
          <w:sz w:val="32"/>
          <w:szCs w:val="24"/>
          <w:highlight w:val="none"/>
        </w:rPr>
        <w:t>标</w:t>
      </w:r>
    </w:p>
    <w:p>
      <w:pPr>
        <w:spacing w:line="276" w:lineRule="auto"/>
        <w:ind w:left="520" w:right="-20"/>
        <w:jc w:val="left"/>
        <w:rPr>
          <w:rFonts w:ascii="宋体" w:hAnsi="宋体" w:cs="宋体"/>
          <w:color w:val="auto"/>
          <w:szCs w:val="24"/>
          <w:highlight w:val="none"/>
        </w:rPr>
      </w:pPr>
      <w:r>
        <w:rPr>
          <w:rFonts w:hint="eastAsia" w:ascii="宋体" w:hAnsi="宋体" w:cs="宋体"/>
          <w:color w:val="auto"/>
          <w:szCs w:val="24"/>
          <w:highlight w:val="none"/>
        </w:rPr>
        <w:t>本招标项目是否采用电子招标投标方式，见投标人须知前附表。</w:t>
      </w:r>
    </w:p>
    <w:p>
      <w:pPr>
        <w:spacing w:line="276" w:lineRule="auto"/>
        <w:jc w:val="left"/>
        <w:rPr>
          <w:rFonts w:ascii="宋体" w:hAnsi="宋体" w:cs="宋体"/>
          <w:color w:val="auto"/>
          <w:sz w:val="14"/>
          <w:szCs w:val="24"/>
          <w:highlight w:val="none"/>
        </w:rPr>
      </w:pPr>
    </w:p>
    <w:p>
      <w:pPr>
        <w:spacing w:line="276" w:lineRule="auto"/>
        <w:ind w:left="100" w:right="-20"/>
        <w:jc w:val="left"/>
        <w:rPr>
          <w:rFonts w:ascii="宋体" w:hAnsi="宋体" w:cs="宋体"/>
          <w:color w:val="auto"/>
          <w:sz w:val="32"/>
          <w:szCs w:val="24"/>
          <w:highlight w:val="none"/>
        </w:rPr>
      </w:pPr>
      <w:r>
        <w:rPr>
          <w:rFonts w:hint="eastAsia" w:ascii="宋体" w:hAnsi="宋体" w:cs="宋体"/>
          <w:color w:val="auto"/>
          <w:spacing w:val="1"/>
          <w:sz w:val="32"/>
          <w:szCs w:val="24"/>
          <w:highlight w:val="none"/>
        </w:rPr>
        <w:t>10</w:t>
      </w:r>
      <w:r>
        <w:rPr>
          <w:rFonts w:hint="eastAsia" w:ascii="宋体" w:hAnsi="宋体" w:cs="宋体"/>
          <w:color w:val="auto"/>
          <w:sz w:val="32"/>
          <w:szCs w:val="24"/>
          <w:highlight w:val="none"/>
        </w:rPr>
        <w:t>.</w:t>
      </w:r>
      <w:r>
        <w:rPr>
          <w:rFonts w:hint="eastAsia" w:ascii="宋体" w:hAnsi="宋体" w:cs="宋体"/>
          <w:color w:val="auto"/>
          <w:spacing w:val="74"/>
          <w:sz w:val="32"/>
          <w:szCs w:val="24"/>
          <w:highlight w:val="none"/>
        </w:rPr>
        <w:t xml:space="preserve"> </w:t>
      </w:r>
      <w:r>
        <w:rPr>
          <w:rFonts w:hint="eastAsia" w:ascii="宋体" w:hAnsi="宋体" w:cs="宋体"/>
          <w:color w:val="auto"/>
          <w:spacing w:val="2"/>
          <w:sz w:val="32"/>
          <w:szCs w:val="24"/>
          <w:highlight w:val="none"/>
        </w:rPr>
        <w:t>需要补充的其他内容</w:t>
      </w:r>
    </w:p>
    <w:p>
      <w:pPr>
        <w:spacing w:line="276" w:lineRule="auto"/>
        <w:ind w:left="520" w:right="-20" w:firstLine="105" w:firstLineChars="50"/>
        <w:jc w:val="left"/>
        <w:rPr>
          <w:rFonts w:ascii="宋体" w:hAnsi="宋体" w:cs="宋体"/>
          <w:color w:val="auto"/>
          <w:szCs w:val="24"/>
          <w:highlight w:val="none"/>
        </w:rPr>
        <w:sectPr>
          <w:headerReference r:id="rId4" w:type="first"/>
          <w:footerReference r:id="rId6" w:type="first"/>
          <w:headerReference r:id="rId3" w:type="default"/>
          <w:footerReference r:id="rId5" w:type="default"/>
          <w:pgSz w:w="11905" w:h="16838"/>
          <w:pgMar w:top="1417" w:right="1417" w:bottom="1417" w:left="1417" w:header="850" w:footer="992" w:gutter="0"/>
          <w:cols w:space="720" w:num="1"/>
          <w:titlePg/>
          <w:docGrid w:type="lines" w:linePitch="317" w:charSpace="0"/>
        </w:sectPr>
      </w:pPr>
      <w:r>
        <w:rPr>
          <w:rFonts w:hint="eastAsia" w:ascii="宋体" w:hAnsi="宋体" w:cs="宋体"/>
          <w:color w:val="auto"/>
          <w:szCs w:val="24"/>
          <w:highlight w:val="none"/>
        </w:rPr>
        <w:t>需要补充的其他内容：见投标人须知前附表。</w:t>
      </w:r>
    </w:p>
    <w:p>
      <w:pPr>
        <w:ind w:right="-20"/>
        <w:jc w:val="left"/>
        <w:rPr>
          <w:rFonts w:ascii="宋体" w:hAnsi="宋体" w:cs="宋体"/>
          <w:b/>
          <w:bCs/>
          <w:color w:val="auto"/>
          <w:sz w:val="28"/>
          <w:szCs w:val="28"/>
          <w:highlight w:val="none"/>
        </w:rPr>
      </w:pPr>
      <w:bookmarkStart w:id="35" w:name="_Toc22183_WPSOffice_Level2"/>
      <w:r>
        <w:rPr>
          <w:rFonts w:hint="eastAsia" w:ascii="宋体" w:hAnsi="宋体" w:cs="宋体"/>
          <w:b/>
          <w:bCs/>
          <w:color w:val="auto"/>
          <w:sz w:val="28"/>
          <w:szCs w:val="28"/>
          <w:highlight w:val="none"/>
        </w:rPr>
        <w:t>附件一：开标记录表</w:t>
      </w:r>
      <w:bookmarkEnd w:id="35"/>
    </w:p>
    <w:p>
      <w:pPr>
        <w:spacing w:before="12"/>
        <w:jc w:val="left"/>
        <w:rPr>
          <w:rFonts w:ascii="宋体" w:hAnsi="宋体" w:cs="宋体"/>
          <w:color w:val="auto"/>
          <w:sz w:val="20"/>
          <w:szCs w:val="24"/>
          <w:highlight w:val="none"/>
        </w:rPr>
      </w:pPr>
    </w:p>
    <w:p>
      <w:pPr>
        <w:ind w:left="438" w:right="3130" w:hanging="438" w:hangingChars="137"/>
        <w:jc w:val="center"/>
        <w:rPr>
          <w:rFonts w:ascii="宋体" w:hAnsi="宋体" w:cs="宋体"/>
          <w:color w:val="auto"/>
          <w:sz w:val="32"/>
          <w:szCs w:val="24"/>
          <w:highlight w:val="none"/>
        </w:rPr>
      </w:pPr>
      <w:r>
        <w:rPr>
          <w:rFonts w:hint="eastAsia" w:ascii="宋体" w:hAnsi="宋体" w:cs="宋体"/>
          <w:color w:val="auto"/>
          <w:sz w:val="32"/>
          <w:szCs w:val="24"/>
          <w:highlight w:val="none"/>
        </w:rPr>
        <w:t xml:space="preserve">                   开标记</w:t>
      </w:r>
      <w:r>
        <w:rPr>
          <w:rFonts w:hint="eastAsia" w:ascii="宋体" w:hAnsi="宋体" w:cs="宋体"/>
          <w:color w:val="auto"/>
          <w:spacing w:val="-3"/>
          <w:sz w:val="32"/>
          <w:szCs w:val="24"/>
          <w:highlight w:val="none"/>
        </w:rPr>
        <w:t>录</w:t>
      </w:r>
      <w:r>
        <w:rPr>
          <w:rFonts w:hint="eastAsia" w:ascii="宋体" w:hAnsi="宋体" w:cs="宋体"/>
          <w:color w:val="auto"/>
          <w:sz w:val="32"/>
          <w:szCs w:val="24"/>
          <w:highlight w:val="none"/>
        </w:rPr>
        <w:t>表</w:t>
      </w:r>
    </w:p>
    <w:p>
      <w:pPr>
        <w:tabs>
          <w:tab w:val="left" w:pos="3600"/>
          <w:tab w:val="left" w:pos="4760"/>
          <w:tab w:val="left" w:pos="5920"/>
          <w:tab w:val="left" w:pos="7060"/>
          <w:tab w:val="left" w:pos="8220"/>
        </w:tabs>
        <w:ind w:right="-20"/>
        <w:jc w:val="left"/>
        <w:rPr>
          <w:rFonts w:ascii="宋体" w:hAnsi="宋体" w:cs="宋体"/>
          <w:color w:val="auto"/>
          <w:position w:val="-4"/>
          <w:szCs w:val="24"/>
          <w:highlight w:val="none"/>
        </w:rPr>
      </w:pPr>
      <w:r>
        <w:rPr>
          <w:rFonts w:hint="eastAsia" w:ascii="宋体" w:hAnsi="宋体" w:cs="宋体"/>
          <w:color w:val="auto"/>
          <w:position w:val="-4"/>
          <w:szCs w:val="24"/>
          <w:highlight w:val="none"/>
        </w:rPr>
        <w:t>开标</w:t>
      </w:r>
      <w:r>
        <w:rPr>
          <w:rFonts w:hint="eastAsia" w:ascii="宋体" w:hAnsi="宋体" w:cs="宋体"/>
          <w:color w:val="auto"/>
          <w:spacing w:val="-2"/>
          <w:position w:val="-4"/>
          <w:szCs w:val="24"/>
          <w:highlight w:val="none"/>
        </w:rPr>
        <w:t>时</w:t>
      </w:r>
      <w:r>
        <w:rPr>
          <w:rFonts w:hint="eastAsia" w:ascii="宋体" w:hAnsi="宋体" w:cs="宋体"/>
          <w:color w:val="auto"/>
          <w:position w:val="-4"/>
          <w:szCs w:val="24"/>
          <w:highlight w:val="none"/>
        </w:rPr>
        <w:t>间</w:t>
      </w:r>
      <w:r>
        <w:rPr>
          <w:rFonts w:hint="eastAsia" w:ascii="宋体" w:hAnsi="宋体" w:cs="宋体"/>
          <w:color w:val="auto"/>
          <w:spacing w:val="-2"/>
          <w:position w:val="-4"/>
          <w:szCs w:val="24"/>
          <w:highlight w:val="none"/>
        </w:rPr>
        <w:t>：</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rPr>
        <w:t>年</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月</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日</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时</w:t>
      </w:r>
      <w:r>
        <w:rPr>
          <w:rFonts w:hint="eastAsia" w:ascii="宋体" w:hAnsi="宋体" w:cs="宋体"/>
          <w:color w:val="auto"/>
          <w:position w:val="-4"/>
          <w:szCs w:val="24"/>
          <w:highlight w:val="none"/>
          <w:u w:val="single"/>
        </w:rPr>
        <w:t xml:space="preserve"> </w:t>
      </w:r>
      <w:r>
        <w:rPr>
          <w:rFonts w:hint="eastAsia" w:ascii="宋体" w:hAnsi="宋体" w:cs="宋体"/>
          <w:color w:val="auto"/>
          <w:spacing w:val="1"/>
          <w:position w:val="-4"/>
          <w:szCs w:val="24"/>
          <w:highlight w:val="none"/>
          <w:u w:val="single"/>
        </w:rPr>
        <w:t xml:space="preserve"> </w:t>
      </w:r>
      <w:r>
        <w:rPr>
          <w:rFonts w:hint="eastAsia" w:ascii="宋体" w:hAnsi="宋体" w:cs="宋体"/>
          <w:color w:val="auto"/>
          <w:position w:val="-4"/>
          <w:szCs w:val="24"/>
          <w:highlight w:val="none"/>
          <w:u w:val="single"/>
        </w:rPr>
        <w:tab/>
      </w:r>
      <w:r>
        <w:rPr>
          <w:rFonts w:hint="eastAsia" w:ascii="宋体" w:hAnsi="宋体" w:cs="宋体"/>
          <w:color w:val="auto"/>
          <w:position w:val="-4"/>
          <w:szCs w:val="24"/>
          <w:highlight w:val="none"/>
        </w:rPr>
        <w:t>分</w:t>
      </w:r>
    </w:p>
    <w:tbl>
      <w:tblPr>
        <w:tblStyle w:val="38"/>
        <w:tblW w:w="9378" w:type="dxa"/>
        <w:tblInd w:w="-34" w:type="dxa"/>
        <w:tblLayout w:type="fixed"/>
        <w:tblCellMar>
          <w:top w:w="0" w:type="dxa"/>
          <w:left w:w="108" w:type="dxa"/>
          <w:bottom w:w="0" w:type="dxa"/>
          <w:right w:w="108" w:type="dxa"/>
        </w:tblCellMar>
      </w:tblPr>
      <w:tblGrid>
        <w:gridCol w:w="683"/>
        <w:gridCol w:w="749"/>
        <w:gridCol w:w="1135"/>
        <w:gridCol w:w="1135"/>
        <w:gridCol w:w="1297"/>
        <w:gridCol w:w="973"/>
        <w:gridCol w:w="1135"/>
        <w:gridCol w:w="851"/>
        <w:gridCol w:w="1420"/>
      </w:tblGrid>
      <w:tr>
        <w:tblPrEx>
          <w:tblCellMar>
            <w:top w:w="0" w:type="dxa"/>
            <w:left w:w="108" w:type="dxa"/>
            <w:bottom w:w="0" w:type="dxa"/>
            <w:right w:w="108" w:type="dxa"/>
          </w:tblCellMar>
        </w:tblPrEx>
        <w:trPr>
          <w:trHeight w:val="864"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投标人</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投标文件递交情况</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投标文件解密情况</w:t>
            </w: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投标报价</w:t>
            </w:r>
          </w:p>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（元）</w:t>
            </w: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highlight w:val="none"/>
              </w:rPr>
              <w:t>项目负责人</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rPr>
                <w:rFonts w:hint="default" w:ascii="宋体" w:hAnsi="宋体" w:cs="宋体"/>
                <w:color w:val="auto"/>
                <w:szCs w:val="21"/>
                <w:highlight w:val="none"/>
              </w:rPr>
            </w:pPr>
            <w:r>
              <w:rPr>
                <w:rFonts w:hint="eastAsia" w:ascii="宋体" w:hAnsi="宋体" w:cs="宋体"/>
                <w:color w:val="auto"/>
                <w:szCs w:val="21"/>
                <w:highlight w:val="none"/>
              </w:rPr>
              <w:t>项目服务期限</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备注</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投标人</w:t>
            </w:r>
          </w:p>
          <w:p>
            <w:pPr>
              <w:keepNext w:val="0"/>
              <w:keepLines w:val="0"/>
              <w:suppressLineNumbers w:val="0"/>
              <w:spacing w:before="0" w:beforeAutospacing="0" w:after="0" w:afterAutospacing="0"/>
              <w:ind w:left="0" w:right="0"/>
              <w:contextualSpacing/>
              <w:jc w:val="center"/>
              <w:rPr>
                <w:rFonts w:hint="default" w:ascii="宋体" w:hAnsi="宋体" w:cs="宋体"/>
                <w:color w:val="auto"/>
                <w:szCs w:val="21"/>
                <w:highlight w:val="none"/>
              </w:rPr>
            </w:pPr>
            <w:r>
              <w:rPr>
                <w:rFonts w:hint="eastAsia" w:ascii="宋体" w:hAnsi="宋体" w:cs="宋体"/>
                <w:color w:val="auto"/>
                <w:szCs w:val="21"/>
                <w:highlight w:val="none"/>
              </w:rPr>
              <w:t>代表签名</w:t>
            </w: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tr>
        <w:tblPrEx>
          <w:tblCellMar>
            <w:top w:w="0" w:type="dxa"/>
            <w:left w:w="108" w:type="dxa"/>
            <w:bottom w:w="0" w:type="dxa"/>
            <w:right w:w="108" w:type="dxa"/>
          </w:tblCellMar>
        </w:tblPrEx>
        <w:trPr>
          <w:trHeight w:val="455"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bookmarkStart w:id="36" w:name="_Toc17638"/>
          </w:p>
        </w:tc>
      </w:tr>
      <w:tr>
        <w:tblPrEx>
          <w:tblCellMar>
            <w:top w:w="0" w:type="dxa"/>
            <w:left w:w="108" w:type="dxa"/>
            <w:bottom w:w="0" w:type="dxa"/>
            <w:right w:w="108" w:type="dxa"/>
          </w:tblCellMar>
        </w:tblPrEx>
        <w:trPr>
          <w:trHeight w:val="439" w:hRule="atLeast"/>
        </w:trPr>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宋体" w:cs="宋体"/>
                <w:color w:val="auto"/>
                <w:szCs w:val="21"/>
                <w:highlight w:val="none"/>
              </w:rPr>
            </w:pPr>
          </w:p>
        </w:tc>
      </w:tr>
      <w:bookmarkEnd w:id="36"/>
    </w:tbl>
    <w:p>
      <w:pPr>
        <w:jc w:val="left"/>
        <w:rPr>
          <w:rFonts w:ascii="宋体" w:hAnsi="宋体" w:cs="宋体"/>
          <w:color w:val="auto"/>
          <w:position w:val="-2"/>
          <w:szCs w:val="24"/>
          <w:highlight w:val="none"/>
        </w:rPr>
      </w:pPr>
      <w:r>
        <w:rPr>
          <w:rFonts w:hint="eastAsia" w:ascii="宋体" w:hAnsi="宋体" w:cs="宋体"/>
          <w:color w:val="auto"/>
          <w:position w:val="-2"/>
          <w:szCs w:val="24"/>
          <w:highlight w:val="none"/>
        </w:rPr>
        <w:t>本表仅供参考，具体以开标时的开标记录表为准。</w:t>
      </w:r>
    </w:p>
    <w:p>
      <w:pPr>
        <w:tabs>
          <w:tab w:val="left" w:pos="2200"/>
          <w:tab w:val="left" w:pos="3040"/>
          <w:tab w:val="left" w:pos="4620"/>
          <w:tab w:val="left" w:pos="5360"/>
          <w:tab w:val="left" w:pos="6940"/>
        </w:tabs>
        <w:ind w:left="220" w:right="-20"/>
        <w:jc w:val="left"/>
        <w:rPr>
          <w:rFonts w:ascii="宋体" w:hAnsi="宋体" w:cs="宋体"/>
          <w:color w:val="auto"/>
          <w:szCs w:val="24"/>
          <w:highlight w:val="none"/>
        </w:rPr>
      </w:pPr>
      <w:r>
        <w:rPr>
          <w:rFonts w:hint="eastAsia" w:ascii="宋体" w:hAnsi="宋体" w:cs="宋体"/>
          <w:color w:val="auto"/>
          <w:position w:val="-2"/>
          <w:szCs w:val="24"/>
          <w:highlight w:val="none"/>
        </w:rPr>
        <w:t>招标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代</w:t>
      </w:r>
      <w:r>
        <w:rPr>
          <w:rFonts w:hint="eastAsia" w:ascii="宋体" w:hAnsi="宋体" w:cs="宋体"/>
          <w:color w:val="auto"/>
          <w:spacing w:val="-2"/>
          <w:position w:val="-2"/>
          <w:szCs w:val="24"/>
          <w:highlight w:val="none"/>
        </w:rPr>
        <w:t>表</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记</w:t>
      </w:r>
      <w:r>
        <w:rPr>
          <w:rFonts w:hint="eastAsia" w:ascii="宋体" w:hAnsi="宋体" w:cs="宋体"/>
          <w:color w:val="auto"/>
          <w:position w:val="-2"/>
          <w:szCs w:val="24"/>
          <w:highlight w:val="none"/>
        </w:rPr>
        <w:t>录</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r>
        <w:rPr>
          <w:rFonts w:hint="eastAsia" w:ascii="宋体" w:hAnsi="宋体" w:cs="宋体"/>
          <w:color w:val="auto"/>
          <w:position w:val="-2"/>
          <w:szCs w:val="24"/>
          <w:highlight w:val="none"/>
        </w:rPr>
        <w:tab/>
      </w:r>
      <w:r>
        <w:rPr>
          <w:rFonts w:hint="eastAsia" w:ascii="宋体" w:hAnsi="宋体" w:cs="宋体"/>
          <w:color w:val="auto"/>
          <w:spacing w:val="-2"/>
          <w:position w:val="-2"/>
          <w:szCs w:val="24"/>
          <w:highlight w:val="none"/>
        </w:rPr>
        <w:t>监</w:t>
      </w:r>
      <w:r>
        <w:rPr>
          <w:rFonts w:hint="eastAsia" w:ascii="宋体" w:hAnsi="宋体" w:cs="宋体"/>
          <w:color w:val="auto"/>
          <w:position w:val="-2"/>
          <w:szCs w:val="24"/>
          <w:highlight w:val="none"/>
        </w:rPr>
        <w:t>标</w:t>
      </w:r>
      <w:r>
        <w:rPr>
          <w:rFonts w:hint="eastAsia" w:ascii="宋体" w:hAnsi="宋体" w:cs="宋体"/>
          <w:color w:val="auto"/>
          <w:spacing w:val="-2"/>
          <w:position w:val="-2"/>
          <w:szCs w:val="24"/>
          <w:highlight w:val="none"/>
        </w:rPr>
        <w:t>人</w:t>
      </w:r>
      <w:r>
        <w:rPr>
          <w:rFonts w:hint="eastAsia" w:ascii="宋体" w:hAnsi="宋体" w:cs="宋体"/>
          <w:color w:val="auto"/>
          <w:position w:val="-2"/>
          <w:szCs w:val="24"/>
          <w:highlight w:val="none"/>
        </w:rPr>
        <w:t>：</w:t>
      </w:r>
      <w:r>
        <w:rPr>
          <w:rFonts w:hint="eastAsia" w:ascii="宋体" w:hAnsi="宋体" w:cs="宋体"/>
          <w:color w:val="auto"/>
          <w:w w:val="201"/>
          <w:position w:val="-2"/>
          <w:szCs w:val="24"/>
          <w:highlight w:val="none"/>
          <w:u w:val="single"/>
        </w:rPr>
        <w:t xml:space="preserve"> </w:t>
      </w:r>
      <w:r>
        <w:rPr>
          <w:rFonts w:hint="eastAsia" w:ascii="宋体" w:hAnsi="宋体" w:cs="宋体"/>
          <w:color w:val="auto"/>
          <w:position w:val="-2"/>
          <w:szCs w:val="24"/>
          <w:highlight w:val="none"/>
          <w:u w:val="single"/>
        </w:rPr>
        <w:tab/>
      </w:r>
    </w:p>
    <w:p>
      <w:pPr>
        <w:jc w:val="left"/>
        <w:rPr>
          <w:rFonts w:ascii="宋体" w:hAnsi="宋体" w:cs="宋体"/>
          <w:color w:val="auto"/>
          <w:position w:val="-2"/>
          <w:szCs w:val="24"/>
          <w:highlight w:val="none"/>
        </w:rPr>
      </w:pPr>
    </w:p>
    <w:p>
      <w:pPr>
        <w:tabs>
          <w:tab w:val="left" w:pos="720"/>
          <w:tab w:val="left" w:pos="1680"/>
          <w:tab w:val="left" w:pos="2620"/>
        </w:tabs>
        <w:ind w:right="96"/>
        <w:jc w:val="right"/>
        <w:rPr>
          <w:rFonts w:ascii="宋体" w:hAnsi="宋体" w:cs="宋体"/>
          <w:color w:val="auto"/>
          <w:position w:val="-1"/>
          <w:szCs w:val="24"/>
          <w:highlight w:val="none"/>
        </w:rPr>
      </w:pP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年</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spacing w:val="-2"/>
          <w:position w:val="-1"/>
          <w:szCs w:val="24"/>
          <w:highlight w:val="none"/>
        </w:rPr>
        <w:t>月</w:t>
      </w:r>
      <w:r>
        <w:rPr>
          <w:rFonts w:hint="eastAsia" w:ascii="宋体" w:hAnsi="宋体" w:cs="宋体"/>
          <w:color w:val="auto"/>
          <w:position w:val="-1"/>
          <w:szCs w:val="24"/>
          <w:highlight w:val="none"/>
          <w:u w:val="single"/>
        </w:rPr>
        <w:t xml:space="preserve"> </w:t>
      </w:r>
      <w:r>
        <w:rPr>
          <w:rFonts w:hint="eastAsia" w:ascii="宋体" w:hAnsi="宋体" w:cs="宋体"/>
          <w:color w:val="auto"/>
          <w:spacing w:val="1"/>
          <w:position w:val="-1"/>
          <w:szCs w:val="24"/>
          <w:highlight w:val="none"/>
          <w:u w:val="single"/>
        </w:rPr>
        <w:t xml:space="preserve"> </w:t>
      </w:r>
      <w:r>
        <w:rPr>
          <w:rFonts w:hint="eastAsia" w:ascii="宋体" w:hAnsi="宋体" w:cs="宋体"/>
          <w:color w:val="auto"/>
          <w:position w:val="-1"/>
          <w:szCs w:val="24"/>
          <w:highlight w:val="none"/>
          <w:u w:val="single"/>
        </w:rPr>
        <w:tab/>
      </w:r>
      <w:r>
        <w:rPr>
          <w:rFonts w:hint="eastAsia" w:ascii="宋体" w:hAnsi="宋体" w:cs="宋体"/>
          <w:color w:val="auto"/>
          <w:position w:val="-1"/>
          <w:szCs w:val="24"/>
          <w:highlight w:val="none"/>
        </w:rPr>
        <w:t>日</w:t>
      </w:r>
    </w:p>
    <w:bookmarkEnd w:id="22"/>
    <w:bookmarkEnd w:id="23"/>
    <w:bookmarkEnd w:id="25"/>
    <w:bookmarkEnd w:id="26"/>
    <w:bookmarkEnd w:id="27"/>
    <w:bookmarkEnd w:id="28"/>
    <w:bookmarkEnd w:id="29"/>
    <w:bookmarkEnd w:id="30"/>
    <w:bookmarkEnd w:id="31"/>
    <w:p>
      <w:pPr>
        <w:tabs>
          <w:tab w:val="left" w:pos="7020"/>
        </w:tabs>
        <w:ind w:right="-20" w:firstLine="2625" w:firstLineChars="1250"/>
        <w:jc w:val="left"/>
        <w:rPr>
          <w:rFonts w:ascii="宋体" w:hAnsi="宋体" w:cs="宋体"/>
          <w:color w:val="auto"/>
          <w:sz w:val="28"/>
          <w:szCs w:val="28"/>
          <w:highlight w:val="none"/>
        </w:rPr>
      </w:pPr>
      <w:r>
        <w:rPr>
          <w:rFonts w:hint="eastAsia" w:ascii="宋体" w:hAnsi="宋体" w:cs="宋体"/>
          <w:color w:val="auto"/>
          <w:szCs w:val="24"/>
          <w:highlight w:val="none"/>
        </w:rPr>
        <w:br w:type="page"/>
      </w:r>
    </w:p>
    <w:p>
      <w:pPr>
        <w:pStyle w:val="5"/>
        <w:spacing w:line="412" w:lineRule="auto"/>
        <w:ind w:firstLine="138" w:firstLineChars="49"/>
        <w:rPr>
          <w:rFonts w:ascii="宋体" w:hAnsi="宋体" w:cs="宋体"/>
          <w:color w:val="auto"/>
          <w:sz w:val="28"/>
          <w:szCs w:val="28"/>
          <w:highlight w:val="none"/>
        </w:rPr>
      </w:pPr>
      <w:bookmarkStart w:id="37" w:name="_Toc11687_WPSOffice_Level2"/>
      <w:r>
        <w:rPr>
          <w:rFonts w:hint="eastAsia" w:ascii="宋体" w:hAnsi="宋体" w:cs="宋体"/>
          <w:color w:val="auto"/>
          <w:sz w:val="28"/>
          <w:szCs w:val="28"/>
          <w:highlight w:val="none"/>
        </w:rPr>
        <w:t>附件二：问题澄清通知（按广州交易集团有限公司（广州公共资源交易中心）版式为准）</w:t>
      </w:r>
      <w:bookmarkEnd w:id="17"/>
      <w:bookmarkEnd w:id="37"/>
    </w:p>
    <w:p>
      <w:pPr>
        <w:spacing w:line="400" w:lineRule="exact"/>
        <w:rPr>
          <w:rFonts w:ascii="宋体" w:hAnsi="宋体" w:cs="宋体"/>
          <w:b/>
          <w:bCs/>
          <w:color w:val="auto"/>
          <w:sz w:val="28"/>
          <w:szCs w:val="28"/>
          <w:highlight w:val="none"/>
        </w:rPr>
      </w:pPr>
    </w:p>
    <w:p>
      <w:pPr>
        <w:spacing w:line="400" w:lineRule="exact"/>
        <w:rPr>
          <w:rFonts w:ascii="宋体" w:hAnsi="宋体" w:cs="宋体"/>
          <w:b/>
          <w:bCs/>
          <w:color w:val="auto"/>
          <w:sz w:val="28"/>
          <w:szCs w:val="28"/>
          <w:highlight w:val="none"/>
        </w:rPr>
      </w:pPr>
    </w:p>
    <w:p>
      <w:pPr>
        <w:pStyle w:val="5"/>
        <w:spacing w:line="412" w:lineRule="auto"/>
        <w:ind w:firstLine="138" w:firstLineChars="49"/>
        <w:rPr>
          <w:rFonts w:ascii="宋体" w:hAnsi="宋体" w:cs="宋体"/>
          <w:color w:val="auto"/>
          <w:sz w:val="28"/>
          <w:szCs w:val="28"/>
          <w:highlight w:val="none"/>
        </w:rPr>
      </w:pPr>
      <w:bookmarkStart w:id="38" w:name="_Toc530728902"/>
      <w:bookmarkStart w:id="39" w:name="_Toc799_WPSOffice_Level2"/>
      <w:r>
        <w:rPr>
          <w:rFonts w:hint="eastAsia" w:ascii="宋体" w:hAnsi="宋体" w:cs="宋体"/>
          <w:color w:val="auto"/>
          <w:sz w:val="28"/>
          <w:szCs w:val="28"/>
          <w:highlight w:val="none"/>
        </w:rPr>
        <w:t>附件三：问题的澄清（按广州交易集团有限公司（广州公共资源交易中心）版式为准）</w:t>
      </w:r>
      <w:bookmarkEnd w:id="38"/>
      <w:bookmarkEnd w:id="39"/>
    </w:p>
    <w:p>
      <w:pPr>
        <w:spacing w:line="400" w:lineRule="exact"/>
        <w:rPr>
          <w:rFonts w:ascii="宋体" w:hAnsi="宋体" w:cs="宋体"/>
          <w:b/>
          <w:bCs/>
          <w:color w:val="auto"/>
          <w:sz w:val="28"/>
          <w:szCs w:val="28"/>
          <w:highlight w:val="none"/>
        </w:rPr>
      </w:pPr>
    </w:p>
    <w:p>
      <w:pPr>
        <w:spacing w:line="400" w:lineRule="exact"/>
        <w:rPr>
          <w:rFonts w:ascii="宋体" w:hAnsi="宋体" w:cs="宋体"/>
          <w:b/>
          <w:bCs/>
          <w:color w:val="auto"/>
          <w:sz w:val="28"/>
          <w:szCs w:val="28"/>
          <w:highlight w:val="none"/>
        </w:rPr>
      </w:pPr>
    </w:p>
    <w:p>
      <w:pPr>
        <w:pStyle w:val="5"/>
        <w:spacing w:line="412" w:lineRule="auto"/>
        <w:ind w:firstLine="138" w:firstLineChars="49"/>
        <w:rPr>
          <w:rFonts w:ascii="宋体" w:hAnsi="宋体" w:cs="宋体"/>
          <w:color w:val="auto"/>
          <w:sz w:val="28"/>
          <w:szCs w:val="28"/>
          <w:highlight w:val="none"/>
        </w:rPr>
      </w:pPr>
      <w:bookmarkStart w:id="40" w:name="_Toc22014_WPSOffice_Level2"/>
      <w:bookmarkStart w:id="41" w:name="_Toc530728903"/>
      <w:r>
        <w:rPr>
          <w:rFonts w:hint="eastAsia" w:ascii="宋体" w:hAnsi="宋体" w:cs="宋体"/>
          <w:color w:val="auto"/>
          <w:sz w:val="28"/>
          <w:szCs w:val="28"/>
          <w:highlight w:val="none"/>
        </w:rPr>
        <w:t>附件四：中标通知书（按广州交易集团有限公司（广州公共资源交易中心）中标通知书格式）</w:t>
      </w:r>
      <w:bookmarkEnd w:id="40"/>
      <w:bookmarkEnd w:id="41"/>
    </w:p>
    <w:p>
      <w:pPr>
        <w:spacing w:line="440" w:lineRule="exact"/>
        <w:rPr>
          <w:rFonts w:ascii="宋体" w:hAnsi="宋体" w:cs="宋体"/>
          <w:b/>
          <w:bCs/>
          <w:color w:val="auto"/>
          <w:sz w:val="28"/>
          <w:szCs w:val="28"/>
          <w:highlight w:val="none"/>
        </w:rPr>
      </w:pPr>
    </w:p>
    <w:p>
      <w:pPr>
        <w:spacing w:line="440" w:lineRule="exact"/>
        <w:rPr>
          <w:rFonts w:ascii="宋体" w:hAnsi="宋体" w:cs="宋体"/>
          <w:b/>
          <w:bCs/>
          <w:color w:val="auto"/>
          <w:sz w:val="28"/>
          <w:szCs w:val="28"/>
          <w:highlight w:val="none"/>
        </w:rPr>
      </w:pPr>
    </w:p>
    <w:p>
      <w:pPr>
        <w:rPr>
          <w:rFonts w:ascii="宋体" w:hAnsi="宋体" w:cs="宋体"/>
          <w:color w:val="auto"/>
          <w:highlight w:val="none"/>
        </w:rPr>
      </w:pPr>
    </w:p>
    <w:p>
      <w:pPr>
        <w:pStyle w:val="4"/>
        <w:jc w:val="center"/>
        <w:rPr>
          <w:rFonts w:ascii="宋体" w:hAnsi="宋体" w:cs="宋体"/>
          <w:b w:val="0"/>
          <w:color w:val="auto"/>
          <w:sz w:val="44"/>
          <w:highlight w:val="none"/>
        </w:rPr>
      </w:pPr>
      <w:r>
        <w:rPr>
          <w:rFonts w:hint="eastAsia" w:ascii="宋体" w:hAnsi="宋体" w:cs="宋体"/>
          <w:color w:val="auto"/>
          <w:sz w:val="32"/>
          <w:highlight w:val="none"/>
        </w:rPr>
        <w:br w:type="page"/>
      </w:r>
      <w:bookmarkStart w:id="42" w:name="_Toc530728906"/>
      <w:bookmarkStart w:id="43" w:name="_Toc196159255"/>
      <w:bookmarkStart w:id="44" w:name="_Toc31616_WPSOffice_Level1"/>
      <w:bookmarkStart w:id="45" w:name="_Toc26609"/>
      <w:bookmarkStart w:id="46" w:name="_Toc11927_WPSOffice_Level1"/>
      <w:bookmarkStart w:id="47" w:name="_Toc193363136"/>
      <w:r>
        <w:rPr>
          <w:rFonts w:hint="eastAsia" w:ascii="宋体" w:hAnsi="宋体" w:eastAsia="宋体" w:cs="宋体"/>
          <w:color w:val="auto"/>
          <w:highlight w:val="none"/>
        </w:rPr>
        <w:t>第二章 评标办法（综合评估法）</w:t>
      </w:r>
      <w:bookmarkEnd w:id="42"/>
      <w:bookmarkEnd w:id="43"/>
      <w:bookmarkEnd w:id="44"/>
      <w:bookmarkEnd w:id="45"/>
      <w:bookmarkEnd w:id="46"/>
      <w:bookmarkEnd w:id="47"/>
    </w:p>
    <w:p>
      <w:pPr>
        <w:keepNext/>
        <w:keepLines/>
        <w:jc w:val="center"/>
        <w:outlineLvl w:val="2"/>
        <w:rPr>
          <w:rFonts w:ascii="宋体" w:hAnsi="宋体" w:cs="宋体"/>
          <w:b/>
          <w:bCs/>
          <w:color w:val="auto"/>
          <w:sz w:val="28"/>
          <w:szCs w:val="32"/>
          <w:highlight w:val="none"/>
        </w:rPr>
      </w:pPr>
      <w:bookmarkStart w:id="48" w:name="_Toc193363137"/>
      <w:bookmarkStart w:id="49" w:name="_Toc12886"/>
      <w:bookmarkStart w:id="50" w:name="_Toc2468"/>
      <w:bookmarkStart w:id="51" w:name="_Toc22155"/>
      <w:bookmarkStart w:id="52" w:name="_Toc19290"/>
      <w:bookmarkStart w:id="53" w:name="_Toc13470"/>
      <w:bookmarkStart w:id="54" w:name="_Toc514170133"/>
      <w:bookmarkStart w:id="55" w:name="_Toc24248"/>
      <w:r>
        <w:rPr>
          <w:rFonts w:hint="eastAsia" w:ascii="宋体" w:hAnsi="宋体" w:cs="宋体"/>
          <w:b/>
          <w:bCs/>
          <w:color w:val="auto"/>
          <w:sz w:val="28"/>
          <w:szCs w:val="32"/>
          <w:highlight w:val="none"/>
        </w:rPr>
        <w:t>评标办法前附表</w:t>
      </w:r>
    </w:p>
    <w:tbl>
      <w:tblPr>
        <w:tblStyle w:val="38"/>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6"/>
        <w:gridCol w:w="2480"/>
        <w:gridCol w:w="5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条款号</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评审因素</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11" w:hRule="atLeast"/>
          <w:jc w:val="center"/>
        </w:trPr>
        <w:tc>
          <w:tcPr>
            <w:tcW w:w="854" w:type="dxa"/>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1</w:t>
            </w:r>
          </w:p>
        </w:tc>
        <w:tc>
          <w:tcPr>
            <w:tcW w:w="1066"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评标方法</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中标候选人排序方法</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由评标委员会采用记名投票的方式，确定中标候选人的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72" w:hRule="atLeast"/>
          <w:jc w:val="center"/>
        </w:trPr>
        <w:tc>
          <w:tcPr>
            <w:tcW w:w="854" w:type="dxa"/>
            <w:vMerge w:val="restart"/>
            <w:tcBorders>
              <w:top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2.1.1</w:t>
            </w:r>
          </w:p>
        </w:tc>
        <w:tc>
          <w:tcPr>
            <w:tcW w:w="1066" w:type="dxa"/>
            <w:vMerge w:val="restart"/>
            <w:tcBorders>
              <w:top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形式评审标准</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投标人名称</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812"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投标函及投标函附录签字盖章</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有法定代表人或其委托代理人签字（或盖章）并加盖单位章。由法定代表人签字（或盖章）的，应附法定代表人身份证明，由代理人签字（或盖章）的，应附授权委托书，身份证明或授权委托书，</w:t>
            </w:r>
            <w:r>
              <w:rPr>
                <w:rFonts w:hint="eastAsia"/>
                <w:b/>
                <w:bCs/>
                <w:color w:val="auto"/>
                <w:sz w:val="24"/>
                <w:szCs w:val="24"/>
                <w:highlight w:val="none"/>
                <w:u w:val="single"/>
              </w:rPr>
              <w:t>由项目负责人签名或盖章</w:t>
            </w:r>
            <w:r>
              <w:rPr>
                <w:rFonts w:hint="eastAsia"/>
                <w:color w:val="auto"/>
                <w:sz w:val="24"/>
                <w:szCs w:val="24"/>
                <w:highlight w:val="none"/>
              </w:rPr>
              <w:t>应符合第五章“投标文件格式”的规定。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投标文件格式</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符合第五章“投标文件格式”的规定。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44"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备选投标方案</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4" w:hRule="atLeast"/>
          <w:jc w:val="center"/>
        </w:trPr>
        <w:tc>
          <w:tcPr>
            <w:tcW w:w="854" w:type="dxa"/>
            <w:vMerge w:val="continue"/>
            <w:tcBorders>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投标人机器码</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投标人与</w:t>
            </w:r>
            <w:r>
              <w:rPr>
                <w:rFonts w:hint="eastAsia"/>
                <w:color w:val="auto"/>
                <w:sz w:val="24"/>
                <w:szCs w:val="24"/>
                <w:highlight w:val="none"/>
                <w:lang w:val="en-US" w:eastAsia="zh-CN"/>
              </w:rPr>
              <w:t>本项目</w:t>
            </w:r>
            <w:r>
              <w:rPr>
                <w:rFonts w:hint="eastAsia"/>
                <w:color w:val="auto"/>
                <w:sz w:val="24"/>
                <w:szCs w:val="24"/>
                <w:highlight w:val="none"/>
              </w:rPr>
              <w:t>其他投标人加密打包投标文件电脑机器特征码一致的(以广州交易集团有限公司（广州公共资源交易中心）评标系统的检索信息为准)将被否决。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7" w:hRule="atLeast"/>
          <w:jc w:val="center"/>
        </w:trPr>
        <w:tc>
          <w:tcPr>
            <w:tcW w:w="854" w:type="dxa"/>
            <w:vMerge w:val="restart"/>
            <w:tcBorders>
              <w:top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2.1.2</w:t>
            </w:r>
          </w:p>
        </w:tc>
        <w:tc>
          <w:tcPr>
            <w:tcW w:w="1066" w:type="dxa"/>
            <w:vMerge w:val="restart"/>
            <w:tcBorders>
              <w:top w:val="single" w:color="auto" w:sz="4" w:space="0"/>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响应性评审标准</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投标内容</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4"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服务期限</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34"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质量标准</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1"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投标报价</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00"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投标有效期</w:t>
            </w:r>
          </w:p>
        </w:tc>
        <w:tc>
          <w:tcPr>
            <w:tcW w:w="5016" w:type="dxa"/>
            <w:tcBorders>
              <w:top w:val="single" w:color="auto" w:sz="4" w:space="0"/>
              <w:left w:val="single" w:color="auto" w:sz="4" w:space="0"/>
              <w:bottom w:val="single" w:color="auto" w:sz="4" w:space="0"/>
            </w:tcBorders>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3"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投标保证金</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64" w:hRule="atLeast"/>
          <w:jc w:val="center"/>
        </w:trPr>
        <w:tc>
          <w:tcPr>
            <w:tcW w:w="854" w:type="dxa"/>
            <w:vMerge w:val="continue"/>
            <w:tcBorders>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066" w:type="dxa"/>
            <w:vMerge w:val="continue"/>
            <w:tcBorders>
              <w:left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串通投标情形</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不存在串通投标情形（串通投标情形以广东省实施《中华人民共和国招标投标法实施条例》第十六条的规定为准）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条款号</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条款内容</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2.2.1</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分值构成</w:t>
            </w:r>
          </w:p>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(总分100分)</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b/>
                <w:color w:val="auto"/>
                <w:sz w:val="24"/>
                <w:szCs w:val="24"/>
                <w:highlight w:val="none"/>
              </w:rPr>
              <w:t>（1）资信业绩部分（</w:t>
            </w:r>
            <w:r>
              <w:rPr>
                <w:rFonts w:hint="eastAsia"/>
                <w:b/>
                <w:color w:val="auto"/>
                <w:sz w:val="24"/>
                <w:szCs w:val="24"/>
                <w:highlight w:val="none"/>
                <w:lang w:val="en-US" w:eastAsia="zh-CN"/>
              </w:rPr>
              <w:t>38</w:t>
            </w:r>
            <w:r>
              <w:rPr>
                <w:rFonts w:hint="eastAsia"/>
                <w:b/>
                <w:color w:val="auto"/>
                <w:sz w:val="24"/>
                <w:szCs w:val="24"/>
                <w:highlight w:val="none"/>
              </w:rPr>
              <w:t>分）</w:t>
            </w:r>
          </w:p>
          <w:p>
            <w:pPr>
              <w:pStyle w:val="20"/>
              <w:keepNext w:val="0"/>
              <w:keepLines w:val="0"/>
              <w:suppressLineNumbers w:val="0"/>
              <w:spacing w:before="0" w:beforeAutospacing="0" w:after="0" w:afterAutospacing="0"/>
              <w:ind w:left="0" w:right="0"/>
              <w:rPr>
                <w:rFonts w:hint="eastAsia"/>
                <w:b/>
                <w:color w:val="auto"/>
                <w:sz w:val="24"/>
                <w:szCs w:val="24"/>
                <w:highlight w:val="none"/>
              </w:rPr>
            </w:pPr>
            <w:r>
              <w:rPr>
                <w:rFonts w:hint="eastAsia"/>
                <w:b/>
                <w:color w:val="auto"/>
                <w:sz w:val="24"/>
                <w:szCs w:val="24"/>
                <w:highlight w:val="none"/>
              </w:rPr>
              <w:t>（2）</w:t>
            </w:r>
            <w:bookmarkStart w:id="56" w:name="OLE_LINK8"/>
            <w:r>
              <w:rPr>
                <w:rFonts w:hint="eastAsia"/>
                <w:b/>
                <w:color w:val="auto"/>
                <w:sz w:val="24"/>
                <w:szCs w:val="24"/>
                <w:highlight w:val="none"/>
              </w:rPr>
              <w:t>服务保障方案</w:t>
            </w:r>
            <w:bookmarkEnd w:id="56"/>
            <w:r>
              <w:rPr>
                <w:rFonts w:hint="eastAsia"/>
                <w:b/>
                <w:color w:val="auto"/>
                <w:sz w:val="24"/>
                <w:szCs w:val="24"/>
                <w:highlight w:val="none"/>
              </w:rPr>
              <w:t>（</w:t>
            </w:r>
            <w:r>
              <w:rPr>
                <w:rFonts w:hint="eastAsia"/>
                <w:b/>
                <w:color w:val="auto"/>
                <w:sz w:val="24"/>
                <w:szCs w:val="24"/>
                <w:highlight w:val="none"/>
                <w:lang w:val="en-US" w:eastAsia="zh-CN"/>
              </w:rPr>
              <w:t>32</w:t>
            </w:r>
            <w:r>
              <w:rPr>
                <w:rFonts w:hint="eastAsia"/>
                <w:b/>
                <w:color w:val="auto"/>
                <w:sz w:val="24"/>
                <w:szCs w:val="24"/>
                <w:highlight w:val="none"/>
              </w:rPr>
              <w:t>分）</w:t>
            </w:r>
          </w:p>
          <w:p>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ascii="宋体" w:hAnsi="Calibri" w:eastAsia="宋体" w:cs="Times New Roman"/>
                <w:b/>
                <w:color w:val="auto"/>
                <w:kern w:val="0"/>
                <w:sz w:val="24"/>
                <w:szCs w:val="24"/>
                <w:highlight w:val="none"/>
                <w:lang w:val="en-US" w:eastAsia="zh-CN" w:bidi="ar-SA"/>
              </w:rPr>
              <w:t>（3）</w:t>
            </w:r>
            <w:bookmarkStart w:id="57" w:name="OLE_LINK9"/>
            <w:r>
              <w:rPr>
                <w:rFonts w:hint="eastAsia" w:ascii="宋体" w:hAnsi="宋体" w:cs="宋体"/>
                <w:b/>
                <w:bCs w:val="0"/>
                <w:color w:val="auto"/>
                <w:sz w:val="22"/>
                <w:szCs w:val="24"/>
                <w:highlight w:val="none"/>
              </w:rPr>
              <w:t>项目</w:t>
            </w:r>
            <w:r>
              <w:rPr>
                <w:rFonts w:hint="eastAsia" w:ascii="宋体" w:hAnsi="Calibri" w:eastAsia="宋体" w:cs="Times New Roman"/>
                <w:b/>
                <w:color w:val="auto"/>
                <w:kern w:val="0"/>
                <w:sz w:val="24"/>
                <w:szCs w:val="24"/>
                <w:highlight w:val="none"/>
                <w:lang w:val="en-US" w:eastAsia="zh-CN" w:bidi="ar-SA"/>
              </w:rPr>
              <w:t>负责人</w:t>
            </w:r>
            <w:r>
              <w:rPr>
                <w:rFonts w:hint="eastAsia" w:ascii="宋体" w:hAnsi="宋体" w:cs="宋体"/>
                <w:b/>
                <w:bCs w:val="0"/>
                <w:color w:val="auto"/>
                <w:sz w:val="22"/>
                <w:szCs w:val="24"/>
                <w:highlight w:val="none"/>
              </w:rPr>
              <w:t>及技术负责人答辩</w:t>
            </w:r>
            <w:bookmarkEnd w:id="57"/>
            <w:r>
              <w:rPr>
                <w:rFonts w:hint="eastAsia" w:ascii="宋体" w:hAnsi="宋体" w:cs="宋体"/>
                <w:b/>
                <w:bCs w:val="0"/>
                <w:color w:val="auto"/>
                <w:sz w:val="22"/>
                <w:szCs w:val="24"/>
                <w:highlight w:val="none"/>
              </w:rPr>
              <w:t>（15分）</w:t>
            </w:r>
          </w:p>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val="en-US" w:eastAsia="zh-CN"/>
              </w:rPr>
              <w:t>4</w:t>
            </w:r>
            <w:r>
              <w:rPr>
                <w:rFonts w:hint="eastAsia"/>
                <w:b/>
                <w:color w:val="auto"/>
                <w:sz w:val="24"/>
                <w:szCs w:val="24"/>
                <w:highlight w:val="none"/>
              </w:rPr>
              <w:t>）投标报价部分（</w:t>
            </w:r>
            <w:r>
              <w:rPr>
                <w:rFonts w:hint="default"/>
                <w:b/>
                <w:color w:val="auto"/>
                <w:sz w:val="24"/>
                <w:szCs w:val="24"/>
                <w:highlight w:val="none"/>
              </w:rPr>
              <w:t>15</w:t>
            </w:r>
            <w:r>
              <w:rPr>
                <w:rFonts w:hint="eastAsia"/>
                <w:b/>
                <w:color w:val="auto"/>
                <w:sz w:val="24"/>
                <w:szCs w:val="24"/>
                <w:highlight w:val="none"/>
              </w:rPr>
              <w:t>分）</w:t>
            </w:r>
          </w:p>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b/>
                <w:color w:val="auto"/>
                <w:sz w:val="24"/>
                <w:szCs w:val="24"/>
                <w:highlight w:val="none"/>
              </w:rPr>
              <w:t>投标人总得分=资信业绩部分得分+</w:t>
            </w:r>
            <w:r>
              <w:rPr>
                <w:rFonts w:hint="eastAsia"/>
                <w:b/>
                <w:color w:val="auto"/>
                <w:sz w:val="24"/>
                <w:szCs w:val="24"/>
                <w:highlight w:val="none"/>
                <w:lang w:val="en-US" w:eastAsia="zh-CN"/>
              </w:rPr>
              <w:t>服务保障方案+项目负责人及技术负责人答辩</w:t>
            </w:r>
            <w:r>
              <w:rPr>
                <w:rFonts w:hint="eastAsia"/>
                <w:b/>
                <w:color w:val="auto"/>
                <w:sz w:val="24"/>
                <w:szCs w:val="24"/>
                <w:highlight w:val="none"/>
              </w:rPr>
              <w:t>+投标报价部分得分。</w:t>
            </w:r>
          </w:p>
          <w:p>
            <w:pPr>
              <w:pStyle w:val="20"/>
              <w:keepNext w:val="0"/>
              <w:keepLines w:val="0"/>
              <w:suppressLineNumbers w:val="0"/>
              <w:spacing w:before="0" w:beforeAutospacing="0" w:after="0" w:afterAutospacing="0"/>
              <w:ind w:left="0" w:right="0" w:firstLine="482" w:firstLineChars="200"/>
              <w:rPr>
                <w:rFonts w:hint="default"/>
                <w:b/>
                <w:color w:val="auto"/>
                <w:sz w:val="24"/>
                <w:szCs w:val="24"/>
                <w:highlight w:val="none"/>
              </w:rPr>
            </w:pPr>
            <w:r>
              <w:rPr>
                <w:rFonts w:hint="eastAsia"/>
                <w:b/>
                <w:color w:val="auto"/>
                <w:sz w:val="24"/>
                <w:szCs w:val="24"/>
                <w:highlight w:val="none"/>
              </w:rPr>
              <w:t>第一阶段，对通过初步评审的投标人的资信业绩部分、服务保障方案部分进行评审，两部分总分前</w:t>
            </w:r>
            <w:r>
              <w:rPr>
                <w:rFonts w:hint="default"/>
                <w:b/>
                <w:color w:val="auto"/>
                <w:sz w:val="24"/>
                <w:szCs w:val="24"/>
                <w:highlight w:val="none"/>
              </w:rPr>
              <w:t>5</w:t>
            </w:r>
            <w:r>
              <w:rPr>
                <w:rFonts w:hint="eastAsia"/>
                <w:b/>
                <w:color w:val="auto"/>
                <w:sz w:val="24"/>
                <w:szCs w:val="24"/>
                <w:highlight w:val="none"/>
              </w:rPr>
              <w:t>名的才进行第二阶段评审，计算投标人总得分。第</w:t>
            </w:r>
            <w:r>
              <w:rPr>
                <w:rFonts w:hint="default"/>
                <w:b/>
                <w:color w:val="auto"/>
                <w:sz w:val="24"/>
                <w:szCs w:val="24"/>
                <w:highlight w:val="none"/>
              </w:rPr>
              <w:t>6</w:t>
            </w:r>
            <w:r>
              <w:rPr>
                <w:rFonts w:hint="eastAsia"/>
                <w:b/>
                <w:color w:val="auto"/>
                <w:sz w:val="24"/>
                <w:szCs w:val="24"/>
                <w:highlight w:val="none"/>
              </w:rPr>
              <w:t>名以后的单位不进入第二阶段评审。</w:t>
            </w:r>
          </w:p>
          <w:p>
            <w:pPr>
              <w:keepNext w:val="0"/>
              <w:keepLines w:val="0"/>
              <w:suppressLineNumbers w:val="0"/>
              <w:spacing w:before="0" w:beforeAutospacing="0" w:after="0" w:afterAutospacing="0"/>
              <w:ind w:left="0" w:right="0"/>
              <w:rPr>
                <w:rFonts w:hint="default"/>
                <w:color w:val="auto"/>
                <w:sz w:val="22"/>
                <w:highlight w:val="none"/>
              </w:rPr>
            </w:pPr>
            <w:r>
              <w:rPr>
                <w:rFonts w:hint="eastAsia"/>
                <w:b/>
                <w:color w:val="auto"/>
                <w:sz w:val="24"/>
                <w:szCs w:val="24"/>
                <w:highlight w:val="none"/>
              </w:rPr>
              <w:t>第二阶段：</w:t>
            </w:r>
            <w:r>
              <w:rPr>
                <w:rFonts w:hint="eastAsia" w:ascii="宋体" w:hAnsi="宋体" w:cs="宋体"/>
                <w:color w:val="auto"/>
                <w:sz w:val="22"/>
                <w:szCs w:val="21"/>
                <w:highlight w:val="none"/>
                <w:u w:val="single"/>
                <w:lang w:bidi="ar"/>
              </w:rPr>
              <w:t>评标委员会按照“</w:t>
            </w:r>
            <w:r>
              <w:rPr>
                <w:rFonts w:hint="eastAsia" w:ascii="宋体" w:hAnsi="宋体" w:cs="宋体"/>
                <w:b/>
                <w:color w:val="auto"/>
                <w:sz w:val="22"/>
                <w:szCs w:val="21"/>
                <w:highlight w:val="none"/>
                <w:u w:val="single"/>
                <w:lang w:bidi="ar"/>
              </w:rPr>
              <w:t>总得分（满分为</w:t>
            </w:r>
            <w:r>
              <w:rPr>
                <w:rFonts w:hint="default" w:ascii="宋体" w:hAnsi="宋体" w:cs="宋体"/>
                <w:b/>
                <w:color w:val="auto"/>
                <w:sz w:val="22"/>
                <w:szCs w:val="21"/>
                <w:highlight w:val="none"/>
                <w:u w:val="single"/>
                <w:lang w:bidi="ar"/>
              </w:rPr>
              <w:t>100分）=</w:t>
            </w:r>
            <w:r>
              <w:rPr>
                <w:rFonts w:hint="eastAsia" w:ascii="宋体" w:hAnsi="宋体" w:cs="宋体"/>
                <w:color w:val="auto"/>
                <w:sz w:val="22"/>
                <w:szCs w:val="21"/>
                <w:highlight w:val="none"/>
                <w:u w:val="single"/>
                <w:lang w:bidi="ar"/>
              </w:rPr>
              <w:t>资信业绩部分得分+</w:t>
            </w:r>
            <w:r>
              <w:rPr>
                <w:rFonts w:hint="eastAsia" w:ascii="宋体" w:hAnsi="宋体" w:cs="Tahoma"/>
                <w:color w:val="auto"/>
                <w:sz w:val="22"/>
                <w:szCs w:val="21"/>
                <w:highlight w:val="none"/>
                <w:u w:val="single"/>
              </w:rPr>
              <w:t>服务保障方案</w:t>
            </w:r>
            <w:r>
              <w:rPr>
                <w:rFonts w:hint="eastAsia" w:ascii="宋体" w:hAnsi="宋体" w:cs="宋体"/>
                <w:color w:val="auto"/>
                <w:sz w:val="22"/>
                <w:szCs w:val="21"/>
                <w:highlight w:val="none"/>
                <w:u w:val="single"/>
                <w:lang w:bidi="ar"/>
              </w:rPr>
              <w:t>+</w:t>
            </w:r>
            <w:r>
              <w:rPr>
                <w:rFonts w:hint="eastAsia" w:ascii="宋体" w:hAnsi="宋体" w:cs="宋体"/>
                <w:color w:val="auto"/>
                <w:sz w:val="22"/>
                <w:szCs w:val="21"/>
                <w:highlight w:val="none"/>
                <w:u w:val="single"/>
                <w:lang w:val="en-US" w:eastAsia="zh-CN" w:bidi="ar"/>
              </w:rPr>
              <w:t>项目负责人及技术负责人答辩部分+</w:t>
            </w:r>
            <w:r>
              <w:rPr>
                <w:rFonts w:hint="eastAsia" w:ascii="宋体" w:hAnsi="宋体" w:cs="宋体"/>
                <w:color w:val="auto"/>
                <w:sz w:val="22"/>
                <w:szCs w:val="21"/>
                <w:highlight w:val="none"/>
                <w:u w:val="single"/>
                <w:lang w:bidi="ar"/>
              </w:rPr>
              <w:t>投标报价部分得分”的公式，计算各有效投标文件的总得分，并按照总得分从高到低排序。总得分相同的投标文件，以报价较低的排前；总得分与报价均相同的投标文件，以技术得分较高的排前；如仍存在相同情况，则由评标委员会采用记名投票方式，以得票多的优先。</w:t>
            </w:r>
          </w:p>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color w:val="auto"/>
                <w:sz w:val="24"/>
                <w:szCs w:val="24"/>
                <w:highlight w:val="none"/>
              </w:rPr>
              <w:t>注意评审时，本招标项目总得分为各评委的评分汇总后的算术平均分（分数出现小数点时，保留小数点后二位，第三位小数四舍五入）。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2.2.2</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评标基准价计算方法</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b/>
                <w:color w:val="auto"/>
                <w:sz w:val="24"/>
                <w:szCs w:val="24"/>
                <w:highlight w:val="none"/>
              </w:rPr>
            </w:pPr>
            <w:r>
              <w:rPr>
                <w:rFonts w:hint="eastAsia"/>
                <w:b/>
                <w:color w:val="auto"/>
                <w:sz w:val="24"/>
                <w:szCs w:val="24"/>
                <w:highlight w:val="none"/>
              </w:rPr>
              <w:t>投标价：</w:t>
            </w:r>
          </w:p>
          <w:p>
            <w:pPr>
              <w:pStyle w:val="20"/>
              <w:keepNext w:val="0"/>
              <w:keepLines w:val="0"/>
              <w:suppressLineNumbers w:val="0"/>
              <w:spacing w:before="0" w:beforeAutospacing="0" w:after="0" w:afterAutospacing="0"/>
              <w:ind w:left="0" w:right="0"/>
              <w:rPr>
                <w:rFonts w:hint="default" w:hAnsi="宋体" w:cs="宋体"/>
                <w:color w:val="auto"/>
                <w:sz w:val="24"/>
                <w:szCs w:val="24"/>
                <w:highlight w:val="none"/>
                <w:u w:val="single"/>
                <w:lang w:bidi="ar"/>
              </w:rPr>
            </w:pPr>
            <w:r>
              <w:rPr>
                <w:rFonts w:hint="eastAsia" w:hAnsi="宋体" w:cs="宋体"/>
                <w:color w:val="auto"/>
                <w:sz w:val="24"/>
                <w:szCs w:val="24"/>
                <w:highlight w:val="none"/>
                <w:u w:val="single"/>
                <w:lang w:bidi="ar"/>
              </w:rPr>
              <w:t>当进入第二阶段且投标报价在</w:t>
            </w:r>
            <w:r>
              <w:rPr>
                <w:rFonts w:hint="default" w:hAnsi="宋体" w:cs="宋体"/>
                <w:color w:val="auto"/>
                <w:sz w:val="24"/>
                <w:szCs w:val="24"/>
                <w:highlight w:val="none"/>
                <w:u w:val="single"/>
                <w:lang w:bidi="ar"/>
              </w:rPr>
              <w:t xml:space="preserve">[最高投标限价*90%, </w:t>
            </w:r>
            <w:r>
              <w:rPr>
                <w:rFonts w:hint="eastAsia" w:hAnsi="宋体" w:cs="宋体"/>
                <w:color w:val="auto"/>
                <w:sz w:val="24"/>
                <w:szCs w:val="24"/>
                <w:highlight w:val="none"/>
                <w:u w:val="single"/>
                <w:lang w:bidi="ar"/>
              </w:rPr>
              <w:t>最高投标限价</w:t>
            </w:r>
            <w:r>
              <w:rPr>
                <w:rFonts w:hint="default" w:hAnsi="宋体" w:cs="宋体"/>
                <w:color w:val="auto"/>
                <w:sz w:val="24"/>
                <w:szCs w:val="24"/>
                <w:highlight w:val="none"/>
                <w:u w:val="single"/>
                <w:lang w:bidi="ar"/>
              </w:rPr>
              <w:t>*97%]的投标人</w:t>
            </w:r>
            <w:r>
              <w:rPr>
                <w:rFonts w:hint="eastAsia" w:hAnsi="宋体" w:cs="宋体"/>
                <w:color w:val="auto"/>
                <w:sz w:val="24"/>
                <w:szCs w:val="24"/>
                <w:highlight w:val="none"/>
                <w:u w:val="single"/>
                <w:lang w:bidi="ar"/>
              </w:rPr>
              <w:t>不少于</w:t>
            </w:r>
            <w:r>
              <w:rPr>
                <w:rFonts w:hint="default" w:hAnsi="宋体" w:cs="宋体"/>
                <w:color w:val="auto"/>
                <w:sz w:val="24"/>
                <w:szCs w:val="24"/>
                <w:highlight w:val="none"/>
                <w:u w:val="single"/>
                <w:lang w:bidi="ar"/>
              </w:rPr>
              <w:t>1</w:t>
            </w:r>
            <w:r>
              <w:rPr>
                <w:rFonts w:hint="eastAsia" w:hAnsi="宋体" w:cs="宋体"/>
                <w:color w:val="auto"/>
                <w:sz w:val="24"/>
                <w:szCs w:val="24"/>
                <w:highlight w:val="none"/>
                <w:u w:val="single"/>
                <w:lang w:bidi="ar"/>
              </w:rPr>
              <w:t>名时，取所有入围在此区间内的有效投标价的算术平均值，按随机抽取的计算评标参考价的下浮率</w:t>
            </w:r>
            <w:r>
              <w:rPr>
                <w:rFonts w:hint="default" w:hAnsi="宋体" w:cs="宋体"/>
                <w:color w:val="auto"/>
                <w:sz w:val="24"/>
                <w:szCs w:val="24"/>
                <w:highlight w:val="none"/>
                <w:u w:val="single"/>
                <w:lang w:bidi="ar"/>
              </w:rPr>
              <w:t>X，计算评标参考价；</w:t>
            </w:r>
          </w:p>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hAnsi="宋体" w:cs="宋体"/>
                <w:color w:val="auto"/>
                <w:sz w:val="24"/>
                <w:szCs w:val="24"/>
                <w:highlight w:val="none"/>
                <w:u w:val="single"/>
                <w:lang w:bidi="ar"/>
              </w:rPr>
              <w:t>若所有投标人均不满足前述条件的，则以</w:t>
            </w:r>
            <w:r>
              <w:rPr>
                <w:rFonts w:hint="default" w:hAnsi="宋体" w:cs="宋体"/>
                <w:color w:val="auto"/>
                <w:sz w:val="24"/>
                <w:szCs w:val="24"/>
                <w:highlight w:val="none"/>
                <w:u w:val="single"/>
                <w:lang w:bidi="ar"/>
              </w:rPr>
              <w:t>[最高投标限价*90%，最高投标限价*97%]区间的中间值作为评标参考价。</w:t>
            </w:r>
            <w:r>
              <w:rPr>
                <w:rFonts w:hint="eastAsia" w:hAnsi="宋体" w:cs="宋体"/>
                <w:color w:val="auto"/>
                <w:sz w:val="24"/>
                <w:szCs w:val="24"/>
                <w:highlight w:val="none"/>
                <w:u w:val="single"/>
                <w:lang w:bidi="ar"/>
              </w:rPr>
              <w:t>计算评标参考价的下浮率X：从2%、2.5%、3%、3.5%、4%中通过摇珠机随机抽取其中之一。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2" w:hRule="atLeast"/>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2.2.2</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评分标准</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color w:val="auto"/>
                <w:sz w:val="24"/>
                <w:szCs w:val="24"/>
                <w:highlight w:val="none"/>
              </w:rPr>
              <w:t>详见附表1《</w:t>
            </w:r>
            <w:r>
              <w:rPr>
                <w:rFonts w:hint="eastAsia"/>
                <w:color w:val="auto"/>
                <w:sz w:val="24"/>
                <w:szCs w:val="24"/>
                <w:highlight w:val="none"/>
                <w:lang w:eastAsia="zh-CN"/>
              </w:rPr>
              <w:t>综合评分细则</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1920" w:type="dxa"/>
            <w:gridSpan w:val="2"/>
            <w:tcBorders>
              <w:top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2.2.3</w:t>
            </w:r>
          </w:p>
        </w:tc>
        <w:tc>
          <w:tcPr>
            <w:tcW w:w="2480"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投标报价得分计算方法</w:t>
            </w:r>
          </w:p>
        </w:tc>
        <w:tc>
          <w:tcPr>
            <w:tcW w:w="5016" w:type="dxa"/>
            <w:tcBorders>
              <w:top w:val="single" w:color="auto" w:sz="4" w:space="0"/>
              <w:left w:val="single" w:color="auto" w:sz="4" w:space="0"/>
              <w:bottom w:val="single" w:color="auto" w:sz="4" w:space="0"/>
            </w:tcBorders>
            <w:vAlign w:val="center"/>
          </w:tcPr>
          <w:p>
            <w:pPr>
              <w:pStyle w:val="20"/>
              <w:keepNext w:val="0"/>
              <w:keepLines w:val="0"/>
              <w:suppressLineNumbers w:val="0"/>
              <w:spacing w:before="0" w:beforeAutospacing="0" w:after="0" w:afterAutospacing="0"/>
              <w:ind w:left="0" w:right="0"/>
              <w:rPr>
                <w:rFonts w:hint="default"/>
                <w:color w:val="auto"/>
                <w:sz w:val="24"/>
                <w:szCs w:val="24"/>
                <w:highlight w:val="none"/>
              </w:rPr>
            </w:pPr>
            <w:r>
              <w:rPr>
                <w:rFonts w:hint="eastAsia" w:hAnsi="宋体" w:cs="宋体"/>
                <w:bCs/>
                <w:color w:val="auto"/>
                <w:sz w:val="22"/>
                <w:szCs w:val="24"/>
                <w:highlight w:val="none"/>
              </w:rPr>
              <w:t>详见</w:t>
            </w:r>
            <w:r>
              <w:rPr>
                <w:rFonts w:hint="eastAsia" w:hAnsi="宋体" w:cs="宋体"/>
                <w:bCs/>
                <w:color w:val="auto"/>
                <w:sz w:val="22"/>
                <w:szCs w:val="24"/>
                <w:highlight w:val="none"/>
                <w:lang w:eastAsia="zh-CN"/>
              </w:rPr>
              <w:t>综合评分细则</w:t>
            </w:r>
            <w:r>
              <w:rPr>
                <w:rFonts w:hint="eastAsia" w:hAnsi="宋体" w:cs="宋体"/>
                <w:bCs/>
                <w:color w:val="auto"/>
                <w:sz w:val="22"/>
                <w:szCs w:val="24"/>
                <w:highlight w:val="none"/>
              </w:rPr>
              <w:t>2.2.4（</w:t>
            </w:r>
            <w:r>
              <w:rPr>
                <w:rFonts w:hint="eastAsia" w:hAnsi="宋体" w:cs="宋体"/>
                <w:bCs/>
                <w:color w:val="auto"/>
                <w:sz w:val="22"/>
                <w:szCs w:val="24"/>
                <w:highlight w:val="none"/>
                <w:lang w:val="en-US" w:eastAsia="zh-CN"/>
              </w:rPr>
              <w:t>4</w:t>
            </w:r>
            <w:r>
              <w:rPr>
                <w:rFonts w:hint="eastAsia" w:hAnsi="宋体" w:cs="宋体"/>
                <w:bCs/>
                <w:color w:val="auto"/>
                <w:sz w:val="22"/>
                <w:szCs w:val="24"/>
                <w:highlight w:val="none"/>
              </w:rPr>
              <w:t>）</w:t>
            </w:r>
          </w:p>
        </w:tc>
      </w:tr>
    </w:tbl>
    <w:p>
      <w:pPr>
        <w:pStyle w:val="20"/>
        <w:rPr>
          <w:color w:val="auto"/>
          <w:highlight w:val="none"/>
        </w:rPr>
        <w:sectPr>
          <w:headerReference r:id="rId8" w:type="first"/>
          <w:headerReference r:id="rId7" w:type="default"/>
          <w:footerReference r:id="rId9" w:type="default"/>
          <w:pgSz w:w="11905" w:h="16838"/>
          <w:pgMar w:top="1417" w:right="1417" w:bottom="1417" w:left="1417" w:header="850" w:footer="992" w:gutter="0"/>
          <w:cols w:space="720" w:num="1"/>
          <w:titlePg/>
          <w:docGrid w:type="lines" w:linePitch="317" w:charSpace="0"/>
        </w:sectPr>
      </w:pPr>
    </w:p>
    <w:p>
      <w:pPr>
        <w:spacing w:line="360" w:lineRule="auto"/>
        <w:outlineLvl w:val="2"/>
        <w:rPr>
          <w:rFonts w:hint="eastAsia" w:ascii="宋体" w:hAnsi="宋体" w:eastAsia="宋体" w:cs="宋体"/>
          <w:b/>
          <w:color w:val="auto"/>
          <w:sz w:val="24"/>
          <w:szCs w:val="16"/>
          <w:highlight w:val="none"/>
          <w:lang w:val="en-US" w:eastAsia="zh-CN"/>
        </w:rPr>
      </w:pPr>
      <w:r>
        <w:rPr>
          <w:rFonts w:hint="eastAsia" w:ascii="宋体" w:hAnsi="宋体" w:cs="宋体"/>
          <w:b/>
          <w:color w:val="auto"/>
          <w:sz w:val="24"/>
          <w:szCs w:val="16"/>
          <w:highlight w:val="none"/>
        </w:rPr>
        <w:t>附表1：</w:t>
      </w:r>
      <w:bookmarkEnd w:id="48"/>
      <w:r>
        <w:rPr>
          <w:rFonts w:hint="eastAsia" w:ascii="宋体" w:hAnsi="宋体" w:cs="宋体"/>
          <w:b/>
          <w:color w:val="auto"/>
          <w:sz w:val="24"/>
          <w:szCs w:val="16"/>
          <w:highlight w:val="none"/>
        </w:rPr>
        <w:t>综合评分</w:t>
      </w:r>
      <w:r>
        <w:rPr>
          <w:rFonts w:hint="eastAsia" w:ascii="宋体" w:hAnsi="宋体" w:cs="宋体"/>
          <w:b/>
          <w:color w:val="auto"/>
          <w:sz w:val="24"/>
          <w:szCs w:val="16"/>
          <w:highlight w:val="none"/>
          <w:lang w:val="en-US" w:eastAsia="zh-CN"/>
        </w:rPr>
        <w:t>细则</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42" w:firstLineChars="200"/>
        <w:textAlignment w:val="auto"/>
        <w:outlineLvl w:val="3"/>
        <w:rPr>
          <w:rFonts w:hint="eastAsia" w:ascii="宋体" w:hAnsi="宋体" w:eastAsia="宋体" w:cs="宋体"/>
          <w:b/>
          <w:bCs w:val="0"/>
          <w:color w:val="auto"/>
          <w:sz w:val="22"/>
          <w:szCs w:val="24"/>
          <w:highlight w:val="none"/>
          <w:lang w:eastAsia="zh-CN"/>
        </w:rPr>
      </w:pPr>
      <w:bookmarkStart w:id="58" w:name="OLE_LINK17"/>
      <w:r>
        <w:rPr>
          <w:rFonts w:hint="eastAsia" w:ascii="宋体" w:hAnsi="宋体" w:cs="宋体"/>
          <w:b/>
          <w:bCs w:val="0"/>
          <w:color w:val="auto"/>
          <w:sz w:val="22"/>
          <w:szCs w:val="24"/>
          <w:highlight w:val="none"/>
        </w:rPr>
        <w:t>2.2.4（1）资信业绩评分</w:t>
      </w:r>
      <w:r>
        <w:rPr>
          <w:rFonts w:hint="eastAsia" w:ascii="宋体" w:hAnsi="宋体" w:cs="宋体"/>
          <w:b/>
          <w:bCs w:val="0"/>
          <w:color w:val="auto"/>
          <w:sz w:val="22"/>
          <w:szCs w:val="24"/>
          <w:highlight w:val="none"/>
          <w:lang w:eastAsia="zh-CN"/>
        </w:rPr>
        <w:t>（</w:t>
      </w:r>
      <w:r>
        <w:rPr>
          <w:rFonts w:hint="eastAsia" w:ascii="宋体" w:hAnsi="宋体" w:cs="宋体"/>
          <w:b/>
          <w:bCs w:val="0"/>
          <w:color w:val="auto"/>
          <w:sz w:val="22"/>
          <w:szCs w:val="24"/>
          <w:highlight w:val="none"/>
          <w:lang w:val="en-US" w:eastAsia="zh-CN"/>
        </w:rPr>
        <w:t>38分</w:t>
      </w:r>
      <w:r>
        <w:rPr>
          <w:rFonts w:hint="eastAsia" w:ascii="宋体" w:hAnsi="宋体" w:cs="宋体"/>
          <w:b/>
          <w:bCs w:val="0"/>
          <w:color w:val="auto"/>
          <w:sz w:val="22"/>
          <w:szCs w:val="24"/>
          <w:highlight w:val="none"/>
          <w:lang w:eastAsia="zh-CN"/>
        </w:rPr>
        <w:t>）</w:t>
      </w:r>
    </w:p>
    <w:bookmarkEnd w:id="58"/>
    <w:tbl>
      <w:tblPr>
        <w:tblStyle w:val="38"/>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46"/>
        <w:gridCol w:w="1190"/>
        <w:gridCol w:w="74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bCs/>
                <w:color w:val="auto"/>
                <w:sz w:val="22"/>
                <w:szCs w:val="24"/>
                <w:highlight w:val="none"/>
              </w:rPr>
            </w:pPr>
            <w:r>
              <w:rPr>
                <w:rFonts w:hint="eastAsia" w:ascii="宋体" w:hAnsi="宋体" w:cs="宋体"/>
                <w:b/>
                <w:bCs/>
                <w:color w:val="auto"/>
                <w:sz w:val="22"/>
                <w:szCs w:val="24"/>
                <w:highlight w:val="none"/>
              </w:rPr>
              <w:t>条款号</w:t>
            </w:r>
          </w:p>
        </w:tc>
        <w:tc>
          <w:tcPr>
            <w:tcW w:w="621"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bCs/>
                <w:color w:val="auto"/>
                <w:sz w:val="22"/>
                <w:szCs w:val="24"/>
                <w:highlight w:val="none"/>
              </w:rPr>
            </w:pPr>
            <w:r>
              <w:rPr>
                <w:rFonts w:hint="eastAsia" w:ascii="宋体" w:hAnsi="宋体" w:cs="宋体"/>
                <w:b/>
                <w:bCs/>
                <w:color w:val="auto"/>
                <w:sz w:val="22"/>
                <w:szCs w:val="24"/>
                <w:highlight w:val="none"/>
              </w:rPr>
              <w:t>评分因素</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bCs/>
                <w:color w:val="auto"/>
                <w:sz w:val="22"/>
                <w:szCs w:val="24"/>
                <w:highlight w:val="none"/>
              </w:rPr>
            </w:pPr>
            <w:r>
              <w:rPr>
                <w:rFonts w:hint="eastAsia" w:ascii="宋体" w:hAnsi="宋体" w:cs="宋体"/>
                <w:b/>
                <w:bCs/>
                <w:color w:val="auto"/>
                <w:sz w:val="22"/>
                <w:szCs w:val="24"/>
                <w:highlight w:val="none"/>
              </w:rPr>
              <w:t>评审分值</w:t>
            </w:r>
          </w:p>
        </w:tc>
        <w:tc>
          <w:tcPr>
            <w:tcW w:w="297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bCs/>
                <w:color w:val="auto"/>
                <w:sz w:val="22"/>
                <w:szCs w:val="24"/>
                <w:highlight w:val="none"/>
              </w:rPr>
            </w:pPr>
            <w:r>
              <w:rPr>
                <w:rFonts w:hint="eastAsia" w:ascii="宋体" w:hAnsi="宋体" w:cs="宋体"/>
                <w:b/>
                <w:bCs/>
                <w:color w:val="auto"/>
                <w:sz w:val="22"/>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62" w:type="pct"/>
            <w:vMerge w:val="restar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
                <w:bCs w:val="0"/>
                <w:color w:val="auto"/>
                <w:sz w:val="22"/>
                <w:szCs w:val="24"/>
                <w:highlight w:val="none"/>
              </w:rPr>
              <w:t>2.2.4（1）</w:t>
            </w:r>
          </w:p>
        </w:tc>
        <w:tc>
          <w:tcPr>
            <w:tcW w:w="545" w:type="pct"/>
            <w:vMerge w:val="restar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资信业绩评分标准（</w:t>
            </w:r>
            <w:r>
              <w:rPr>
                <w:rFonts w:hint="eastAsia" w:ascii="宋体" w:hAnsi="宋体" w:cs="宋体"/>
                <w:bCs/>
                <w:color w:val="auto"/>
                <w:sz w:val="22"/>
                <w:szCs w:val="24"/>
                <w:highlight w:val="none"/>
                <w:lang w:val="en-US" w:eastAsia="zh-CN"/>
              </w:rPr>
              <w:t>38</w:t>
            </w:r>
            <w:r>
              <w:rPr>
                <w:rFonts w:hint="eastAsia" w:ascii="宋体" w:hAnsi="宋体" w:cs="宋体"/>
                <w:bCs/>
                <w:color w:val="auto"/>
                <w:sz w:val="22"/>
                <w:szCs w:val="24"/>
                <w:highlight w:val="none"/>
              </w:rPr>
              <w:t>分）</w:t>
            </w: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管理体系认证</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3</w:t>
            </w:r>
          </w:p>
        </w:tc>
        <w:tc>
          <w:tcPr>
            <w:tcW w:w="2979"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投标人（</w:t>
            </w:r>
            <w:bookmarkStart w:id="59" w:name="OLE_LINK18"/>
            <w:r>
              <w:rPr>
                <w:rFonts w:hint="eastAsia" w:ascii="宋体" w:hAnsi="宋体" w:cs="宋体"/>
                <w:bCs/>
                <w:color w:val="auto"/>
                <w:sz w:val="22"/>
                <w:szCs w:val="24"/>
                <w:highlight w:val="none"/>
              </w:rPr>
              <w:t>若为联合体，为联合体主办方</w:t>
            </w:r>
            <w:bookmarkEnd w:id="59"/>
            <w:r>
              <w:rPr>
                <w:rFonts w:hint="eastAsia" w:ascii="宋体" w:hAnsi="宋体" w:cs="宋体"/>
                <w:bCs/>
                <w:color w:val="auto"/>
                <w:sz w:val="22"/>
                <w:szCs w:val="24"/>
                <w:highlight w:val="none"/>
              </w:rPr>
              <w:t>）同时具有①质量管理体系认证证书、②环境管理体系认证证书、③职业健康安全管理体系认证证书得1分，每少一个证书扣3分，扣完为止。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3" w:hRule="atLeast"/>
          <w:jc w:val="center"/>
        </w:trPr>
        <w:tc>
          <w:tcPr>
            <w:tcW w:w="462"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545"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业绩要求</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10</w:t>
            </w:r>
          </w:p>
        </w:tc>
        <w:tc>
          <w:tcPr>
            <w:tcW w:w="2979"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根据投标人自2008年1月1日以来类似项目经验的进行评分</w:t>
            </w:r>
            <w:r>
              <w:rPr>
                <w:rFonts w:hint="eastAsia" w:ascii="宋体" w:hAnsi="宋体" w:cs="宋体"/>
                <w:bCs/>
                <w:color w:val="auto"/>
                <w:sz w:val="22"/>
                <w:szCs w:val="24"/>
                <w:highlight w:val="none"/>
                <w:lang w:eastAsia="zh-CN"/>
              </w:rPr>
              <w:t>（本项最高得</w:t>
            </w:r>
            <w:r>
              <w:rPr>
                <w:rFonts w:hint="eastAsia" w:ascii="宋体" w:hAnsi="宋体" w:cs="宋体"/>
                <w:bCs/>
                <w:color w:val="auto"/>
                <w:sz w:val="22"/>
                <w:szCs w:val="24"/>
                <w:highlight w:val="none"/>
                <w:lang w:val="en-US" w:eastAsia="zh-CN"/>
              </w:rPr>
              <w:t>10分</w:t>
            </w:r>
            <w:r>
              <w:rPr>
                <w:rFonts w:hint="eastAsia" w:ascii="宋体" w:hAnsi="宋体" w:cs="宋体"/>
                <w:bCs/>
                <w:color w:val="auto"/>
                <w:sz w:val="22"/>
                <w:szCs w:val="24"/>
                <w:highlight w:val="none"/>
                <w:lang w:eastAsia="zh-CN"/>
              </w:rPr>
              <w:t>）</w:t>
            </w:r>
            <w:r>
              <w:rPr>
                <w:rFonts w:hint="eastAsia" w:ascii="宋体" w:hAnsi="宋体" w:cs="宋体"/>
                <w:bCs/>
                <w:color w:val="auto"/>
                <w:sz w:val="22"/>
                <w:szCs w:val="24"/>
                <w:highlight w:val="none"/>
              </w:rPr>
              <w:t>：</w:t>
            </w:r>
          </w:p>
          <w:p>
            <w:pPr>
              <w:pStyle w:val="2"/>
              <w:keepNext w:val="0"/>
              <w:keepLines w:val="0"/>
              <w:suppressLineNumbers w:val="0"/>
              <w:spacing w:before="0" w:beforeAutospacing="0" w:after="0" w:afterAutospacing="0"/>
              <w:ind w:left="0" w:right="0" w:firstLine="0"/>
              <w:rPr>
                <w:rFonts w:hint="default"/>
                <w:color w:val="auto"/>
                <w:highlight w:val="none"/>
              </w:rPr>
            </w:pPr>
            <w:r>
              <w:rPr>
                <w:rFonts w:hint="eastAsia"/>
                <w:color w:val="auto"/>
                <w:highlight w:val="none"/>
              </w:rPr>
              <w:t>（一）具有</w:t>
            </w:r>
            <w:r>
              <w:rPr>
                <w:rFonts w:hint="eastAsia" w:ascii="宋体" w:hAnsi="宋体" w:cs="宋体"/>
                <w:bCs/>
                <w:color w:val="auto"/>
                <w:sz w:val="22"/>
                <w:szCs w:val="24"/>
                <w:highlight w:val="none"/>
              </w:rPr>
              <w:t>国际国内重大活动供电服务保障项目经验</w:t>
            </w:r>
            <w:r>
              <w:rPr>
                <w:rFonts w:hint="eastAsia" w:ascii="宋体" w:hAnsi="宋体" w:cs="宋体"/>
                <w:bCs/>
                <w:color w:val="auto"/>
                <w:sz w:val="22"/>
                <w:szCs w:val="24"/>
                <w:highlight w:val="none"/>
                <w:lang w:eastAsia="zh-CN"/>
              </w:rPr>
              <w:t>（本项最高得</w:t>
            </w:r>
            <w:r>
              <w:rPr>
                <w:rFonts w:hint="eastAsia" w:ascii="宋体" w:hAnsi="宋体" w:cs="宋体"/>
                <w:bCs/>
                <w:color w:val="auto"/>
                <w:sz w:val="22"/>
                <w:szCs w:val="24"/>
                <w:highlight w:val="none"/>
                <w:lang w:val="en-US" w:eastAsia="zh-CN"/>
              </w:rPr>
              <w:t>2分</w:t>
            </w:r>
            <w:r>
              <w:rPr>
                <w:rFonts w:hint="eastAsia" w:ascii="宋体" w:hAnsi="宋体" w:cs="宋体"/>
                <w:bCs/>
                <w:color w:val="auto"/>
                <w:sz w:val="22"/>
                <w:szCs w:val="24"/>
                <w:highlight w:val="none"/>
                <w:lang w:eastAsia="zh-CN"/>
              </w:rPr>
              <w:t>）</w:t>
            </w:r>
            <w:r>
              <w:rPr>
                <w:rFonts w:hint="eastAsia" w:ascii="宋体" w:hAnsi="宋体" w:cs="宋体"/>
                <w:bCs/>
                <w:color w:val="auto"/>
                <w:sz w:val="22"/>
                <w:szCs w:val="24"/>
                <w:highlight w:val="none"/>
              </w:rPr>
              <w:t>：</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1.合同金额超过（含）</w:t>
            </w:r>
            <w:r>
              <w:rPr>
                <w:rFonts w:hint="eastAsia" w:ascii="宋体" w:hAnsi="宋体" w:cs="宋体"/>
                <w:bCs/>
                <w:color w:val="auto"/>
                <w:sz w:val="22"/>
                <w:szCs w:val="24"/>
                <w:highlight w:val="none"/>
                <w:lang w:val="en-US" w:eastAsia="zh-CN"/>
              </w:rPr>
              <w:t>1000</w:t>
            </w:r>
            <w:r>
              <w:rPr>
                <w:rFonts w:hint="eastAsia" w:ascii="宋体" w:hAnsi="宋体" w:cs="宋体"/>
                <w:bCs/>
                <w:color w:val="auto"/>
                <w:sz w:val="22"/>
                <w:szCs w:val="24"/>
                <w:highlight w:val="none"/>
              </w:rPr>
              <w:t>万元，</w:t>
            </w:r>
            <w:r>
              <w:rPr>
                <w:rFonts w:hint="eastAsia" w:ascii="宋体" w:hAnsi="宋体" w:cs="宋体"/>
                <w:bCs/>
                <w:color w:val="auto"/>
                <w:sz w:val="22"/>
                <w:szCs w:val="24"/>
                <w:highlight w:val="none"/>
                <w:lang w:eastAsia="zh-CN"/>
              </w:rPr>
              <w:t>每项</w:t>
            </w:r>
            <w:r>
              <w:rPr>
                <w:rFonts w:hint="eastAsia" w:ascii="宋体" w:hAnsi="宋体" w:cs="宋体"/>
                <w:bCs/>
                <w:color w:val="auto"/>
                <w:sz w:val="22"/>
                <w:szCs w:val="24"/>
                <w:highlight w:val="none"/>
              </w:rPr>
              <w:t>得</w:t>
            </w:r>
            <w:r>
              <w:rPr>
                <w:rFonts w:hint="eastAsia" w:ascii="宋体" w:hAnsi="宋体" w:cs="宋体"/>
                <w:bCs/>
                <w:color w:val="auto"/>
                <w:sz w:val="22"/>
                <w:szCs w:val="24"/>
                <w:highlight w:val="none"/>
                <w:lang w:val="en-US" w:eastAsia="zh-CN"/>
              </w:rPr>
              <w:t>0.5</w:t>
            </w:r>
            <w:r>
              <w:rPr>
                <w:rFonts w:hint="eastAsia" w:ascii="宋体" w:hAnsi="宋体" w:cs="宋体"/>
                <w:bCs/>
                <w:color w:val="auto"/>
                <w:sz w:val="22"/>
                <w:szCs w:val="24"/>
                <w:highlight w:val="none"/>
              </w:rPr>
              <w:t>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2.合同金额低于</w:t>
            </w:r>
            <w:r>
              <w:rPr>
                <w:rFonts w:hint="eastAsia" w:ascii="宋体" w:hAnsi="宋体" w:cs="宋体"/>
                <w:bCs/>
                <w:color w:val="auto"/>
                <w:sz w:val="22"/>
                <w:szCs w:val="24"/>
                <w:highlight w:val="none"/>
                <w:lang w:val="en-US" w:eastAsia="zh-CN"/>
              </w:rPr>
              <w:t>1</w:t>
            </w:r>
            <w:r>
              <w:rPr>
                <w:rFonts w:hint="eastAsia" w:ascii="宋体" w:hAnsi="宋体" w:cs="宋体"/>
                <w:bCs/>
                <w:color w:val="auto"/>
                <w:sz w:val="22"/>
                <w:szCs w:val="24"/>
                <w:highlight w:val="none"/>
              </w:rPr>
              <w:t>000万元，不得分；</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Cs/>
                <w:color w:val="auto"/>
                <w:sz w:val="22"/>
                <w:szCs w:val="24"/>
                <w:highlight w:val="none"/>
                <w:lang w:val="en-US" w:eastAsia="zh-CN"/>
              </w:rPr>
            </w:pPr>
            <w:r>
              <w:rPr>
                <w:rFonts w:hint="eastAsia" w:ascii="宋体" w:hAnsi="宋体" w:cs="宋体"/>
                <w:bCs/>
                <w:color w:val="auto"/>
                <w:sz w:val="22"/>
                <w:szCs w:val="24"/>
                <w:highlight w:val="none"/>
                <w:lang w:val="en-US" w:eastAsia="zh-CN"/>
              </w:rPr>
              <w:t>3</w:t>
            </w:r>
            <w:r>
              <w:rPr>
                <w:rFonts w:hint="eastAsia" w:ascii="宋体" w:hAnsi="宋体" w:cs="宋体"/>
                <w:bCs/>
                <w:color w:val="auto"/>
                <w:sz w:val="22"/>
                <w:szCs w:val="24"/>
                <w:highlight w:val="none"/>
              </w:rPr>
              <w:t>.无业绩不得分</w:t>
            </w:r>
            <w:bookmarkStart w:id="173" w:name="_GoBack"/>
            <w:bookmarkEnd w:id="173"/>
            <w:r>
              <w:rPr>
                <w:rFonts w:hint="eastAsia" w:ascii="宋体" w:hAnsi="宋体" w:cs="宋体"/>
                <w:bCs/>
                <w:color w:val="auto"/>
                <w:sz w:val="22"/>
                <w:szCs w:val="24"/>
                <w:highlight w:val="none"/>
              </w:rPr>
              <w:t>。</w:t>
            </w: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2"/>
                <w:szCs w:val="24"/>
                <w:highlight w:val="none"/>
              </w:rPr>
            </w:pPr>
          </w:p>
          <w:p>
            <w:pPr>
              <w:pStyle w:val="2"/>
              <w:keepNext w:val="0"/>
              <w:keepLines w:val="0"/>
              <w:suppressLineNumbers w:val="0"/>
              <w:spacing w:before="0" w:beforeAutospacing="0" w:after="0" w:afterAutospacing="0"/>
              <w:ind w:left="0" w:right="0" w:firstLine="0"/>
              <w:rPr>
                <w:rFonts w:hint="default" w:ascii="宋体" w:hAnsi="宋体" w:cs="宋体"/>
                <w:bCs/>
                <w:color w:val="auto"/>
                <w:sz w:val="22"/>
                <w:szCs w:val="24"/>
                <w:highlight w:val="none"/>
              </w:rPr>
            </w:pPr>
            <w:r>
              <w:rPr>
                <w:rFonts w:hint="eastAsia" w:ascii="宋体" w:hAnsi="宋体" w:cs="宋体"/>
                <w:bCs/>
                <w:color w:val="auto"/>
                <w:sz w:val="22"/>
                <w:szCs w:val="24"/>
                <w:highlight w:val="none"/>
              </w:rPr>
              <w:t>（二）具有国际国内重大活动开幕式或闭幕式供电服务保障项目经验</w:t>
            </w:r>
            <w:r>
              <w:rPr>
                <w:rFonts w:hint="eastAsia" w:ascii="宋体" w:hAnsi="宋体" w:cs="宋体"/>
                <w:bCs/>
                <w:color w:val="auto"/>
                <w:sz w:val="22"/>
                <w:szCs w:val="24"/>
                <w:highlight w:val="none"/>
                <w:lang w:eastAsia="zh-CN"/>
              </w:rPr>
              <w:t>（本项最高得</w:t>
            </w:r>
            <w:r>
              <w:rPr>
                <w:rFonts w:hint="eastAsia" w:ascii="宋体" w:hAnsi="宋体" w:cs="宋体"/>
                <w:bCs/>
                <w:color w:val="auto"/>
                <w:sz w:val="22"/>
                <w:szCs w:val="24"/>
                <w:highlight w:val="none"/>
                <w:lang w:val="en-US" w:eastAsia="zh-CN"/>
              </w:rPr>
              <w:t>3分</w:t>
            </w:r>
            <w:r>
              <w:rPr>
                <w:rFonts w:hint="eastAsia" w:ascii="宋体" w:hAnsi="宋体" w:cs="宋体"/>
                <w:bCs/>
                <w:color w:val="auto"/>
                <w:sz w:val="22"/>
                <w:szCs w:val="24"/>
                <w:highlight w:val="none"/>
                <w:lang w:eastAsia="zh-CN"/>
              </w:rPr>
              <w:t>）</w:t>
            </w:r>
            <w:r>
              <w:rPr>
                <w:rFonts w:hint="eastAsia" w:ascii="宋体" w:hAnsi="宋体" w:cs="宋体"/>
                <w:bCs/>
                <w:color w:val="auto"/>
                <w:sz w:val="22"/>
                <w:szCs w:val="24"/>
                <w:highlight w:val="none"/>
              </w:rPr>
              <w:t>：</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1.合同金额超过（含）</w:t>
            </w:r>
            <w:r>
              <w:rPr>
                <w:rFonts w:hint="eastAsia" w:ascii="宋体" w:hAnsi="宋体" w:cs="宋体"/>
                <w:bCs/>
                <w:color w:val="auto"/>
                <w:sz w:val="22"/>
                <w:szCs w:val="24"/>
                <w:highlight w:val="none"/>
                <w:lang w:val="en-US" w:eastAsia="zh-CN"/>
              </w:rPr>
              <w:t>1</w:t>
            </w:r>
            <w:r>
              <w:rPr>
                <w:rFonts w:hint="eastAsia" w:ascii="宋体" w:hAnsi="宋体" w:cs="宋体"/>
                <w:bCs/>
                <w:color w:val="auto"/>
                <w:sz w:val="22"/>
                <w:szCs w:val="24"/>
                <w:highlight w:val="none"/>
              </w:rPr>
              <w:t>000万元，</w:t>
            </w:r>
            <w:r>
              <w:rPr>
                <w:rFonts w:hint="eastAsia" w:ascii="宋体" w:hAnsi="宋体" w:cs="宋体"/>
                <w:bCs/>
                <w:color w:val="auto"/>
                <w:sz w:val="22"/>
                <w:szCs w:val="24"/>
                <w:highlight w:val="none"/>
                <w:lang w:eastAsia="zh-CN"/>
              </w:rPr>
              <w:t>每项</w:t>
            </w:r>
            <w:r>
              <w:rPr>
                <w:rFonts w:hint="eastAsia" w:ascii="宋体" w:hAnsi="宋体" w:cs="宋体"/>
                <w:bCs/>
                <w:color w:val="auto"/>
                <w:sz w:val="22"/>
                <w:szCs w:val="24"/>
                <w:highlight w:val="none"/>
              </w:rPr>
              <w:t>得</w:t>
            </w:r>
            <w:r>
              <w:rPr>
                <w:rFonts w:hint="eastAsia" w:ascii="宋体" w:hAnsi="宋体" w:cs="宋体"/>
                <w:bCs/>
                <w:color w:val="auto"/>
                <w:sz w:val="22"/>
                <w:szCs w:val="24"/>
                <w:highlight w:val="none"/>
                <w:lang w:val="en-US" w:eastAsia="zh-CN"/>
              </w:rPr>
              <w:t>1</w:t>
            </w:r>
            <w:r>
              <w:rPr>
                <w:rFonts w:hint="eastAsia" w:ascii="宋体" w:hAnsi="宋体" w:cs="宋体"/>
                <w:bCs/>
                <w:color w:val="auto"/>
                <w:sz w:val="22"/>
                <w:szCs w:val="24"/>
                <w:highlight w:val="none"/>
              </w:rPr>
              <w:t>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2.合同金额低于</w:t>
            </w:r>
            <w:r>
              <w:rPr>
                <w:rFonts w:hint="default" w:ascii="宋体" w:hAnsi="宋体" w:cs="宋体"/>
                <w:bCs/>
                <w:color w:val="auto"/>
                <w:sz w:val="22"/>
                <w:szCs w:val="24"/>
                <w:highlight w:val="none"/>
              </w:rPr>
              <w:t>1</w:t>
            </w:r>
            <w:r>
              <w:rPr>
                <w:rFonts w:hint="eastAsia" w:ascii="宋体" w:hAnsi="宋体" w:cs="宋体"/>
                <w:bCs/>
                <w:color w:val="auto"/>
                <w:sz w:val="22"/>
                <w:szCs w:val="24"/>
                <w:highlight w:val="none"/>
              </w:rPr>
              <w:t>000万元，不得分；</w:t>
            </w: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2"/>
                <w:szCs w:val="24"/>
                <w:highlight w:val="none"/>
              </w:rPr>
            </w:pPr>
            <w:r>
              <w:rPr>
                <w:rFonts w:hint="eastAsia" w:ascii="宋体" w:hAnsi="宋体" w:cs="宋体"/>
                <w:bCs/>
                <w:color w:val="auto"/>
                <w:sz w:val="22"/>
                <w:szCs w:val="24"/>
                <w:highlight w:val="none"/>
              </w:rPr>
              <w:t>4.无业绩不得分。</w:t>
            </w:r>
          </w:p>
          <w:p>
            <w:pPr>
              <w:pStyle w:val="2"/>
              <w:keepNext w:val="0"/>
              <w:keepLines w:val="0"/>
              <w:suppressLineNumbers w:val="0"/>
              <w:spacing w:before="0" w:beforeAutospacing="0" w:after="0" w:afterAutospacing="0"/>
              <w:ind w:left="0" w:right="0" w:firstLine="0"/>
              <w:rPr>
                <w:rFonts w:hint="default"/>
                <w:color w:val="auto"/>
                <w:highlight w:val="none"/>
              </w:rPr>
            </w:pPr>
          </w:p>
          <w:p>
            <w:pPr>
              <w:pStyle w:val="2"/>
              <w:keepNext w:val="0"/>
              <w:keepLines w:val="0"/>
              <w:suppressLineNumbers w:val="0"/>
              <w:spacing w:before="0" w:beforeAutospacing="0" w:after="0" w:afterAutospacing="0"/>
              <w:ind w:left="0" w:right="0" w:firstLine="0"/>
              <w:rPr>
                <w:rFonts w:hint="default" w:ascii="宋体" w:hAnsi="宋体" w:cs="宋体"/>
                <w:bCs/>
                <w:color w:val="auto"/>
                <w:sz w:val="22"/>
                <w:szCs w:val="24"/>
                <w:highlight w:val="none"/>
              </w:rPr>
            </w:pPr>
            <w:r>
              <w:rPr>
                <w:rFonts w:hint="eastAsia" w:ascii="宋体" w:hAnsi="宋体" w:cs="宋体"/>
                <w:bCs/>
                <w:color w:val="auto"/>
                <w:sz w:val="22"/>
                <w:szCs w:val="24"/>
                <w:highlight w:val="none"/>
              </w:rPr>
              <w:t>（三）</w:t>
            </w:r>
            <w:bookmarkStart w:id="60" w:name="OLE_LINK1"/>
            <w:r>
              <w:rPr>
                <w:rFonts w:hint="eastAsia" w:ascii="宋体" w:hAnsi="宋体" w:cs="宋体"/>
                <w:bCs/>
                <w:color w:val="auto"/>
                <w:sz w:val="22"/>
                <w:szCs w:val="24"/>
                <w:highlight w:val="none"/>
              </w:rPr>
              <w:t>具有国际国内重大活动开幕式或闭幕式微电网供电服务保障项目</w:t>
            </w:r>
            <w:bookmarkEnd w:id="60"/>
            <w:r>
              <w:rPr>
                <w:rFonts w:hint="eastAsia" w:ascii="宋体" w:hAnsi="宋体" w:cs="宋体"/>
                <w:bCs/>
                <w:color w:val="auto"/>
                <w:sz w:val="22"/>
                <w:szCs w:val="24"/>
                <w:highlight w:val="none"/>
              </w:rPr>
              <w:t>经验</w:t>
            </w:r>
            <w:r>
              <w:rPr>
                <w:rFonts w:hint="eastAsia" w:ascii="宋体" w:hAnsi="宋体" w:cs="宋体"/>
                <w:bCs/>
                <w:color w:val="auto"/>
                <w:sz w:val="22"/>
                <w:szCs w:val="24"/>
                <w:highlight w:val="none"/>
                <w:lang w:eastAsia="zh-CN"/>
              </w:rPr>
              <w:t>（本项最高得</w:t>
            </w:r>
            <w:r>
              <w:rPr>
                <w:rFonts w:hint="eastAsia" w:ascii="宋体" w:hAnsi="宋体" w:cs="宋体"/>
                <w:bCs/>
                <w:color w:val="auto"/>
                <w:sz w:val="22"/>
                <w:szCs w:val="24"/>
                <w:highlight w:val="none"/>
                <w:lang w:val="en-US" w:eastAsia="zh-CN"/>
              </w:rPr>
              <w:t>10分</w:t>
            </w:r>
            <w:r>
              <w:rPr>
                <w:rFonts w:hint="eastAsia" w:ascii="宋体" w:hAnsi="宋体" w:cs="宋体"/>
                <w:bCs/>
                <w:color w:val="auto"/>
                <w:sz w:val="22"/>
                <w:szCs w:val="24"/>
                <w:highlight w:val="none"/>
                <w:lang w:eastAsia="zh-CN"/>
              </w:rPr>
              <w:t>）</w:t>
            </w:r>
            <w:r>
              <w:rPr>
                <w:rFonts w:hint="eastAsia" w:ascii="宋体" w:hAnsi="宋体" w:cs="宋体"/>
                <w:bCs/>
                <w:color w:val="auto"/>
                <w:sz w:val="22"/>
                <w:szCs w:val="24"/>
                <w:highlight w:val="none"/>
              </w:rPr>
              <w:t>：</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1.合同金额超过（含）</w:t>
            </w:r>
            <w:r>
              <w:rPr>
                <w:rFonts w:hint="eastAsia" w:ascii="宋体" w:hAnsi="宋体" w:cs="宋体"/>
                <w:bCs/>
                <w:color w:val="auto"/>
                <w:sz w:val="22"/>
                <w:szCs w:val="24"/>
                <w:highlight w:val="none"/>
                <w:lang w:val="en-US" w:eastAsia="zh-CN"/>
              </w:rPr>
              <w:t>1</w:t>
            </w:r>
            <w:r>
              <w:rPr>
                <w:rFonts w:hint="eastAsia" w:ascii="宋体" w:hAnsi="宋体" w:cs="宋体"/>
                <w:bCs/>
                <w:color w:val="auto"/>
                <w:sz w:val="22"/>
                <w:szCs w:val="24"/>
                <w:highlight w:val="none"/>
              </w:rPr>
              <w:t>000万元，</w:t>
            </w:r>
            <w:r>
              <w:rPr>
                <w:rFonts w:hint="eastAsia" w:ascii="宋体" w:hAnsi="宋体" w:cs="宋体"/>
                <w:bCs/>
                <w:color w:val="auto"/>
                <w:sz w:val="22"/>
                <w:szCs w:val="24"/>
                <w:highlight w:val="none"/>
                <w:lang w:eastAsia="zh-CN"/>
              </w:rPr>
              <w:t>每项</w:t>
            </w:r>
            <w:r>
              <w:rPr>
                <w:rFonts w:hint="eastAsia" w:ascii="宋体" w:hAnsi="宋体" w:cs="宋体"/>
                <w:bCs/>
                <w:color w:val="auto"/>
                <w:sz w:val="22"/>
                <w:szCs w:val="24"/>
                <w:highlight w:val="none"/>
              </w:rPr>
              <w:t>得</w:t>
            </w:r>
            <w:r>
              <w:rPr>
                <w:rFonts w:hint="eastAsia" w:ascii="宋体" w:hAnsi="宋体" w:cs="宋体"/>
                <w:bCs/>
                <w:color w:val="auto"/>
                <w:sz w:val="22"/>
                <w:szCs w:val="24"/>
                <w:highlight w:val="none"/>
                <w:lang w:val="en-US" w:eastAsia="zh-CN"/>
              </w:rPr>
              <w:t>5</w:t>
            </w:r>
            <w:r>
              <w:rPr>
                <w:rFonts w:hint="eastAsia" w:ascii="宋体" w:hAnsi="宋体" w:cs="宋体"/>
                <w:bCs/>
                <w:color w:val="auto"/>
                <w:sz w:val="22"/>
                <w:szCs w:val="24"/>
                <w:highlight w:val="none"/>
              </w:rPr>
              <w:t>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2.合同金额低于</w:t>
            </w:r>
            <w:r>
              <w:rPr>
                <w:rFonts w:hint="default" w:ascii="宋体" w:hAnsi="宋体" w:cs="宋体"/>
                <w:bCs/>
                <w:color w:val="auto"/>
                <w:sz w:val="22"/>
                <w:szCs w:val="24"/>
                <w:highlight w:val="none"/>
              </w:rPr>
              <w:t>1</w:t>
            </w:r>
            <w:r>
              <w:rPr>
                <w:rFonts w:hint="eastAsia" w:ascii="宋体" w:hAnsi="宋体" w:cs="宋体"/>
                <w:bCs/>
                <w:color w:val="auto"/>
                <w:sz w:val="22"/>
                <w:szCs w:val="24"/>
                <w:highlight w:val="none"/>
              </w:rPr>
              <w:t>000万元，不得分；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lang w:val="en-US" w:eastAsia="zh-CN"/>
              </w:rPr>
              <w:t>3</w:t>
            </w:r>
            <w:r>
              <w:rPr>
                <w:rFonts w:hint="eastAsia" w:ascii="宋体" w:hAnsi="宋体" w:cs="宋体"/>
                <w:bCs/>
                <w:color w:val="auto"/>
                <w:sz w:val="22"/>
                <w:szCs w:val="24"/>
                <w:highlight w:val="none"/>
              </w:rPr>
              <w:t>.无业绩不得分。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注：（1）国际国内重大活动，包括国家级或以上级别综合性运动会和在国内举行的国际重大会议：①国家级或以上级别综合性运动会是指如中华人民共和国全国运动会、亚洲运动会、亚洲青年运动会、世界大学生运动会、世界运动会、奥林匹克运动会、世界军人运动会、全国少数民族运动国家级或以上级别的综合性运动会。其中国家级别综合性运动会仅限于中国境内举办的相关综合性运动会。</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②在国内举行的国际重大会议是指G20峰会、APEC峰会、上海合作组织峰会、金砖国家领导人峰会、中亚峰会、中非论坛、博鳌亚洲论坛、中国进出口商品交易会（广交会）、中国国际进口博览会（进博会）等。）</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w:t>
            </w:r>
            <w:r>
              <w:rPr>
                <w:rFonts w:hint="eastAsia" w:ascii="宋体" w:hAnsi="宋体" w:cs="宋体"/>
                <w:bCs/>
                <w:color w:val="auto"/>
                <w:sz w:val="22"/>
                <w:szCs w:val="24"/>
                <w:highlight w:val="none"/>
                <w:lang w:val="en-US" w:eastAsia="zh-CN"/>
              </w:rPr>
              <w:t>2</w:t>
            </w:r>
            <w:r>
              <w:rPr>
                <w:rFonts w:hint="eastAsia" w:ascii="宋体" w:hAnsi="宋体" w:cs="宋体"/>
                <w:bCs/>
                <w:color w:val="auto"/>
                <w:sz w:val="22"/>
                <w:szCs w:val="24"/>
                <w:highlight w:val="none"/>
              </w:rPr>
              <w:t>）</w:t>
            </w:r>
            <w:r>
              <w:rPr>
                <w:rFonts w:hint="eastAsia" w:ascii="宋体" w:hAnsi="宋体" w:cs="宋体"/>
                <w:color w:val="auto"/>
                <w:sz w:val="22"/>
                <w:highlight w:val="none"/>
              </w:rPr>
              <w:t>供电保障服务是指在大型活动期间确保电力系统的稳定运行，防止任何电力中断影响活动的顺利进行，通常包括一系列的准备工作，如制定详细的保电方案、方案实施对电力设施进行巡检和维护，以及在现场设置应急电源和专业技术人员，以应对可能出现的电力故障。</w:t>
            </w:r>
          </w:p>
          <w:p>
            <w:pPr>
              <w:keepNext w:val="0"/>
              <w:keepLines w:val="0"/>
              <w:suppressLineNumbers w:val="0"/>
              <w:adjustRightInd w:val="0"/>
              <w:snapToGrid w:val="0"/>
              <w:spacing w:before="0" w:beforeAutospacing="0" w:after="0" w:afterAutospacing="0"/>
              <w:ind w:left="0" w:right="0"/>
              <w:rPr>
                <w:rFonts w:hint="default"/>
                <w:color w:val="auto"/>
                <w:highlight w:val="none"/>
              </w:rPr>
            </w:pPr>
            <w:r>
              <w:rPr>
                <w:rFonts w:hint="default" w:ascii="宋体" w:hAnsi="宋体" w:cs="宋体"/>
                <w:bCs/>
                <w:color w:val="auto"/>
                <w:sz w:val="22"/>
                <w:szCs w:val="24"/>
                <w:highlight w:val="none"/>
              </w:rPr>
              <w:t>（</w:t>
            </w:r>
            <w:r>
              <w:rPr>
                <w:rFonts w:hint="eastAsia" w:ascii="宋体" w:hAnsi="宋体" w:cs="宋体"/>
                <w:bCs/>
                <w:color w:val="auto"/>
                <w:sz w:val="22"/>
                <w:szCs w:val="24"/>
                <w:highlight w:val="none"/>
                <w:lang w:val="en-US" w:eastAsia="zh-CN"/>
              </w:rPr>
              <w:t>3</w:t>
            </w:r>
            <w:r>
              <w:rPr>
                <w:rFonts w:hint="eastAsia" w:ascii="宋体" w:hAnsi="宋体" w:cs="宋体"/>
                <w:bCs/>
                <w:color w:val="auto"/>
                <w:sz w:val="22"/>
                <w:szCs w:val="24"/>
                <w:highlight w:val="none"/>
              </w:rPr>
              <w:t>）微电网是指为大型活动专门设计和构建独立的电力供应系统，实现电力的自给自足和灵活调配，可与外部大电网并网运行，也能在必要时孤岛运行，提高电力供应的稳定性、安全性和灵活性。</w:t>
            </w:r>
          </w:p>
          <w:p>
            <w:pPr>
              <w:keepNext w:val="0"/>
              <w:keepLines w:val="0"/>
              <w:suppressLineNumbers w:val="0"/>
              <w:adjustRightInd w:val="0"/>
              <w:snapToGrid w:val="0"/>
              <w:spacing w:before="0" w:beforeAutospacing="0" w:after="0" w:afterAutospacing="0"/>
              <w:ind w:left="0" w:right="0"/>
              <w:rPr>
                <w:rFonts w:hint="eastAsia" w:ascii="宋体" w:hAnsi="宋体" w:cs="宋体"/>
                <w:bCs/>
                <w:color w:val="auto"/>
                <w:sz w:val="22"/>
                <w:szCs w:val="24"/>
                <w:highlight w:val="none"/>
              </w:rPr>
            </w:pPr>
            <w:r>
              <w:rPr>
                <w:rFonts w:hint="eastAsia" w:ascii="宋体" w:hAnsi="宋体" w:cs="宋体"/>
                <w:bCs/>
                <w:color w:val="auto"/>
                <w:sz w:val="22"/>
                <w:szCs w:val="24"/>
                <w:highlight w:val="none"/>
              </w:rPr>
              <w:t>（</w:t>
            </w:r>
            <w:r>
              <w:rPr>
                <w:rFonts w:hint="eastAsia" w:ascii="宋体" w:hAnsi="宋体" w:cs="宋体"/>
                <w:bCs/>
                <w:color w:val="auto"/>
                <w:sz w:val="22"/>
                <w:szCs w:val="24"/>
                <w:highlight w:val="none"/>
                <w:lang w:val="en-US" w:eastAsia="zh-CN"/>
              </w:rPr>
              <w:t>4</w:t>
            </w:r>
            <w:r>
              <w:rPr>
                <w:rFonts w:hint="eastAsia" w:ascii="宋体" w:hAnsi="宋体" w:cs="宋体"/>
                <w:bCs/>
                <w:color w:val="auto"/>
                <w:sz w:val="22"/>
                <w:szCs w:val="24"/>
                <w:highlight w:val="none"/>
              </w:rPr>
              <w:t>）</w:t>
            </w:r>
            <w:bookmarkStart w:id="61" w:name="OLE_LINK14"/>
            <w:r>
              <w:rPr>
                <w:rFonts w:hint="eastAsia" w:ascii="宋体" w:hAnsi="宋体" w:cs="宋体"/>
                <w:bCs/>
                <w:color w:val="auto"/>
                <w:sz w:val="22"/>
                <w:szCs w:val="24"/>
                <w:highlight w:val="none"/>
              </w:rPr>
              <w:t>①类似业绩须提供相关</w:t>
            </w:r>
            <w:r>
              <w:rPr>
                <w:rFonts w:hint="eastAsia" w:ascii="宋体" w:hAnsi="宋体" w:cs="宋体"/>
                <w:bCs/>
                <w:color w:val="auto"/>
                <w:sz w:val="22"/>
                <w:szCs w:val="24"/>
                <w:highlight w:val="none"/>
                <w:lang w:val="en-US" w:eastAsia="zh-CN"/>
              </w:rPr>
              <w:t>证明材料</w:t>
            </w:r>
            <w:r>
              <w:rPr>
                <w:rFonts w:hint="eastAsia" w:ascii="宋体" w:hAnsi="宋体" w:cs="宋体"/>
                <w:bCs/>
                <w:color w:val="auto"/>
                <w:sz w:val="22"/>
                <w:szCs w:val="24"/>
                <w:highlight w:val="none"/>
              </w:rPr>
              <w:t>扫描件，包含租赁合同或服务合同或赞助协议等，类似业绩金额、时间以合同或协议（不含补充合同）为准；②投标单位提供的合同（协议）扫描件证明材料可提供合同关键页，但应至少包括合同（协议）封面、合同（协议）指标金额规模页、合同（协议）盖章页；③如协议或合同的内容无法直接体现重大活动类型或供电保障服务项目内容的，需另行提供相关证明材料，如带合同主体签字或盖章的合同文件、或赛事主办方出具的服务保障方案、或经项目业主或主办确认的验收文件、或主办方的任命文件（证件）或其他可以证明参与过相关活动的证明；④投标人提供的类似业绩是中华人民共和国境内业绩，相关证明资料若为外文的，须同时提供中文译文，评标时不同语言的解释发生异议的，以中文译文为准，投标人须对中文译文的准确性、真实性负责，未提供中文译文的，该文件无效；⑥须提供上述证明资料扫描件并加盖投标人电子印章。</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lang w:eastAsia="zh-CN"/>
              </w:rPr>
              <w:t>（</w:t>
            </w:r>
            <w:r>
              <w:rPr>
                <w:rFonts w:hint="eastAsia" w:ascii="宋体" w:hAnsi="宋体" w:cs="宋体"/>
                <w:bCs/>
                <w:color w:val="auto"/>
                <w:sz w:val="22"/>
                <w:szCs w:val="24"/>
                <w:highlight w:val="none"/>
                <w:lang w:val="en-US" w:eastAsia="zh-CN"/>
              </w:rPr>
              <w:t>5）同一项类似业绩只按</w:t>
            </w:r>
            <w:r>
              <w:rPr>
                <w:rFonts w:hint="eastAsia" w:ascii="宋体" w:hAnsi="宋体" w:cs="宋体"/>
                <w:color w:val="auto"/>
                <w:sz w:val="22"/>
                <w:highlight w:val="none"/>
                <w:lang w:val="en-US" w:eastAsia="zh-CN"/>
              </w:rPr>
              <w:t>最高档分值计算一次，不重复计算分值。</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545"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人员要求</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1</w:t>
            </w:r>
            <w:r>
              <w:rPr>
                <w:rFonts w:hint="default" w:ascii="宋体" w:hAnsi="宋体" w:cs="宋体"/>
                <w:bCs/>
                <w:color w:val="auto"/>
                <w:sz w:val="22"/>
                <w:szCs w:val="24"/>
                <w:highlight w:val="none"/>
              </w:rPr>
              <w:t>0</w:t>
            </w:r>
          </w:p>
        </w:tc>
        <w:tc>
          <w:tcPr>
            <w:tcW w:w="2979" w:type="pct"/>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（一）投标人针对本供电保障服务项目的特点，投入奥体、天体的实施及运行维护人员（具备高压或低压特种作业操作证）必须为公司正式员工，须提供在本单位2025年3月的社保证明。特种作业证需在有效期内。</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（1）总投入人员大于等于100名，得</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bookmarkStart w:id="62" w:name="OLE_LINK3"/>
            <w:r>
              <w:rPr>
                <w:rFonts w:hint="eastAsia" w:ascii="宋体" w:hAnsi="宋体" w:cs="宋体"/>
                <w:color w:val="auto"/>
                <w:sz w:val="22"/>
                <w:highlight w:val="none"/>
              </w:rPr>
              <w:t>其中每提供一个具有高压特种作业操作证人员，</w:t>
            </w:r>
            <w:r>
              <w:rPr>
                <w:rFonts w:hint="eastAsia" w:ascii="宋体" w:hAnsi="宋体" w:cs="宋体"/>
                <w:color w:val="auto"/>
                <w:sz w:val="22"/>
                <w:highlight w:val="none"/>
                <w:lang w:val="en-US" w:eastAsia="zh-CN"/>
              </w:rPr>
              <w:t>加</w:t>
            </w:r>
            <w:r>
              <w:rPr>
                <w:rFonts w:hint="eastAsia" w:ascii="宋体" w:hAnsi="宋体" w:cs="宋体"/>
                <w:color w:val="auto"/>
                <w:sz w:val="22"/>
                <w:highlight w:val="none"/>
              </w:rPr>
              <w:t>0.5分，最高</w:t>
            </w:r>
            <w:r>
              <w:rPr>
                <w:rFonts w:hint="eastAsia" w:ascii="宋体" w:hAnsi="宋体" w:cs="宋体"/>
                <w:color w:val="auto"/>
                <w:sz w:val="22"/>
                <w:highlight w:val="none"/>
                <w:lang w:val="en-US" w:eastAsia="zh-CN"/>
              </w:rPr>
              <w:t>加</w:t>
            </w:r>
            <w:r>
              <w:rPr>
                <w:rFonts w:hint="eastAsia" w:ascii="宋体" w:hAnsi="宋体" w:cs="宋体"/>
                <w:color w:val="auto"/>
                <w:sz w:val="22"/>
                <w:highlight w:val="none"/>
              </w:rPr>
              <w:t>5分。</w:t>
            </w:r>
            <w:bookmarkEnd w:id="62"/>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（2）总投入人员大于等于70</w:t>
            </w:r>
            <w:r>
              <w:rPr>
                <w:rFonts w:hint="eastAsia" w:ascii="宋体" w:hAnsi="宋体" w:cs="宋体"/>
                <w:color w:val="auto"/>
                <w:sz w:val="22"/>
                <w:highlight w:val="none"/>
                <w:lang w:eastAsia="zh-CN"/>
              </w:rPr>
              <w:t>名</w:t>
            </w:r>
            <w:r>
              <w:rPr>
                <w:rFonts w:hint="eastAsia" w:ascii="宋体" w:hAnsi="宋体" w:cs="宋体"/>
                <w:color w:val="auto"/>
                <w:sz w:val="22"/>
                <w:highlight w:val="none"/>
              </w:rPr>
              <w:t>，得</w:t>
            </w:r>
            <w:r>
              <w:rPr>
                <w:rFonts w:hint="eastAsia" w:ascii="宋体" w:hAnsi="宋体" w:cs="宋体"/>
                <w:color w:val="auto"/>
                <w:sz w:val="22"/>
                <w:highlight w:val="none"/>
                <w:lang w:val="en-US" w:eastAsia="zh-CN"/>
              </w:rPr>
              <w:t>3.5</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bookmarkStart w:id="63" w:name="OLE_LINK6"/>
            <w:r>
              <w:rPr>
                <w:rFonts w:hint="eastAsia" w:ascii="宋体" w:hAnsi="宋体" w:cs="宋体"/>
                <w:color w:val="auto"/>
                <w:sz w:val="22"/>
                <w:highlight w:val="none"/>
              </w:rPr>
              <w:t>其中每提供一个具有高压特种作业操作证人员，</w:t>
            </w:r>
            <w:r>
              <w:rPr>
                <w:rFonts w:hint="eastAsia" w:ascii="宋体" w:hAnsi="宋体" w:cs="宋体"/>
                <w:color w:val="auto"/>
                <w:sz w:val="22"/>
                <w:highlight w:val="none"/>
                <w:lang w:val="en-US" w:eastAsia="zh-CN"/>
              </w:rPr>
              <w:t>加</w:t>
            </w:r>
            <w:r>
              <w:rPr>
                <w:rFonts w:hint="eastAsia" w:ascii="宋体" w:hAnsi="宋体" w:cs="宋体"/>
                <w:color w:val="auto"/>
                <w:sz w:val="22"/>
                <w:highlight w:val="none"/>
              </w:rPr>
              <w:t>0.5分，最高</w:t>
            </w:r>
            <w:r>
              <w:rPr>
                <w:rFonts w:hint="eastAsia" w:ascii="宋体" w:hAnsi="宋体" w:cs="宋体"/>
                <w:color w:val="auto"/>
                <w:sz w:val="22"/>
                <w:highlight w:val="none"/>
                <w:lang w:val="en-US" w:eastAsia="zh-CN"/>
              </w:rPr>
              <w:t>加3.5</w:t>
            </w:r>
            <w:r>
              <w:rPr>
                <w:rFonts w:hint="eastAsia" w:ascii="宋体" w:hAnsi="宋体" w:cs="宋体"/>
                <w:color w:val="auto"/>
                <w:sz w:val="22"/>
                <w:highlight w:val="none"/>
              </w:rPr>
              <w:t>分。</w:t>
            </w:r>
          </w:p>
          <w:bookmarkEnd w:id="63"/>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（3）总投入人员大于等于40名，得</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rPr>
              <w:t>其中每提供一个具有高压特种作业操作证人员，</w:t>
            </w:r>
            <w:r>
              <w:rPr>
                <w:rFonts w:hint="eastAsia" w:ascii="宋体" w:hAnsi="宋体" w:cs="宋体"/>
                <w:color w:val="auto"/>
                <w:sz w:val="22"/>
                <w:highlight w:val="none"/>
                <w:lang w:val="en-US" w:eastAsia="zh-CN"/>
              </w:rPr>
              <w:t>加</w:t>
            </w:r>
            <w:r>
              <w:rPr>
                <w:rFonts w:hint="eastAsia" w:ascii="宋体" w:hAnsi="宋体" w:cs="宋体"/>
                <w:color w:val="auto"/>
                <w:sz w:val="22"/>
                <w:highlight w:val="none"/>
              </w:rPr>
              <w:t>0.5分，最高</w:t>
            </w:r>
            <w:r>
              <w:rPr>
                <w:rFonts w:hint="eastAsia" w:ascii="宋体" w:hAnsi="宋体" w:cs="宋体"/>
                <w:color w:val="auto"/>
                <w:sz w:val="22"/>
                <w:highlight w:val="none"/>
                <w:lang w:val="en-US" w:eastAsia="zh-CN"/>
              </w:rPr>
              <w:t>加2</w:t>
            </w:r>
            <w:r>
              <w:rPr>
                <w:rFonts w:hint="eastAsia" w:ascii="宋体" w:hAnsi="宋体" w:cs="宋体"/>
                <w:color w:val="auto"/>
                <w:sz w:val="22"/>
                <w:highlight w:val="none"/>
              </w:rPr>
              <w:t>分。</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（4）总投入人员低于40名，不得分。</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注：以上最高得</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0分。若为联合体投标，联合体双方的人员数量可累计计算。</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2"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545"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cs="宋体"/>
                <w:color w:val="auto"/>
                <w:szCs w:val="21"/>
                <w:highlight w:val="none"/>
              </w:rPr>
            </w:pPr>
            <w:r>
              <w:rPr>
                <w:rFonts w:hint="eastAsia" w:cs="宋体"/>
                <w:color w:val="auto"/>
                <w:szCs w:val="21"/>
                <w:highlight w:val="none"/>
              </w:rPr>
              <w:t>设备要求</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8</w:t>
            </w:r>
          </w:p>
        </w:tc>
        <w:tc>
          <w:tcPr>
            <w:tcW w:w="2979"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投标人（联合体主办方或成员）提供的</w:t>
            </w:r>
            <w:r>
              <w:rPr>
                <w:rFonts w:hint="default" w:ascii="宋体" w:hAnsi="宋体" w:cs="宋体"/>
                <w:bCs/>
                <w:color w:val="auto"/>
                <w:sz w:val="22"/>
                <w:szCs w:val="24"/>
                <w:highlight w:val="none"/>
              </w:rPr>
              <w:t>4</w:t>
            </w:r>
            <w:r>
              <w:rPr>
                <w:rFonts w:hint="eastAsia" w:ascii="宋体" w:hAnsi="宋体" w:cs="宋体"/>
                <w:bCs/>
                <w:color w:val="auto"/>
                <w:sz w:val="22"/>
                <w:szCs w:val="24"/>
                <w:highlight w:val="none"/>
              </w:rPr>
              <w:t>类主要设备（发电机、变压器、UPS、中低压电缆）：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（1）自有发电机的容量≥10000KVA的，得2分；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（2）自有变压器的容量≥17500KVA的，得2分；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（3）自有UPS的容量≥10000KVA的，得2分；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（4）自有中低压电缆的长度≥100000米的，得2分；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最高得8分，其他情况不得分。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注：（1）自有设备需提供购买合同及发票，以上材料应体现以上指标信息且满足要求，否则不得分。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w:t>
            </w:r>
            <w:r>
              <w:rPr>
                <w:rFonts w:hint="default" w:ascii="宋体" w:hAnsi="宋体" w:cs="宋体"/>
                <w:bCs/>
                <w:color w:val="auto"/>
                <w:sz w:val="22"/>
                <w:szCs w:val="24"/>
                <w:highlight w:val="none"/>
              </w:rPr>
              <w:t>若为联合体投标，联合体双方的设备</w:t>
            </w:r>
            <w:r>
              <w:rPr>
                <w:rFonts w:hint="eastAsia" w:ascii="宋体" w:hAnsi="宋体" w:cs="宋体"/>
                <w:bCs/>
                <w:color w:val="auto"/>
                <w:sz w:val="22"/>
                <w:szCs w:val="24"/>
                <w:highlight w:val="none"/>
                <w:lang w:val="en-US" w:eastAsia="zh-CN"/>
              </w:rPr>
              <w:t>容量、长度</w:t>
            </w:r>
            <w:r>
              <w:rPr>
                <w:rFonts w:hint="default" w:ascii="宋体" w:hAnsi="宋体" w:cs="宋体"/>
                <w:bCs/>
                <w:color w:val="auto"/>
                <w:sz w:val="22"/>
                <w:szCs w:val="24"/>
                <w:highlight w:val="none"/>
              </w:rPr>
              <w:t>可累计得分。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62"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545" w:type="pct"/>
            <w:vMerge w:val="continue"/>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组织架构及主要技术管理人员配备</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color w:val="auto"/>
                <w:sz w:val="22"/>
                <w:szCs w:val="24"/>
                <w:highlight w:val="none"/>
                <w:lang w:eastAsia="zh-CN"/>
              </w:rPr>
            </w:pPr>
            <w:r>
              <w:rPr>
                <w:rFonts w:hint="eastAsia" w:ascii="宋体" w:hAnsi="宋体" w:cs="宋体"/>
                <w:bCs/>
                <w:color w:val="auto"/>
                <w:sz w:val="22"/>
                <w:szCs w:val="24"/>
                <w:highlight w:val="none"/>
                <w:lang w:val="en-US" w:eastAsia="zh-CN"/>
              </w:rPr>
              <w:t>7</w:t>
            </w:r>
          </w:p>
        </w:tc>
        <w:tc>
          <w:tcPr>
            <w:tcW w:w="2979" w:type="pct"/>
            <w:vAlign w:val="center"/>
          </w:tcPr>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bCs/>
                <w:color w:val="auto"/>
                <w:sz w:val="22"/>
                <w:highlight w:val="none"/>
              </w:rPr>
              <w:t>（一）</w:t>
            </w:r>
            <w:r>
              <w:rPr>
                <w:rFonts w:hint="eastAsia" w:ascii="宋体" w:hAnsi="宋体" w:cs="宋体"/>
                <w:color w:val="auto"/>
                <w:sz w:val="22"/>
                <w:highlight w:val="none"/>
              </w:rPr>
              <w:t>指挥长或副指挥长（若为联合体投标，指挥长由联合体主办方提供，副指挥长可由联合体任意一方提供）（</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default" w:ascii="宋体" w:hAnsi="宋体" w:cs="宋体"/>
                <w:color w:val="auto"/>
                <w:sz w:val="22"/>
                <w:highlight w:val="none"/>
              </w:rPr>
              <w:t>投入指挥长</w:t>
            </w:r>
            <w:r>
              <w:rPr>
                <w:rFonts w:hint="eastAsia" w:ascii="宋体" w:hAnsi="宋体" w:cs="宋体"/>
                <w:color w:val="auto"/>
                <w:sz w:val="22"/>
                <w:highlight w:val="none"/>
              </w:rPr>
              <w:t>或副指挥长</w:t>
            </w:r>
            <w:r>
              <w:rPr>
                <w:rFonts w:hint="default" w:ascii="宋体" w:hAnsi="宋体" w:cs="宋体"/>
                <w:color w:val="auto"/>
                <w:sz w:val="22"/>
                <w:highlight w:val="none"/>
              </w:rPr>
              <w:t>：</w:t>
            </w:r>
            <w:r>
              <w:rPr>
                <w:rFonts w:hint="eastAsia" w:ascii="宋体" w:hAnsi="宋体" w:cs="宋体"/>
                <w:color w:val="auto"/>
                <w:sz w:val="22"/>
                <w:highlight w:val="none"/>
              </w:rPr>
              <w:t>①</w:t>
            </w:r>
            <w:r>
              <w:rPr>
                <w:rFonts w:hint="default" w:ascii="宋体" w:hAnsi="宋体" w:cs="宋体"/>
                <w:color w:val="auto"/>
                <w:sz w:val="22"/>
                <w:highlight w:val="none"/>
              </w:rPr>
              <w:t>任</w:t>
            </w:r>
            <w:r>
              <w:rPr>
                <w:rFonts w:hint="eastAsia" w:ascii="宋体" w:hAnsi="宋体" w:cs="宋体"/>
                <w:color w:val="auto"/>
                <w:sz w:val="22"/>
                <w:highlight w:val="none"/>
              </w:rPr>
              <w:t>投标人</w:t>
            </w:r>
            <w:r>
              <w:rPr>
                <w:rFonts w:hint="default" w:ascii="宋体" w:hAnsi="宋体" w:cs="宋体"/>
                <w:color w:val="auto"/>
                <w:sz w:val="22"/>
                <w:highlight w:val="none"/>
              </w:rPr>
              <w:t>副总经理或以上行政职务</w:t>
            </w:r>
            <w:r>
              <w:rPr>
                <w:rFonts w:hint="eastAsia" w:ascii="宋体" w:hAnsi="宋体" w:cs="宋体"/>
                <w:color w:val="auto"/>
                <w:sz w:val="22"/>
                <w:highlight w:val="none"/>
              </w:rPr>
              <w:t>，得</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分</w:t>
            </w:r>
            <w:r>
              <w:rPr>
                <w:rFonts w:hint="default" w:ascii="宋体" w:hAnsi="宋体" w:cs="宋体"/>
                <w:color w:val="auto"/>
                <w:sz w:val="22"/>
                <w:highlight w:val="none"/>
              </w:rPr>
              <w:t>。（须提供任职证明扫描件，格式自拟）</w:t>
            </w:r>
            <w:r>
              <w:rPr>
                <w:rFonts w:hint="eastAsia" w:ascii="宋体" w:hAnsi="宋体" w:cs="宋体"/>
                <w:color w:val="auto"/>
                <w:sz w:val="22"/>
                <w:highlight w:val="none"/>
              </w:rPr>
              <w:t>；</w:t>
            </w:r>
          </w:p>
          <w:p>
            <w:pPr>
              <w:keepNext w:val="0"/>
              <w:keepLines w:val="0"/>
              <w:suppressLineNumbers w:val="0"/>
              <w:spacing w:before="0" w:beforeAutospacing="0" w:after="0" w:afterAutospacing="0" w:line="360" w:lineRule="exact"/>
              <w:ind w:left="0" w:right="0"/>
              <w:jc w:val="left"/>
              <w:rPr>
                <w:rFonts w:hint="eastAsia" w:ascii="宋体" w:hAnsi="宋体" w:cs="宋体"/>
                <w:color w:val="auto"/>
                <w:sz w:val="22"/>
                <w:highlight w:val="none"/>
              </w:rPr>
            </w:pPr>
            <w:r>
              <w:rPr>
                <w:rFonts w:hint="eastAsia" w:ascii="宋体" w:hAnsi="宋体" w:cs="宋体"/>
                <w:color w:val="auto"/>
                <w:sz w:val="22"/>
                <w:highlight w:val="none"/>
              </w:rPr>
              <w:t>②具备国际国内重大活动供电保障项目服务经验的，得</w:t>
            </w:r>
            <w:r>
              <w:rPr>
                <w:rFonts w:hint="eastAsia" w:ascii="宋体" w:hAnsi="宋体" w:cs="宋体"/>
                <w:color w:val="auto"/>
                <w:sz w:val="22"/>
                <w:highlight w:val="none"/>
                <w:lang w:val="en-US" w:eastAsia="zh-CN"/>
              </w:rPr>
              <w:t>0.3</w:t>
            </w:r>
            <w:r>
              <w:rPr>
                <w:rFonts w:hint="eastAsia" w:ascii="宋体" w:hAnsi="宋体" w:cs="宋体"/>
                <w:color w:val="auto"/>
                <w:sz w:val="22"/>
                <w:highlight w:val="none"/>
              </w:rPr>
              <w:t>分；具备国际国内重大活动开幕式或闭幕式供电保障项目服务经验的，得</w:t>
            </w:r>
            <w:r>
              <w:rPr>
                <w:rFonts w:hint="eastAsia" w:ascii="宋体" w:hAnsi="宋体" w:cs="宋体"/>
                <w:color w:val="auto"/>
                <w:sz w:val="22"/>
                <w:highlight w:val="none"/>
                <w:lang w:val="en-US" w:eastAsia="zh-CN"/>
              </w:rPr>
              <w:t>0.7</w:t>
            </w:r>
            <w:r>
              <w:rPr>
                <w:rFonts w:hint="eastAsia" w:ascii="宋体" w:hAnsi="宋体" w:cs="宋体"/>
                <w:color w:val="auto"/>
                <w:sz w:val="22"/>
                <w:highlight w:val="none"/>
              </w:rPr>
              <w:t>分；具备国际国内重大活动开幕式或闭幕式微电网供电保障项目服务经验的，得</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分</w:t>
            </w:r>
            <w:bookmarkStart w:id="64" w:name="OLE_LINK16"/>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如同时具有以上任意两项或三项服务经验，按满足要求的最高档分值计算一次，不重复计算分值，最高得1分</w:t>
            </w:r>
            <w:r>
              <w:rPr>
                <w:rFonts w:hint="eastAsia" w:ascii="宋体" w:hAnsi="宋体" w:cs="宋体"/>
                <w:color w:val="auto"/>
                <w:sz w:val="22"/>
                <w:highlight w:val="none"/>
              </w:rPr>
              <w:t>。</w:t>
            </w:r>
            <w:bookmarkEnd w:id="64"/>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lang w:val="en-US" w:eastAsia="zh-CN"/>
              </w:rPr>
              <w:t>③本项</w:t>
            </w:r>
            <w:r>
              <w:rPr>
                <w:rFonts w:hint="eastAsia" w:ascii="宋体" w:hAnsi="宋体" w:cs="宋体"/>
                <w:color w:val="auto"/>
                <w:sz w:val="22"/>
                <w:highlight w:val="none"/>
              </w:rPr>
              <w:t>最高得</w:t>
            </w:r>
            <w:r>
              <w:rPr>
                <w:rFonts w:hint="default" w:ascii="宋体" w:hAnsi="宋体" w:cs="宋体"/>
                <w:color w:val="auto"/>
                <w:sz w:val="22"/>
                <w:highlight w:val="none"/>
              </w:rPr>
              <w:t>2</w:t>
            </w:r>
            <w:r>
              <w:rPr>
                <w:rFonts w:hint="eastAsia" w:ascii="宋体" w:hAnsi="宋体" w:cs="宋体"/>
                <w:color w:val="auto"/>
                <w:sz w:val="22"/>
                <w:highlight w:val="none"/>
              </w:rPr>
              <w:t>分。</w:t>
            </w:r>
          </w:p>
          <w:p>
            <w:pPr>
              <w:keepNext w:val="0"/>
              <w:keepLines w:val="0"/>
              <w:suppressLineNumbers w:val="0"/>
              <w:spacing w:before="0" w:beforeAutospacing="0" w:after="0" w:afterAutospacing="0"/>
              <w:ind w:left="0" w:right="0"/>
              <w:rPr>
                <w:rFonts w:hint="default"/>
                <w:color w:val="auto"/>
                <w:sz w:val="22"/>
                <w:highlight w:val="none"/>
              </w:rPr>
            </w:pP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（二）项目负责人（</w:t>
            </w:r>
            <w:bookmarkStart w:id="65" w:name="OLE_LINK23"/>
            <w:r>
              <w:rPr>
                <w:rFonts w:hint="eastAsia" w:ascii="宋体" w:hAnsi="宋体" w:cs="宋体"/>
                <w:color w:val="auto"/>
                <w:sz w:val="22"/>
                <w:highlight w:val="none"/>
              </w:rPr>
              <w:t>若为联合体投标，可由联合体任意一方提供</w:t>
            </w:r>
            <w:bookmarkEnd w:id="65"/>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pPr>
              <w:keepNext w:val="0"/>
              <w:keepLines w:val="0"/>
              <w:suppressLineNumbers w:val="0"/>
              <w:spacing w:before="0" w:beforeAutospacing="0" w:after="0" w:afterAutospacing="0" w:line="360" w:lineRule="exact"/>
              <w:ind w:left="0" w:right="0"/>
              <w:jc w:val="left"/>
              <w:rPr>
                <w:rFonts w:hint="eastAsia" w:ascii="宋体" w:hAnsi="宋体" w:cs="宋体"/>
                <w:color w:val="auto"/>
                <w:sz w:val="22"/>
                <w:highlight w:val="none"/>
              </w:rPr>
            </w:pPr>
            <w:r>
              <w:rPr>
                <w:rFonts w:hint="eastAsia" w:ascii="宋体" w:hAnsi="宋体" w:cs="宋体"/>
                <w:color w:val="auto"/>
                <w:sz w:val="22"/>
                <w:highlight w:val="none"/>
              </w:rPr>
              <w:t>1、</w:t>
            </w:r>
            <w:r>
              <w:rPr>
                <w:rFonts w:hint="default" w:ascii="宋体" w:hAnsi="宋体" w:cs="宋体"/>
                <w:color w:val="auto"/>
                <w:sz w:val="22"/>
                <w:highlight w:val="none"/>
              </w:rPr>
              <w:t>投入全运会</w:t>
            </w:r>
            <w:r>
              <w:rPr>
                <w:rFonts w:hint="eastAsia" w:ascii="宋体" w:hAnsi="宋体" w:cs="宋体"/>
                <w:color w:val="auto"/>
                <w:sz w:val="22"/>
                <w:highlight w:val="none"/>
              </w:rPr>
              <w:t>（奥体中心）项目负责人</w:t>
            </w:r>
            <w:r>
              <w:rPr>
                <w:rFonts w:hint="default" w:ascii="宋体" w:hAnsi="宋体" w:cs="宋体"/>
                <w:color w:val="auto"/>
                <w:sz w:val="22"/>
                <w:highlight w:val="none"/>
              </w:rPr>
              <w:t>：</w:t>
            </w:r>
            <w:r>
              <w:rPr>
                <w:rFonts w:hint="eastAsia" w:ascii="宋体" w:hAnsi="宋体" w:cs="宋体"/>
                <w:color w:val="auto"/>
                <w:sz w:val="22"/>
                <w:highlight w:val="none"/>
              </w:rPr>
              <w:t>①具备国际国内重大活动供电保障项目服务经验的，得0.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分；具备国际国内重大活动开幕式或闭幕式供电保障项目服务经验的，得</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分；具备国际国内重大活动开幕式或闭幕式微电网供电保障项目服务经验的，得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bookmarkStart w:id="66" w:name="OLE_LINK20"/>
            <w:r>
              <w:rPr>
                <w:rFonts w:hint="eastAsia" w:ascii="宋体" w:hAnsi="宋体" w:cs="宋体"/>
                <w:color w:val="auto"/>
                <w:sz w:val="22"/>
                <w:highlight w:val="none"/>
                <w:lang w:val="en-US" w:eastAsia="zh-CN"/>
              </w:rPr>
              <w:t>如同时具有以上任意两项或三项服务经验，按满足要求的最高档分值计算一次，不重复计算分值，</w:t>
            </w:r>
            <w:bookmarkEnd w:id="66"/>
            <w:r>
              <w:rPr>
                <w:rFonts w:hint="eastAsia" w:ascii="宋体" w:hAnsi="宋体" w:cs="宋体"/>
                <w:color w:val="auto"/>
                <w:sz w:val="22"/>
                <w:highlight w:val="none"/>
              </w:rPr>
              <w:t>最高得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分。②具备电力工程类中级或以上职称，得0.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分（提供职称证书扫描件）。</w:t>
            </w:r>
          </w:p>
          <w:p>
            <w:pPr>
              <w:keepNext w:val="0"/>
              <w:keepLines w:val="0"/>
              <w:suppressLineNumbers w:val="0"/>
              <w:spacing w:before="0" w:beforeAutospacing="0" w:after="0" w:afterAutospacing="0" w:line="360" w:lineRule="exact"/>
              <w:ind w:left="0" w:right="0"/>
              <w:jc w:val="left"/>
              <w:rPr>
                <w:rFonts w:hint="eastAsia" w:ascii="宋体" w:hAnsi="宋体" w:cs="宋体"/>
                <w:color w:val="auto"/>
                <w:sz w:val="22"/>
                <w:highlight w:val="none"/>
              </w:rPr>
            </w:pPr>
            <w:r>
              <w:rPr>
                <w:rFonts w:hint="eastAsia" w:ascii="宋体" w:hAnsi="宋体" w:cs="宋体"/>
                <w:color w:val="auto"/>
                <w:sz w:val="22"/>
                <w:highlight w:val="none"/>
              </w:rPr>
              <w:t>2、</w:t>
            </w:r>
            <w:r>
              <w:rPr>
                <w:rFonts w:hint="default" w:ascii="宋体" w:hAnsi="宋体" w:cs="宋体"/>
                <w:color w:val="auto"/>
                <w:sz w:val="22"/>
                <w:highlight w:val="none"/>
              </w:rPr>
              <w:t>投入</w:t>
            </w:r>
            <w:r>
              <w:rPr>
                <w:rFonts w:hint="eastAsia" w:ascii="宋体" w:hAnsi="宋体" w:cs="宋体"/>
                <w:color w:val="auto"/>
                <w:sz w:val="22"/>
                <w:highlight w:val="none"/>
              </w:rPr>
              <w:t>残运会（天体中心）项目负责人</w:t>
            </w:r>
            <w:r>
              <w:rPr>
                <w:rFonts w:hint="default" w:ascii="宋体" w:hAnsi="宋体" w:cs="宋体"/>
                <w:color w:val="auto"/>
                <w:sz w:val="22"/>
                <w:highlight w:val="none"/>
              </w:rPr>
              <w:t>：</w:t>
            </w:r>
            <w:r>
              <w:rPr>
                <w:rFonts w:hint="eastAsia" w:ascii="宋体" w:hAnsi="宋体" w:cs="宋体"/>
                <w:color w:val="auto"/>
                <w:sz w:val="22"/>
                <w:highlight w:val="none"/>
              </w:rPr>
              <w:t>①具备国际国内重大活动供电保障项目服务经验的，得0.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分；具备国际国内重大活动开幕式或闭幕式供电保障项目服务经验的，得</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分；具备国际国内重大活动开幕式或闭幕式微电网供电保障项目服务经验的，得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如同时具有以上任意两项或三项服务经验，按满足要求的</w:t>
            </w:r>
            <w:bookmarkStart w:id="67" w:name="OLE_LINK22"/>
            <w:r>
              <w:rPr>
                <w:rFonts w:hint="eastAsia" w:ascii="宋体" w:hAnsi="宋体" w:cs="宋体"/>
                <w:color w:val="auto"/>
                <w:sz w:val="22"/>
                <w:highlight w:val="none"/>
                <w:lang w:val="en-US" w:eastAsia="zh-CN"/>
              </w:rPr>
              <w:t>最高档分值计算一次，不重复计算分值，</w:t>
            </w:r>
            <w:bookmarkEnd w:id="67"/>
            <w:r>
              <w:rPr>
                <w:rFonts w:hint="eastAsia" w:ascii="宋体" w:hAnsi="宋体" w:cs="宋体"/>
                <w:color w:val="auto"/>
                <w:sz w:val="22"/>
                <w:highlight w:val="none"/>
              </w:rPr>
              <w:t>最高得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分；②具备电力工程类中级或以上职称，得0.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分（提供职称证书扫描件）。</w:t>
            </w:r>
          </w:p>
          <w:p>
            <w:pPr>
              <w:keepNext w:val="0"/>
              <w:keepLines w:val="0"/>
              <w:suppressLineNumbers w:val="0"/>
              <w:tabs>
                <w:tab w:val="left" w:pos="4830"/>
              </w:tabs>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lang w:val="en-US" w:eastAsia="zh-CN"/>
              </w:rPr>
              <w:t>3、</w:t>
            </w:r>
            <w:bookmarkStart w:id="68" w:name="OLE_LINK19"/>
            <w:r>
              <w:rPr>
                <w:rFonts w:hint="eastAsia" w:ascii="宋体" w:hAnsi="宋体" w:cs="宋体"/>
                <w:color w:val="auto"/>
                <w:sz w:val="22"/>
                <w:highlight w:val="none"/>
                <w:lang w:val="en-US" w:eastAsia="zh-CN"/>
              </w:rPr>
              <w:t>两位项目负责人不得为同一人，</w:t>
            </w:r>
            <w:bookmarkEnd w:id="68"/>
            <w:r>
              <w:rPr>
                <w:rFonts w:hint="eastAsia" w:ascii="宋体" w:hAnsi="宋体" w:cs="宋体"/>
                <w:color w:val="auto"/>
                <w:sz w:val="22"/>
                <w:highlight w:val="none"/>
                <w:lang w:val="en-US" w:eastAsia="zh-CN"/>
              </w:rPr>
              <w:t>本项</w:t>
            </w:r>
            <w:r>
              <w:rPr>
                <w:rFonts w:hint="eastAsia" w:ascii="宋体" w:hAnsi="宋体" w:cs="宋体"/>
                <w:color w:val="auto"/>
                <w:sz w:val="22"/>
                <w:highlight w:val="none"/>
              </w:rPr>
              <w:t>最高得2分。</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（三）技术负责人（若为联合体投标，可由联合体任意一方提供）（</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w:t>
            </w:r>
          </w:p>
          <w:p>
            <w:pPr>
              <w:keepNext w:val="0"/>
              <w:keepLines w:val="0"/>
              <w:suppressLineNumbers w:val="0"/>
              <w:spacing w:before="0" w:beforeAutospacing="0" w:after="0" w:afterAutospacing="0" w:line="360" w:lineRule="exact"/>
              <w:ind w:left="0" w:right="0"/>
              <w:jc w:val="left"/>
              <w:rPr>
                <w:rFonts w:hint="eastAsia" w:ascii="宋体" w:hAnsi="宋体" w:cs="宋体"/>
                <w:color w:val="auto"/>
                <w:sz w:val="22"/>
                <w:highlight w:val="none"/>
              </w:rPr>
            </w:pPr>
            <w:r>
              <w:rPr>
                <w:rFonts w:hint="eastAsia" w:ascii="宋体" w:hAnsi="宋体" w:cs="宋体"/>
                <w:color w:val="auto"/>
                <w:sz w:val="22"/>
                <w:highlight w:val="none"/>
              </w:rPr>
              <w:t>1、</w:t>
            </w:r>
            <w:r>
              <w:rPr>
                <w:rFonts w:hint="default" w:ascii="宋体" w:hAnsi="宋体" w:cs="宋体"/>
                <w:color w:val="auto"/>
                <w:sz w:val="22"/>
                <w:highlight w:val="none"/>
              </w:rPr>
              <w:t>投入全运会</w:t>
            </w:r>
            <w:r>
              <w:rPr>
                <w:rFonts w:hint="eastAsia" w:ascii="宋体" w:hAnsi="宋体" w:cs="宋体"/>
                <w:color w:val="auto"/>
                <w:sz w:val="22"/>
                <w:highlight w:val="none"/>
              </w:rPr>
              <w:t>（奥体中心）技术负责人</w:t>
            </w:r>
            <w:r>
              <w:rPr>
                <w:rFonts w:hint="default" w:ascii="宋体" w:hAnsi="宋体" w:cs="宋体"/>
                <w:color w:val="auto"/>
                <w:sz w:val="22"/>
                <w:highlight w:val="none"/>
              </w:rPr>
              <w:t>：</w:t>
            </w:r>
            <w:r>
              <w:rPr>
                <w:rFonts w:hint="eastAsia" w:ascii="宋体" w:hAnsi="宋体" w:cs="宋体"/>
                <w:color w:val="auto"/>
                <w:sz w:val="22"/>
                <w:highlight w:val="none"/>
              </w:rPr>
              <w:t>①具备国际国内重大活动供电保障项目服务经验的，得0.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分；具备国际国内重大活动开幕式或闭幕式供电保障项目服务经验的，得</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分；具备国际国内重大活动开幕式或闭幕式微电网供电保障项目服务经验的，得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如同时具有以上任意两项或三项服务经验，按满足要求的最高档分值计算一次，不重复计算分值，</w:t>
            </w:r>
            <w:r>
              <w:rPr>
                <w:rFonts w:hint="eastAsia" w:ascii="宋体" w:hAnsi="宋体" w:cs="宋体"/>
                <w:color w:val="auto"/>
                <w:sz w:val="22"/>
                <w:highlight w:val="none"/>
              </w:rPr>
              <w:t>最高得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分；②具备电力工程类中级或以上职称，得0.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分（提供职称证书扫描件）。</w:t>
            </w:r>
          </w:p>
          <w:p>
            <w:pPr>
              <w:keepNext w:val="0"/>
              <w:keepLines w:val="0"/>
              <w:numPr>
                <w:ilvl w:val="0"/>
                <w:numId w:val="1"/>
              </w:numPr>
              <w:suppressLineNumbers w:val="0"/>
              <w:spacing w:before="0" w:beforeAutospacing="0" w:after="0" w:afterAutospacing="0" w:line="360" w:lineRule="exact"/>
              <w:ind w:left="0" w:right="0"/>
              <w:jc w:val="left"/>
              <w:rPr>
                <w:rFonts w:hint="eastAsia" w:ascii="宋体" w:hAnsi="宋体" w:cs="宋体"/>
                <w:color w:val="auto"/>
                <w:sz w:val="22"/>
                <w:highlight w:val="none"/>
              </w:rPr>
            </w:pPr>
            <w:r>
              <w:rPr>
                <w:rFonts w:hint="default" w:ascii="宋体" w:hAnsi="宋体" w:cs="宋体"/>
                <w:color w:val="auto"/>
                <w:sz w:val="22"/>
                <w:highlight w:val="none"/>
              </w:rPr>
              <w:t>投入</w:t>
            </w:r>
            <w:r>
              <w:rPr>
                <w:rFonts w:hint="eastAsia" w:ascii="宋体" w:hAnsi="宋体" w:cs="宋体"/>
                <w:color w:val="auto"/>
                <w:sz w:val="22"/>
                <w:highlight w:val="none"/>
              </w:rPr>
              <w:t>残运会（天体中心）技术负责人</w:t>
            </w:r>
            <w:r>
              <w:rPr>
                <w:rFonts w:hint="default" w:ascii="宋体" w:hAnsi="宋体" w:cs="宋体"/>
                <w:color w:val="auto"/>
                <w:sz w:val="22"/>
                <w:highlight w:val="none"/>
              </w:rPr>
              <w:t>：</w:t>
            </w:r>
            <w:r>
              <w:rPr>
                <w:rFonts w:hint="eastAsia" w:ascii="宋体" w:hAnsi="宋体" w:cs="宋体"/>
                <w:color w:val="auto"/>
                <w:sz w:val="22"/>
                <w:highlight w:val="none"/>
              </w:rPr>
              <w:t>①具备国际国内重大活动供电保障项目服务经验的，得0.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分；具备国际国内重大活动开幕式或闭幕式供电保障项目服务经验的，得</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分；具备国际国内重大活动开幕式或闭幕式微电网供电保障项目服务经验的，得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如同时具有以上任意两项或三项服务经验，按满足要求的最高档分值计算，不重复计算分值，</w:t>
            </w:r>
            <w:r>
              <w:rPr>
                <w:rFonts w:hint="eastAsia" w:ascii="宋体" w:hAnsi="宋体" w:cs="宋体"/>
                <w:color w:val="auto"/>
                <w:sz w:val="22"/>
                <w:highlight w:val="none"/>
              </w:rPr>
              <w:t>最高得</w:t>
            </w:r>
            <w:r>
              <w:rPr>
                <w:rFonts w:hint="eastAsia" w:ascii="宋体" w:hAnsi="宋体" w:cs="宋体"/>
                <w:color w:val="auto"/>
                <w:sz w:val="22"/>
                <w:highlight w:val="none"/>
                <w:lang w:val="en-US" w:eastAsia="zh-CN"/>
              </w:rPr>
              <w:t>0.8</w:t>
            </w:r>
            <w:r>
              <w:rPr>
                <w:rFonts w:hint="eastAsia" w:ascii="宋体" w:hAnsi="宋体" w:cs="宋体"/>
                <w:color w:val="auto"/>
                <w:sz w:val="22"/>
                <w:highlight w:val="none"/>
              </w:rPr>
              <w:t>分；②具备电力工程类高级或以上职称，得0.</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分（提供职称证书扫描件）。</w:t>
            </w:r>
          </w:p>
          <w:p>
            <w:pPr>
              <w:keepNext w:val="0"/>
              <w:keepLines w:val="0"/>
              <w:numPr>
                <w:ilvl w:val="0"/>
                <w:numId w:val="0"/>
              </w:numPr>
              <w:suppressLineNumbers w:val="0"/>
              <w:spacing w:before="0" w:beforeAutospacing="0" w:after="0" w:afterAutospacing="0" w:line="360" w:lineRule="exact"/>
              <w:ind w:left="0" w:right="0"/>
              <w:jc w:val="left"/>
              <w:rPr>
                <w:rFonts w:hint="default" w:hAnsi="宋体" w:cs="宋体"/>
                <w:bCs/>
                <w:color w:val="auto"/>
                <w:sz w:val="22"/>
                <w:highlight w:val="none"/>
              </w:rPr>
            </w:pPr>
            <w:r>
              <w:rPr>
                <w:rFonts w:hint="eastAsia" w:ascii="宋体" w:hAnsi="宋体" w:cs="宋体"/>
                <w:color w:val="auto"/>
                <w:sz w:val="22"/>
                <w:highlight w:val="none"/>
                <w:lang w:val="en-US" w:eastAsia="zh-CN"/>
              </w:rPr>
              <w:t>3、两位技术负责人不得为同一人，本项</w:t>
            </w:r>
            <w:r>
              <w:rPr>
                <w:rFonts w:hint="eastAsia" w:ascii="宋体" w:hAnsi="宋体" w:cs="宋体"/>
                <w:color w:val="auto"/>
                <w:sz w:val="22"/>
                <w:highlight w:val="none"/>
              </w:rPr>
              <w:t>最高得2分。</w:t>
            </w:r>
          </w:p>
          <w:p>
            <w:pPr>
              <w:pStyle w:val="20"/>
              <w:keepNext w:val="0"/>
              <w:keepLines w:val="0"/>
              <w:suppressLineNumbers w:val="0"/>
              <w:spacing w:before="0" w:beforeAutospacing="0" w:after="0" w:afterAutospacing="0"/>
              <w:ind w:left="0" w:right="0"/>
              <w:rPr>
                <w:rFonts w:hint="eastAsia" w:hAnsi="宋体" w:eastAsia="宋体" w:cs="宋体"/>
                <w:color w:val="auto"/>
                <w:kern w:val="2"/>
                <w:sz w:val="22"/>
                <w:szCs w:val="22"/>
                <w:highlight w:val="none"/>
                <w:lang w:eastAsia="zh-CN"/>
              </w:rPr>
            </w:pPr>
            <w:r>
              <w:rPr>
                <w:rFonts w:hint="eastAsia" w:hAnsi="宋体" w:cs="宋体"/>
                <w:bCs/>
                <w:color w:val="auto"/>
                <w:sz w:val="22"/>
                <w:szCs w:val="22"/>
                <w:highlight w:val="none"/>
              </w:rPr>
              <w:t>（四）</w:t>
            </w:r>
            <w:r>
              <w:rPr>
                <w:rFonts w:hint="default" w:hAnsi="宋体" w:cs="宋体"/>
                <w:color w:val="auto"/>
                <w:kern w:val="2"/>
                <w:sz w:val="22"/>
                <w:szCs w:val="22"/>
                <w:highlight w:val="none"/>
              </w:rPr>
              <w:t>投标人(联合体主办方或成员)拟投入工作负责人或</w:t>
            </w:r>
            <w:bookmarkStart w:id="69" w:name="OLE_LINK24"/>
            <w:r>
              <w:rPr>
                <w:rFonts w:hint="default" w:hAnsi="宋体" w:cs="宋体"/>
                <w:color w:val="auto"/>
                <w:kern w:val="2"/>
                <w:sz w:val="22"/>
                <w:szCs w:val="22"/>
                <w:highlight w:val="none"/>
              </w:rPr>
              <w:t>工作票签发人</w:t>
            </w:r>
            <w:bookmarkEnd w:id="69"/>
            <w:r>
              <w:rPr>
                <w:rFonts w:hint="eastAsia"/>
                <w:color w:val="auto"/>
                <w:highlight w:val="none"/>
                <w:lang w:eastAsia="zh-CN"/>
              </w:rPr>
              <w:t>（</w:t>
            </w:r>
            <w:bookmarkStart w:id="70" w:name="OLE_LINK25"/>
            <w:r>
              <w:rPr>
                <w:rFonts w:hint="eastAsia" w:ascii="宋体" w:hAnsi="宋体" w:eastAsia="宋体" w:cs="宋体"/>
                <w:color w:val="auto"/>
                <w:kern w:val="2"/>
                <w:sz w:val="21"/>
                <w:szCs w:val="21"/>
                <w:highlight w:val="none"/>
                <w:lang w:val="en-US" w:eastAsia="zh-CN" w:bidi="ar"/>
              </w:rPr>
              <w:t>具有工作票“两种人”资格</w:t>
            </w:r>
            <w:bookmarkEnd w:id="70"/>
            <w:r>
              <w:rPr>
                <w:rFonts w:hint="eastAsia" w:hAnsi="宋体" w:cs="宋体"/>
                <w:color w:val="auto"/>
                <w:kern w:val="2"/>
                <w:sz w:val="22"/>
                <w:szCs w:val="22"/>
                <w:highlight w:val="none"/>
                <w:lang w:eastAsia="zh-CN"/>
              </w:rPr>
              <w:t>）</w:t>
            </w:r>
            <w:r>
              <w:rPr>
                <w:rFonts w:hint="default" w:hAnsi="宋体" w:cs="宋体"/>
                <w:color w:val="auto"/>
                <w:kern w:val="2"/>
                <w:sz w:val="22"/>
                <w:szCs w:val="22"/>
                <w:highlight w:val="none"/>
              </w:rPr>
              <w:t>均具有电气类或电力类专业中级或以上职称</w:t>
            </w:r>
            <w:r>
              <w:rPr>
                <w:rFonts w:hint="eastAsia" w:hAnsi="宋体" w:cs="宋体"/>
                <w:color w:val="auto"/>
                <w:kern w:val="2"/>
                <w:sz w:val="22"/>
                <w:szCs w:val="22"/>
                <w:highlight w:val="none"/>
                <w:lang w:eastAsia="zh-CN"/>
              </w:rPr>
              <w:t>：</w:t>
            </w:r>
            <w:r>
              <w:rPr>
                <w:rFonts w:hint="default" w:hAnsi="宋体" w:cs="宋体"/>
                <w:color w:val="auto"/>
                <w:kern w:val="2"/>
                <w:sz w:val="22"/>
                <w:szCs w:val="22"/>
                <w:highlight w:val="none"/>
              </w:rPr>
              <w:t>得</w:t>
            </w:r>
            <w:r>
              <w:rPr>
                <w:rFonts w:hint="eastAsia" w:hAnsi="宋体" w:cs="宋体"/>
                <w:color w:val="auto"/>
                <w:kern w:val="2"/>
                <w:sz w:val="22"/>
                <w:szCs w:val="22"/>
                <w:highlight w:val="none"/>
                <w:lang w:val="en-US" w:eastAsia="zh-CN"/>
              </w:rPr>
              <w:t>1</w:t>
            </w:r>
            <w:r>
              <w:rPr>
                <w:rFonts w:hint="default" w:hAnsi="宋体" w:cs="宋体"/>
                <w:color w:val="auto"/>
                <w:kern w:val="2"/>
                <w:sz w:val="22"/>
                <w:szCs w:val="22"/>
                <w:highlight w:val="none"/>
              </w:rPr>
              <w:t>分，不具备不得分。</w:t>
            </w:r>
            <w:r>
              <w:rPr>
                <w:rFonts w:hint="eastAsia" w:hAnsi="宋体" w:cs="宋体"/>
                <w:color w:val="auto"/>
                <w:kern w:val="2"/>
                <w:sz w:val="22"/>
                <w:szCs w:val="22"/>
                <w:highlight w:val="none"/>
              </w:rPr>
              <w:t>（指挥长、副指挥长、项目负责人、技术负责人可以兼任工作负责人或工作票签发人</w:t>
            </w:r>
            <w:r>
              <w:rPr>
                <w:rFonts w:hint="eastAsia" w:hAnsi="宋体" w:cs="宋体"/>
                <w:color w:val="auto"/>
                <w:kern w:val="2"/>
                <w:sz w:val="22"/>
                <w:szCs w:val="22"/>
                <w:highlight w:val="none"/>
                <w:lang w:eastAsia="zh-CN"/>
              </w:rPr>
              <w:t>，</w:t>
            </w:r>
            <w:r>
              <w:rPr>
                <w:rFonts w:hint="eastAsia" w:hAnsi="宋体" w:cs="宋体"/>
                <w:color w:val="auto"/>
                <w:kern w:val="2"/>
                <w:sz w:val="22"/>
                <w:szCs w:val="22"/>
                <w:highlight w:val="none"/>
                <w:lang w:val="en-US" w:eastAsia="zh-CN"/>
              </w:rPr>
              <w:t>该人员</w:t>
            </w:r>
            <w:r>
              <w:rPr>
                <w:rFonts w:hint="eastAsia" w:ascii="宋体" w:hAnsi="宋体" w:eastAsia="宋体" w:cs="宋体"/>
                <w:color w:val="auto"/>
                <w:kern w:val="2"/>
                <w:sz w:val="21"/>
                <w:szCs w:val="21"/>
                <w:highlight w:val="none"/>
                <w:lang w:val="en-US" w:eastAsia="zh-CN" w:bidi="ar"/>
              </w:rPr>
              <w:t>须提供工作票“两种人”考试合格名单</w:t>
            </w:r>
            <w:r>
              <w:rPr>
                <w:rFonts w:hint="eastAsia" w:hAnsi="宋体" w:cs="宋体"/>
                <w:color w:val="auto"/>
                <w:kern w:val="2"/>
                <w:sz w:val="21"/>
                <w:szCs w:val="21"/>
                <w:highlight w:val="none"/>
                <w:lang w:val="en-US" w:eastAsia="zh-CN" w:bidi="ar"/>
              </w:rPr>
              <w:t>证明材料</w:t>
            </w:r>
            <w:r>
              <w:rPr>
                <w:rFonts w:hint="eastAsia" w:hAnsi="宋体" w:cs="宋体"/>
                <w:color w:val="auto"/>
                <w:kern w:val="2"/>
                <w:sz w:val="22"/>
                <w:szCs w:val="22"/>
                <w:highlight w:val="none"/>
              </w:rPr>
              <w:t>）</w:t>
            </w:r>
            <w:r>
              <w:rPr>
                <w:rFonts w:hint="eastAsia" w:hAnsi="宋体" w:cs="宋体"/>
                <w:color w:val="auto"/>
                <w:kern w:val="2"/>
                <w:sz w:val="22"/>
                <w:szCs w:val="22"/>
                <w:highlight w:val="none"/>
                <w:lang w:eastAsia="zh-CN"/>
              </w:rPr>
              <w:t>。</w:t>
            </w:r>
          </w:p>
          <w:p>
            <w:pPr>
              <w:keepNext w:val="0"/>
              <w:keepLines w:val="0"/>
              <w:suppressLineNumbers w:val="0"/>
              <w:spacing w:before="0" w:beforeAutospacing="0" w:after="0" w:afterAutospacing="0"/>
              <w:ind w:left="0" w:right="0"/>
              <w:rPr>
                <w:rFonts w:hint="default"/>
                <w:color w:val="auto"/>
                <w:sz w:val="22"/>
                <w:highlight w:val="none"/>
              </w:rPr>
            </w:pP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default" w:ascii="宋体" w:hAnsi="宋体" w:cs="宋体"/>
                <w:color w:val="auto"/>
                <w:sz w:val="22"/>
                <w:highlight w:val="none"/>
              </w:rPr>
              <w:t>注：</w:t>
            </w:r>
            <w:r>
              <w:rPr>
                <w:rFonts w:hint="eastAsia" w:ascii="宋体" w:hAnsi="宋体" w:cs="宋体"/>
                <w:color w:val="auto"/>
                <w:sz w:val="22"/>
                <w:highlight w:val="none"/>
              </w:rPr>
              <w:t>（1）组成人员必须为公司正式员工，须按要求提供高或低压特种作业操作证或职称证书等证明材料。须提供2025年3月有效社保证明文件扫描件。未提供或提供资料不全的不得分。</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（2）</w:t>
            </w:r>
            <w:bookmarkStart w:id="71" w:name="OLE_LINK2"/>
            <w:r>
              <w:rPr>
                <w:rFonts w:hint="eastAsia" w:ascii="宋体" w:hAnsi="宋体" w:cs="宋体"/>
                <w:color w:val="auto"/>
                <w:sz w:val="22"/>
                <w:highlight w:val="none"/>
              </w:rPr>
              <w:t>国际国内重大活动包括国家级或以上级别综合性运动会、在国内举行的国际重大会议。</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①国家级或以上级别综合性运动会是指：在中国境内举办的中华人民共和国全国运动会、亚洲运动会、亚洲青年运动会、世界大学生运动会、世界运动会、奥林匹克运动会、世界军人运动会、全国少数民族运动等国家级或以上级别的综合性运动会；</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②在国内举行的国际重大会议是指G20峰会、APEC峰会、上海合作组织峰会、金砖国家领导人峰会、中亚峰会、中非论坛、博鳌亚洲论坛、中国进出口商品交易会（广交会）、中国国际进口博览会（进博会）等。）</w:t>
            </w:r>
          </w:p>
          <w:p>
            <w:pPr>
              <w:keepNext w:val="0"/>
              <w:keepLines w:val="0"/>
              <w:suppressLineNumbers w:val="0"/>
              <w:spacing w:before="0" w:beforeAutospacing="0" w:after="0" w:afterAutospacing="0" w:line="360" w:lineRule="exact"/>
              <w:ind w:left="0" w:right="0"/>
              <w:jc w:val="left"/>
              <w:rPr>
                <w:rFonts w:hint="default" w:ascii="宋体" w:hAnsi="宋体" w:cs="宋体"/>
                <w:color w:val="auto"/>
                <w:sz w:val="22"/>
                <w:highlight w:val="none"/>
              </w:rPr>
            </w:pPr>
            <w:r>
              <w:rPr>
                <w:rFonts w:hint="eastAsia" w:ascii="宋体" w:hAnsi="宋体" w:cs="宋体"/>
                <w:color w:val="auto"/>
                <w:sz w:val="22"/>
                <w:highlight w:val="none"/>
              </w:rPr>
              <w:t>（3）供电保障服务是指在大型活动期间</w:t>
            </w:r>
            <w:bookmarkStart w:id="72" w:name="OLE_LINK21"/>
            <w:r>
              <w:rPr>
                <w:rFonts w:hint="eastAsia" w:ascii="宋体" w:hAnsi="宋体" w:cs="宋体"/>
                <w:color w:val="auto"/>
                <w:sz w:val="22"/>
                <w:highlight w:val="none"/>
              </w:rPr>
              <w:t>确保电力系统的稳定运行，防止任何电力中断影响活动的顺利进行</w:t>
            </w:r>
            <w:bookmarkEnd w:id="72"/>
            <w:r>
              <w:rPr>
                <w:rFonts w:hint="eastAsia" w:ascii="宋体" w:hAnsi="宋体" w:cs="宋体"/>
                <w:color w:val="auto"/>
                <w:sz w:val="22"/>
                <w:highlight w:val="none"/>
              </w:rPr>
              <w:t>，通常包括一系列的准备工作，如制定详细的保电方案、方案实施对电力设施进行巡检和维护，以及在现场设置应急电源和专业技术人员，以应对可能出现的电力故障。</w:t>
            </w:r>
            <w:bookmarkEnd w:id="71"/>
          </w:p>
          <w:p>
            <w:pPr>
              <w:keepNext w:val="0"/>
              <w:keepLines w:val="0"/>
              <w:suppressLineNumbers w:val="0"/>
              <w:spacing w:before="0" w:beforeAutospacing="0" w:after="0" w:afterAutospacing="0" w:line="360" w:lineRule="exact"/>
              <w:ind w:left="0" w:right="0"/>
              <w:jc w:val="left"/>
              <w:rPr>
                <w:rFonts w:hint="default" w:ascii="宋体" w:hAnsi="宋体" w:cs="宋体"/>
                <w:bCs/>
                <w:color w:val="auto"/>
                <w:sz w:val="22"/>
                <w:szCs w:val="24"/>
                <w:highlight w:val="none"/>
              </w:rPr>
            </w:pPr>
            <w:r>
              <w:rPr>
                <w:rFonts w:hint="eastAsia" w:ascii="宋体" w:hAnsi="宋体" w:cs="宋体"/>
                <w:color w:val="auto"/>
                <w:sz w:val="22"/>
                <w:highlight w:val="none"/>
              </w:rPr>
              <w:t>（4）</w:t>
            </w:r>
            <w:r>
              <w:rPr>
                <w:rFonts w:hint="eastAsia" w:ascii="宋体" w:hAnsi="宋体" w:cs="宋体"/>
                <w:color w:val="auto"/>
                <w:sz w:val="22"/>
                <w:highlight w:val="none"/>
                <w:lang w:val="en-US" w:eastAsia="zh-CN"/>
              </w:rPr>
              <w:t>①</w:t>
            </w:r>
            <w:r>
              <w:rPr>
                <w:rFonts w:hint="eastAsia" w:ascii="宋体" w:hAnsi="宋体" w:cs="宋体"/>
                <w:color w:val="auto"/>
                <w:sz w:val="22"/>
                <w:highlight w:val="none"/>
              </w:rPr>
              <w:t>项目</w:t>
            </w:r>
            <w:r>
              <w:rPr>
                <w:rFonts w:hint="eastAsia" w:ascii="宋体" w:hAnsi="宋体" w:cs="宋体"/>
                <w:color w:val="auto"/>
                <w:sz w:val="22"/>
                <w:highlight w:val="none"/>
                <w:lang w:val="en-US" w:eastAsia="zh-CN"/>
              </w:rPr>
              <w:t>服务</w:t>
            </w:r>
            <w:r>
              <w:rPr>
                <w:rFonts w:hint="eastAsia" w:ascii="宋体" w:hAnsi="宋体" w:cs="宋体"/>
                <w:color w:val="auto"/>
                <w:sz w:val="22"/>
                <w:highlight w:val="none"/>
              </w:rPr>
              <w:t>经验需提供证明材料，</w:t>
            </w:r>
            <w:bookmarkStart w:id="73" w:name="OLE_LINK15"/>
            <w:r>
              <w:rPr>
                <w:rFonts w:hint="eastAsia" w:ascii="宋体" w:hAnsi="宋体" w:cs="宋体"/>
                <w:color w:val="auto"/>
                <w:sz w:val="22"/>
                <w:highlight w:val="none"/>
              </w:rPr>
              <w:t>如带合同主体签字或盖章的合同文件、或赛事主办方出具的服务保障方案、或经项目业主或主办确认的验收文件、或主办方的任命文件（证件）或其他可以证明参与过相关活动的证明</w:t>
            </w:r>
            <w:bookmarkEnd w:id="73"/>
            <w:r>
              <w:rPr>
                <w:rFonts w:hint="eastAsia" w:ascii="宋体" w:hAnsi="宋体" w:cs="宋体"/>
                <w:color w:val="auto"/>
                <w:sz w:val="22"/>
                <w:highlight w:val="none"/>
              </w:rPr>
              <w:t>。</w:t>
            </w:r>
            <w:r>
              <w:rPr>
                <w:rFonts w:hint="eastAsia" w:ascii="宋体" w:hAnsi="宋体" w:cs="宋体"/>
                <w:color w:val="auto"/>
                <w:sz w:val="22"/>
                <w:highlight w:val="none"/>
                <w:lang w:val="en-US" w:eastAsia="zh-CN"/>
              </w:rPr>
              <w:t>②人员服务的项目</w:t>
            </w:r>
            <w:r>
              <w:rPr>
                <w:rFonts w:hint="eastAsia" w:ascii="宋体" w:hAnsi="宋体" w:cs="宋体"/>
                <w:color w:val="auto"/>
                <w:sz w:val="22"/>
                <w:highlight w:val="none"/>
              </w:rPr>
              <w:t>可以是中华人民共和国境内业绩，相关证明资料若为外文的，须同时提供中文译文，评标时不同语言的解释发生异议的，以中文译文为准，投标人须对中文译文的准确性、真实性负责，未提供中文译文的，该文件无效；</w:t>
            </w:r>
            <w:r>
              <w:rPr>
                <w:rFonts w:hint="eastAsia" w:ascii="宋体" w:hAnsi="宋体" w:cs="宋体"/>
                <w:color w:val="auto"/>
                <w:sz w:val="22"/>
                <w:highlight w:val="none"/>
                <w:lang w:val="en-US" w:eastAsia="zh-CN"/>
              </w:rPr>
              <w:t>③</w:t>
            </w:r>
            <w:r>
              <w:rPr>
                <w:rFonts w:hint="eastAsia" w:ascii="宋体" w:hAnsi="宋体" w:cs="宋体"/>
                <w:color w:val="auto"/>
                <w:sz w:val="22"/>
                <w:highlight w:val="none"/>
              </w:rPr>
              <w:t>须提供上述证明资料扫描件并加盖投标人电子印章。</w:t>
            </w:r>
          </w:p>
        </w:tc>
      </w:tr>
    </w:tbl>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注：1、管理体系认证：</w:t>
      </w:r>
      <w:r>
        <w:rPr>
          <w:rFonts w:hint="eastAsia" w:ascii="宋体" w:hAnsi="宋体" w:cs="宋体"/>
          <w:color w:val="auto"/>
          <w:sz w:val="24"/>
          <w:szCs w:val="24"/>
          <w:highlight w:val="none"/>
        </w:rPr>
        <w:t>须提供有效期内的管理体系认证证书原件扫描件或国家市场监督管理总局（http://www.samr.gov.cn/）网页查询信息页截图。</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2、项目管理机构能力：</w:t>
      </w:r>
    </w:p>
    <w:p>
      <w:pPr>
        <w:adjustRightIn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（1）须提供职称证书、类似业绩证明资料扫描件，否则不得分。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）项目经理部组成人员必须为公司正式员工，须按要求提供实施人员岗位证及职称证、社保证明等证明材料，人员岗位不能相互兼任。须提供202</w:t>
      </w:r>
      <w:r>
        <w:rPr>
          <w:rFonts w:ascii="宋体" w:hAnsi="宋体" w:cs="宋体"/>
          <w:color w:val="auto"/>
          <w:sz w:val="24"/>
          <w:szCs w:val="24"/>
          <w:highlight w:val="none"/>
        </w:rPr>
        <w:t>5</w:t>
      </w:r>
      <w:r>
        <w:rPr>
          <w:rFonts w:hint="eastAsia" w:ascii="宋体" w:hAnsi="宋体" w:cs="宋体"/>
          <w:color w:val="auto"/>
          <w:sz w:val="24"/>
          <w:szCs w:val="24"/>
          <w:highlight w:val="none"/>
        </w:rPr>
        <w:t>年3月有效社保证明文件扫描件。未提供或提供资料不全的不得分。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3、投标人的各项得分为将各评委的评分汇总后的算术平均分（分数出现小数点时，保留小数点后二位，第三位小数四舍五入）。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4、中标单位需准备投标文件涉及的所有原件待查，如原件不齐或与原件不符的，招标人有权取消其中标人资格。</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以上所附证书证明文件均须提供原件扫描件，投标人提供的网页截图（含网页打印件）或原件扫描件必须加盖投标人公章且内容必须清晰可辨，如因网页截图或原件扫描件内容模糊导致评标时无法判断的，后果由投标人自负。上述资料不提供或提供不完整或提供不符合要求的不得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6、中标后须按招标文件的人员要求补充完善并报发包人审批同意；涉及违约的，还需按合同约定承担相应的违约责任。</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42" w:firstLineChars="200"/>
        <w:textAlignment w:val="auto"/>
        <w:outlineLvl w:val="3"/>
        <w:rPr>
          <w:rFonts w:hint="eastAsia" w:ascii="宋体" w:hAnsi="宋体" w:cs="宋体"/>
          <w:b/>
          <w:bCs w:val="0"/>
          <w:color w:val="auto"/>
          <w:sz w:val="22"/>
          <w:szCs w:val="24"/>
          <w:highlight w:val="none"/>
        </w:rPr>
      </w:pPr>
      <w:r>
        <w:rPr>
          <w:rFonts w:hint="eastAsia" w:ascii="宋体" w:hAnsi="宋体" w:cs="宋体"/>
          <w:b/>
          <w:bCs w:val="0"/>
          <w:color w:val="auto"/>
          <w:sz w:val="22"/>
          <w:szCs w:val="24"/>
          <w:highlight w:val="none"/>
        </w:rPr>
        <w:t>2.2.4（2）</w:t>
      </w:r>
      <w:bookmarkStart w:id="74" w:name="OLE_LINK12"/>
      <w:bookmarkStart w:id="75" w:name="OLE_LINK13"/>
      <w:r>
        <w:rPr>
          <w:rFonts w:hint="eastAsia" w:ascii="宋体" w:hAnsi="宋体" w:cs="宋体"/>
          <w:b/>
          <w:bCs w:val="0"/>
          <w:color w:val="auto"/>
          <w:sz w:val="22"/>
          <w:szCs w:val="24"/>
          <w:highlight w:val="none"/>
        </w:rPr>
        <w:t>服务保障方案</w:t>
      </w:r>
      <w:bookmarkEnd w:id="74"/>
      <w:bookmarkEnd w:id="75"/>
      <w:r>
        <w:rPr>
          <w:rFonts w:hint="eastAsia" w:ascii="宋体" w:hAnsi="宋体" w:cs="宋体"/>
          <w:b/>
          <w:bCs w:val="0"/>
          <w:color w:val="auto"/>
          <w:sz w:val="22"/>
          <w:szCs w:val="24"/>
          <w:highlight w:val="none"/>
        </w:rPr>
        <w:t>（</w:t>
      </w:r>
      <w:r>
        <w:rPr>
          <w:rFonts w:hint="eastAsia" w:ascii="宋体" w:hAnsi="宋体" w:cs="宋体"/>
          <w:b/>
          <w:bCs w:val="0"/>
          <w:color w:val="auto"/>
          <w:sz w:val="22"/>
          <w:szCs w:val="24"/>
          <w:highlight w:val="none"/>
          <w:lang w:val="en-US" w:eastAsia="zh-CN"/>
        </w:rPr>
        <w:t>32</w:t>
      </w:r>
      <w:r>
        <w:rPr>
          <w:rFonts w:hint="eastAsia" w:ascii="宋体" w:hAnsi="宋体" w:cs="宋体"/>
          <w:b/>
          <w:bCs w:val="0"/>
          <w:color w:val="auto"/>
          <w:sz w:val="22"/>
          <w:szCs w:val="24"/>
          <w:highlight w:val="none"/>
        </w:rPr>
        <w:t>分）</w:t>
      </w:r>
    </w:p>
    <w:p>
      <w:pPr>
        <w:tabs>
          <w:tab w:val="left" w:pos="720"/>
        </w:tabs>
        <w:spacing w:line="360" w:lineRule="auto"/>
        <w:ind w:firstLine="420" w:firstLineChars="200"/>
        <w:rPr>
          <w:rFonts w:ascii="宋体" w:hAnsi="宋体" w:cs="Tahoma"/>
          <w:color w:val="auto"/>
          <w:szCs w:val="21"/>
          <w:highlight w:val="none"/>
        </w:rPr>
      </w:pPr>
      <w:r>
        <w:rPr>
          <w:rFonts w:hint="eastAsia" w:ascii="宋体" w:hAnsi="宋体" w:cs="Tahoma"/>
          <w:color w:val="auto"/>
          <w:szCs w:val="21"/>
          <w:highlight w:val="none"/>
        </w:rPr>
        <w:t>1、服务保障方案分若干主要项目进行评审，每个项目根据其重要性确定分值，各项目分【好、中、差】3个档次，每个档次包含一定的分值范围，具体分值范围如下：</w:t>
      </w:r>
    </w:p>
    <w:p>
      <w:pPr>
        <w:tabs>
          <w:tab w:val="left" w:pos="720"/>
        </w:tabs>
        <w:spacing w:line="360" w:lineRule="auto"/>
        <w:jc w:val="center"/>
        <w:rPr>
          <w:rFonts w:ascii="Tahoma" w:hAnsi="Tahoma" w:cs="Tahoma"/>
          <w:b/>
          <w:bCs/>
          <w:color w:val="auto"/>
          <w:szCs w:val="21"/>
          <w:highlight w:val="none"/>
        </w:rPr>
      </w:pPr>
      <w:r>
        <w:rPr>
          <w:rFonts w:hint="eastAsia" w:ascii="Tahoma" w:hAnsi="Tahoma" w:cs="Tahoma"/>
          <w:b/>
          <w:bCs/>
          <w:color w:val="auto"/>
          <w:szCs w:val="21"/>
          <w:highlight w:val="none"/>
        </w:rPr>
        <w:t>技术标详细审查评分标准</w:t>
      </w:r>
    </w:p>
    <w:tbl>
      <w:tblPr>
        <w:tblStyle w:val="38"/>
        <w:tblW w:w="9634" w:type="dxa"/>
        <w:tblInd w:w="0" w:type="dxa"/>
        <w:tblLayout w:type="fixed"/>
        <w:tblCellMar>
          <w:top w:w="0" w:type="dxa"/>
          <w:left w:w="108" w:type="dxa"/>
          <w:bottom w:w="0" w:type="dxa"/>
          <w:right w:w="108" w:type="dxa"/>
        </w:tblCellMar>
      </w:tblPr>
      <w:tblGrid>
        <w:gridCol w:w="560"/>
        <w:gridCol w:w="1600"/>
        <w:gridCol w:w="2040"/>
        <w:gridCol w:w="1920"/>
        <w:gridCol w:w="1240"/>
        <w:gridCol w:w="1282"/>
        <w:gridCol w:w="992"/>
      </w:tblGrid>
      <w:tr>
        <w:tblPrEx>
          <w:tblCellMar>
            <w:top w:w="0" w:type="dxa"/>
            <w:left w:w="108" w:type="dxa"/>
            <w:bottom w:w="0" w:type="dxa"/>
            <w:right w:w="108" w:type="dxa"/>
          </w:tblCellMar>
        </w:tblPrEx>
        <w:trPr>
          <w:trHeight w:val="48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评审项目</w:t>
            </w:r>
          </w:p>
        </w:tc>
        <w:tc>
          <w:tcPr>
            <w:tcW w:w="2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评审项目分项</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分值</w:t>
            </w:r>
          </w:p>
        </w:tc>
        <w:tc>
          <w:tcPr>
            <w:tcW w:w="3514"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评分标准</w:t>
            </w:r>
          </w:p>
        </w:tc>
      </w:tr>
      <w:tr>
        <w:tblPrEx>
          <w:tblCellMar>
            <w:top w:w="0" w:type="dxa"/>
            <w:left w:w="108" w:type="dxa"/>
            <w:bottom w:w="0" w:type="dxa"/>
            <w:right w:w="108" w:type="dxa"/>
          </w:tblCellMar>
        </w:tblPrEx>
        <w:trPr>
          <w:trHeight w:val="480"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0"/>
                <w:szCs w:val="20"/>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0"/>
                <w:szCs w:val="20"/>
                <w:highlight w:val="none"/>
              </w:rPr>
            </w:pPr>
          </w:p>
        </w:tc>
        <w:tc>
          <w:tcPr>
            <w:tcW w:w="2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0"/>
                <w:szCs w:val="20"/>
                <w:highlight w:val="none"/>
              </w:rPr>
            </w:pP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20"/>
                <w:szCs w:val="20"/>
                <w:highlight w:val="none"/>
              </w:rPr>
            </w:pP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好</w:t>
            </w:r>
          </w:p>
        </w:tc>
        <w:tc>
          <w:tcPr>
            <w:tcW w:w="12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中</w:t>
            </w:r>
          </w:p>
        </w:tc>
        <w:tc>
          <w:tcPr>
            <w:tcW w:w="99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差</w:t>
            </w:r>
          </w:p>
        </w:tc>
      </w:tr>
      <w:tr>
        <w:tblPrEx>
          <w:tblCellMar>
            <w:top w:w="0" w:type="dxa"/>
            <w:left w:w="108" w:type="dxa"/>
            <w:bottom w:w="0" w:type="dxa"/>
            <w:right w:w="108" w:type="dxa"/>
          </w:tblCellMar>
        </w:tblPrEx>
        <w:trPr>
          <w:trHeight w:val="359" w:hRule="atLeast"/>
        </w:trPr>
        <w:tc>
          <w:tcPr>
            <w:tcW w:w="42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总计</w:t>
            </w:r>
          </w:p>
        </w:tc>
        <w:tc>
          <w:tcPr>
            <w:tcW w:w="192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Calibri"/>
                <w:b/>
                <w:bCs/>
                <w:color w:val="auto"/>
                <w:kern w:val="0"/>
                <w:sz w:val="20"/>
                <w:szCs w:val="20"/>
                <w:highlight w:val="none"/>
                <w:lang w:val="en-US" w:eastAsia="zh-CN"/>
              </w:rPr>
            </w:pPr>
            <w:r>
              <w:rPr>
                <w:rFonts w:hint="eastAsia" w:ascii="宋体" w:hAnsi="宋体" w:cs="Calibri"/>
                <w:b/>
                <w:bCs/>
                <w:color w:val="auto"/>
                <w:kern w:val="0"/>
                <w:sz w:val="20"/>
                <w:szCs w:val="20"/>
                <w:highlight w:val="none"/>
                <w:lang w:val="en-US" w:eastAsia="zh-CN"/>
              </w:rPr>
              <w:t>32</w:t>
            </w:r>
          </w:p>
        </w:tc>
        <w:tc>
          <w:tcPr>
            <w:tcW w:w="12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c>
          <w:tcPr>
            <w:tcW w:w="128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c>
          <w:tcPr>
            <w:tcW w:w="99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3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kern w:val="0"/>
                <w:sz w:val="20"/>
                <w:szCs w:val="20"/>
                <w:highlight w:val="none"/>
              </w:rPr>
              <w:t>一</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kern w:val="0"/>
                <w:sz w:val="20"/>
                <w:szCs w:val="20"/>
                <w:highlight w:val="none"/>
              </w:rPr>
              <w:t>方案实施与系统整合</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Calibri"/>
                <w:b/>
                <w:bCs/>
                <w:color w:val="auto"/>
                <w:kern w:val="0"/>
                <w:sz w:val="20"/>
                <w:szCs w:val="20"/>
                <w:highlight w:val="none"/>
                <w:lang w:eastAsia="zh-CN"/>
              </w:rPr>
            </w:pPr>
            <w:r>
              <w:rPr>
                <w:rFonts w:hint="eastAsia" w:ascii="宋体" w:hAnsi="宋体" w:cs="Calibri"/>
                <w:b/>
                <w:bCs/>
                <w:color w:val="auto"/>
                <w:kern w:val="0"/>
                <w:sz w:val="20"/>
                <w:szCs w:val="20"/>
                <w:highlight w:val="none"/>
                <w:lang w:val="en-US" w:eastAsia="zh-CN"/>
              </w:rPr>
              <w:t>8</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8</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p>
        </w:tc>
        <w:tc>
          <w:tcPr>
            <w:tcW w:w="12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，0]</w:t>
            </w:r>
          </w:p>
        </w:tc>
      </w:tr>
      <w:tr>
        <w:tblPrEx>
          <w:tblCellMar>
            <w:top w:w="0" w:type="dxa"/>
            <w:left w:w="108" w:type="dxa"/>
            <w:bottom w:w="0" w:type="dxa"/>
            <w:right w:w="108" w:type="dxa"/>
          </w:tblCellMar>
        </w:tblPrEx>
        <w:trPr>
          <w:trHeight w:val="43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kern w:val="0"/>
                <w:sz w:val="20"/>
                <w:szCs w:val="20"/>
                <w:highlight w:val="none"/>
              </w:rPr>
              <w:t>二</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sz w:val="22"/>
                <w:szCs w:val="24"/>
                <w:highlight w:val="none"/>
              </w:rPr>
              <w:t>调试、验收方案</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Calibri"/>
                <w:b/>
                <w:bCs/>
                <w:color w:val="auto"/>
                <w:kern w:val="0"/>
                <w:sz w:val="20"/>
                <w:szCs w:val="20"/>
                <w:highlight w:val="none"/>
                <w:lang w:eastAsia="zh-CN"/>
              </w:rPr>
            </w:pPr>
            <w:r>
              <w:rPr>
                <w:rFonts w:hint="eastAsia" w:ascii="宋体" w:hAnsi="宋体" w:cs="Calibri"/>
                <w:b/>
                <w:bCs/>
                <w:color w:val="auto"/>
                <w:kern w:val="0"/>
                <w:sz w:val="20"/>
                <w:szCs w:val="20"/>
                <w:highlight w:val="none"/>
                <w:lang w:val="en-US" w:eastAsia="zh-CN"/>
              </w:rPr>
              <w:t>8</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8</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p>
        </w:tc>
        <w:tc>
          <w:tcPr>
            <w:tcW w:w="12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，0]</w:t>
            </w:r>
          </w:p>
        </w:tc>
      </w:tr>
      <w:tr>
        <w:tblPrEx>
          <w:tblCellMar>
            <w:top w:w="0" w:type="dxa"/>
            <w:left w:w="108" w:type="dxa"/>
            <w:bottom w:w="0" w:type="dxa"/>
            <w:right w:w="108" w:type="dxa"/>
          </w:tblCellMar>
        </w:tblPrEx>
        <w:trPr>
          <w:trHeight w:val="43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kern w:val="0"/>
                <w:sz w:val="20"/>
                <w:szCs w:val="20"/>
                <w:highlight w:val="none"/>
              </w:rPr>
              <w:t>三</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运行维护方案</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Calibri"/>
                <w:b/>
                <w:bCs/>
                <w:color w:val="auto"/>
                <w:kern w:val="0"/>
                <w:sz w:val="20"/>
                <w:szCs w:val="20"/>
                <w:highlight w:val="none"/>
                <w:lang w:eastAsia="zh-CN"/>
              </w:rPr>
            </w:pPr>
            <w:r>
              <w:rPr>
                <w:rFonts w:hint="eastAsia" w:ascii="宋体" w:hAnsi="宋体" w:cs="Calibri"/>
                <w:b/>
                <w:bCs/>
                <w:color w:val="auto"/>
                <w:kern w:val="0"/>
                <w:sz w:val="20"/>
                <w:szCs w:val="20"/>
                <w:highlight w:val="none"/>
                <w:lang w:val="en-US" w:eastAsia="zh-CN"/>
              </w:rPr>
              <w:t>8</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8</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p>
        </w:tc>
        <w:tc>
          <w:tcPr>
            <w:tcW w:w="12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，0]</w:t>
            </w:r>
          </w:p>
        </w:tc>
      </w:tr>
      <w:tr>
        <w:tblPrEx>
          <w:tblCellMar>
            <w:top w:w="0" w:type="dxa"/>
            <w:left w:w="108" w:type="dxa"/>
            <w:bottom w:w="0" w:type="dxa"/>
            <w:right w:w="108" w:type="dxa"/>
          </w:tblCellMar>
        </w:tblPrEx>
        <w:trPr>
          <w:trHeight w:val="437"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0"/>
                <w:szCs w:val="20"/>
                <w:highlight w:val="none"/>
              </w:rPr>
            </w:pPr>
            <w:r>
              <w:rPr>
                <w:rFonts w:hint="eastAsia" w:ascii="宋体" w:hAnsi="宋体" w:cs="宋体"/>
                <w:bCs/>
                <w:color w:val="auto"/>
                <w:kern w:val="0"/>
                <w:sz w:val="20"/>
                <w:szCs w:val="20"/>
                <w:highlight w:val="none"/>
              </w:rPr>
              <w:t>四</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风险应急应对方案</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Calibri"/>
                <w:b/>
                <w:bCs/>
                <w:color w:val="auto"/>
                <w:kern w:val="0"/>
                <w:sz w:val="20"/>
                <w:szCs w:val="20"/>
                <w:highlight w:val="none"/>
                <w:lang w:eastAsia="zh-CN"/>
              </w:rPr>
            </w:pPr>
            <w:r>
              <w:rPr>
                <w:rFonts w:hint="eastAsia" w:ascii="宋体" w:hAnsi="宋体" w:cs="Calibri"/>
                <w:b/>
                <w:bCs/>
                <w:color w:val="auto"/>
                <w:kern w:val="0"/>
                <w:sz w:val="20"/>
                <w:szCs w:val="20"/>
                <w:highlight w:val="none"/>
                <w:lang w:val="en-US" w:eastAsia="zh-CN"/>
              </w:rPr>
              <w:t>8</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8</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p>
        </w:tc>
        <w:tc>
          <w:tcPr>
            <w:tcW w:w="12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6</w:t>
            </w: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b/>
                <w:bCs/>
                <w:color w:val="auto"/>
                <w:kern w:val="0"/>
                <w:sz w:val="20"/>
                <w:szCs w:val="20"/>
                <w:highlight w:val="none"/>
              </w:rPr>
              <w:t>[</w:t>
            </w:r>
            <w:r>
              <w:rPr>
                <w:rFonts w:hint="eastAsia" w:ascii="宋体" w:hAnsi="宋体" w:cs="宋体"/>
                <w:b/>
                <w:bCs/>
                <w:color w:val="auto"/>
                <w:kern w:val="0"/>
                <w:sz w:val="20"/>
                <w:szCs w:val="20"/>
                <w:highlight w:val="none"/>
                <w:lang w:val="en-US" w:eastAsia="zh-CN"/>
              </w:rPr>
              <w:t>3</w:t>
            </w:r>
            <w:r>
              <w:rPr>
                <w:rFonts w:hint="eastAsia" w:ascii="宋体" w:hAnsi="宋体" w:cs="宋体"/>
                <w:b/>
                <w:bCs/>
                <w:color w:val="auto"/>
                <w:kern w:val="0"/>
                <w:sz w:val="20"/>
                <w:szCs w:val="20"/>
                <w:highlight w:val="none"/>
              </w:rPr>
              <w:t>，0]</w:t>
            </w:r>
          </w:p>
        </w:tc>
      </w:tr>
    </w:tbl>
    <w:p>
      <w:pPr>
        <w:tabs>
          <w:tab w:val="left" w:pos="720"/>
        </w:tabs>
        <w:spacing w:line="360" w:lineRule="auto"/>
        <w:rPr>
          <w:rFonts w:ascii="Tahoma" w:hAnsi="Tahoma" w:cs="Tahoma"/>
          <w:color w:val="auto"/>
          <w:sz w:val="20"/>
          <w:szCs w:val="21"/>
          <w:highlight w:val="none"/>
        </w:rPr>
      </w:pPr>
    </w:p>
    <w:p>
      <w:pPr>
        <w:tabs>
          <w:tab w:val="left" w:pos="720"/>
        </w:tabs>
        <w:spacing w:line="360" w:lineRule="auto"/>
        <w:ind w:firstLine="422" w:firstLineChars="200"/>
        <w:rPr>
          <w:rFonts w:ascii="宋体" w:hAnsi="宋体" w:cs="Tahoma"/>
          <w:b/>
          <w:color w:val="auto"/>
          <w:szCs w:val="21"/>
          <w:highlight w:val="none"/>
        </w:rPr>
      </w:pPr>
      <w:r>
        <w:rPr>
          <w:rFonts w:hint="eastAsia" w:ascii="宋体" w:hAnsi="宋体" w:cs="Tahoma"/>
          <w:b/>
          <w:bCs/>
          <w:color w:val="auto"/>
          <w:szCs w:val="21"/>
          <w:highlight w:val="none"/>
        </w:rPr>
        <w:t>2、</w:t>
      </w:r>
      <w:r>
        <w:rPr>
          <w:rFonts w:ascii="宋体" w:hAnsi="宋体" w:cs="Tahoma"/>
          <w:b/>
          <w:color w:val="auto"/>
          <w:szCs w:val="21"/>
          <w:highlight w:val="none"/>
        </w:rPr>
        <w:t>技术评分要求</w:t>
      </w:r>
    </w:p>
    <w:p>
      <w:pPr>
        <w:tabs>
          <w:tab w:val="left" w:pos="720"/>
        </w:tabs>
        <w:spacing w:line="360" w:lineRule="auto"/>
        <w:ind w:firstLine="420" w:firstLineChars="200"/>
        <w:rPr>
          <w:rFonts w:ascii="Tahoma" w:hAnsi="Tahoma" w:cs="Tahoma"/>
          <w:color w:val="auto"/>
          <w:szCs w:val="21"/>
          <w:highlight w:val="none"/>
        </w:rPr>
      </w:pPr>
      <w:r>
        <w:rPr>
          <w:rFonts w:hint="eastAsia" w:ascii="Tahoma" w:hAnsi="Tahoma" w:cs="Tahoma"/>
          <w:color w:val="auto"/>
          <w:szCs w:val="21"/>
          <w:highlight w:val="none"/>
        </w:rPr>
        <w:t>技术评分依据</w:t>
      </w:r>
      <w:r>
        <w:rPr>
          <w:rFonts w:ascii="Tahoma" w:hAnsi="Tahoma" w:cs="Tahoma"/>
          <w:color w:val="auto"/>
          <w:szCs w:val="21"/>
          <w:highlight w:val="none"/>
        </w:rPr>
        <w:t>“</w:t>
      </w:r>
      <w:r>
        <w:rPr>
          <w:rFonts w:hint="eastAsia" w:ascii="Tahoma" w:hAnsi="Tahoma" w:cs="Tahoma"/>
          <w:color w:val="auto"/>
          <w:szCs w:val="21"/>
          <w:highlight w:val="none"/>
        </w:rPr>
        <w:t>先定档、后评分</w:t>
      </w:r>
      <w:r>
        <w:rPr>
          <w:rFonts w:ascii="Tahoma" w:hAnsi="Tahoma" w:cs="Tahoma"/>
          <w:color w:val="auto"/>
          <w:szCs w:val="21"/>
          <w:highlight w:val="none"/>
        </w:rPr>
        <w:t>”</w:t>
      </w:r>
      <w:r>
        <w:rPr>
          <w:rFonts w:hint="eastAsia" w:ascii="Tahoma" w:hAnsi="Tahoma" w:cs="Tahoma"/>
          <w:color w:val="auto"/>
          <w:szCs w:val="21"/>
          <w:highlight w:val="none"/>
        </w:rPr>
        <w:t>的原则，具体要求如下：</w:t>
      </w:r>
    </w:p>
    <w:p>
      <w:pPr>
        <w:tabs>
          <w:tab w:val="left" w:pos="720"/>
        </w:tabs>
        <w:spacing w:line="360" w:lineRule="auto"/>
        <w:ind w:firstLine="420" w:firstLineChars="200"/>
        <w:rPr>
          <w:rFonts w:ascii="Tahoma" w:hAnsi="Tahoma" w:cs="Tahoma"/>
          <w:color w:val="auto"/>
          <w:szCs w:val="21"/>
          <w:highlight w:val="none"/>
        </w:rPr>
      </w:pPr>
      <w:r>
        <w:rPr>
          <w:rFonts w:ascii="Tahoma" w:hAnsi="Tahoma" w:cs="Tahoma"/>
          <w:color w:val="auto"/>
          <w:szCs w:val="21"/>
          <w:highlight w:val="none"/>
        </w:rPr>
        <w:t>1</w:t>
      </w:r>
      <w:r>
        <w:rPr>
          <w:rFonts w:hint="eastAsia" w:ascii="Tahoma" w:hAnsi="Tahoma" w:cs="Tahoma"/>
          <w:color w:val="auto"/>
          <w:szCs w:val="21"/>
          <w:highlight w:val="none"/>
        </w:rPr>
        <w:t>）每位评标专家应严格按照</w:t>
      </w:r>
      <w:r>
        <w:rPr>
          <w:rFonts w:hint="eastAsia" w:ascii="宋体" w:hAnsi="宋体" w:cs="宋体"/>
          <w:bCs/>
          <w:color w:val="auto"/>
          <w:sz w:val="22"/>
          <w:szCs w:val="24"/>
          <w:highlight w:val="none"/>
        </w:rPr>
        <w:t>2.2.4（2）第3项</w:t>
      </w:r>
      <w:r>
        <w:rPr>
          <w:rFonts w:hint="eastAsia" w:ascii="Tahoma" w:hAnsi="Tahoma" w:cs="Tahoma"/>
          <w:color w:val="auto"/>
          <w:szCs w:val="21"/>
          <w:highlight w:val="none"/>
        </w:rPr>
        <w:t>规定的【好、中、差】等级标准对投标文件进行评议，对通过符合性审查的各投标人进行定档评议。</w:t>
      </w:r>
    </w:p>
    <w:p>
      <w:pPr>
        <w:tabs>
          <w:tab w:val="left" w:pos="720"/>
        </w:tabs>
        <w:spacing w:line="360" w:lineRule="auto"/>
        <w:ind w:firstLine="420" w:firstLineChars="200"/>
        <w:rPr>
          <w:rFonts w:ascii="Tahoma" w:hAnsi="Tahoma" w:cs="Tahoma"/>
          <w:color w:val="auto"/>
          <w:szCs w:val="21"/>
          <w:highlight w:val="none"/>
        </w:rPr>
      </w:pPr>
      <w:r>
        <w:rPr>
          <w:rFonts w:ascii="Tahoma" w:hAnsi="Tahoma" w:cs="Tahoma"/>
          <w:color w:val="auto"/>
          <w:szCs w:val="21"/>
          <w:highlight w:val="none"/>
        </w:rPr>
        <w:t>2</w:t>
      </w:r>
      <w:r>
        <w:rPr>
          <w:rFonts w:hint="eastAsia" w:ascii="Tahoma" w:hAnsi="Tahoma" w:cs="Tahoma"/>
          <w:color w:val="auto"/>
          <w:szCs w:val="21"/>
          <w:highlight w:val="none"/>
        </w:rPr>
        <w:t>）每位评标专家先递交各自的定档评议，定档分好、中、差</w:t>
      </w:r>
      <w:r>
        <w:rPr>
          <w:rFonts w:ascii="Tahoma" w:hAnsi="Tahoma" w:cs="Tahoma"/>
          <w:color w:val="auto"/>
          <w:szCs w:val="21"/>
          <w:highlight w:val="none"/>
        </w:rPr>
        <w:t>3</w:t>
      </w:r>
      <w:r>
        <w:rPr>
          <w:rFonts w:hint="eastAsia" w:ascii="Tahoma" w:hAnsi="Tahoma" w:cs="Tahoma"/>
          <w:color w:val="auto"/>
          <w:szCs w:val="21"/>
          <w:highlight w:val="none"/>
        </w:rPr>
        <w:t>档，好为</w:t>
      </w:r>
      <w:r>
        <w:rPr>
          <w:rFonts w:ascii="Tahoma" w:hAnsi="Tahoma" w:cs="Tahoma"/>
          <w:color w:val="auto"/>
          <w:szCs w:val="21"/>
          <w:highlight w:val="none"/>
        </w:rPr>
        <w:t>3</w:t>
      </w:r>
      <w:r>
        <w:rPr>
          <w:rFonts w:hint="eastAsia" w:ascii="Tahoma" w:hAnsi="Tahoma" w:cs="Tahoma"/>
          <w:color w:val="auto"/>
          <w:szCs w:val="21"/>
          <w:highlight w:val="none"/>
        </w:rPr>
        <w:t>分</w:t>
      </w:r>
      <w:r>
        <w:rPr>
          <w:rFonts w:ascii="Tahoma" w:hAnsi="Tahoma" w:cs="Tahoma"/>
          <w:color w:val="auto"/>
          <w:szCs w:val="21"/>
          <w:highlight w:val="none"/>
        </w:rPr>
        <w:t>,</w:t>
      </w:r>
      <w:r>
        <w:rPr>
          <w:rFonts w:hint="eastAsia" w:ascii="Tahoma" w:hAnsi="Tahoma" w:cs="Tahoma"/>
          <w:color w:val="auto"/>
          <w:szCs w:val="21"/>
          <w:highlight w:val="none"/>
        </w:rPr>
        <w:t>中为</w:t>
      </w:r>
      <w:r>
        <w:rPr>
          <w:rFonts w:ascii="Tahoma" w:hAnsi="Tahoma" w:cs="Tahoma"/>
          <w:color w:val="auto"/>
          <w:szCs w:val="21"/>
          <w:highlight w:val="none"/>
        </w:rPr>
        <w:t>2</w:t>
      </w:r>
      <w:r>
        <w:rPr>
          <w:rFonts w:hint="eastAsia" w:ascii="Tahoma" w:hAnsi="Tahoma" w:cs="Tahoma"/>
          <w:color w:val="auto"/>
          <w:szCs w:val="21"/>
          <w:highlight w:val="none"/>
        </w:rPr>
        <w:t>分</w:t>
      </w:r>
      <w:r>
        <w:rPr>
          <w:rFonts w:ascii="Tahoma" w:hAnsi="Tahoma" w:cs="Tahoma"/>
          <w:color w:val="auto"/>
          <w:szCs w:val="21"/>
          <w:highlight w:val="none"/>
        </w:rPr>
        <w:t>,</w:t>
      </w:r>
      <w:r>
        <w:rPr>
          <w:rFonts w:hint="eastAsia" w:ascii="Tahoma" w:hAnsi="Tahoma" w:cs="Tahoma"/>
          <w:color w:val="auto"/>
          <w:szCs w:val="21"/>
          <w:highlight w:val="none"/>
        </w:rPr>
        <w:t>差为</w:t>
      </w:r>
      <w:r>
        <w:rPr>
          <w:rFonts w:ascii="Tahoma" w:hAnsi="Tahoma" w:cs="Tahoma"/>
          <w:color w:val="auto"/>
          <w:szCs w:val="21"/>
          <w:highlight w:val="none"/>
        </w:rPr>
        <w:t>1</w:t>
      </w:r>
      <w:r>
        <w:rPr>
          <w:rFonts w:hint="eastAsia" w:ascii="Tahoma" w:hAnsi="Tahoma" w:cs="Tahoma"/>
          <w:color w:val="auto"/>
          <w:szCs w:val="21"/>
          <w:highlight w:val="none"/>
        </w:rPr>
        <w:t>分；经汇总计算其算术平均分，分数出现小数点，保留小数点后</w:t>
      </w:r>
      <w:r>
        <w:rPr>
          <w:rFonts w:ascii="Tahoma" w:hAnsi="Tahoma" w:cs="Tahoma"/>
          <w:color w:val="auto"/>
          <w:szCs w:val="21"/>
          <w:highlight w:val="none"/>
        </w:rPr>
        <w:t>1</w:t>
      </w:r>
      <w:r>
        <w:rPr>
          <w:rFonts w:hint="eastAsia" w:ascii="Tahoma" w:hAnsi="Tahoma" w:cs="Tahoma"/>
          <w:color w:val="auto"/>
          <w:szCs w:val="21"/>
          <w:highlight w:val="none"/>
        </w:rPr>
        <w:t>位，第</w:t>
      </w:r>
      <w:r>
        <w:rPr>
          <w:rFonts w:ascii="Tahoma" w:hAnsi="Tahoma" w:cs="Tahoma"/>
          <w:color w:val="auto"/>
          <w:szCs w:val="21"/>
          <w:highlight w:val="none"/>
        </w:rPr>
        <w:t>2</w:t>
      </w:r>
      <w:r>
        <w:rPr>
          <w:rFonts w:hint="eastAsia" w:ascii="Tahoma" w:hAnsi="Tahoma" w:cs="Tahoma"/>
          <w:color w:val="auto"/>
          <w:szCs w:val="21"/>
          <w:highlight w:val="none"/>
        </w:rPr>
        <w:t>位小数四舍五入，最终按下表得出各投标人的最终档次。</w:t>
      </w:r>
    </w:p>
    <w:tbl>
      <w:tblPr>
        <w:tblStyle w:val="38"/>
        <w:tblW w:w="0" w:type="auto"/>
        <w:tblInd w:w="0" w:type="dxa"/>
        <w:tblLayout w:type="fixed"/>
        <w:tblCellMar>
          <w:top w:w="0" w:type="dxa"/>
          <w:left w:w="28" w:type="dxa"/>
          <w:bottom w:w="0" w:type="dxa"/>
          <w:right w:w="28" w:type="dxa"/>
        </w:tblCellMar>
      </w:tblPr>
      <w:tblGrid>
        <w:gridCol w:w="3232"/>
        <w:gridCol w:w="3232"/>
        <w:gridCol w:w="2635"/>
      </w:tblGrid>
      <w:tr>
        <w:tblPrEx>
          <w:tblCellMar>
            <w:top w:w="0" w:type="dxa"/>
            <w:left w:w="28" w:type="dxa"/>
            <w:bottom w:w="0" w:type="dxa"/>
            <w:right w:w="28" w:type="dxa"/>
          </w:tblCellMar>
        </w:tblPrEx>
        <w:trPr>
          <w:cantSplit/>
          <w:trHeight w:val="23" w:hRule="atLeast"/>
          <w:tblHeader/>
        </w:trPr>
        <w:tc>
          <w:tcPr>
            <w:tcW w:w="3232" w:type="dxa"/>
            <w:tcBorders>
              <w:top w:val="single" w:color="auto" w:sz="6" w:space="0"/>
              <w:left w:val="single" w:color="auto" w:sz="6" w:space="0"/>
              <w:right w:val="single" w:color="auto" w:sz="6" w:space="0"/>
            </w:tcBorders>
            <w:vAlign w:val="center"/>
          </w:tcPr>
          <w:p>
            <w:pPr>
              <w:keepNext w:val="0"/>
              <w:keepLines w:val="0"/>
              <w:suppressLineNumbers w:val="0"/>
              <w:tabs>
                <w:tab w:val="left" w:pos="720"/>
              </w:tabs>
              <w:spacing w:before="0" w:beforeAutospacing="0" w:after="0" w:afterAutospacing="0" w:line="360" w:lineRule="auto"/>
              <w:ind w:left="0" w:right="0" w:firstLine="149" w:firstLineChars="71"/>
              <w:jc w:val="center"/>
              <w:rPr>
                <w:rFonts w:hint="default" w:ascii="Tahoma" w:hAnsi="Tahoma" w:cs="Tahoma"/>
                <w:bCs/>
                <w:color w:val="auto"/>
                <w:szCs w:val="21"/>
                <w:highlight w:val="none"/>
              </w:rPr>
            </w:pPr>
            <w:r>
              <w:rPr>
                <w:rFonts w:hint="eastAsia" w:ascii="Tahoma" w:hAnsi="Tahoma" w:cs="Tahoma"/>
                <w:bCs/>
                <w:color w:val="auto"/>
                <w:szCs w:val="21"/>
                <w:highlight w:val="none"/>
              </w:rPr>
              <w:t>好</w:t>
            </w:r>
          </w:p>
        </w:tc>
        <w:tc>
          <w:tcPr>
            <w:tcW w:w="3232" w:type="dxa"/>
            <w:tcBorders>
              <w:top w:val="single" w:color="auto" w:sz="6" w:space="0"/>
              <w:left w:val="single" w:color="auto" w:sz="6" w:space="0"/>
              <w:right w:val="single" w:color="auto" w:sz="6"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bCs/>
                <w:color w:val="auto"/>
                <w:szCs w:val="21"/>
                <w:highlight w:val="none"/>
              </w:rPr>
            </w:pPr>
            <w:r>
              <w:rPr>
                <w:rFonts w:hint="eastAsia" w:ascii="Tahoma" w:hAnsi="Tahoma" w:cs="Tahoma"/>
                <w:bCs/>
                <w:color w:val="auto"/>
                <w:szCs w:val="21"/>
                <w:highlight w:val="none"/>
              </w:rPr>
              <w:t>中</w:t>
            </w:r>
          </w:p>
        </w:tc>
        <w:tc>
          <w:tcPr>
            <w:tcW w:w="2635" w:type="dxa"/>
            <w:tcBorders>
              <w:top w:val="single" w:color="auto" w:sz="6" w:space="0"/>
              <w:left w:val="single" w:color="auto" w:sz="6" w:space="0"/>
              <w:right w:val="single" w:color="auto" w:sz="4"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bCs/>
                <w:color w:val="auto"/>
                <w:szCs w:val="21"/>
                <w:highlight w:val="none"/>
              </w:rPr>
            </w:pPr>
            <w:r>
              <w:rPr>
                <w:rFonts w:hint="eastAsia" w:ascii="Tahoma" w:hAnsi="Tahoma" w:cs="Tahoma"/>
                <w:bCs/>
                <w:color w:val="auto"/>
                <w:szCs w:val="21"/>
                <w:highlight w:val="none"/>
              </w:rPr>
              <w:t>差</w:t>
            </w:r>
          </w:p>
        </w:tc>
      </w:tr>
      <w:tr>
        <w:trPr>
          <w:cantSplit/>
          <w:trHeight w:val="23" w:hRule="atLeast"/>
          <w:tblHeader/>
        </w:trPr>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bCs/>
                <w:color w:val="auto"/>
                <w:szCs w:val="21"/>
                <w:highlight w:val="none"/>
              </w:rPr>
            </w:pPr>
            <w:r>
              <w:rPr>
                <w:rFonts w:hint="default" w:ascii="Tahoma" w:hAnsi="Tahoma" w:cs="Tahoma"/>
                <w:bCs/>
                <w:color w:val="auto"/>
                <w:szCs w:val="21"/>
                <w:highlight w:val="none"/>
              </w:rPr>
              <w:t>[3</w:t>
            </w:r>
            <w:r>
              <w:rPr>
                <w:rFonts w:hint="eastAsia" w:ascii="Tahoma" w:hAnsi="Tahoma" w:cs="Tahoma"/>
                <w:bCs/>
                <w:color w:val="auto"/>
                <w:szCs w:val="21"/>
                <w:highlight w:val="none"/>
              </w:rPr>
              <w:t>，</w:t>
            </w:r>
            <w:r>
              <w:rPr>
                <w:rFonts w:hint="default" w:ascii="Tahoma" w:hAnsi="Tahoma" w:cs="Tahoma"/>
                <w:bCs/>
                <w:color w:val="auto"/>
                <w:szCs w:val="21"/>
                <w:highlight w:val="none"/>
              </w:rPr>
              <w:t>2.5]</w:t>
            </w:r>
          </w:p>
        </w:tc>
        <w:tc>
          <w:tcPr>
            <w:tcW w:w="32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bCs/>
                <w:color w:val="auto"/>
                <w:szCs w:val="21"/>
                <w:highlight w:val="none"/>
              </w:rPr>
            </w:pPr>
            <w:r>
              <w:rPr>
                <w:rFonts w:hint="default" w:ascii="Tahoma" w:hAnsi="Tahoma" w:cs="Tahoma"/>
                <w:bCs/>
                <w:color w:val="auto"/>
                <w:szCs w:val="21"/>
                <w:highlight w:val="none"/>
              </w:rPr>
              <w:t>(2.5</w:t>
            </w:r>
            <w:r>
              <w:rPr>
                <w:rFonts w:hint="eastAsia" w:ascii="Tahoma" w:hAnsi="Tahoma" w:cs="Tahoma"/>
                <w:bCs/>
                <w:color w:val="auto"/>
                <w:szCs w:val="21"/>
                <w:highlight w:val="none"/>
              </w:rPr>
              <w:t>，</w:t>
            </w:r>
            <w:r>
              <w:rPr>
                <w:rFonts w:hint="default" w:ascii="Tahoma" w:hAnsi="Tahoma" w:cs="Tahoma"/>
                <w:bCs/>
                <w:color w:val="auto"/>
                <w:szCs w:val="21"/>
                <w:highlight w:val="none"/>
              </w:rPr>
              <w:t>1.5)</w:t>
            </w:r>
          </w:p>
        </w:tc>
        <w:tc>
          <w:tcPr>
            <w:tcW w:w="26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ahoma" w:hAnsi="Tahoma" w:cs="Tahoma"/>
                <w:bCs/>
                <w:color w:val="auto"/>
                <w:szCs w:val="21"/>
                <w:highlight w:val="none"/>
              </w:rPr>
            </w:pPr>
            <w:r>
              <w:rPr>
                <w:rFonts w:hint="default" w:ascii="Tahoma" w:hAnsi="Tahoma" w:cs="Tahoma"/>
                <w:bCs/>
                <w:color w:val="auto"/>
                <w:szCs w:val="21"/>
                <w:highlight w:val="none"/>
              </w:rPr>
              <w:t>[1.5</w:t>
            </w:r>
            <w:r>
              <w:rPr>
                <w:rFonts w:hint="eastAsia" w:ascii="Tahoma" w:hAnsi="Tahoma" w:cs="Tahoma"/>
                <w:bCs/>
                <w:color w:val="auto"/>
                <w:szCs w:val="21"/>
                <w:highlight w:val="none"/>
              </w:rPr>
              <w:t>，</w:t>
            </w:r>
            <w:r>
              <w:rPr>
                <w:rFonts w:hint="default" w:ascii="Tahoma" w:hAnsi="Tahoma" w:cs="Tahoma"/>
                <w:bCs/>
                <w:color w:val="auto"/>
                <w:szCs w:val="21"/>
                <w:highlight w:val="none"/>
              </w:rPr>
              <w:t>1]</w:t>
            </w:r>
          </w:p>
        </w:tc>
      </w:tr>
    </w:tbl>
    <w:p>
      <w:pPr>
        <w:tabs>
          <w:tab w:val="left" w:pos="720"/>
        </w:tabs>
        <w:spacing w:line="360" w:lineRule="auto"/>
        <w:ind w:firstLine="420" w:firstLineChars="200"/>
        <w:rPr>
          <w:rFonts w:ascii="Tahoma" w:hAnsi="Tahoma" w:cs="Tahoma"/>
          <w:color w:val="auto"/>
          <w:szCs w:val="21"/>
          <w:highlight w:val="none"/>
        </w:rPr>
      </w:pPr>
      <w:r>
        <w:rPr>
          <w:rFonts w:ascii="Tahoma" w:hAnsi="Tahoma" w:cs="Tahoma"/>
          <w:color w:val="auto"/>
          <w:szCs w:val="21"/>
          <w:highlight w:val="none"/>
        </w:rPr>
        <w:t>3</w:t>
      </w:r>
      <w:r>
        <w:rPr>
          <w:rFonts w:hint="eastAsia" w:ascii="Tahoma" w:hAnsi="Tahoma" w:cs="Tahoma"/>
          <w:color w:val="auto"/>
          <w:szCs w:val="21"/>
          <w:highlight w:val="none"/>
        </w:rPr>
        <w:t>）各评标专家根据评标的最终档次和评标打分准则进行各自的打分，评分不符合评标档次的无效。</w:t>
      </w:r>
    </w:p>
    <w:p>
      <w:pPr>
        <w:tabs>
          <w:tab w:val="left" w:pos="720"/>
        </w:tabs>
        <w:spacing w:line="360" w:lineRule="auto"/>
        <w:ind w:firstLine="420" w:firstLineChars="200"/>
        <w:rPr>
          <w:rFonts w:ascii="Tahoma" w:hAnsi="Tahoma" w:cs="Tahoma"/>
          <w:color w:val="auto"/>
          <w:szCs w:val="21"/>
          <w:highlight w:val="none"/>
        </w:rPr>
      </w:pPr>
      <w:r>
        <w:rPr>
          <w:rFonts w:ascii="Tahoma" w:hAnsi="Tahoma" w:cs="Tahoma"/>
          <w:color w:val="auto"/>
          <w:szCs w:val="21"/>
          <w:highlight w:val="none"/>
        </w:rPr>
        <w:t>4</w:t>
      </w:r>
      <w:r>
        <w:rPr>
          <w:rFonts w:hint="eastAsia" w:ascii="Tahoma" w:hAnsi="Tahoma" w:cs="Tahoma"/>
          <w:color w:val="auto"/>
          <w:szCs w:val="21"/>
          <w:highlight w:val="none"/>
        </w:rPr>
        <w:t>）然后，去掉一个最高分和一个最低分后计取算术平均分，分数出现小数点，保留小数点后二位，第三位小数四舍五入。</w:t>
      </w:r>
    </w:p>
    <w:p>
      <w:pPr>
        <w:autoSpaceDN w:val="0"/>
        <w:rPr>
          <w:rFonts w:ascii="宋体" w:hAnsi="宋体" w:cs="Tahoma"/>
          <w:b/>
          <w:color w:val="auto"/>
          <w:sz w:val="24"/>
          <w:szCs w:val="24"/>
          <w:highlight w:val="none"/>
        </w:rPr>
      </w:pPr>
      <w:r>
        <w:rPr>
          <w:rFonts w:hint="eastAsia" w:ascii="宋体" w:hAnsi="宋体"/>
          <w:b/>
          <w:bCs/>
          <w:color w:val="auto"/>
          <w:sz w:val="24"/>
          <w:szCs w:val="24"/>
          <w:highlight w:val="none"/>
        </w:rPr>
        <w:t>3、</w:t>
      </w:r>
      <w:r>
        <w:rPr>
          <w:rFonts w:ascii="宋体" w:hAnsi="宋体" w:cs="Tahoma"/>
          <w:b/>
          <w:color w:val="auto"/>
          <w:sz w:val="24"/>
          <w:szCs w:val="24"/>
          <w:highlight w:val="none"/>
        </w:rPr>
        <w:t>【好、中、差】等级标准</w:t>
      </w:r>
    </w:p>
    <w:p>
      <w:pPr>
        <w:tabs>
          <w:tab w:val="left" w:pos="720"/>
        </w:tabs>
        <w:spacing w:line="420" w:lineRule="exact"/>
        <w:ind w:firstLine="440" w:firstLineChars="200"/>
        <w:rPr>
          <w:rFonts w:ascii="宋体" w:hAnsi="宋体" w:cs="宋体"/>
          <w:bCs/>
          <w:color w:val="auto"/>
          <w:sz w:val="22"/>
          <w:szCs w:val="24"/>
          <w:highlight w:val="none"/>
        </w:rPr>
      </w:pPr>
      <w:r>
        <w:rPr>
          <w:rFonts w:hint="eastAsia" w:ascii="宋体" w:hAnsi="宋体" w:cs="宋体"/>
          <w:bCs/>
          <w:color w:val="auto"/>
          <w:sz w:val="22"/>
          <w:szCs w:val="24"/>
          <w:highlight w:val="none"/>
        </w:rPr>
        <w:t>一、方案实施与系统整合</w:t>
      </w:r>
    </w:p>
    <w:p>
      <w:pPr>
        <w:adjustRightInd w:val="0"/>
        <w:snapToGrid w:val="0"/>
        <w:ind w:firstLine="440" w:firstLineChars="200"/>
        <w:rPr>
          <w:rFonts w:ascii="宋体" w:hAnsi="宋体" w:cs="宋体"/>
          <w:bCs/>
          <w:color w:val="auto"/>
          <w:sz w:val="22"/>
          <w:szCs w:val="24"/>
          <w:highlight w:val="none"/>
        </w:rPr>
      </w:pPr>
      <w:r>
        <w:rPr>
          <w:rFonts w:hint="eastAsia" w:ascii="宋体" w:hAnsi="宋体" w:cs="宋体"/>
          <w:bCs/>
          <w:color w:val="auto"/>
          <w:sz w:val="22"/>
          <w:szCs w:val="24"/>
          <w:highlight w:val="none"/>
        </w:rPr>
        <w:t>针对本项目储能、市电、发电机联动建设的特点分析到位，认识准确，对高、低压配电施工、设备安装的重点、难点分析到位，认识准确，统筹考虑储能、市电、发电机设备安装及调试等综合影响因素，制定有效进度安排、质量管理、安全管理方案，有效完成整体供电保障任务。</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【好】</w:t>
      </w:r>
      <w:r>
        <w:rPr>
          <w:rFonts w:hint="eastAsia" w:ascii="宋体" w:hAnsi="宋体" w:cs="宋体"/>
          <w:bCs/>
          <w:color w:val="auto"/>
          <w:sz w:val="22"/>
          <w:szCs w:val="24"/>
          <w:highlight w:val="none"/>
        </w:rPr>
        <w:t>针对储能、市电、发电机联动建设重点、难点分析情况，提出成体系可行、有效、经济、安全的处理措施和管理方案。</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【中】</w:t>
      </w:r>
      <w:r>
        <w:rPr>
          <w:rFonts w:hint="eastAsia" w:ascii="宋体" w:hAnsi="宋体" w:cs="宋体"/>
          <w:bCs/>
          <w:color w:val="auto"/>
          <w:sz w:val="22"/>
          <w:szCs w:val="24"/>
          <w:highlight w:val="none"/>
        </w:rPr>
        <w:t>针对储能、市电、发电机联动建设重点、难点分析情况，提出较为合理、较为经济的处理措施</w:t>
      </w:r>
    </w:p>
    <w:p>
      <w:pPr>
        <w:tabs>
          <w:tab w:val="left" w:pos="720"/>
        </w:tabs>
        <w:spacing w:line="420" w:lineRule="exact"/>
        <w:ind w:firstLine="420" w:firstLineChars="200"/>
        <w:rPr>
          <w:rFonts w:ascii="Tahoma" w:hAnsi="Tahoma" w:cs="Tahoma"/>
          <w:color w:val="auto"/>
          <w:szCs w:val="21"/>
          <w:highlight w:val="none"/>
        </w:rPr>
      </w:pPr>
      <w:r>
        <w:rPr>
          <w:rFonts w:hint="eastAsia" w:ascii="Tahoma" w:hAnsi="Tahoma" w:cs="Tahoma"/>
          <w:color w:val="auto"/>
          <w:szCs w:val="21"/>
          <w:highlight w:val="none"/>
        </w:rPr>
        <w:t>【差】</w:t>
      </w:r>
      <w:r>
        <w:rPr>
          <w:rFonts w:hint="eastAsia" w:ascii="宋体" w:hAnsi="宋体" w:cs="宋体"/>
          <w:bCs/>
          <w:color w:val="auto"/>
          <w:sz w:val="22"/>
          <w:szCs w:val="24"/>
          <w:highlight w:val="none"/>
        </w:rPr>
        <w:t>针对储能、市电、发电机联动建设重点、难点分析情况，提出不合理、无效、经济性差的处理措施</w:t>
      </w:r>
    </w:p>
    <w:p>
      <w:pPr>
        <w:tabs>
          <w:tab w:val="left" w:pos="720"/>
        </w:tabs>
        <w:spacing w:line="420" w:lineRule="exact"/>
        <w:ind w:firstLine="440" w:firstLineChars="200"/>
        <w:rPr>
          <w:rFonts w:ascii="Tahoma" w:hAnsi="Tahoma" w:cs="Tahoma"/>
          <w:color w:val="auto"/>
          <w:szCs w:val="21"/>
          <w:highlight w:val="none"/>
        </w:rPr>
      </w:pPr>
      <w:r>
        <w:rPr>
          <w:rFonts w:hint="eastAsia" w:ascii="宋体" w:hAnsi="宋体" w:cs="宋体"/>
          <w:bCs/>
          <w:color w:val="auto"/>
          <w:sz w:val="22"/>
          <w:szCs w:val="24"/>
          <w:highlight w:val="none"/>
        </w:rPr>
        <w:t>二、调试、验收方案</w:t>
      </w:r>
    </w:p>
    <w:p>
      <w:pPr>
        <w:adjustRightInd w:val="0"/>
        <w:snapToGrid w:val="0"/>
        <w:ind w:firstLine="440" w:firstLineChars="200"/>
        <w:rPr>
          <w:rFonts w:ascii="宋体" w:hAnsi="宋体" w:cs="宋体"/>
          <w:bCs/>
          <w:color w:val="auto"/>
          <w:sz w:val="22"/>
          <w:szCs w:val="24"/>
          <w:highlight w:val="none"/>
        </w:rPr>
      </w:pPr>
      <w:r>
        <w:rPr>
          <w:rFonts w:hint="eastAsia" w:ascii="宋体" w:hAnsi="宋体" w:cs="宋体"/>
          <w:bCs/>
          <w:color w:val="auto"/>
          <w:sz w:val="22"/>
          <w:szCs w:val="24"/>
          <w:highlight w:val="none"/>
        </w:rPr>
        <w:t>针对本项目特点，制定包含储能、市电、发电机供电系统的调试工作方案，方案应包括人员安排（包括技术负责人、实施人员等）、机械设备材料投入等相关保障措施、调试验收内容、工作流程（含供电部门办理的相关手续）等内容，并承诺按期完成相关调试验收工作，确保竣工送电。</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【好】</w:t>
      </w:r>
      <w:r>
        <w:rPr>
          <w:rFonts w:hint="eastAsia" w:ascii="宋体" w:hAnsi="宋体" w:cs="宋体"/>
          <w:bCs/>
          <w:color w:val="auto"/>
          <w:sz w:val="22"/>
          <w:szCs w:val="24"/>
          <w:highlight w:val="none"/>
        </w:rPr>
        <w:t>提供调试验收工作方案且方案合理、满足工期要求</w:t>
      </w:r>
      <w:r>
        <w:rPr>
          <w:rFonts w:hint="eastAsia" w:ascii="Tahoma" w:hAnsi="Tahoma" w:cs="Tahoma"/>
          <w:color w:val="auto"/>
          <w:szCs w:val="21"/>
          <w:highlight w:val="none"/>
        </w:rPr>
        <w:t>。</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【中】</w:t>
      </w:r>
      <w:r>
        <w:rPr>
          <w:rFonts w:hint="eastAsia" w:ascii="宋体" w:hAnsi="宋体" w:cs="宋体"/>
          <w:bCs/>
          <w:color w:val="auto"/>
          <w:sz w:val="22"/>
          <w:szCs w:val="24"/>
          <w:highlight w:val="none"/>
        </w:rPr>
        <w:t>提供调试验收工作方案且方案较为合理、满足工期要求</w:t>
      </w:r>
      <w:r>
        <w:rPr>
          <w:rFonts w:hint="eastAsia" w:ascii="Tahoma" w:hAnsi="Tahoma" w:cs="Tahoma"/>
          <w:color w:val="auto"/>
          <w:szCs w:val="21"/>
          <w:highlight w:val="none"/>
        </w:rPr>
        <w:t>。</w:t>
      </w:r>
    </w:p>
    <w:p>
      <w:pPr>
        <w:tabs>
          <w:tab w:val="left" w:pos="720"/>
        </w:tabs>
        <w:spacing w:line="420" w:lineRule="exact"/>
        <w:ind w:firstLine="420" w:firstLineChars="200"/>
        <w:rPr>
          <w:rFonts w:ascii="Tahoma" w:hAnsi="Tahoma" w:cs="Tahoma"/>
          <w:color w:val="auto"/>
          <w:szCs w:val="21"/>
          <w:highlight w:val="none"/>
        </w:rPr>
      </w:pPr>
      <w:r>
        <w:rPr>
          <w:rFonts w:hint="eastAsia" w:ascii="Tahoma" w:hAnsi="Tahoma" w:cs="Tahoma"/>
          <w:color w:val="auto"/>
          <w:szCs w:val="21"/>
          <w:highlight w:val="none"/>
        </w:rPr>
        <w:t>【差】</w:t>
      </w:r>
      <w:r>
        <w:rPr>
          <w:rFonts w:hint="eastAsia" w:ascii="宋体" w:hAnsi="宋体" w:cs="宋体"/>
          <w:bCs/>
          <w:color w:val="auto"/>
          <w:sz w:val="22"/>
          <w:szCs w:val="24"/>
          <w:highlight w:val="none"/>
        </w:rPr>
        <w:t>提供调试验收工作方案且方案不完整、满足工期要求</w:t>
      </w:r>
      <w:r>
        <w:rPr>
          <w:rFonts w:hint="eastAsia" w:ascii="Tahoma" w:hAnsi="Tahoma" w:cs="Tahoma"/>
          <w:color w:val="auto"/>
          <w:szCs w:val="21"/>
          <w:highlight w:val="none"/>
        </w:rPr>
        <w:t>。</w:t>
      </w:r>
    </w:p>
    <w:p>
      <w:pPr>
        <w:tabs>
          <w:tab w:val="left" w:pos="720"/>
        </w:tabs>
        <w:spacing w:line="420" w:lineRule="exact"/>
        <w:ind w:firstLine="440" w:firstLineChars="200"/>
        <w:rPr>
          <w:rFonts w:ascii="Tahoma" w:hAnsi="Tahoma" w:cs="Tahoma"/>
          <w:color w:val="auto"/>
          <w:szCs w:val="21"/>
          <w:highlight w:val="none"/>
        </w:rPr>
      </w:pPr>
      <w:r>
        <w:rPr>
          <w:rFonts w:hint="eastAsia" w:ascii="宋体" w:hAnsi="宋体" w:cs="宋体"/>
          <w:bCs/>
          <w:color w:val="auto"/>
          <w:sz w:val="22"/>
          <w:szCs w:val="24"/>
          <w:highlight w:val="none"/>
        </w:rPr>
        <w:t>三、运行维护方案</w:t>
      </w:r>
    </w:p>
    <w:p>
      <w:pPr>
        <w:adjustRightInd w:val="0"/>
        <w:snapToGrid w:val="0"/>
        <w:ind w:firstLine="440" w:firstLineChars="200"/>
        <w:rPr>
          <w:rFonts w:ascii="宋体" w:hAnsi="宋体" w:cs="宋体"/>
          <w:bCs/>
          <w:color w:val="auto"/>
          <w:sz w:val="22"/>
          <w:szCs w:val="24"/>
          <w:highlight w:val="none"/>
        </w:rPr>
      </w:pPr>
      <w:r>
        <w:rPr>
          <w:rFonts w:hint="eastAsia" w:ascii="宋体" w:hAnsi="宋体" w:cs="宋体"/>
          <w:bCs/>
          <w:color w:val="auto"/>
          <w:sz w:val="22"/>
          <w:szCs w:val="24"/>
          <w:highlight w:val="none"/>
        </w:rPr>
        <w:t>针对本工程运行维护的特点，制定巡检工作方案，通过数字技术监控手段，对承包范围内的线路设备进行运行维护管理，提供备品备件及保证措施，有突发设备故障的抢修方案，并提出可行、有效、安全的处理措施。</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【好】</w:t>
      </w:r>
      <w:r>
        <w:rPr>
          <w:rFonts w:hint="eastAsia" w:ascii="宋体" w:hAnsi="宋体" w:cs="宋体"/>
          <w:bCs/>
          <w:color w:val="auto"/>
          <w:sz w:val="22"/>
          <w:szCs w:val="24"/>
          <w:highlight w:val="none"/>
        </w:rPr>
        <w:t>提供运行维护方案且方案合理、可行</w:t>
      </w:r>
      <w:r>
        <w:rPr>
          <w:rFonts w:hint="eastAsia" w:ascii="Tahoma" w:hAnsi="Tahoma" w:cs="Tahoma"/>
          <w:color w:val="auto"/>
          <w:szCs w:val="21"/>
          <w:highlight w:val="none"/>
        </w:rPr>
        <w:t>。</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【中】</w:t>
      </w:r>
      <w:r>
        <w:rPr>
          <w:rFonts w:hint="eastAsia" w:ascii="宋体" w:hAnsi="宋体" w:cs="宋体"/>
          <w:bCs/>
          <w:color w:val="auto"/>
          <w:sz w:val="22"/>
          <w:szCs w:val="24"/>
          <w:highlight w:val="none"/>
        </w:rPr>
        <w:t>提供运行维护方案且方案较为合理、较为可行</w:t>
      </w:r>
      <w:r>
        <w:rPr>
          <w:rFonts w:hint="eastAsia" w:ascii="Tahoma" w:hAnsi="Tahoma" w:cs="Tahoma"/>
          <w:color w:val="auto"/>
          <w:szCs w:val="21"/>
          <w:highlight w:val="none"/>
        </w:rPr>
        <w:t>。</w:t>
      </w:r>
    </w:p>
    <w:p>
      <w:pPr>
        <w:tabs>
          <w:tab w:val="left" w:pos="720"/>
        </w:tabs>
        <w:spacing w:line="420" w:lineRule="exact"/>
        <w:ind w:firstLine="420" w:firstLineChars="200"/>
        <w:rPr>
          <w:color w:val="auto"/>
          <w:highlight w:val="none"/>
        </w:rPr>
      </w:pPr>
      <w:r>
        <w:rPr>
          <w:rFonts w:hint="eastAsia" w:ascii="Tahoma" w:hAnsi="Tahoma" w:cs="Tahoma"/>
          <w:color w:val="auto"/>
          <w:szCs w:val="21"/>
          <w:highlight w:val="none"/>
        </w:rPr>
        <w:t>【差】</w:t>
      </w:r>
      <w:r>
        <w:rPr>
          <w:rFonts w:hint="eastAsia" w:ascii="宋体" w:hAnsi="宋体" w:cs="宋体"/>
          <w:bCs/>
          <w:color w:val="auto"/>
          <w:sz w:val="22"/>
          <w:szCs w:val="24"/>
          <w:highlight w:val="none"/>
        </w:rPr>
        <w:t>提供运行维护方案且方案不完整、不可行</w:t>
      </w:r>
      <w:r>
        <w:rPr>
          <w:rFonts w:hint="eastAsia" w:ascii="Tahoma" w:hAnsi="Tahoma" w:cs="Tahoma"/>
          <w:color w:val="auto"/>
          <w:szCs w:val="21"/>
          <w:highlight w:val="none"/>
        </w:rPr>
        <w:t>。</w:t>
      </w:r>
    </w:p>
    <w:p>
      <w:pPr>
        <w:numPr>
          <w:ilvl w:val="0"/>
          <w:numId w:val="2"/>
        </w:numPr>
        <w:snapToGrid w:val="0"/>
        <w:spacing w:line="276" w:lineRule="auto"/>
        <w:ind w:firstLine="440" w:firstLineChars="200"/>
        <w:rPr>
          <w:rFonts w:ascii="宋体" w:hAnsi="宋体" w:cs="宋体"/>
          <w:bCs/>
          <w:color w:val="auto"/>
          <w:sz w:val="22"/>
          <w:szCs w:val="24"/>
          <w:highlight w:val="none"/>
        </w:rPr>
      </w:pPr>
      <w:r>
        <w:rPr>
          <w:rFonts w:hint="eastAsia" w:ascii="宋体" w:hAnsi="宋体" w:cs="宋体"/>
          <w:bCs/>
          <w:color w:val="auto"/>
          <w:sz w:val="22"/>
          <w:szCs w:val="24"/>
          <w:highlight w:val="none"/>
        </w:rPr>
        <w:t>风险应急应对方案</w:t>
      </w:r>
    </w:p>
    <w:p>
      <w:pPr>
        <w:ind w:firstLine="420" w:firstLineChars="200"/>
        <w:rPr>
          <w:color w:val="auto"/>
          <w:highlight w:val="none"/>
        </w:rPr>
      </w:pPr>
      <w:r>
        <w:rPr>
          <w:rFonts w:hint="eastAsia"/>
          <w:color w:val="auto"/>
          <w:highlight w:val="none"/>
        </w:rPr>
        <w:t>针对项目实施过程中可能出现的各种风险，制定详细的风险应急应对方案。此方案应涵盖自然灾害、设备故障、供电异常等多种突发情况，明确应急处理流程、责任分工以及所需的应急物资和设备。同时，建立快速响应机制，确保在紧急情况下能够迅速启动预案，有效控制事态发展，最大程度减少损失。</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【好】</w:t>
      </w:r>
      <w:r>
        <w:rPr>
          <w:rFonts w:hint="eastAsia" w:ascii="宋体" w:hAnsi="宋体" w:cs="宋体"/>
          <w:bCs/>
          <w:color w:val="auto"/>
          <w:sz w:val="22"/>
          <w:szCs w:val="24"/>
          <w:highlight w:val="none"/>
        </w:rPr>
        <w:t>提供风险应急应对方案且方案合理、可行</w:t>
      </w:r>
      <w:r>
        <w:rPr>
          <w:rFonts w:hint="eastAsia" w:ascii="Tahoma" w:hAnsi="Tahoma" w:cs="Tahoma"/>
          <w:color w:val="auto"/>
          <w:szCs w:val="21"/>
          <w:highlight w:val="none"/>
        </w:rPr>
        <w:t>。</w:t>
      </w:r>
    </w:p>
    <w:p>
      <w:pPr>
        <w:adjustRightInd w:val="0"/>
        <w:snapToGrid w:val="0"/>
        <w:ind w:firstLine="420" w:firstLineChars="200"/>
        <w:rPr>
          <w:rFonts w:ascii="宋体" w:hAnsi="宋体" w:cs="宋体"/>
          <w:bCs/>
          <w:color w:val="auto"/>
          <w:sz w:val="22"/>
          <w:szCs w:val="24"/>
          <w:highlight w:val="none"/>
        </w:rPr>
      </w:pPr>
      <w:r>
        <w:rPr>
          <w:rFonts w:hint="eastAsia" w:ascii="Tahoma" w:hAnsi="Tahoma" w:cs="Tahoma"/>
          <w:color w:val="auto"/>
          <w:szCs w:val="21"/>
          <w:highlight w:val="none"/>
        </w:rPr>
        <w:t>【中】</w:t>
      </w:r>
      <w:r>
        <w:rPr>
          <w:rFonts w:hint="eastAsia" w:ascii="宋体" w:hAnsi="宋体" w:cs="宋体"/>
          <w:bCs/>
          <w:color w:val="auto"/>
          <w:sz w:val="22"/>
          <w:szCs w:val="24"/>
          <w:highlight w:val="none"/>
        </w:rPr>
        <w:t>提供风险应急应对方案且方案较为合理、较为可行</w:t>
      </w:r>
      <w:r>
        <w:rPr>
          <w:rFonts w:hint="eastAsia" w:ascii="Tahoma" w:hAnsi="Tahoma" w:cs="Tahoma"/>
          <w:color w:val="auto"/>
          <w:szCs w:val="21"/>
          <w:highlight w:val="none"/>
        </w:rPr>
        <w:t>。</w:t>
      </w:r>
    </w:p>
    <w:p>
      <w:pPr>
        <w:tabs>
          <w:tab w:val="left" w:pos="720"/>
        </w:tabs>
        <w:spacing w:line="420" w:lineRule="exact"/>
        <w:ind w:firstLine="420" w:firstLineChars="200"/>
        <w:rPr>
          <w:rFonts w:ascii="Tahoma" w:hAnsi="Tahoma" w:cs="Tahoma"/>
          <w:color w:val="auto"/>
          <w:szCs w:val="21"/>
          <w:highlight w:val="none"/>
        </w:rPr>
      </w:pPr>
      <w:r>
        <w:rPr>
          <w:rFonts w:hint="eastAsia" w:ascii="Tahoma" w:hAnsi="Tahoma" w:cs="Tahoma"/>
          <w:color w:val="auto"/>
          <w:szCs w:val="21"/>
          <w:highlight w:val="none"/>
        </w:rPr>
        <w:t>【差】</w:t>
      </w:r>
      <w:r>
        <w:rPr>
          <w:rFonts w:hint="eastAsia" w:ascii="宋体" w:hAnsi="宋体" w:cs="宋体"/>
          <w:bCs/>
          <w:color w:val="auto"/>
          <w:sz w:val="22"/>
          <w:szCs w:val="24"/>
          <w:highlight w:val="none"/>
        </w:rPr>
        <w:t>提供风险应急应对方案且方案不完整、不可行</w:t>
      </w:r>
      <w:r>
        <w:rPr>
          <w:rFonts w:hint="eastAsia" w:ascii="Tahoma" w:hAnsi="Tahoma" w:cs="Tahoma"/>
          <w:color w:val="auto"/>
          <w:szCs w:val="21"/>
          <w:highlight w:val="none"/>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42" w:firstLineChars="200"/>
        <w:textAlignment w:val="auto"/>
        <w:outlineLvl w:val="3"/>
        <w:rPr>
          <w:rFonts w:hint="eastAsia" w:ascii="宋体" w:hAnsi="宋体" w:cs="宋体"/>
          <w:b/>
          <w:bCs w:val="0"/>
          <w:color w:val="auto"/>
          <w:sz w:val="22"/>
          <w:szCs w:val="24"/>
          <w:highlight w:val="none"/>
        </w:rPr>
      </w:pPr>
      <w:r>
        <w:rPr>
          <w:rFonts w:hint="eastAsia" w:ascii="宋体" w:hAnsi="宋体" w:cs="宋体"/>
          <w:b/>
          <w:bCs w:val="0"/>
          <w:color w:val="auto"/>
          <w:sz w:val="22"/>
          <w:szCs w:val="24"/>
          <w:highlight w:val="none"/>
        </w:rPr>
        <w:t>2.2.4（</w:t>
      </w:r>
      <w:r>
        <w:rPr>
          <w:rFonts w:hint="eastAsia" w:ascii="宋体" w:hAnsi="宋体" w:cs="宋体"/>
          <w:b/>
          <w:bCs w:val="0"/>
          <w:color w:val="auto"/>
          <w:sz w:val="22"/>
          <w:szCs w:val="24"/>
          <w:highlight w:val="none"/>
          <w:lang w:val="en-US" w:eastAsia="zh-CN"/>
        </w:rPr>
        <w:t>3</w:t>
      </w:r>
      <w:r>
        <w:rPr>
          <w:rFonts w:hint="eastAsia" w:ascii="宋体" w:hAnsi="宋体" w:cs="宋体"/>
          <w:b/>
          <w:bCs w:val="0"/>
          <w:color w:val="auto"/>
          <w:sz w:val="22"/>
          <w:szCs w:val="24"/>
          <w:highlight w:val="none"/>
        </w:rPr>
        <w:t>）项目负责人及技术负责人答辩（15分）</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拟派项目负责人及技术负责人的答辩情况。</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一、陈述：</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答辩团队就</w:t>
      </w:r>
      <w:r>
        <w:rPr>
          <w:rFonts w:hint="eastAsia" w:ascii="Tahoma" w:hAnsi="Tahoma" w:cs="Tahoma"/>
          <w:color w:val="auto"/>
          <w:szCs w:val="21"/>
          <w:highlight w:val="none"/>
          <w:lang w:val="en-US" w:eastAsia="zh-CN"/>
        </w:rPr>
        <w:t>供电保障</w:t>
      </w:r>
      <w:r>
        <w:rPr>
          <w:rFonts w:hint="eastAsia" w:ascii="Tahoma" w:hAnsi="Tahoma" w:cs="Tahoma"/>
          <w:color w:val="auto"/>
          <w:szCs w:val="21"/>
          <w:highlight w:val="none"/>
        </w:rPr>
        <w:t>服务方案等内容从以下方面进行陈述：</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（1）介绍项目特点，</w:t>
      </w:r>
      <w:r>
        <w:rPr>
          <w:rFonts w:hint="eastAsia" w:ascii="Tahoma" w:hAnsi="Tahoma" w:cs="Tahoma"/>
          <w:color w:val="auto"/>
          <w:szCs w:val="21"/>
          <w:highlight w:val="none"/>
          <w:lang w:val="en-US" w:eastAsia="zh-CN"/>
        </w:rPr>
        <w:t>围绕如何</w:t>
      </w:r>
      <w:r>
        <w:rPr>
          <w:rFonts w:hint="eastAsia" w:ascii="宋体" w:hAnsi="宋体" w:cs="宋体"/>
          <w:color w:val="auto"/>
          <w:sz w:val="22"/>
          <w:highlight w:val="none"/>
        </w:rPr>
        <w:t>确保</w:t>
      </w:r>
      <w:r>
        <w:rPr>
          <w:rFonts w:hint="eastAsia" w:ascii="宋体" w:hAnsi="宋体" w:cs="宋体"/>
          <w:color w:val="auto"/>
          <w:sz w:val="22"/>
          <w:highlight w:val="none"/>
          <w:lang w:val="en-US" w:eastAsia="zh-CN"/>
        </w:rPr>
        <w:t>本项目</w:t>
      </w:r>
      <w:r>
        <w:rPr>
          <w:rFonts w:hint="eastAsia" w:ascii="宋体" w:hAnsi="宋体" w:cs="宋体"/>
          <w:color w:val="auto"/>
          <w:sz w:val="22"/>
          <w:highlight w:val="none"/>
        </w:rPr>
        <w:t>电力系统稳定运行</w:t>
      </w:r>
      <w:r>
        <w:rPr>
          <w:rFonts w:hint="eastAsia" w:ascii="宋体" w:hAnsi="宋体" w:cs="宋体"/>
          <w:color w:val="auto"/>
          <w:sz w:val="22"/>
          <w:highlight w:val="none"/>
          <w:lang w:val="en-US" w:eastAsia="zh-CN"/>
        </w:rPr>
        <w:t>这个</w:t>
      </w:r>
      <w:r>
        <w:rPr>
          <w:rFonts w:hint="eastAsia" w:ascii="Tahoma" w:hAnsi="Tahoma" w:cs="Tahoma"/>
          <w:color w:val="auto"/>
          <w:szCs w:val="21"/>
          <w:highlight w:val="none"/>
        </w:rPr>
        <w:t>工作重点、难点</w:t>
      </w:r>
      <w:r>
        <w:rPr>
          <w:rFonts w:hint="eastAsia" w:ascii="Tahoma" w:hAnsi="Tahoma" w:cs="Tahoma"/>
          <w:color w:val="auto"/>
          <w:szCs w:val="21"/>
          <w:highlight w:val="none"/>
          <w:lang w:val="en-US" w:eastAsia="zh-CN"/>
        </w:rPr>
        <w:t>进行阐述分析分析</w:t>
      </w:r>
      <w:r>
        <w:rPr>
          <w:rFonts w:hint="eastAsia" w:ascii="Tahoma" w:hAnsi="Tahoma" w:cs="Tahoma"/>
          <w:color w:val="auto"/>
          <w:szCs w:val="21"/>
          <w:highlight w:val="none"/>
        </w:rPr>
        <w:t>；</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（2）各阶段工作服务人员投入情况；</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（3）就如何提高服务工作质量提出具体、全面、有效的保证措施，对各阶段工作进度控制的重点、难点分析；</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（4）答辩人员认为有需要补充的内容。</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二、解答：</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评委针对答辩团队陈述的内容及投标文件服务方案提问，答辩人员针对所提问题进行解答。</w:t>
      </w:r>
    </w:p>
    <w:p>
      <w:pPr>
        <w:tabs>
          <w:tab w:val="left" w:pos="720"/>
        </w:tabs>
        <w:spacing w:line="420" w:lineRule="exact"/>
        <w:ind w:firstLine="420" w:firstLineChars="200"/>
        <w:rPr>
          <w:rFonts w:hint="default" w:ascii="Tahoma" w:hAnsi="Tahoma" w:eastAsia="宋体" w:cs="Tahoma"/>
          <w:color w:val="auto"/>
          <w:szCs w:val="21"/>
          <w:highlight w:val="none"/>
          <w:lang w:val="en-US" w:eastAsia="zh-CN"/>
        </w:rPr>
      </w:pPr>
      <w:r>
        <w:rPr>
          <w:rFonts w:hint="eastAsia" w:ascii="Tahoma" w:hAnsi="Tahoma" w:cs="Tahoma"/>
          <w:color w:val="auto"/>
          <w:szCs w:val="21"/>
          <w:highlight w:val="none"/>
        </w:rPr>
        <w:t>【优】答辩团队熟悉项目情况，对本项目的重点、难点认识深刻，应对措施合理可行；人员投入计划对推进工作进度有保障；实施时间安排合理可行；回答评委提问思路清晰、内容准确。</w:t>
      </w:r>
      <w:r>
        <w:rPr>
          <w:rFonts w:hint="eastAsia" w:ascii="Tahoma" w:hAnsi="Tahoma" w:cs="Tahoma"/>
          <w:color w:val="auto"/>
          <w:szCs w:val="21"/>
          <w:highlight w:val="none"/>
          <w:lang w:eastAsia="zh-CN"/>
        </w:rPr>
        <w:t>评分为</w:t>
      </w:r>
      <w:r>
        <w:rPr>
          <w:rFonts w:hint="default" w:ascii="Tahoma" w:hAnsi="Tahoma" w:cs="Tahoma"/>
          <w:color w:val="auto"/>
          <w:szCs w:val="21"/>
          <w:highlight w:val="none"/>
          <w:lang w:val="en-US" w:eastAsia="zh-CN"/>
        </w:rPr>
        <w:t>[10,15]</w:t>
      </w:r>
      <w:r>
        <w:rPr>
          <w:rFonts w:hint="eastAsia" w:ascii="Tahoma" w:hAnsi="Tahoma" w:cs="Tahoma"/>
          <w:color w:val="auto"/>
          <w:szCs w:val="21"/>
          <w:highlight w:val="none"/>
          <w:lang w:val="en-US" w:eastAsia="zh-CN"/>
        </w:rPr>
        <w:t>。</w:t>
      </w:r>
    </w:p>
    <w:p>
      <w:pPr>
        <w:tabs>
          <w:tab w:val="left" w:pos="720"/>
        </w:tabs>
        <w:spacing w:line="420" w:lineRule="exact"/>
        <w:ind w:firstLine="420" w:firstLineChars="200"/>
        <w:rPr>
          <w:rFonts w:hint="default" w:ascii="Tahoma" w:hAnsi="Tahoma" w:cs="Tahoma"/>
          <w:color w:val="auto"/>
          <w:szCs w:val="21"/>
          <w:highlight w:val="none"/>
          <w:lang w:val="en-US"/>
        </w:rPr>
      </w:pPr>
      <w:r>
        <w:rPr>
          <w:rFonts w:hint="eastAsia" w:ascii="Tahoma" w:hAnsi="Tahoma" w:cs="Tahoma"/>
          <w:color w:val="auto"/>
          <w:szCs w:val="21"/>
          <w:highlight w:val="none"/>
        </w:rPr>
        <w:t>【中】答辩团队对项目情况基本了解，对本项目的重点、难点把握不够；人员投入计划对推进工作进度保障一般；实施时间安排合理性一般；回答评委提问不够清晰准确。</w:t>
      </w:r>
      <w:r>
        <w:rPr>
          <w:rFonts w:hint="eastAsia" w:ascii="Tahoma" w:hAnsi="Tahoma" w:cs="Tahoma"/>
          <w:color w:val="auto"/>
          <w:szCs w:val="21"/>
          <w:highlight w:val="none"/>
          <w:lang w:eastAsia="zh-CN"/>
        </w:rPr>
        <w:t>评分为</w:t>
      </w:r>
      <w:r>
        <w:rPr>
          <w:rFonts w:hint="default" w:ascii="Tahoma" w:hAnsi="Tahoma" w:cs="Tahoma"/>
          <w:color w:val="auto"/>
          <w:szCs w:val="21"/>
          <w:highlight w:val="none"/>
          <w:lang w:val="en-US" w:eastAsia="zh-CN"/>
        </w:rPr>
        <w:t>(5,10)</w:t>
      </w:r>
      <w:r>
        <w:rPr>
          <w:rFonts w:hint="eastAsia" w:ascii="Tahoma" w:hAnsi="Tahoma" w:cs="Tahoma"/>
          <w:color w:val="auto"/>
          <w:szCs w:val="21"/>
          <w:highlight w:val="none"/>
          <w:lang w:val="en-US" w:eastAsia="zh-CN"/>
        </w:rPr>
        <w:t>。</w:t>
      </w:r>
    </w:p>
    <w:p>
      <w:pPr>
        <w:tabs>
          <w:tab w:val="left" w:pos="720"/>
        </w:tabs>
        <w:spacing w:line="420" w:lineRule="exact"/>
        <w:ind w:firstLine="420" w:firstLineChars="200"/>
        <w:rPr>
          <w:rFonts w:hint="default" w:ascii="Tahoma" w:hAnsi="Tahoma" w:eastAsia="宋体" w:cs="Tahoma"/>
          <w:color w:val="auto"/>
          <w:szCs w:val="21"/>
          <w:highlight w:val="none"/>
          <w:lang w:val="en-US" w:eastAsia="zh-CN"/>
        </w:rPr>
      </w:pPr>
      <w:r>
        <w:rPr>
          <w:rFonts w:hint="eastAsia" w:ascii="Tahoma" w:hAnsi="Tahoma" w:cs="Tahoma"/>
          <w:color w:val="auto"/>
          <w:szCs w:val="21"/>
          <w:highlight w:val="none"/>
        </w:rPr>
        <w:t>【差】答辩团队对项目情况不了解，对本项目的重点、难点不清晰；没有人员投入计划或对推进工作进度保障差；实施时间安排严重不合理；回答评委提问答非所问的或未能按要求出席参加答辩的。</w:t>
      </w:r>
      <w:r>
        <w:rPr>
          <w:rFonts w:hint="eastAsia" w:ascii="Tahoma" w:hAnsi="Tahoma" w:cs="Tahoma"/>
          <w:color w:val="auto"/>
          <w:szCs w:val="21"/>
          <w:highlight w:val="none"/>
          <w:lang w:eastAsia="zh-CN"/>
        </w:rPr>
        <w:t>评分为</w:t>
      </w:r>
      <w:r>
        <w:rPr>
          <w:rFonts w:hint="default" w:ascii="Tahoma" w:hAnsi="Tahoma" w:cs="Tahoma"/>
          <w:color w:val="auto"/>
          <w:szCs w:val="21"/>
          <w:highlight w:val="none"/>
          <w:lang w:val="en-US" w:eastAsia="zh-CN"/>
        </w:rPr>
        <w:t>[0,5]</w:t>
      </w:r>
      <w:r>
        <w:rPr>
          <w:rFonts w:hint="eastAsia" w:ascii="Tahoma" w:hAnsi="Tahoma" w:cs="Tahoma"/>
          <w:color w:val="auto"/>
          <w:szCs w:val="21"/>
          <w:highlight w:val="none"/>
          <w:lang w:val="en-US" w:eastAsia="zh-CN"/>
        </w:rPr>
        <w:t>。</w:t>
      </w:r>
    </w:p>
    <w:p>
      <w:pPr>
        <w:tabs>
          <w:tab w:val="left" w:pos="720"/>
        </w:tabs>
        <w:spacing w:line="420" w:lineRule="exact"/>
        <w:ind w:firstLine="420" w:firstLineChars="200"/>
        <w:rPr>
          <w:rFonts w:hint="eastAsia" w:ascii="Tahoma" w:hAnsi="Tahoma" w:cs="Tahoma"/>
          <w:color w:val="auto"/>
          <w:szCs w:val="21"/>
          <w:highlight w:val="none"/>
        </w:rPr>
      </w:pP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答辩要求：</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（1）答辩人员组成：由项目负责人、</w:t>
      </w:r>
      <w:r>
        <w:rPr>
          <w:rFonts w:hint="eastAsia" w:ascii="Tahoma" w:hAnsi="Tahoma" w:cs="Tahoma"/>
          <w:color w:val="auto"/>
          <w:szCs w:val="21"/>
          <w:highlight w:val="none"/>
          <w:lang w:val="en-US" w:eastAsia="zh-CN"/>
        </w:rPr>
        <w:t>技术负责人</w:t>
      </w:r>
      <w:r>
        <w:rPr>
          <w:rFonts w:hint="eastAsia" w:ascii="Tahoma" w:hAnsi="Tahoma" w:cs="Tahoma"/>
          <w:color w:val="auto"/>
          <w:szCs w:val="21"/>
          <w:highlight w:val="none"/>
        </w:rPr>
        <w:t>组成（参与人员须是本单位的在职人员）；</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（2）答辩人员的到场要求：</w:t>
      </w:r>
      <w:r>
        <w:rPr>
          <w:rFonts w:hint="eastAsia" w:ascii="Tahoma" w:hAnsi="Tahoma" w:cs="Tahoma"/>
          <w:color w:val="auto"/>
          <w:szCs w:val="21"/>
          <w:highlight w:val="none"/>
          <w:lang w:val="en-US" w:eastAsia="zh-CN"/>
        </w:rPr>
        <w:t>投标人</w:t>
      </w:r>
      <w:r>
        <w:rPr>
          <w:rFonts w:hint="eastAsia" w:ascii="Tahoma" w:hAnsi="Tahoma" w:cs="Tahoma"/>
          <w:color w:val="auto"/>
          <w:szCs w:val="21"/>
          <w:highlight w:val="none"/>
        </w:rPr>
        <w:t>在参加答辩时，应向招标人（招标代理）出示一份加盖公章的法定代表人证明书及授权委托书，并提供答辩人员的社保证明（2025年3月）复印件并加盖单位公章。由参与答辩的人员出示身份证原件，核对确认身份后签到。未能出示前述证明文件的单位不予参加答辩环节；</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（3）答辩形式与要求：答辩人员先陈述，</w:t>
      </w:r>
      <w:r>
        <w:rPr>
          <w:rFonts w:hint="eastAsia" w:ascii="Tahoma" w:hAnsi="Tahoma" w:cs="Tahoma"/>
          <w:color w:val="auto"/>
          <w:szCs w:val="21"/>
          <w:highlight w:val="none"/>
          <w:lang w:val="en-US" w:eastAsia="zh-CN"/>
        </w:rPr>
        <w:t>评标</w:t>
      </w:r>
      <w:r>
        <w:rPr>
          <w:rFonts w:hint="eastAsia" w:ascii="Tahoma" w:hAnsi="Tahoma" w:cs="Tahoma"/>
          <w:color w:val="auto"/>
          <w:szCs w:val="21"/>
          <w:highlight w:val="none"/>
        </w:rPr>
        <w:t>委员会针对答辩内容提问，由答辩人员进行解答；</w:t>
      </w:r>
    </w:p>
    <w:p>
      <w:pPr>
        <w:tabs>
          <w:tab w:val="left" w:pos="720"/>
        </w:tabs>
        <w:spacing w:line="420" w:lineRule="exact"/>
        <w:ind w:firstLine="420" w:firstLineChars="200"/>
        <w:rPr>
          <w:rFonts w:hint="eastAsia" w:ascii="Tahoma" w:hAnsi="Tahoma" w:cs="Tahoma"/>
          <w:color w:val="auto"/>
          <w:szCs w:val="21"/>
          <w:highlight w:val="none"/>
        </w:rPr>
      </w:pPr>
      <w:r>
        <w:rPr>
          <w:rFonts w:hint="eastAsia" w:ascii="Tahoma" w:hAnsi="Tahoma" w:cs="Tahoma"/>
          <w:color w:val="auto"/>
          <w:szCs w:val="21"/>
          <w:highlight w:val="none"/>
        </w:rPr>
        <w:t>（4）答辩时长控制：控制在</w:t>
      </w:r>
      <w:r>
        <w:rPr>
          <w:rFonts w:hint="eastAsia" w:ascii="Tahoma" w:hAnsi="Tahoma" w:cs="Tahoma"/>
          <w:color w:val="auto"/>
          <w:szCs w:val="21"/>
          <w:highlight w:val="none"/>
          <w:lang w:val="en-US" w:eastAsia="zh-CN"/>
        </w:rPr>
        <w:t>20</w:t>
      </w:r>
      <w:r>
        <w:rPr>
          <w:rFonts w:hint="eastAsia" w:ascii="Tahoma" w:hAnsi="Tahoma" w:cs="Tahoma"/>
          <w:color w:val="auto"/>
          <w:szCs w:val="21"/>
          <w:highlight w:val="none"/>
        </w:rPr>
        <w:t>分钟内。</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42" w:firstLineChars="200"/>
        <w:textAlignment w:val="auto"/>
        <w:outlineLvl w:val="3"/>
        <w:rPr>
          <w:rFonts w:hint="eastAsia" w:ascii="宋体" w:hAnsi="宋体" w:cs="宋体"/>
          <w:b/>
          <w:bCs w:val="0"/>
          <w:color w:val="auto"/>
          <w:sz w:val="22"/>
          <w:szCs w:val="24"/>
          <w:highlight w:val="none"/>
        </w:rPr>
      </w:pPr>
      <w:r>
        <w:rPr>
          <w:rFonts w:hint="eastAsia" w:ascii="宋体" w:hAnsi="宋体" w:cs="宋体"/>
          <w:b/>
          <w:bCs w:val="0"/>
          <w:color w:val="auto"/>
          <w:sz w:val="22"/>
          <w:szCs w:val="24"/>
          <w:highlight w:val="none"/>
        </w:rPr>
        <w:t>2.2.4（</w:t>
      </w:r>
      <w:r>
        <w:rPr>
          <w:rFonts w:hint="eastAsia" w:ascii="宋体" w:hAnsi="宋体" w:cs="宋体"/>
          <w:b/>
          <w:bCs w:val="0"/>
          <w:color w:val="auto"/>
          <w:sz w:val="22"/>
          <w:szCs w:val="24"/>
          <w:highlight w:val="none"/>
          <w:lang w:val="en-US" w:eastAsia="zh-CN"/>
        </w:rPr>
        <w:t>4</w:t>
      </w:r>
      <w:r>
        <w:rPr>
          <w:rFonts w:hint="eastAsia" w:ascii="宋体" w:hAnsi="宋体" w:cs="宋体"/>
          <w:b/>
          <w:bCs w:val="0"/>
          <w:color w:val="auto"/>
          <w:sz w:val="22"/>
          <w:szCs w:val="24"/>
          <w:highlight w:val="none"/>
        </w:rPr>
        <w:t>）</w:t>
      </w:r>
      <w:bookmarkStart w:id="76" w:name="OLE_LINK31"/>
      <w:r>
        <w:rPr>
          <w:rFonts w:hint="eastAsia" w:ascii="宋体" w:hAnsi="宋体" w:cs="宋体"/>
          <w:b/>
          <w:bCs w:val="0"/>
          <w:color w:val="auto"/>
          <w:sz w:val="22"/>
          <w:szCs w:val="24"/>
          <w:highlight w:val="none"/>
        </w:rPr>
        <w:t>投标报价评分</w:t>
      </w:r>
      <w:bookmarkEnd w:id="76"/>
      <w:r>
        <w:rPr>
          <w:rFonts w:hint="eastAsia" w:ascii="宋体" w:hAnsi="宋体" w:cs="宋体"/>
          <w:b/>
          <w:bCs w:val="0"/>
          <w:color w:val="auto"/>
          <w:sz w:val="22"/>
          <w:szCs w:val="24"/>
          <w:highlight w:val="none"/>
        </w:rPr>
        <w:t>标准</w:t>
      </w:r>
    </w:p>
    <w:tbl>
      <w:tblPr>
        <w:tblStyle w:val="38"/>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45"/>
        <w:gridCol w:w="1191"/>
        <w:gridCol w:w="74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462"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2.2.4（</w:t>
            </w:r>
            <w:r>
              <w:rPr>
                <w:rFonts w:hint="eastAsia" w:ascii="宋体" w:hAnsi="宋体" w:cs="宋体"/>
                <w:bCs/>
                <w:color w:val="auto"/>
                <w:sz w:val="22"/>
                <w:szCs w:val="24"/>
                <w:highlight w:val="none"/>
                <w:lang w:val="en-US" w:eastAsia="zh-CN"/>
              </w:rPr>
              <w:t>4</w:t>
            </w:r>
            <w:r>
              <w:rPr>
                <w:rFonts w:hint="eastAsia" w:ascii="宋体" w:hAnsi="宋体" w:cs="宋体"/>
                <w:bCs/>
                <w:color w:val="auto"/>
                <w:sz w:val="22"/>
                <w:szCs w:val="24"/>
                <w:highlight w:val="none"/>
              </w:rPr>
              <w:t>）</w:t>
            </w:r>
          </w:p>
        </w:tc>
        <w:tc>
          <w:tcPr>
            <w:tcW w:w="545"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投标报价评分标准</w:t>
            </w:r>
          </w:p>
        </w:tc>
        <w:tc>
          <w:tcPr>
            <w:tcW w:w="621"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计算方法</w:t>
            </w:r>
          </w:p>
        </w:tc>
        <w:tc>
          <w:tcPr>
            <w:tcW w:w="389" w:type="pct"/>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Cs/>
                <w:color w:val="auto"/>
                <w:sz w:val="22"/>
                <w:szCs w:val="24"/>
                <w:highlight w:val="none"/>
              </w:rPr>
            </w:pPr>
            <w:r>
              <w:rPr>
                <w:rFonts w:hint="eastAsia" w:ascii="宋体" w:hAnsi="宋体" w:cs="宋体"/>
                <w:bCs/>
                <w:color w:val="auto"/>
                <w:sz w:val="22"/>
                <w:szCs w:val="24"/>
                <w:highlight w:val="none"/>
              </w:rPr>
              <w:t>15分</w:t>
            </w:r>
          </w:p>
        </w:tc>
        <w:tc>
          <w:tcPr>
            <w:tcW w:w="2979" w:type="pct"/>
            <w:vAlign w:val="center"/>
          </w:tcPr>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highlight w:val="none"/>
              </w:rPr>
            </w:pPr>
            <w:r>
              <w:rPr>
                <w:rFonts w:hint="eastAsia" w:ascii="宋体" w:hAnsi="宋体" w:cs="宋体"/>
                <w:b/>
                <w:color w:val="auto"/>
                <w:sz w:val="22"/>
                <w:highlight w:val="none"/>
                <w:lang w:bidi="ar"/>
              </w:rPr>
              <w:t>投标报价得分：</w:t>
            </w:r>
          </w:p>
          <w:p>
            <w:pPr>
              <w:keepNext w:val="0"/>
              <w:keepLines w:val="0"/>
              <w:suppressLineNumbers w:val="0"/>
              <w:adjustRightInd w:val="0"/>
              <w:snapToGrid w:val="0"/>
              <w:spacing w:before="0" w:beforeAutospacing="0" w:after="0" w:afterAutospacing="0"/>
              <w:ind w:left="0" w:right="0"/>
              <w:rPr>
                <w:rFonts w:hint="default" w:ascii="宋体" w:hAnsi="宋体" w:cs="宋体"/>
                <w:bCs/>
                <w:color w:val="auto"/>
                <w:sz w:val="22"/>
                <w:szCs w:val="24"/>
                <w:highlight w:val="none"/>
              </w:rPr>
            </w:pPr>
            <w:r>
              <w:rPr>
                <w:rFonts w:hint="eastAsia" w:ascii="宋体" w:hAnsi="宋体" w:cs="宋体"/>
                <w:bCs/>
                <w:color w:val="auto"/>
                <w:sz w:val="22"/>
                <w:szCs w:val="24"/>
                <w:highlight w:val="none"/>
              </w:rPr>
              <w:t>以评标基准价作为计算各有效投标价得分的基础，当有效投标报价等于</w:t>
            </w:r>
            <w:r>
              <w:rPr>
                <w:rFonts w:hint="eastAsia" w:ascii="宋体" w:hAnsi="宋体" w:cs="宋体"/>
                <w:b/>
                <w:color w:val="auto"/>
                <w:sz w:val="22"/>
                <w:highlight w:val="none"/>
                <w:lang w:bidi="ar"/>
              </w:rPr>
              <w:t>投标报价</w:t>
            </w:r>
            <w:r>
              <w:rPr>
                <w:rFonts w:hint="eastAsia" w:ascii="宋体" w:hAnsi="宋体" w:cs="宋体"/>
                <w:bCs/>
                <w:color w:val="auto"/>
                <w:sz w:val="22"/>
                <w:szCs w:val="24"/>
                <w:highlight w:val="none"/>
              </w:rPr>
              <w:t>评标基准价时得15分，投标报价每高于评标基准价1%，扣1分，每低于评标基准价1%，扣</w:t>
            </w:r>
            <w:r>
              <w:rPr>
                <w:rFonts w:hint="eastAsia" w:ascii="宋体" w:hAnsi="宋体" w:cs="宋体"/>
                <w:bCs/>
                <w:color w:val="auto"/>
                <w:sz w:val="22"/>
                <w:szCs w:val="24"/>
                <w:highlight w:val="none"/>
                <w:u w:val="single"/>
              </w:rPr>
              <w:t>0.75</w:t>
            </w:r>
            <w:r>
              <w:rPr>
                <w:rFonts w:hint="eastAsia" w:ascii="宋体" w:hAnsi="宋体" w:cs="宋体"/>
                <w:bCs/>
                <w:color w:val="auto"/>
                <w:sz w:val="22"/>
                <w:szCs w:val="24"/>
                <w:highlight w:val="none"/>
              </w:rPr>
              <w:t>分，最多扣15分。</w:t>
            </w:r>
          </w:p>
          <w:p>
            <w:pPr>
              <w:pStyle w:val="20"/>
              <w:keepNext w:val="0"/>
              <w:keepLines w:val="0"/>
              <w:suppressLineNumbers w:val="0"/>
              <w:spacing w:before="0" w:beforeAutospacing="0" w:after="0" w:afterAutospacing="0"/>
              <w:ind w:left="0" w:right="0"/>
              <w:rPr>
                <w:rFonts w:hint="default"/>
                <w:color w:val="auto"/>
                <w:highlight w:val="none"/>
              </w:rPr>
            </w:pPr>
            <w:r>
              <w:rPr>
                <w:rFonts w:hint="eastAsia" w:hAnsi="宋体" w:cs="宋体"/>
                <w:bCs/>
                <w:color w:val="auto"/>
                <w:sz w:val="22"/>
                <w:szCs w:val="24"/>
                <w:highlight w:val="none"/>
              </w:rPr>
              <w:t>报价得分，精确到小数点后两位。</w:t>
            </w:r>
          </w:p>
        </w:tc>
      </w:tr>
    </w:tbl>
    <w:p>
      <w:pPr>
        <w:widowControl/>
        <w:jc w:val="left"/>
        <w:rPr>
          <w:rFonts w:ascii="宋体" w:hAnsi="宋体"/>
          <w:color w:val="auto"/>
          <w:sz w:val="20"/>
          <w:szCs w:val="20"/>
          <w:highlight w:val="none"/>
        </w:rPr>
      </w:pPr>
      <w:r>
        <w:rPr>
          <w:rFonts w:ascii="宋体" w:hAnsi="宋体"/>
          <w:color w:val="auto"/>
          <w:sz w:val="20"/>
          <w:szCs w:val="20"/>
          <w:highlight w:val="none"/>
        </w:rPr>
        <w:br w:type="page"/>
      </w:r>
    </w:p>
    <w:p>
      <w:pPr>
        <w:adjustRightInd w:val="0"/>
        <w:snapToGrid w:val="0"/>
        <w:spacing w:line="360" w:lineRule="auto"/>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1.评标方法</w:t>
      </w:r>
    </w:p>
    <w:p>
      <w:pPr>
        <w:tabs>
          <w:tab w:val="left" w:pos="105"/>
        </w:tabs>
        <w:spacing w:line="360" w:lineRule="auto"/>
        <w:ind w:firstLine="476" w:firstLineChars="200"/>
        <w:rPr>
          <w:rFonts w:ascii="宋体" w:hAnsi="宋体" w:cs="宋体"/>
          <w:color w:val="auto"/>
          <w:spacing w:val="-1"/>
          <w:sz w:val="24"/>
          <w:szCs w:val="24"/>
          <w:highlight w:val="none"/>
        </w:rPr>
      </w:pPr>
      <w:bookmarkStart w:id="77" w:name="bookmark85"/>
      <w:bookmarkEnd w:id="77"/>
      <w:r>
        <w:rPr>
          <w:rFonts w:hint="eastAsia" w:ascii="宋体" w:hAnsi="宋体" w:cs="宋体"/>
          <w:color w:val="auto"/>
          <w:spacing w:val="-1"/>
          <w:sz w:val="24"/>
          <w:szCs w:val="24"/>
          <w:highlight w:val="none"/>
        </w:rPr>
        <w:t>本次评标采用综合评估法。评标委员会对满足招标文件实质性要求的投标文件，按照本章第2.2款规定的评分标准进行打分，并推荐满足招标文件要求且总得分排序的名次最高者为第一中标候选人，推荐满足招标文件要求且总得分排序的名次次高者为第二中标候选人，推荐满足招标文件要求且总得分排序第三高者为第三中标候选人，综合评分相等时，以投标报价低的优先；投标报价也相等的，以服务保障方案得分高的优先；如果</w:t>
      </w:r>
      <w:r>
        <w:rPr>
          <w:rFonts w:hint="eastAsia" w:ascii="宋体" w:hAnsi="宋体" w:cs="宋体"/>
          <w:color w:val="auto"/>
          <w:sz w:val="24"/>
          <w:szCs w:val="24"/>
          <w:highlight w:val="none"/>
        </w:rPr>
        <w:t>服务保障方案</w:t>
      </w:r>
      <w:r>
        <w:rPr>
          <w:rFonts w:hint="eastAsia" w:ascii="宋体" w:hAnsi="宋体" w:cs="宋体"/>
          <w:color w:val="auto"/>
          <w:spacing w:val="-1"/>
          <w:sz w:val="24"/>
          <w:szCs w:val="24"/>
          <w:highlight w:val="none"/>
        </w:rPr>
        <w:t>得分也相等，由评标委员会采用记名投票方式，以得票多的优先。</w:t>
      </w:r>
    </w:p>
    <w:p>
      <w:pPr>
        <w:tabs>
          <w:tab w:val="left" w:pos="105"/>
        </w:tabs>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2.评审标准</w:t>
      </w:r>
    </w:p>
    <w:p>
      <w:pPr>
        <w:pStyle w:val="7"/>
        <w:kinsoku w:val="0"/>
        <w:overflowPunct w:val="0"/>
        <w:spacing w:line="360" w:lineRule="auto"/>
        <w:ind w:right="113" w:firstLine="482" w:firstLineChars="200"/>
        <w:rPr>
          <w:rFonts w:ascii="宋体" w:hAnsi="宋体" w:eastAsia="宋体" w:cs="宋体"/>
          <w:color w:val="auto"/>
          <w:highlight w:val="none"/>
        </w:rPr>
      </w:pPr>
      <w:bookmarkStart w:id="78" w:name="bookmark86"/>
      <w:bookmarkEnd w:id="78"/>
      <w:r>
        <w:rPr>
          <w:rFonts w:hint="eastAsia" w:ascii="宋体" w:hAnsi="宋体" w:eastAsia="宋体" w:cs="宋体"/>
          <w:color w:val="auto"/>
          <w:highlight w:val="none"/>
        </w:rPr>
        <w:t>2.1</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初步评审标准</w:t>
      </w:r>
    </w:p>
    <w:p>
      <w:pPr>
        <w:pStyle w:val="16"/>
        <w:kinsoku w:val="0"/>
        <w:overflowPunct w:val="0"/>
        <w:spacing w:line="360" w:lineRule="auto"/>
        <w:ind w:right="1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w:t>
      </w:r>
      <w:r>
        <w:rPr>
          <w:rFonts w:hint="eastAsia" w:ascii="宋体" w:hAnsi="宋体" w:cs="宋体"/>
          <w:color w:val="auto"/>
          <w:spacing w:val="51"/>
          <w:sz w:val="24"/>
          <w:szCs w:val="24"/>
          <w:highlight w:val="none"/>
        </w:rPr>
        <w:t xml:space="preserve"> </w:t>
      </w:r>
      <w:r>
        <w:rPr>
          <w:rFonts w:hint="eastAsia" w:ascii="宋体" w:hAnsi="宋体" w:cs="宋体"/>
          <w:color w:val="auto"/>
          <w:sz w:val="24"/>
          <w:szCs w:val="24"/>
          <w:highlight w:val="none"/>
        </w:rPr>
        <w:t>形式评审标准：见评标办法前附表。</w:t>
      </w:r>
    </w:p>
    <w:p>
      <w:pPr>
        <w:pStyle w:val="16"/>
        <w:kinsoku w:val="0"/>
        <w:overflowPunct w:val="0"/>
        <w:spacing w:before="110" w:line="360" w:lineRule="auto"/>
        <w:ind w:right="1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color w:val="auto"/>
          <w:spacing w:val="49"/>
          <w:sz w:val="24"/>
          <w:szCs w:val="24"/>
          <w:highlight w:val="none"/>
        </w:rPr>
        <w:t xml:space="preserve"> </w:t>
      </w:r>
      <w:r>
        <w:rPr>
          <w:rFonts w:hint="eastAsia" w:ascii="宋体" w:hAnsi="宋体" w:cs="宋体"/>
          <w:color w:val="auto"/>
          <w:sz w:val="24"/>
          <w:szCs w:val="24"/>
          <w:highlight w:val="none"/>
        </w:rPr>
        <w:t>响应性评审标准：见评标办法前附表。</w:t>
      </w:r>
    </w:p>
    <w:p>
      <w:pPr>
        <w:pStyle w:val="16"/>
        <w:kinsoku w:val="0"/>
        <w:overflowPunct w:val="0"/>
        <w:spacing w:before="110" w:line="360" w:lineRule="auto"/>
        <w:ind w:right="113"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pPr>
        <w:pStyle w:val="7"/>
        <w:kinsoku w:val="0"/>
        <w:overflowPunct w:val="0"/>
        <w:spacing w:line="360" w:lineRule="auto"/>
        <w:ind w:right="113"/>
        <w:rPr>
          <w:rFonts w:ascii="宋体" w:hAnsi="宋体" w:eastAsia="宋体" w:cs="宋体"/>
          <w:color w:val="auto"/>
          <w:highlight w:val="none"/>
        </w:rPr>
      </w:pPr>
      <w:bookmarkStart w:id="79" w:name="bookmark87"/>
      <w:bookmarkEnd w:id="79"/>
      <w:r>
        <w:rPr>
          <w:rFonts w:hint="eastAsia" w:ascii="宋体" w:hAnsi="宋体" w:eastAsia="宋体" w:cs="宋体"/>
          <w:color w:val="auto"/>
          <w:highlight w:val="none"/>
        </w:rPr>
        <w:t>2.2</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分值构成与评分标准</w:t>
      </w:r>
    </w:p>
    <w:p>
      <w:pPr>
        <w:pStyle w:val="16"/>
        <w:kinsoku w:val="0"/>
        <w:overflowPunct w:val="0"/>
        <w:spacing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 xml:space="preserve">2.2.1 </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分值构成</w:t>
      </w:r>
    </w:p>
    <w:p>
      <w:pPr>
        <w:pStyle w:val="16"/>
        <w:kinsoku w:val="0"/>
        <w:overflowPunct w:val="0"/>
        <w:spacing w:before="110"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color w:val="auto"/>
          <w:sz w:val="22"/>
          <w:szCs w:val="24"/>
          <w:highlight w:val="none"/>
        </w:rPr>
        <w:t>资信业绩部分</w:t>
      </w:r>
      <w:r>
        <w:rPr>
          <w:rFonts w:hint="eastAsia" w:ascii="宋体" w:hAnsi="宋体" w:cs="宋体"/>
          <w:color w:val="auto"/>
          <w:sz w:val="24"/>
          <w:szCs w:val="24"/>
          <w:highlight w:val="none"/>
        </w:rPr>
        <w:t>：见评标办法前附表；</w:t>
      </w:r>
    </w:p>
    <w:p>
      <w:pPr>
        <w:pStyle w:val="16"/>
        <w:kinsoku w:val="0"/>
        <w:overflowPunct w:val="0"/>
        <w:spacing w:before="110" w:line="360" w:lineRule="auto"/>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bCs/>
          <w:color w:val="auto"/>
          <w:sz w:val="22"/>
          <w:szCs w:val="24"/>
          <w:highlight w:val="none"/>
        </w:rPr>
        <w:t>服务保障方案</w:t>
      </w:r>
      <w:r>
        <w:rPr>
          <w:rFonts w:hint="eastAsia" w:ascii="宋体" w:hAnsi="宋体" w:cs="宋体"/>
          <w:bCs/>
          <w:color w:val="auto"/>
          <w:sz w:val="22"/>
          <w:szCs w:val="24"/>
          <w:highlight w:val="none"/>
        </w:rPr>
        <w:t>部分</w:t>
      </w:r>
      <w:r>
        <w:rPr>
          <w:rFonts w:hint="eastAsia" w:ascii="宋体" w:hAnsi="宋体" w:cs="宋体"/>
          <w:color w:val="auto"/>
          <w:sz w:val="24"/>
          <w:szCs w:val="24"/>
          <w:highlight w:val="none"/>
        </w:rPr>
        <w:t>：见评标办法前附表；</w:t>
      </w:r>
    </w:p>
    <w:p>
      <w:pPr>
        <w:pStyle w:val="16"/>
        <w:kinsoku w:val="0"/>
        <w:overflowPunct w:val="0"/>
        <w:spacing w:before="110" w:line="360" w:lineRule="auto"/>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）项目负责人及技术负责人答辩</w:t>
      </w:r>
      <w:r>
        <w:rPr>
          <w:rFonts w:hint="eastAsia" w:ascii="宋体" w:hAnsi="宋体" w:cs="宋体"/>
          <w:color w:val="auto"/>
          <w:sz w:val="24"/>
          <w:szCs w:val="24"/>
          <w:highlight w:val="none"/>
          <w:lang w:val="en-US" w:eastAsia="zh-CN"/>
        </w:rPr>
        <w:t>部分：</w:t>
      </w:r>
      <w:r>
        <w:rPr>
          <w:rFonts w:hint="eastAsia" w:ascii="宋体" w:hAnsi="宋体" w:cs="宋体"/>
          <w:color w:val="auto"/>
          <w:sz w:val="24"/>
          <w:szCs w:val="24"/>
          <w:highlight w:val="none"/>
        </w:rPr>
        <w:t>见评标办法前附表；</w:t>
      </w:r>
    </w:p>
    <w:p>
      <w:pPr>
        <w:pStyle w:val="16"/>
        <w:kinsoku w:val="0"/>
        <w:overflowPunct w:val="0"/>
        <w:spacing w:before="110"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）投标报价部分：见评标办法前附表；</w:t>
      </w:r>
    </w:p>
    <w:p>
      <w:pPr>
        <w:pStyle w:val="16"/>
        <w:kinsoku w:val="0"/>
        <w:overflowPunct w:val="0"/>
        <w:spacing w:before="123"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pacing w:val="2"/>
          <w:sz w:val="24"/>
          <w:szCs w:val="24"/>
          <w:highlight w:val="none"/>
        </w:rPr>
        <w:t xml:space="preserve"> </w:t>
      </w:r>
      <w:r>
        <w:rPr>
          <w:rFonts w:hint="eastAsia" w:ascii="宋体" w:hAnsi="宋体" w:cs="宋体"/>
          <w:color w:val="auto"/>
          <w:sz w:val="24"/>
          <w:szCs w:val="24"/>
          <w:highlight w:val="none"/>
        </w:rPr>
        <w:t>评分标准</w:t>
      </w:r>
    </w:p>
    <w:p>
      <w:pPr>
        <w:pStyle w:val="16"/>
        <w:kinsoku w:val="0"/>
        <w:overflowPunct w:val="0"/>
        <w:spacing w:before="110"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pPr>
        <w:pStyle w:val="16"/>
        <w:kinsoku w:val="0"/>
        <w:overflowPunct w:val="0"/>
        <w:spacing w:before="110" w:line="360" w:lineRule="auto"/>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ascii="宋体" w:hAnsi="宋体" w:cs="宋体"/>
          <w:bCs/>
          <w:color w:val="auto"/>
          <w:sz w:val="22"/>
          <w:szCs w:val="24"/>
          <w:highlight w:val="none"/>
        </w:rPr>
        <w:t>服务保障方案</w:t>
      </w:r>
      <w:r>
        <w:rPr>
          <w:rFonts w:hint="eastAsia" w:ascii="宋体" w:hAnsi="宋体" w:cs="宋体"/>
          <w:bCs/>
          <w:color w:val="auto"/>
          <w:sz w:val="22"/>
          <w:szCs w:val="24"/>
          <w:highlight w:val="none"/>
        </w:rPr>
        <w:t>部分</w:t>
      </w:r>
      <w:r>
        <w:rPr>
          <w:rFonts w:hint="eastAsia" w:ascii="宋体" w:hAnsi="宋体" w:cs="宋体"/>
          <w:color w:val="auto"/>
          <w:sz w:val="24"/>
          <w:szCs w:val="24"/>
          <w:highlight w:val="none"/>
        </w:rPr>
        <w:t>：见评标办法前附表；</w:t>
      </w:r>
    </w:p>
    <w:p>
      <w:pPr>
        <w:pStyle w:val="16"/>
        <w:kinsoku w:val="0"/>
        <w:overflowPunct w:val="0"/>
        <w:spacing w:before="110" w:line="360" w:lineRule="auto"/>
        <w:ind w:left="959" w:leftChars="228" w:hanging="480" w:hanging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）项目负责人及技术负责人答辩</w:t>
      </w:r>
      <w:r>
        <w:rPr>
          <w:rFonts w:hint="eastAsia" w:ascii="宋体" w:hAnsi="宋体" w:cs="宋体"/>
          <w:color w:val="auto"/>
          <w:sz w:val="24"/>
          <w:szCs w:val="24"/>
          <w:highlight w:val="none"/>
          <w:lang w:val="en-US" w:eastAsia="zh-CN"/>
        </w:rPr>
        <w:t>部分：</w:t>
      </w:r>
      <w:r>
        <w:rPr>
          <w:rFonts w:hint="eastAsia" w:ascii="宋体" w:hAnsi="宋体" w:cs="宋体"/>
          <w:color w:val="auto"/>
          <w:sz w:val="24"/>
          <w:szCs w:val="24"/>
          <w:highlight w:val="none"/>
        </w:rPr>
        <w:t>见评标办法前附表；</w:t>
      </w:r>
    </w:p>
    <w:p>
      <w:pPr>
        <w:pStyle w:val="16"/>
        <w:kinsoku w:val="0"/>
        <w:overflowPunct w:val="0"/>
        <w:spacing w:before="110" w:line="360" w:lineRule="auto"/>
        <w:ind w:left="959" w:leftChars="228"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）投标报价部分：见评标办法前附表；</w:t>
      </w:r>
    </w:p>
    <w:p>
      <w:pPr>
        <w:tabs>
          <w:tab w:val="left" w:pos="105"/>
        </w:tabs>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3.  评标程序</w:t>
      </w:r>
    </w:p>
    <w:p>
      <w:pPr>
        <w:pStyle w:val="7"/>
        <w:kinsoku w:val="0"/>
        <w:overflowPunct w:val="0"/>
        <w:spacing w:line="360" w:lineRule="auto"/>
        <w:ind w:right="109" w:firstLine="482" w:firstLineChars="200"/>
        <w:rPr>
          <w:rFonts w:ascii="宋体" w:hAnsi="宋体" w:eastAsia="宋体" w:cs="宋体"/>
          <w:color w:val="auto"/>
          <w:highlight w:val="none"/>
        </w:rPr>
      </w:pPr>
      <w:bookmarkStart w:id="80" w:name="bookmark89"/>
      <w:bookmarkEnd w:id="80"/>
      <w:r>
        <w:rPr>
          <w:rFonts w:hint="eastAsia" w:ascii="宋体" w:hAnsi="宋体" w:eastAsia="宋体" w:cs="宋体"/>
          <w:color w:val="auto"/>
          <w:highlight w:val="none"/>
        </w:rPr>
        <w:t xml:space="preserve">3.1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初步评审</w:t>
      </w:r>
    </w:p>
    <w:p>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strike/>
          <w:color w:val="auto"/>
          <w:sz w:val="24"/>
          <w:szCs w:val="24"/>
          <w:highlight w:val="none"/>
          <w:u w:val="single"/>
        </w:rPr>
        <w:t>评标委员会完成资格评审后，汇总审查情况，确定通过资格评审的投标人名单，向招标人提交书面资格审查报告。通过资格评审的有效投标人不足三名时，招标人应当依法重新组织招标。</w:t>
      </w:r>
      <w:r>
        <w:rPr>
          <w:rFonts w:hint="eastAsia" w:ascii="宋体" w:hAnsi="宋体" w:cs="宋体"/>
          <w:color w:val="auto"/>
          <w:sz w:val="24"/>
          <w:szCs w:val="24"/>
          <w:highlight w:val="none"/>
          <w:u w:val="single"/>
        </w:rPr>
        <w:t>只有通过初步评审的投标人才能进入下一阶段详细评审。通过初步评审的有效投标人不足三名时，招标人应当依法重新组织招标。</w:t>
      </w:r>
    </w:p>
    <w:p>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3.1.2投标人有以下情形之一的，评标委员会应当否决其投标：</w:t>
      </w:r>
    </w:p>
    <w:p>
      <w:pPr>
        <w:pStyle w:val="16"/>
        <w:kinsoku w:val="0"/>
        <w:overflowPunct w:val="0"/>
        <w:spacing w:before="107" w:line="360" w:lineRule="auto"/>
        <w:ind w:left="100" w:right="109" w:firstLine="464"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（1）投标文件没有对招标文件的实质性要求和条件作出响应，或者对招标文件的偏差超出</w:t>
      </w:r>
      <w:r>
        <w:rPr>
          <w:rFonts w:hint="eastAsia" w:ascii="宋体" w:hAnsi="宋体" w:cs="宋体"/>
          <w:color w:val="auto"/>
          <w:sz w:val="24"/>
          <w:szCs w:val="24"/>
          <w:highlight w:val="none"/>
        </w:rPr>
        <w:t xml:space="preserve"> 招标文件规定的偏差范围或最高项数；</w:t>
      </w:r>
    </w:p>
    <w:p>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（2）有串通投标、在投标文件中提供虚假材料的、行贿等违法行为。</w:t>
      </w:r>
    </w:p>
    <w:p>
      <w:pPr>
        <w:pStyle w:val="16"/>
        <w:kinsoku w:val="0"/>
        <w:overflowPunct w:val="0"/>
        <w:spacing w:before="107" w:line="360" w:lineRule="auto"/>
        <w:ind w:left="100" w:right="109" w:firstLine="480" w:firstLineChars="200"/>
        <w:rPr>
          <w:rFonts w:ascii="宋体" w:hAnsi="宋体" w:cs="宋体"/>
          <w:color w:val="auto"/>
          <w:spacing w:val="-2"/>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pacing w:val="-4"/>
          <w:sz w:val="24"/>
          <w:szCs w:val="24"/>
          <w:highlight w:val="none"/>
        </w:rPr>
        <w:t>投标报价有算术错误及其他错误的</w:t>
      </w:r>
      <w:r>
        <w:rPr>
          <w:rFonts w:hint="eastAsia" w:ascii="宋体" w:hAnsi="宋体" w:cs="宋体"/>
          <w:color w:val="auto"/>
          <w:spacing w:val="-4"/>
          <w:sz w:val="24"/>
          <w:szCs w:val="24"/>
          <w:highlight w:val="none"/>
          <w:u w:val="single"/>
        </w:rPr>
        <w:t>应在初步审查后</w:t>
      </w:r>
      <w:r>
        <w:rPr>
          <w:rFonts w:hint="eastAsia" w:ascii="宋体" w:hAnsi="宋体" w:cs="宋体"/>
          <w:color w:val="auto"/>
          <w:sz w:val="24"/>
          <w:szCs w:val="24"/>
          <w:highlight w:val="none"/>
          <w:u w:val="single"/>
        </w:rPr>
        <w:t>对确定为实质上响应招标文件要求的投标文件中的投标报价进行复核。</w:t>
      </w:r>
      <w:r>
        <w:rPr>
          <w:rFonts w:hint="eastAsia" w:ascii="宋体" w:hAnsi="宋体" w:cs="宋体"/>
          <w:color w:val="auto"/>
          <w:spacing w:val="-4"/>
          <w:sz w:val="24"/>
          <w:szCs w:val="24"/>
          <w:highlight w:val="none"/>
        </w:rPr>
        <w:t>评标委员会按以下原则要求投标人对投标报价进</w:t>
      </w:r>
      <w:r>
        <w:rPr>
          <w:rFonts w:hint="eastAsia" w:ascii="宋体" w:hAnsi="宋体" w:cs="宋体"/>
          <w:color w:val="auto"/>
          <w:spacing w:val="-2"/>
          <w:sz w:val="24"/>
          <w:szCs w:val="24"/>
          <w:highlight w:val="none"/>
        </w:rPr>
        <w:t>行修正，并要求投标人书面澄清确认。投标人拒不澄清确认的，评标委员会应当否决其投标：</w:t>
      </w:r>
    </w:p>
    <w:p>
      <w:pPr>
        <w:pStyle w:val="16"/>
        <w:kinsoku w:val="0"/>
        <w:overflowPunct w:val="0"/>
        <w:spacing w:before="46"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pPr>
        <w:pStyle w:val="16"/>
        <w:kinsoku w:val="0"/>
        <w:overflowPunct w:val="0"/>
        <w:spacing w:before="107" w:line="360" w:lineRule="auto"/>
        <w:ind w:right="109" w:firstLine="464"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（2）总价金额与单价金额不一致的，以单价金额为准，但单价金额小数点有明显错误的除</w:t>
      </w:r>
      <w:r>
        <w:rPr>
          <w:rFonts w:hint="eastAsia" w:ascii="宋体" w:hAnsi="宋体" w:cs="宋体"/>
          <w:color w:val="auto"/>
          <w:sz w:val="24"/>
          <w:szCs w:val="24"/>
          <w:highlight w:val="none"/>
        </w:rPr>
        <w:t>外。</w:t>
      </w:r>
    </w:p>
    <w:p>
      <w:pPr>
        <w:pStyle w:val="7"/>
        <w:spacing w:line="360" w:lineRule="auto"/>
        <w:ind w:right="109"/>
        <w:rPr>
          <w:rFonts w:ascii="宋体" w:hAnsi="宋体" w:eastAsia="宋体" w:cs="宋体"/>
          <w:color w:val="auto"/>
          <w:highlight w:val="none"/>
        </w:rPr>
      </w:pPr>
      <w:bookmarkStart w:id="81" w:name="bookmark90"/>
      <w:bookmarkEnd w:id="81"/>
      <w:r>
        <w:rPr>
          <w:rFonts w:hint="eastAsia" w:ascii="宋体" w:hAnsi="宋体" w:eastAsia="宋体" w:cs="宋体"/>
          <w:color w:val="auto"/>
          <w:highlight w:val="none"/>
        </w:rPr>
        <w:t xml:space="preserve">3.2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详细评审</w:t>
      </w:r>
    </w:p>
    <w:p>
      <w:pPr>
        <w:pStyle w:val="16"/>
        <w:kinsoku w:val="0"/>
        <w:overflowPunct w:val="0"/>
        <w:spacing w:line="360" w:lineRule="auto"/>
        <w:ind w:firstLine="480" w:firstLineChars="200"/>
        <w:rPr>
          <w:rFonts w:ascii="宋体" w:hAnsi="宋体" w:cs="宋体"/>
          <w:color w:val="auto"/>
          <w:spacing w:val="-6"/>
          <w:sz w:val="24"/>
          <w:szCs w:val="24"/>
          <w:highlight w:val="none"/>
        </w:rPr>
      </w:pPr>
      <w:r>
        <w:rPr>
          <w:rFonts w:hint="eastAsia" w:ascii="宋体" w:hAnsi="宋体" w:cs="宋体"/>
          <w:color w:val="auto"/>
          <w:sz w:val="24"/>
          <w:szCs w:val="24"/>
          <w:highlight w:val="none"/>
        </w:rPr>
        <w:t>3.2.1评标委员会按本章第2.2</w:t>
      </w:r>
      <w:r>
        <w:rPr>
          <w:rFonts w:hint="eastAsia" w:ascii="宋体" w:hAnsi="宋体" w:cs="宋体"/>
          <w:color w:val="auto"/>
          <w:spacing w:val="-25"/>
          <w:sz w:val="24"/>
          <w:szCs w:val="24"/>
          <w:highlight w:val="none"/>
        </w:rPr>
        <w:t xml:space="preserve"> </w:t>
      </w:r>
      <w:r>
        <w:rPr>
          <w:rFonts w:hint="eastAsia" w:ascii="宋体" w:hAnsi="宋体" w:cs="宋体"/>
          <w:color w:val="auto"/>
          <w:spacing w:val="-6"/>
          <w:sz w:val="24"/>
          <w:szCs w:val="24"/>
          <w:highlight w:val="none"/>
        </w:rPr>
        <w:t>款规定的量化因素和分值进行打分，并计算出综合评估得分。</w:t>
      </w:r>
    </w:p>
    <w:p>
      <w:pPr>
        <w:pStyle w:val="16"/>
        <w:kinsoku w:val="0"/>
        <w:overflowPunct w:val="0"/>
        <w:spacing w:before="107"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2.2.2规定的评审因素和分值对“资信业绩部分”部分计算出得分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A；</w:t>
      </w:r>
    </w:p>
    <w:p>
      <w:pPr>
        <w:pStyle w:val="16"/>
        <w:kinsoku w:val="0"/>
        <w:overflowPunct w:val="0"/>
        <w:spacing w:before="107"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w:t>
      </w:r>
      <w:r>
        <w:rPr>
          <w:rFonts w:hint="eastAsia" w:ascii="宋体" w:hAnsi="宋体" w:cs="宋体"/>
          <w:color w:val="auto"/>
          <w:spacing w:val="-57"/>
          <w:sz w:val="24"/>
          <w:szCs w:val="24"/>
          <w:highlight w:val="none"/>
        </w:rPr>
        <w:t xml:space="preserve"> </w:t>
      </w:r>
      <w:r>
        <w:rPr>
          <w:rFonts w:hint="eastAsia" w:ascii="宋体" w:hAnsi="宋体" w:cs="宋体"/>
          <w:color w:val="auto"/>
          <w:sz w:val="24"/>
          <w:szCs w:val="24"/>
          <w:highlight w:val="none"/>
        </w:rPr>
        <w:t>2.2.2规定的评审因素和分值对“服务保障方案部分”部分计算出得分</w:t>
      </w:r>
      <w:r>
        <w:rPr>
          <w:rFonts w:hint="eastAsia" w:ascii="宋体" w:hAnsi="宋体" w:cs="宋体"/>
          <w:color w:val="auto"/>
          <w:spacing w:val="-55"/>
          <w:sz w:val="24"/>
          <w:szCs w:val="24"/>
          <w:highlight w:val="none"/>
        </w:rPr>
        <w:t xml:space="preserve"> </w:t>
      </w:r>
      <w:r>
        <w:rPr>
          <w:rFonts w:hint="eastAsia" w:ascii="宋体" w:hAnsi="宋体" w:cs="宋体"/>
          <w:color w:val="auto"/>
          <w:sz w:val="24"/>
          <w:szCs w:val="24"/>
          <w:highlight w:val="none"/>
        </w:rPr>
        <w:t>B;</w:t>
      </w:r>
    </w:p>
    <w:p>
      <w:pPr>
        <w:pStyle w:val="16"/>
        <w:kinsoku w:val="0"/>
        <w:overflowPunct w:val="0"/>
        <w:spacing w:before="110"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w:t>
      </w:r>
      <w:r>
        <w:rPr>
          <w:rFonts w:hint="eastAsia" w:ascii="宋体" w:hAnsi="宋体" w:cs="宋体"/>
          <w:color w:val="auto"/>
          <w:sz w:val="24"/>
          <w:szCs w:val="24"/>
          <w:highlight w:val="none"/>
          <w:lang w:eastAsia="zh-CN"/>
        </w:rPr>
        <w:t>项目负责人及技术负责人答辩</w:t>
      </w:r>
      <w:r>
        <w:rPr>
          <w:rFonts w:hint="eastAsia" w:ascii="宋体" w:hAnsi="宋体" w:cs="宋体"/>
          <w:color w:val="auto"/>
          <w:sz w:val="24"/>
          <w:szCs w:val="24"/>
          <w:highlight w:val="none"/>
          <w:lang w:val="en-US" w:eastAsia="zh-CN"/>
        </w:rPr>
        <w:t>部分</w:t>
      </w:r>
      <w:r>
        <w:rPr>
          <w:rFonts w:hint="eastAsia" w:ascii="宋体" w:hAnsi="宋体" w:cs="宋体"/>
          <w:color w:val="auto"/>
          <w:sz w:val="24"/>
          <w:szCs w:val="24"/>
          <w:highlight w:val="none"/>
        </w:rPr>
        <w:t>”部分计算出得分</w:t>
      </w:r>
      <w:r>
        <w:rPr>
          <w:rFonts w:hint="eastAsia" w:ascii="宋体" w:hAnsi="宋体" w:cs="宋体"/>
          <w:color w:val="auto"/>
          <w:spacing w:val="-56"/>
          <w:sz w:val="24"/>
          <w:szCs w:val="24"/>
          <w:highlight w:val="none"/>
        </w:rPr>
        <w:t xml:space="preserve"> </w:t>
      </w:r>
      <w:r>
        <w:rPr>
          <w:rFonts w:hint="eastAsia" w:ascii="宋体" w:hAnsi="宋体" w:cs="宋体"/>
          <w:color w:val="auto"/>
          <w:sz w:val="24"/>
          <w:szCs w:val="24"/>
          <w:highlight w:val="none"/>
        </w:rPr>
        <w:t>C;</w:t>
      </w:r>
    </w:p>
    <w:p>
      <w:pPr>
        <w:pStyle w:val="16"/>
        <w:kinsoku w:val="0"/>
        <w:overflowPunct w:val="0"/>
        <w:spacing w:before="110" w:line="360" w:lineRule="auto"/>
        <w:ind w:right="109"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）按本章第</w:t>
      </w:r>
      <w:r>
        <w:rPr>
          <w:rFonts w:hint="eastAsia" w:ascii="宋体" w:hAnsi="宋体" w:cs="宋体"/>
          <w:color w:val="auto"/>
          <w:spacing w:val="-58"/>
          <w:sz w:val="24"/>
          <w:szCs w:val="24"/>
          <w:highlight w:val="none"/>
        </w:rPr>
        <w:t xml:space="preserve"> </w:t>
      </w:r>
      <w:r>
        <w:rPr>
          <w:rFonts w:hint="eastAsia" w:ascii="宋体" w:hAnsi="宋体" w:cs="宋体"/>
          <w:color w:val="auto"/>
          <w:sz w:val="24"/>
          <w:szCs w:val="24"/>
          <w:highlight w:val="none"/>
        </w:rPr>
        <w:t>2.2.2规定的评审因素和分值对“投标报价部分”部分计算出得分</w:t>
      </w:r>
      <w:r>
        <w:rPr>
          <w:rFonts w:hint="eastAsia" w:ascii="宋体" w:hAnsi="宋体" w:cs="宋体"/>
          <w:color w:val="auto"/>
          <w:spacing w:val="-56"/>
          <w:sz w:val="24"/>
          <w:szCs w:val="24"/>
          <w:highlight w:val="none"/>
        </w:rPr>
        <w:t xml:space="preserve"> </w:t>
      </w:r>
      <w:r>
        <w:rPr>
          <w:rFonts w:ascii="宋体" w:hAnsi="宋体" w:cs="宋体"/>
          <w:color w:val="auto"/>
          <w:sz w:val="24"/>
          <w:szCs w:val="24"/>
          <w:highlight w:val="none"/>
        </w:rPr>
        <w:t>D</w:t>
      </w:r>
      <w:r>
        <w:rPr>
          <w:rFonts w:hint="eastAsia" w:ascii="宋体" w:hAnsi="宋体" w:cs="宋体"/>
          <w:color w:val="auto"/>
          <w:sz w:val="24"/>
          <w:szCs w:val="24"/>
          <w:highlight w:val="none"/>
        </w:rPr>
        <w:t>;</w:t>
      </w:r>
    </w:p>
    <w:p>
      <w:pPr>
        <w:pStyle w:val="16"/>
        <w:kinsoku w:val="0"/>
        <w:overflowPunct w:val="0"/>
        <w:spacing w:before="108" w:line="360" w:lineRule="auto"/>
        <w:ind w:right="86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3.2.2评分分值计算保留小数点后两位，小数点后第三位“四舍五入”。</w:t>
      </w:r>
    </w:p>
    <w:p>
      <w:pPr>
        <w:pStyle w:val="16"/>
        <w:kinsoku w:val="0"/>
        <w:overflowPunct w:val="0"/>
        <w:spacing w:before="21"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3.2.3投标人得分=</w:t>
      </w:r>
      <w:r>
        <w:rPr>
          <w:rFonts w:hint="eastAsia" w:ascii="宋体" w:hAnsi="宋体" w:cs="宋体"/>
          <w:color w:val="auto"/>
          <w:sz w:val="24"/>
          <w:szCs w:val="24"/>
          <w:highlight w:val="none"/>
          <w:u w:val="single"/>
        </w:rPr>
        <w:t>A+B+C</w:t>
      </w:r>
      <w:r>
        <w:rPr>
          <w:rFonts w:ascii="宋体" w:hAnsi="宋体" w:cs="宋体"/>
          <w:color w:val="auto"/>
          <w:sz w:val="24"/>
          <w:szCs w:val="24"/>
          <w:highlight w:val="none"/>
          <w:u w:val="single"/>
        </w:rPr>
        <w:t>+D</w:t>
      </w:r>
      <w:r>
        <w:rPr>
          <w:rFonts w:hint="eastAsia" w:ascii="宋体" w:hAnsi="宋体" w:cs="宋体"/>
          <w:color w:val="auto"/>
          <w:sz w:val="24"/>
          <w:szCs w:val="24"/>
          <w:highlight w:val="none"/>
        </w:rPr>
        <w:t>（综合得分为将各评委的评分汇总后的算术平均分。）</w:t>
      </w:r>
    </w:p>
    <w:p>
      <w:pPr>
        <w:pStyle w:val="16"/>
        <w:kinsoku w:val="0"/>
        <w:overflowPunct w:val="0"/>
        <w:spacing w:before="107" w:line="360" w:lineRule="auto"/>
        <w:ind w:right="211" w:firstLine="480" w:firstLineChars="200"/>
        <w:rPr>
          <w:rFonts w:ascii="宋体" w:hAnsi="宋体" w:cs="宋体"/>
          <w:color w:val="auto"/>
          <w:spacing w:val="-6"/>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pacing w:val="-4"/>
          <w:sz w:val="24"/>
          <w:szCs w:val="24"/>
          <w:highlight w:val="none"/>
        </w:rPr>
        <w:t>评标委员会发现投标人的报价明显低于其他投标报价，使得其投标报价可能低于其个</w:t>
      </w:r>
      <w:r>
        <w:rPr>
          <w:rFonts w:hint="eastAsia" w:ascii="宋体" w:hAnsi="宋体" w:cs="宋体"/>
          <w:color w:val="auto"/>
          <w:spacing w:val="-1"/>
          <w:sz w:val="24"/>
          <w:szCs w:val="24"/>
          <w:highlight w:val="none"/>
        </w:rPr>
        <w:t>别成本的，应当要求该投标人作出书面说明并提供相应的证明材料。投标人不能合理说明或者</w:t>
      </w:r>
      <w:r>
        <w:rPr>
          <w:rFonts w:hint="eastAsia" w:ascii="宋体" w:hAnsi="宋体" w:cs="宋体"/>
          <w:color w:val="auto"/>
          <w:spacing w:val="-6"/>
          <w:sz w:val="24"/>
          <w:szCs w:val="24"/>
          <w:highlight w:val="none"/>
        </w:rPr>
        <w:t>不能提供相应证明材料的，评标委员会应当认定该投标人以低于成本报价竞标，并否决其投标。</w:t>
      </w:r>
    </w:p>
    <w:p>
      <w:pPr>
        <w:pStyle w:val="7"/>
        <w:kinsoku w:val="0"/>
        <w:overflowPunct w:val="0"/>
        <w:spacing w:before="174" w:line="360" w:lineRule="auto"/>
        <w:ind w:right="109"/>
        <w:rPr>
          <w:rFonts w:ascii="宋体" w:hAnsi="宋体" w:eastAsia="宋体" w:cs="宋体"/>
          <w:color w:val="auto"/>
          <w:highlight w:val="none"/>
        </w:rPr>
      </w:pPr>
      <w:bookmarkStart w:id="82" w:name="bookmark91"/>
      <w:bookmarkEnd w:id="82"/>
      <w:r>
        <w:rPr>
          <w:rFonts w:hint="eastAsia" w:ascii="宋体" w:hAnsi="宋体" w:eastAsia="宋体" w:cs="宋体"/>
          <w:color w:val="auto"/>
          <w:highlight w:val="none"/>
        </w:rPr>
        <w:t>3.3  投标文件的澄清</w:t>
      </w:r>
    </w:p>
    <w:p>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3.3.2澄清、说明或补正不得超出投标文件的范围且不得改变投标文件的实质性内容，并构成投标文件的组成部分。</w:t>
      </w:r>
    </w:p>
    <w:p>
      <w:pPr>
        <w:pStyle w:val="16"/>
        <w:kinsoku w:val="0"/>
        <w:overflowPunct w:val="0"/>
        <w:spacing w:before="107" w:line="360" w:lineRule="auto"/>
        <w:ind w:right="21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3.3.3评标委员会对投标人提交的澄清、说明或补正有疑问的，可以要求投标人进一步澄清、说明或补正，直至满足评标委员会的要求。</w:t>
      </w:r>
    </w:p>
    <w:p>
      <w:pPr>
        <w:pStyle w:val="7"/>
        <w:spacing w:line="360" w:lineRule="auto"/>
        <w:ind w:right="109"/>
        <w:rPr>
          <w:rFonts w:ascii="宋体" w:hAnsi="宋体" w:eastAsia="宋体" w:cs="宋体"/>
          <w:color w:val="auto"/>
          <w:highlight w:val="none"/>
        </w:rPr>
      </w:pPr>
      <w:bookmarkStart w:id="83" w:name="bookmark92"/>
      <w:bookmarkEnd w:id="83"/>
      <w:r>
        <w:rPr>
          <w:rFonts w:hint="eastAsia" w:ascii="宋体" w:hAnsi="宋体" w:eastAsia="宋体" w:cs="宋体"/>
          <w:color w:val="auto"/>
          <w:highlight w:val="none"/>
        </w:rPr>
        <w:t xml:space="preserve">3.4 </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评标结果</w:t>
      </w:r>
    </w:p>
    <w:p>
      <w:pPr>
        <w:pStyle w:val="16"/>
        <w:kinsoku w:val="0"/>
        <w:overflowPunct w:val="0"/>
        <w:spacing w:line="360" w:lineRule="auto"/>
        <w:ind w:left="100"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w:t>
      </w:r>
      <w:r>
        <w:rPr>
          <w:rFonts w:hint="eastAsia" w:ascii="宋体" w:hAnsi="宋体" w:cs="宋体"/>
          <w:color w:val="auto"/>
          <w:spacing w:val="-3"/>
          <w:sz w:val="24"/>
          <w:szCs w:val="24"/>
          <w:highlight w:val="none"/>
        </w:rPr>
        <w:t>除第二章“投标人须知”前附表授权直接确定中标人外，评标委员会按照得分由高到低</w:t>
      </w:r>
      <w:r>
        <w:rPr>
          <w:rFonts w:hint="eastAsia" w:ascii="宋体" w:hAnsi="宋体" w:cs="宋体"/>
          <w:color w:val="auto"/>
          <w:sz w:val="24"/>
          <w:szCs w:val="24"/>
          <w:highlight w:val="none"/>
        </w:rPr>
        <w:t>的顺序推荐中标候选人，并标明排序。</w:t>
      </w:r>
    </w:p>
    <w:p>
      <w:pPr>
        <w:pStyle w:val="16"/>
        <w:kinsoku w:val="0"/>
        <w:overflowPunct w:val="0"/>
        <w:spacing w:before="43" w:line="360" w:lineRule="auto"/>
        <w:ind w:right="10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3.4.2评标委员会完成评标后，应当向招标人提交书面评标报告和中标候选人名单。</w:t>
      </w:r>
    </w:p>
    <w:bookmarkEnd w:id="49"/>
    <w:bookmarkEnd w:id="50"/>
    <w:bookmarkEnd w:id="51"/>
    <w:bookmarkEnd w:id="52"/>
    <w:bookmarkEnd w:id="53"/>
    <w:bookmarkEnd w:id="54"/>
    <w:bookmarkEnd w:id="55"/>
    <w:p>
      <w:pPr>
        <w:spacing w:before="6" w:line="360" w:lineRule="auto"/>
        <w:ind w:left="484" w:right="711"/>
        <w:jc w:val="center"/>
        <w:rPr>
          <w:rFonts w:ascii="宋体" w:hAnsi="宋体" w:cs="宋体"/>
          <w:color w:val="auto"/>
          <w:highlight w:val="none"/>
        </w:rPr>
        <w:sectPr>
          <w:pgSz w:w="11905" w:h="16838"/>
          <w:pgMar w:top="1417" w:right="1417" w:bottom="1417" w:left="1417" w:header="850" w:footer="992" w:gutter="0"/>
          <w:cols w:space="720" w:num="1"/>
          <w:titlePg/>
          <w:docGrid w:type="lines" w:linePitch="317" w:charSpace="0"/>
        </w:sectPr>
      </w:pPr>
    </w:p>
    <w:p>
      <w:pPr>
        <w:pStyle w:val="4"/>
        <w:rPr>
          <w:rFonts w:ascii="宋体" w:hAnsi="宋体" w:eastAsia="宋体" w:cs="宋体"/>
          <w:color w:val="auto"/>
          <w:highlight w:val="none"/>
        </w:rPr>
      </w:pPr>
      <w:bookmarkStart w:id="84" w:name="_Toc3829_WPSOffice_Level1"/>
      <w:bookmarkStart w:id="85" w:name="_Toc193363139"/>
      <w:bookmarkStart w:id="86" w:name="_Toc10900_WPSOffice_Level1"/>
      <w:bookmarkStart w:id="87" w:name="_Toc530728908"/>
      <w:bookmarkStart w:id="88" w:name="_Toc4088"/>
    </w:p>
    <w:p>
      <w:pPr>
        <w:pStyle w:val="4"/>
        <w:rPr>
          <w:rFonts w:ascii="宋体" w:hAnsi="宋体" w:eastAsia="宋体" w:cs="宋体"/>
          <w:color w:val="auto"/>
          <w:highlight w:val="none"/>
        </w:rPr>
      </w:pPr>
      <w:bookmarkStart w:id="89" w:name="_Toc196159256"/>
      <w:r>
        <w:rPr>
          <w:rFonts w:hint="eastAsia" w:ascii="宋体" w:hAnsi="宋体" w:eastAsia="宋体" w:cs="宋体"/>
          <w:color w:val="auto"/>
          <w:highlight w:val="none"/>
        </w:rPr>
        <w:t>第三章 合同条款及格式</w:t>
      </w:r>
      <w:bookmarkEnd w:id="84"/>
      <w:bookmarkEnd w:id="85"/>
      <w:bookmarkEnd w:id="86"/>
      <w:bookmarkEnd w:id="87"/>
      <w:bookmarkEnd w:id="88"/>
      <w:bookmarkEnd w:id="89"/>
    </w:p>
    <w:p>
      <w:pPr>
        <w:spacing w:line="324" w:lineRule="exact"/>
        <w:rPr>
          <w:rFonts w:ascii="宋体" w:hAnsi="宋体" w:cs="宋体"/>
          <w:color w:val="auto"/>
          <w:highlight w:val="none"/>
        </w:rPr>
      </w:pPr>
    </w:p>
    <w:p>
      <w:pPr>
        <w:spacing w:before="120" w:after="120" w:line="360" w:lineRule="auto"/>
        <w:jc w:val="center"/>
        <w:rPr>
          <w:rFonts w:ascii="宋体" w:hAnsi="宋体" w:cs="宋体"/>
          <w:color w:val="auto"/>
          <w:highlight w:val="none"/>
        </w:rPr>
        <w:sectPr>
          <w:pgSz w:w="11905" w:h="16838"/>
          <w:pgMar w:top="1417" w:right="1417" w:bottom="1417" w:left="1417" w:header="850" w:footer="992" w:gutter="0"/>
          <w:cols w:space="720" w:num="1"/>
          <w:titlePg/>
          <w:docGrid w:type="lines" w:linePitch="317" w:charSpace="0"/>
        </w:sectPr>
      </w:pPr>
      <w:bookmarkStart w:id="90" w:name="_Toc5102_WPSOffice_Level2"/>
      <w:r>
        <w:rPr>
          <w:rFonts w:hint="eastAsia" w:ascii="宋体" w:hAnsi="宋体" w:cs="宋体"/>
          <w:b/>
          <w:bCs/>
          <w:color w:val="auto"/>
          <w:sz w:val="32"/>
          <w:szCs w:val="32"/>
          <w:highlight w:val="none"/>
        </w:rPr>
        <w:t>（另册）</w:t>
      </w:r>
      <w:bookmarkEnd w:id="90"/>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pStyle w:val="3"/>
        <w:jc w:val="center"/>
        <w:rPr>
          <w:rFonts w:ascii="宋体" w:hAnsi="宋体" w:cs="宋体"/>
          <w:color w:val="auto"/>
          <w:highlight w:val="none"/>
        </w:rPr>
      </w:pPr>
      <w:bookmarkStart w:id="91" w:name="_Toc530728909"/>
      <w:bookmarkStart w:id="92" w:name="_Toc196159257"/>
      <w:bookmarkStart w:id="93" w:name="_Toc193363140"/>
      <w:bookmarkStart w:id="94" w:name="_Toc2205"/>
      <w:r>
        <w:rPr>
          <w:rFonts w:hint="eastAsia" w:ascii="宋体" w:hAnsi="宋体" w:cs="宋体"/>
          <w:color w:val="auto"/>
          <w:highlight w:val="none"/>
        </w:rPr>
        <w:t>第二卷</w:t>
      </w:r>
      <w:bookmarkEnd w:id="91"/>
      <w:bookmarkEnd w:id="92"/>
      <w:bookmarkEnd w:id="93"/>
      <w:bookmarkEnd w:id="94"/>
    </w:p>
    <w:p>
      <w:pPr>
        <w:spacing w:line="491" w:lineRule="exact"/>
        <w:jc w:val="center"/>
        <w:rPr>
          <w:rFonts w:ascii="宋体" w:hAnsi="宋体" w:cs="宋体"/>
          <w:b/>
          <w:color w:val="auto"/>
          <w:sz w:val="43"/>
          <w:highlight w:val="none"/>
        </w:rPr>
        <w:sectPr>
          <w:pgSz w:w="11905" w:h="16838"/>
          <w:pgMar w:top="1417" w:right="1417" w:bottom="1417" w:left="1417" w:header="850" w:footer="992" w:gutter="0"/>
          <w:cols w:space="720" w:num="1"/>
          <w:titlePg/>
          <w:docGrid w:type="lines" w:linePitch="317" w:charSpace="0"/>
        </w:sectPr>
      </w:pPr>
    </w:p>
    <w:p>
      <w:pPr>
        <w:spacing w:line="200" w:lineRule="exact"/>
        <w:rPr>
          <w:rFonts w:ascii="宋体" w:hAnsi="宋体" w:cs="宋体"/>
          <w:color w:val="auto"/>
          <w:highlight w:val="none"/>
        </w:rPr>
      </w:pPr>
    </w:p>
    <w:p>
      <w:pPr>
        <w:spacing w:line="0" w:lineRule="atLeast"/>
        <w:jc w:val="center"/>
        <w:rPr>
          <w:rFonts w:ascii="宋体" w:hAnsi="宋体" w:cs="宋体"/>
          <w:color w:val="auto"/>
          <w:sz w:val="18"/>
          <w:highlight w:val="none"/>
        </w:rPr>
        <w:sectPr>
          <w:type w:val="continuous"/>
          <w:pgSz w:w="11905" w:h="16838"/>
          <w:pgMar w:top="1417" w:right="1417" w:bottom="1417" w:left="1417" w:header="850" w:footer="992" w:gutter="0"/>
          <w:cols w:space="720" w:num="1"/>
          <w:titlePg/>
          <w:docGrid w:type="lines" w:linePitch="317" w:charSpace="0"/>
        </w:sect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491" w:lineRule="exact"/>
        <w:jc w:val="center"/>
        <w:outlineLvl w:val="1"/>
        <w:rPr>
          <w:rFonts w:ascii="宋体" w:hAnsi="宋体" w:cs="宋体"/>
          <w:color w:val="auto"/>
          <w:sz w:val="43"/>
          <w:highlight w:val="none"/>
        </w:rPr>
      </w:pPr>
      <w:bookmarkStart w:id="95" w:name="_Toc530728910"/>
      <w:r>
        <w:rPr>
          <w:rFonts w:hint="eastAsia" w:ascii="宋体" w:hAnsi="宋体" w:cs="宋体"/>
          <w:b/>
          <w:color w:val="auto"/>
          <w:sz w:val="43"/>
          <w:highlight w:val="none"/>
        </w:rPr>
        <w:br w:type="page"/>
      </w:r>
      <w:bookmarkStart w:id="96" w:name="_Toc11242_WPSOffice_Level1"/>
      <w:bookmarkStart w:id="97" w:name="_Toc6158_WPSOffice_Level1"/>
      <w:bookmarkStart w:id="98" w:name="_Toc29490"/>
      <w:bookmarkStart w:id="99" w:name="_Toc196159258"/>
      <w:bookmarkStart w:id="100" w:name="_Toc193363141"/>
      <w:r>
        <w:rPr>
          <w:rFonts w:hint="eastAsia" w:ascii="宋体" w:hAnsi="宋体" w:cs="宋体"/>
          <w:bCs/>
          <w:color w:val="auto"/>
          <w:kern w:val="0"/>
          <w:sz w:val="36"/>
          <w:szCs w:val="32"/>
          <w:highlight w:val="none"/>
        </w:rPr>
        <w:t>第四章</w:t>
      </w:r>
      <w:r>
        <w:rPr>
          <w:rFonts w:ascii="宋体" w:hAnsi="宋体" w:cs="宋体"/>
          <w:bCs/>
          <w:color w:val="auto"/>
          <w:kern w:val="0"/>
          <w:sz w:val="36"/>
          <w:szCs w:val="32"/>
          <w:highlight w:val="none"/>
        </w:rPr>
        <w:t xml:space="preserve"> </w:t>
      </w:r>
      <w:r>
        <w:rPr>
          <w:rFonts w:hint="eastAsia" w:ascii="宋体" w:hAnsi="宋体" w:cs="宋体"/>
          <w:bCs/>
          <w:color w:val="auto"/>
          <w:kern w:val="0"/>
          <w:sz w:val="36"/>
          <w:szCs w:val="32"/>
          <w:highlight w:val="none"/>
        </w:rPr>
        <w:t>招标人要求</w:t>
      </w:r>
      <w:bookmarkEnd w:id="95"/>
      <w:bookmarkEnd w:id="96"/>
      <w:bookmarkEnd w:id="97"/>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color w:val="auto"/>
          <w:sz w:val="24"/>
          <w:highlight w:val="none"/>
          <w:lang w:bidi="ar"/>
        </w:rPr>
      </w:pPr>
      <w:r>
        <w:rPr>
          <w:rFonts w:ascii="宋体" w:hAnsi="宋体"/>
          <w:b/>
          <w:bCs/>
          <w:color w:val="auto"/>
          <w:sz w:val="24"/>
          <w:highlight w:val="none"/>
          <w:lang w:bidi="ar"/>
        </w:rPr>
        <w:t>一、开幕式用电需求情况</w:t>
      </w:r>
    </w:p>
    <w:p>
      <w:pPr>
        <w:spacing w:line="360" w:lineRule="auto"/>
        <w:ind w:firstLine="480"/>
        <w:jc w:val="left"/>
        <w:rPr>
          <w:rFonts w:hint="eastAsia" w:ascii="宋体" w:hAnsi="宋体" w:eastAsia="宋体"/>
          <w:color w:val="auto"/>
          <w:sz w:val="24"/>
          <w:highlight w:val="none"/>
          <w:lang w:val="en-US" w:eastAsia="zh-CN" w:bidi="ar"/>
        </w:rPr>
      </w:pPr>
      <w:r>
        <w:rPr>
          <w:rFonts w:hint="eastAsia" w:ascii="宋体" w:hAnsi="宋体"/>
          <w:color w:val="auto"/>
          <w:sz w:val="24"/>
          <w:highlight w:val="none"/>
          <w:lang w:bidi="ar"/>
        </w:rPr>
        <w:t>十五运会开幕式在广东省奥林匹克体育中心（简称“奥体中心”）举办，采用“市电与储能主供，柴发备供”模式供电</w:t>
      </w:r>
      <w:r>
        <w:rPr>
          <w:rFonts w:hint="eastAsia" w:ascii="宋体" w:hAnsi="宋体"/>
          <w:color w:val="auto"/>
          <w:sz w:val="24"/>
          <w:highlight w:val="none"/>
          <w:lang w:eastAsia="zh-CN" w:bidi="ar"/>
        </w:rPr>
        <w:t>（见表</w:t>
      </w:r>
      <w:r>
        <w:rPr>
          <w:rFonts w:hint="eastAsia" w:ascii="宋体" w:hAnsi="宋体"/>
          <w:color w:val="auto"/>
          <w:sz w:val="24"/>
          <w:highlight w:val="none"/>
          <w:lang w:val="en-US" w:eastAsia="zh-CN" w:bidi="ar"/>
        </w:rPr>
        <w:t>4.1.1</w:t>
      </w:r>
      <w:r>
        <w:rPr>
          <w:rFonts w:hint="eastAsia" w:ascii="宋体" w:hAnsi="宋体"/>
          <w:color w:val="auto"/>
          <w:sz w:val="24"/>
          <w:highlight w:val="none"/>
          <w:lang w:eastAsia="zh-CN" w:bidi="ar"/>
        </w:rPr>
        <w:t>）</w:t>
      </w:r>
      <w:r>
        <w:rPr>
          <w:rFonts w:hint="eastAsia" w:ascii="宋体" w:hAnsi="宋体"/>
          <w:color w:val="auto"/>
          <w:sz w:val="24"/>
          <w:highlight w:val="none"/>
          <w:lang w:bidi="ar"/>
        </w:rPr>
        <w:t>。残奥会的开幕式天河体育中心（简称“天体中心”）举办，采用“柴发主供，市电备供”模式供电</w:t>
      </w:r>
      <w:r>
        <w:rPr>
          <w:rFonts w:hint="eastAsia" w:ascii="宋体" w:hAnsi="宋体"/>
          <w:color w:val="auto"/>
          <w:sz w:val="24"/>
          <w:highlight w:val="none"/>
          <w:lang w:eastAsia="zh-CN" w:bidi="ar"/>
        </w:rPr>
        <w:t>（见表</w:t>
      </w:r>
      <w:r>
        <w:rPr>
          <w:rFonts w:hint="eastAsia" w:ascii="宋体" w:hAnsi="宋体"/>
          <w:color w:val="auto"/>
          <w:sz w:val="24"/>
          <w:highlight w:val="none"/>
          <w:lang w:val="en-US" w:eastAsia="zh-CN" w:bidi="ar"/>
        </w:rPr>
        <w:t>4.1.2</w:t>
      </w:r>
      <w:r>
        <w:rPr>
          <w:rFonts w:hint="eastAsia" w:ascii="宋体" w:hAnsi="宋体"/>
          <w:color w:val="auto"/>
          <w:sz w:val="24"/>
          <w:highlight w:val="none"/>
          <w:lang w:eastAsia="zh-CN" w:bidi="ar"/>
        </w:rPr>
        <w:t>）</w:t>
      </w:r>
      <w:r>
        <w:rPr>
          <w:rFonts w:hint="eastAsia" w:ascii="宋体" w:hAnsi="宋体"/>
          <w:color w:val="auto"/>
          <w:sz w:val="24"/>
          <w:highlight w:val="none"/>
          <w:lang w:bidi="ar"/>
        </w:rPr>
        <w:t>。</w:t>
      </w:r>
      <w:r>
        <w:rPr>
          <w:rFonts w:hint="eastAsia" w:ascii="宋体" w:hAnsi="宋体"/>
          <w:color w:val="auto"/>
          <w:sz w:val="24"/>
          <w:highlight w:val="none"/>
          <w:lang w:eastAsia="zh-CN" w:bidi="ar"/>
        </w:rPr>
        <w:t>总用电负荷约为</w:t>
      </w:r>
      <w:r>
        <w:rPr>
          <w:rFonts w:hint="eastAsia" w:ascii="宋体" w:hAnsi="宋体"/>
          <w:color w:val="auto"/>
          <w:sz w:val="24"/>
          <w:highlight w:val="none"/>
          <w:lang w:val="en-US" w:eastAsia="zh-CN" w:bidi="ar"/>
        </w:rPr>
        <w:t>17240</w:t>
      </w:r>
      <w:r>
        <w:rPr>
          <w:rFonts w:hint="eastAsia" w:ascii="宋体" w:hAnsi="宋体"/>
          <w:color w:val="auto"/>
          <w:sz w:val="24"/>
          <w:highlight w:val="none"/>
          <w:lang w:bidi="ar"/>
        </w:rPr>
        <w:t>KW</w:t>
      </w:r>
      <w:r>
        <w:rPr>
          <w:rFonts w:hint="eastAsia" w:ascii="宋体" w:hAnsi="宋体"/>
          <w:color w:val="auto"/>
          <w:sz w:val="24"/>
          <w:highlight w:val="none"/>
          <w:lang w:eastAsia="zh-CN" w:bidi="ar"/>
        </w:rPr>
        <w:t>。</w:t>
      </w:r>
    </w:p>
    <w:p>
      <w:pPr>
        <w:spacing w:line="360" w:lineRule="auto"/>
        <w:ind w:firstLine="480"/>
        <w:jc w:val="center"/>
        <w:rPr>
          <w:rFonts w:ascii="宋体" w:hAnsi="宋体"/>
          <w:color w:val="auto"/>
          <w:sz w:val="24"/>
          <w:highlight w:val="none"/>
          <w:lang w:bidi="ar"/>
        </w:rPr>
      </w:pPr>
      <w:r>
        <w:rPr>
          <w:rFonts w:hint="eastAsia" w:ascii="宋体" w:hAnsi="宋体"/>
          <w:color w:val="auto"/>
          <w:sz w:val="24"/>
          <w:highlight w:val="none"/>
          <w:lang w:eastAsia="zh-CN" w:bidi="ar"/>
        </w:rPr>
        <w:t>表</w:t>
      </w:r>
      <w:r>
        <w:rPr>
          <w:rFonts w:hint="eastAsia" w:ascii="宋体" w:hAnsi="宋体"/>
          <w:color w:val="auto"/>
          <w:sz w:val="24"/>
          <w:highlight w:val="none"/>
          <w:lang w:val="en-US" w:eastAsia="zh-CN" w:bidi="ar"/>
        </w:rPr>
        <w:t>4.1.1</w:t>
      </w:r>
      <w:r>
        <w:rPr>
          <w:rFonts w:hint="eastAsia" w:ascii="宋体" w:hAnsi="宋体"/>
          <w:color w:val="auto"/>
          <w:sz w:val="24"/>
          <w:highlight w:val="none"/>
          <w:lang w:bidi="ar"/>
        </w:rPr>
        <w:t>十五运会开幕式（奥体中心）演出电力负荷需求表</w:t>
      </w:r>
    </w:p>
    <w:tbl>
      <w:tblPr>
        <w:tblStyle w:val="2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8"/>
        <w:gridCol w:w="293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序号</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用电项目</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用电量（KW）</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1</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灯光设备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5500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舞美、机械</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80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3</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特效设备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4</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内通设备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音响设备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600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6</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威亚设备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1350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7</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视频设备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3350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8</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控台设备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9</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临时用电</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240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总计</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1</w:t>
            </w:r>
            <w:r>
              <w:rPr>
                <w:rFonts w:hint="eastAsia" w:ascii="宋体" w:hAnsi="宋体"/>
                <w:color w:val="auto"/>
                <w:sz w:val="24"/>
                <w:highlight w:val="none"/>
                <w:lang w:val="en-US" w:eastAsia="zh-CN" w:bidi="ar"/>
              </w:rPr>
              <w:t>1</w:t>
            </w:r>
            <w:r>
              <w:rPr>
                <w:rFonts w:hint="eastAsia" w:ascii="宋体" w:hAnsi="宋体"/>
                <w:color w:val="auto"/>
                <w:sz w:val="24"/>
                <w:highlight w:val="none"/>
                <w:lang w:bidi="ar"/>
              </w:rPr>
              <w:t>2</w:t>
            </w:r>
            <w:r>
              <w:rPr>
                <w:rFonts w:hint="eastAsia" w:ascii="宋体" w:hAnsi="宋体"/>
                <w:color w:val="auto"/>
                <w:sz w:val="24"/>
                <w:highlight w:val="none"/>
                <w:lang w:val="en-US" w:eastAsia="zh-CN" w:bidi="ar"/>
              </w:rPr>
              <w:t>7</w:t>
            </w:r>
            <w:r>
              <w:rPr>
                <w:rFonts w:hint="eastAsia" w:ascii="宋体" w:hAnsi="宋体"/>
                <w:color w:val="auto"/>
                <w:sz w:val="24"/>
                <w:highlight w:val="none"/>
                <w:lang w:bidi="ar"/>
              </w:rPr>
              <w:t>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bl>
    <w:p>
      <w:pPr>
        <w:rPr>
          <w:rFonts w:ascii="宋体" w:hAnsi="宋体"/>
          <w:color w:val="auto"/>
          <w:sz w:val="24"/>
          <w:highlight w:val="none"/>
          <w:lang w:bidi="ar"/>
        </w:rPr>
      </w:pPr>
    </w:p>
    <w:p>
      <w:pPr>
        <w:jc w:val="center"/>
        <w:rPr>
          <w:rFonts w:ascii="宋体" w:hAnsi="宋体"/>
          <w:color w:val="auto"/>
          <w:sz w:val="24"/>
          <w:highlight w:val="none"/>
          <w:lang w:bidi="ar"/>
        </w:rPr>
      </w:pPr>
      <w:r>
        <w:rPr>
          <w:rFonts w:hint="eastAsia" w:ascii="宋体" w:hAnsi="宋体"/>
          <w:color w:val="auto"/>
          <w:sz w:val="24"/>
          <w:highlight w:val="none"/>
          <w:lang w:eastAsia="zh-CN" w:bidi="ar"/>
        </w:rPr>
        <w:t>表</w:t>
      </w:r>
      <w:r>
        <w:rPr>
          <w:rFonts w:hint="eastAsia" w:ascii="宋体" w:hAnsi="宋体"/>
          <w:color w:val="auto"/>
          <w:sz w:val="24"/>
          <w:highlight w:val="none"/>
          <w:lang w:val="en-US" w:eastAsia="zh-CN" w:bidi="ar"/>
        </w:rPr>
        <w:t>4.1.2</w:t>
      </w:r>
      <w:r>
        <w:rPr>
          <w:rFonts w:hint="eastAsia" w:ascii="宋体" w:hAnsi="宋体"/>
          <w:color w:val="auto"/>
          <w:sz w:val="24"/>
          <w:highlight w:val="none"/>
          <w:lang w:bidi="ar"/>
        </w:rPr>
        <w:t>残特奥会开幕式（天体中心）演出电力负荷需求表</w:t>
      </w:r>
    </w:p>
    <w:tbl>
      <w:tblPr>
        <w:tblStyle w:val="2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8"/>
        <w:gridCol w:w="293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序号</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用电项目</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用电量（KW）</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1</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灯光设备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2500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舞美、机械</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100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3</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特效设备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4</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内通设备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音响设备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6</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威亚设备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7</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视频设备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2220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8</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控台设备</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9</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临时用电</w:t>
            </w: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400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总计</w:t>
            </w:r>
          </w:p>
        </w:tc>
        <w:tc>
          <w:tcPr>
            <w:tcW w:w="272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935"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5970</w:t>
            </w:r>
          </w:p>
        </w:tc>
        <w:tc>
          <w:tcPr>
            <w:tcW w:w="1756"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r>
    </w:tbl>
    <w:p>
      <w:pPr>
        <w:ind w:left="420"/>
        <w:rPr>
          <w:rFonts w:ascii="宋体" w:hAnsi="宋体"/>
          <w:color w:val="auto"/>
          <w:sz w:val="24"/>
          <w:highlight w:val="none"/>
          <w:lang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b/>
          <w:bCs/>
          <w:color w:val="auto"/>
          <w:sz w:val="24"/>
          <w:highlight w:val="none"/>
          <w:lang w:bidi="ar"/>
        </w:rPr>
      </w:pPr>
      <w:r>
        <w:rPr>
          <w:rFonts w:hint="eastAsia" w:ascii="宋体" w:hAnsi="宋体"/>
          <w:b/>
          <w:bCs/>
          <w:color w:val="auto"/>
          <w:sz w:val="24"/>
          <w:highlight w:val="none"/>
          <w:lang w:val="en-US" w:eastAsia="zh-CN" w:bidi="ar"/>
        </w:rPr>
        <w:t>二、</w:t>
      </w:r>
      <w:r>
        <w:rPr>
          <w:rFonts w:hint="eastAsia" w:ascii="宋体" w:hAnsi="宋体"/>
          <w:b/>
          <w:bCs/>
          <w:color w:val="auto"/>
          <w:sz w:val="24"/>
          <w:highlight w:val="none"/>
          <w:lang w:bidi="ar"/>
        </w:rPr>
        <w:t>人员需求</w:t>
      </w:r>
    </w:p>
    <w:p>
      <w:pPr>
        <w:spacing w:line="360" w:lineRule="auto"/>
        <w:ind w:firstLine="480" w:firstLineChars="200"/>
        <w:jc w:val="left"/>
        <w:rPr>
          <w:rFonts w:hint="eastAsia" w:ascii="宋体" w:hAnsi="宋体"/>
          <w:color w:val="auto"/>
          <w:sz w:val="24"/>
          <w:highlight w:val="none"/>
          <w:lang w:eastAsia="zh-CN" w:bidi="ar"/>
        </w:rPr>
      </w:pPr>
      <w:r>
        <w:rPr>
          <w:rFonts w:hint="eastAsia" w:ascii="宋体" w:hAnsi="宋体"/>
          <w:color w:val="auto"/>
          <w:sz w:val="24"/>
          <w:highlight w:val="none"/>
          <w:lang w:bidi="ar"/>
        </w:rPr>
        <w:t>十五运会</w:t>
      </w:r>
      <w:r>
        <w:rPr>
          <w:rFonts w:hint="eastAsia" w:ascii="宋体" w:hAnsi="宋体"/>
          <w:color w:val="auto"/>
          <w:sz w:val="24"/>
          <w:highlight w:val="none"/>
          <w:lang w:eastAsia="zh-CN" w:bidi="ar"/>
        </w:rPr>
        <w:t>和</w:t>
      </w:r>
      <w:r>
        <w:rPr>
          <w:rFonts w:hint="eastAsia" w:ascii="宋体" w:hAnsi="宋体"/>
          <w:color w:val="auto"/>
          <w:sz w:val="24"/>
          <w:highlight w:val="none"/>
          <w:lang w:bidi="ar"/>
        </w:rPr>
        <w:t>残奥会的开幕式</w:t>
      </w:r>
      <w:r>
        <w:rPr>
          <w:rFonts w:hint="eastAsia" w:ascii="宋体" w:hAnsi="宋体"/>
          <w:color w:val="auto"/>
          <w:sz w:val="24"/>
          <w:highlight w:val="none"/>
          <w:lang w:eastAsia="zh-CN" w:bidi="ar"/>
        </w:rPr>
        <w:t>供电保障服务分别组建两个保障团队，人员总需求约</w:t>
      </w:r>
      <w:r>
        <w:rPr>
          <w:rFonts w:hint="eastAsia" w:ascii="宋体" w:hAnsi="宋体"/>
          <w:color w:val="auto"/>
          <w:sz w:val="24"/>
          <w:highlight w:val="none"/>
          <w:lang w:val="en-US" w:eastAsia="zh-CN" w:bidi="ar"/>
        </w:rPr>
        <w:t>100人（</w:t>
      </w:r>
      <w:r>
        <w:rPr>
          <w:rFonts w:hint="eastAsia" w:ascii="宋体" w:hAnsi="宋体"/>
          <w:color w:val="auto"/>
          <w:sz w:val="24"/>
          <w:highlight w:val="none"/>
          <w:lang w:eastAsia="zh-CN" w:bidi="ar"/>
        </w:rPr>
        <w:t>见表</w:t>
      </w:r>
      <w:r>
        <w:rPr>
          <w:rFonts w:hint="eastAsia" w:ascii="宋体" w:hAnsi="宋体"/>
          <w:color w:val="auto"/>
          <w:sz w:val="24"/>
          <w:highlight w:val="none"/>
          <w:lang w:val="en-US" w:eastAsia="zh-CN" w:bidi="ar"/>
        </w:rPr>
        <w:t>4.2.1）</w:t>
      </w:r>
      <w:r>
        <w:rPr>
          <w:rFonts w:hint="eastAsia" w:ascii="宋体" w:hAnsi="宋体"/>
          <w:color w:val="auto"/>
          <w:sz w:val="24"/>
          <w:highlight w:val="none"/>
          <w:lang w:bidi="ar"/>
        </w:rPr>
        <w:t>，</w:t>
      </w:r>
      <w:r>
        <w:rPr>
          <w:rFonts w:hint="eastAsia" w:ascii="宋体" w:hAnsi="宋体"/>
          <w:color w:val="auto"/>
          <w:sz w:val="24"/>
          <w:highlight w:val="none"/>
          <w:lang w:eastAsia="zh-CN" w:bidi="ar"/>
        </w:rPr>
        <w:t>其职责是确保开幕式用电安全。</w:t>
      </w:r>
    </w:p>
    <w:p>
      <w:pPr>
        <w:numPr>
          <w:ilvl w:val="0"/>
          <w:numId w:val="0"/>
        </w:numPr>
        <w:jc w:val="center"/>
        <w:rPr>
          <w:rFonts w:hint="default" w:ascii="宋体" w:hAnsi="宋体"/>
          <w:color w:val="auto"/>
          <w:sz w:val="24"/>
          <w:highlight w:val="none"/>
          <w:lang w:val="en-US" w:eastAsia="zh-CN" w:bidi="ar"/>
        </w:rPr>
      </w:pPr>
      <w:r>
        <w:rPr>
          <w:rFonts w:hint="eastAsia" w:ascii="宋体" w:hAnsi="宋体"/>
          <w:color w:val="auto"/>
          <w:sz w:val="24"/>
          <w:highlight w:val="none"/>
          <w:lang w:val="en-US" w:eastAsia="zh-CN" w:bidi="ar"/>
        </w:rPr>
        <w:t xml:space="preserve">表4.2.1  </w:t>
      </w:r>
      <w:r>
        <w:rPr>
          <w:rFonts w:hint="eastAsia" w:ascii="宋体" w:hAnsi="宋体"/>
          <w:color w:val="auto"/>
          <w:sz w:val="24"/>
          <w:highlight w:val="none"/>
          <w:lang w:bidi="ar"/>
        </w:rPr>
        <w:t>十五运会</w:t>
      </w:r>
      <w:r>
        <w:rPr>
          <w:rFonts w:hint="eastAsia" w:ascii="宋体" w:hAnsi="宋体"/>
          <w:color w:val="auto"/>
          <w:sz w:val="24"/>
          <w:highlight w:val="none"/>
          <w:lang w:eastAsia="zh-CN" w:bidi="ar"/>
        </w:rPr>
        <w:t>和</w:t>
      </w:r>
      <w:r>
        <w:rPr>
          <w:rFonts w:hint="eastAsia" w:ascii="宋体" w:hAnsi="宋体"/>
          <w:color w:val="auto"/>
          <w:sz w:val="24"/>
          <w:highlight w:val="none"/>
          <w:lang w:bidi="ar"/>
        </w:rPr>
        <w:t>残奥会的开幕式</w:t>
      </w:r>
      <w:r>
        <w:rPr>
          <w:rFonts w:hint="eastAsia" w:ascii="宋体" w:hAnsi="宋体"/>
          <w:color w:val="auto"/>
          <w:sz w:val="24"/>
          <w:highlight w:val="none"/>
          <w:lang w:eastAsia="zh-CN" w:bidi="ar"/>
        </w:rPr>
        <w:t>供电服务保障人员需求表</w:t>
      </w:r>
    </w:p>
    <w:tbl>
      <w:tblPr>
        <w:tblStyle w:val="212"/>
        <w:tblW w:w="818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618"/>
        <w:gridCol w:w="682"/>
        <w:gridCol w:w="1100"/>
        <w:gridCol w:w="211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宋体" w:hAnsi="宋体"/>
                <w:color w:val="auto"/>
                <w:sz w:val="24"/>
                <w:highlight w:val="none"/>
                <w:lang w:bidi="ar"/>
              </w:rPr>
            </w:pPr>
            <w:r>
              <w:rPr>
                <w:rFonts w:hint="eastAsia" w:ascii="宋体" w:hAnsi="宋体"/>
                <w:color w:val="auto"/>
                <w:sz w:val="24"/>
                <w:highlight w:val="none"/>
                <w:lang w:bidi="ar"/>
              </w:rPr>
              <w:t>序号</w:t>
            </w:r>
          </w:p>
        </w:tc>
        <w:tc>
          <w:tcPr>
            <w:tcW w:w="2618" w:type="dxa"/>
            <w:vAlign w:val="center"/>
          </w:tcPr>
          <w:p>
            <w:pPr>
              <w:keepNext w:val="0"/>
              <w:keepLines w:val="0"/>
              <w:suppressLineNumbers w:val="0"/>
              <w:spacing w:before="0" w:beforeAutospacing="0" w:after="0" w:afterAutospacing="0"/>
              <w:ind w:left="0" w:right="0"/>
              <w:jc w:val="both"/>
              <w:rPr>
                <w:rFonts w:hint="default" w:ascii="宋体" w:hAnsi="宋体"/>
                <w:color w:val="auto"/>
                <w:sz w:val="24"/>
                <w:highlight w:val="none"/>
                <w:lang w:bidi="ar"/>
              </w:rPr>
            </w:pPr>
            <w:r>
              <w:rPr>
                <w:rFonts w:hint="eastAsia" w:ascii="宋体" w:hAnsi="宋体"/>
                <w:color w:val="auto"/>
                <w:sz w:val="24"/>
                <w:highlight w:val="none"/>
                <w:lang w:bidi="ar"/>
              </w:rPr>
              <w:t>在本项目任职</w:t>
            </w:r>
          </w:p>
        </w:tc>
        <w:tc>
          <w:tcPr>
            <w:tcW w:w="6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olor w:val="auto"/>
                <w:sz w:val="24"/>
                <w:highlight w:val="none"/>
                <w:lang w:eastAsia="zh-CN" w:bidi="ar"/>
              </w:rPr>
            </w:pPr>
            <w:r>
              <w:rPr>
                <w:rFonts w:hint="eastAsia" w:ascii="宋体" w:hAnsi="宋体"/>
                <w:color w:val="auto"/>
                <w:sz w:val="24"/>
                <w:highlight w:val="none"/>
                <w:lang w:bidi="ar"/>
              </w:rPr>
              <w:t>人</w:t>
            </w:r>
            <w:r>
              <w:rPr>
                <w:rFonts w:hint="eastAsia" w:ascii="宋体" w:hAnsi="宋体"/>
                <w:color w:val="auto"/>
                <w:sz w:val="24"/>
                <w:highlight w:val="none"/>
                <w:lang w:eastAsia="zh-CN" w:bidi="ar"/>
              </w:rPr>
              <w:t>数</w:t>
            </w:r>
          </w:p>
        </w:tc>
        <w:tc>
          <w:tcPr>
            <w:tcW w:w="11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color w:val="auto"/>
                <w:sz w:val="24"/>
                <w:highlight w:val="none"/>
                <w:lang w:bidi="ar"/>
              </w:rPr>
            </w:pPr>
            <w:r>
              <w:rPr>
                <w:rFonts w:hint="eastAsia" w:ascii="宋体" w:hAnsi="宋体"/>
                <w:color w:val="auto"/>
                <w:sz w:val="24"/>
                <w:highlight w:val="none"/>
                <w:lang w:bidi="ar"/>
              </w:rPr>
              <w:t>岗位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宋体" w:hAnsi="宋体"/>
                <w:color w:val="auto"/>
                <w:sz w:val="24"/>
                <w:highlight w:val="none"/>
                <w:lang w:bidi="ar"/>
              </w:rPr>
            </w:pPr>
            <w:r>
              <w:rPr>
                <w:rFonts w:hint="eastAsia" w:ascii="宋体" w:hAnsi="宋体"/>
                <w:color w:val="auto"/>
                <w:sz w:val="24"/>
                <w:highlight w:val="none"/>
                <w:lang w:bidi="ar"/>
              </w:rPr>
              <w:t>职责</w:t>
            </w:r>
          </w:p>
        </w:tc>
        <w:tc>
          <w:tcPr>
            <w:tcW w:w="2119" w:type="dxa"/>
            <w:vAlign w:val="center"/>
          </w:tcPr>
          <w:p>
            <w:pPr>
              <w:keepNext w:val="0"/>
              <w:keepLines w:val="0"/>
              <w:suppressLineNumbers w:val="0"/>
              <w:spacing w:before="0" w:beforeAutospacing="0" w:after="0" w:afterAutospacing="0"/>
              <w:ind w:left="0" w:right="0"/>
              <w:jc w:val="both"/>
              <w:rPr>
                <w:rFonts w:hint="default" w:ascii="宋体" w:hAnsi="宋体"/>
                <w:color w:val="auto"/>
                <w:sz w:val="24"/>
                <w:highlight w:val="none"/>
                <w:lang w:bidi="ar"/>
              </w:rPr>
            </w:pPr>
            <w:r>
              <w:rPr>
                <w:rFonts w:hint="eastAsia" w:ascii="宋体" w:hAnsi="宋体"/>
                <w:color w:val="auto"/>
                <w:sz w:val="24"/>
                <w:highlight w:val="none"/>
                <w:lang w:bidi="ar"/>
              </w:rPr>
              <w:t>基本要求</w:t>
            </w:r>
          </w:p>
        </w:tc>
        <w:tc>
          <w:tcPr>
            <w:tcW w:w="1096" w:type="dxa"/>
            <w:vAlign w:val="center"/>
          </w:tcPr>
          <w:p>
            <w:pPr>
              <w:keepNext w:val="0"/>
              <w:keepLines w:val="0"/>
              <w:suppressLineNumbers w:val="0"/>
              <w:spacing w:before="0" w:beforeAutospacing="0" w:after="0" w:afterAutospacing="0"/>
              <w:ind w:left="0" w:right="0"/>
              <w:jc w:val="both"/>
              <w:rPr>
                <w:rFonts w:hint="default" w:ascii="宋体" w:hAnsi="宋体"/>
                <w:color w:val="auto"/>
                <w:sz w:val="24"/>
                <w:highlight w:val="none"/>
                <w:lang w:bidi="ar"/>
              </w:rPr>
            </w:pPr>
            <w:r>
              <w:rPr>
                <w:rFonts w:hint="eastAsia" w:ascii="宋体" w:hAnsi="宋体"/>
                <w:color w:val="auto"/>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项目指挥长</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4"/>
                <w:szCs w:val="22"/>
                <w:highlight w:val="none"/>
                <w:lang w:val="en-US" w:eastAsia="zh-CN" w:bidi="ar"/>
              </w:rPr>
            </w:pPr>
            <w:r>
              <w:rPr>
                <w:rFonts w:hint="eastAsia" w:ascii="宋体" w:hAnsi="宋体"/>
                <w:color w:val="auto"/>
                <w:sz w:val="24"/>
                <w:highlight w:val="none"/>
                <w:lang w:bidi="ar"/>
              </w:rPr>
              <w:t>2</w:t>
            </w:r>
          </w:p>
        </w:tc>
        <w:tc>
          <w:tcPr>
            <w:tcW w:w="2618"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Times New Roman"/>
                <w:color w:val="auto"/>
                <w:kern w:val="2"/>
                <w:sz w:val="24"/>
                <w:szCs w:val="22"/>
                <w:highlight w:val="none"/>
                <w:lang w:val="en-US" w:eastAsia="zh-CN" w:bidi="ar"/>
              </w:rPr>
            </w:pPr>
            <w:r>
              <w:rPr>
                <w:rFonts w:hint="eastAsia" w:ascii="宋体" w:hAnsi="宋体"/>
                <w:color w:val="auto"/>
                <w:sz w:val="24"/>
                <w:highlight w:val="none"/>
                <w:lang w:bidi="ar"/>
              </w:rPr>
              <w:t>项目副指挥长</w:t>
            </w:r>
            <w:r>
              <w:rPr>
                <w:rFonts w:hint="eastAsia" w:ascii="宋体" w:hAnsi="宋体"/>
                <w:color w:val="auto"/>
                <w:sz w:val="24"/>
                <w:highlight w:val="none"/>
                <w:lang w:eastAsia="zh-CN" w:bidi="ar"/>
              </w:rPr>
              <w:t>（</w:t>
            </w:r>
            <w:r>
              <w:rPr>
                <w:rFonts w:hint="eastAsia" w:ascii="宋体" w:hAnsi="宋体"/>
                <w:color w:val="auto"/>
                <w:sz w:val="24"/>
                <w:szCs w:val="24"/>
                <w:highlight w:val="none"/>
                <w:lang w:bidi="ar"/>
              </w:rPr>
              <w:t>联合体投标</w:t>
            </w:r>
            <w:r>
              <w:rPr>
                <w:rFonts w:hint="eastAsia" w:ascii="宋体" w:hAnsi="宋体"/>
                <w:color w:val="auto"/>
                <w:sz w:val="24"/>
                <w:szCs w:val="24"/>
                <w:highlight w:val="none"/>
                <w:lang w:eastAsia="zh-CN" w:bidi="ar"/>
              </w:rPr>
              <w:t>派驻</w:t>
            </w:r>
            <w:r>
              <w:rPr>
                <w:rFonts w:hint="eastAsia" w:ascii="宋体" w:hAnsi="宋体"/>
                <w:color w:val="auto"/>
                <w:sz w:val="24"/>
                <w:highlight w:val="none"/>
                <w:lang w:eastAsia="zh-CN" w:bidi="ar"/>
              </w:rPr>
              <w:t>）</w:t>
            </w:r>
          </w:p>
        </w:tc>
        <w:tc>
          <w:tcPr>
            <w:tcW w:w="682" w:type="dxa"/>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kern w:val="2"/>
                <w:sz w:val="24"/>
                <w:szCs w:val="22"/>
                <w:highlight w:val="none"/>
                <w:lang w:val="en-US" w:eastAsia="zh-CN"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奥体</w:t>
            </w:r>
            <w:r>
              <w:rPr>
                <w:rFonts w:hint="eastAsia" w:ascii="宋体" w:hAnsi="宋体"/>
                <w:color w:val="auto"/>
                <w:sz w:val="24"/>
                <w:highlight w:val="none"/>
                <w:lang w:val="en-US" w:eastAsia="zh-CN" w:bidi="ar"/>
              </w:rPr>
              <w:t>中心</w:t>
            </w:r>
            <w:r>
              <w:rPr>
                <w:rFonts w:hint="eastAsia" w:ascii="宋体" w:hAnsi="宋体"/>
                <w:color w:val="auto"/>
                <w:sz w:val="24"/>
                <w:highlight w:val="none"/>
                <w:lang w:bidi="ar"/>
              </w:rPr>
              <w:t>人员</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63</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项目负责人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default"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技术负责人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default"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工作票签发人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具有工作票“两种人”资格</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临时开关站</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w:t>
            </w:r>
          </w:p>
        </w:tc>
        <w:tc>
          <w:tcPr>
            <w:tcW w:w="1100" w:type="dxa"/>
            <w:vMerge w:val="restar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color w:val="auto"/>
                <w:sz w:val="24"/>
                <w:highlight w:val="none"/>
                <w:lang w:bidi="ar"/>
              </w:rPr>
            </w:pPr>
            <w:r>
              <w:rPr>
                <w:rFonts w:hint="eastAsia" w:ascii="宋体" w:hAnsi="宋体"/>
                <w:color w:val="auto"/>
                <w:sz w:val="24"/>
                <w:highlight w:val="none"/>
                <w:lang w:bidi="ar"/>
              </w:rPr>
              <w:t>供电设施、核心区域电力设施现场值守及巡查</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降压箱变</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柴发区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南区UPS</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北区UPS</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电箱（80个）</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40</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r>
              <w:rPr>
                <w:rFonts w:hint="eastAsia" w:ascii="宋体" w:hAnsi="宋体"/>
                <w:color w:val="auto"/>
                <w:sz w:val="24"/>
                <w:highlight w:val="none"/>
                <w:lang w:bidi="ar"/>
              </w:rPr>
              <w:t>3</w:t>
            </w: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天</w:t>
            </w:r>
            <w:r>
              <w:rPr>
                <w:rFonts w:hint="eastAsia" w:ascii="宋体" w:hAnsi="宋体"/>
                <w:color w:val="auto"/>
                <w:sz w:val="24"/>
                <w:highlight w:val="none"/>
                <w:lang w:val="en-US" w:eastAsia="zh-CN" w:bidi="ar"/>
              </w:rPr>
              <w:t>体中心</w:t>
            </w:r>
            <w:r>
              <w:rPr>
                <w:rFonts w:hint="eastAsia" w:ascii="宋体" w:hAnsi="宋体"/>
                <w:color w:val="auto"/>
                <w:sz w:val="24"/>
                <w:highlight w:val="none"/>
                <w:lang w:bidi="ar"/>
              </w:rPr>
              <w:t>人员</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42</w:t>
            </w:r>
          </w:p>
        </w:tc>
        <w:tc>
          <w:tcPr>
            <w:tcW w:w="1100"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项目负责人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技术负责人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工作票签发人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w:t>
            </w:r>
          </w:p>
        </w:tc>
        <w:tc>
          <w:tcPr>
            <w:tcW w:w="1100" w:type="dxa"/>
          </w:tcPr>
          <w:p>
            <w:pPr>
              <w:keepNext w:val="0"/>
              <w:keepLines w:val="0"/>
              <w:suppressLineNumbers w:val="0"/>
              <w:spacing w:before="0" w:beforeAutospacing="0" w:after="0" w:afterAutospacing="0"/>
              <w:ind w:left="0" w:right="0"/>
              <w:jc w:val="center"/>
              <w:rPr>
                <w:rFonts w:hint="eastAsia" w:ascii="宋体" w:hAnsi="宋体" w:eastAsia="宋体"/>
                <w:color w:val="auto"/>
                <w:sz w:val="24"/>
                <w:highlight w:val="none"/>
                <w:lang w:val="en-US" w:eastAsia="zh-CN" w:bidi="ar"/>
              </w:rPr>
            </w:pPr>
            <w:r>
              <w:rPr>
                <w:rFonts w:hint="eastAsia" w:ascii="宋体" w:hAnsi="宋体"/>
                <w:color w:val="auto"/>
                <w:sz w:val="24"/>
                <w:highlight w:val="none"/>
                <w:lang w:val="en-US" w:eastAsia="zh-CN" w:bidi="ar"/>
              </w:rPr>
              <w:t>-</w:t>
            </w:r>
          </w:p>
        </w:tc>
        <w:tc>
          <w:tcPr>
            <w:tcW w:w="2119" w:type="dxa"/>
          </w:tcPr>
          <w:p>
            <w:pPr>
              <w:keepNext w:val="0"/>
              <w:keepLines w:val="0"/>
              <w:suppressLineNumbers w:val="0"/>
              <w:adjustRightInd w:val="0"/>
              <w:snapToGrid w:val="0"/>
              <w:spacing w:before="0" w:beforeAutospacing="0" w:after="0" w:afterAutospacing="0"/>
              <w:ind w:left="0" w:right="0"/>
              <w:jc w:val="center"/>
              <w:rPr>
                <w:rFonts w:hint="default" w:ascii="宋体" w:hAnsi="宋体"/>
                <w:color w:val="auto"/>
                <w:sz w:val="24"/>
                <w:highlight w:val="none"/>
                <w:lang w:bidi="ar"/>
              </w:rPr>
            </w:pPr>
            <w:bookmarkStart w:id="101" w:name="OLE_LINK26"/>
            <w:r>
              <w:rPr>
                <w:rFonts w:hint="eastAsia" w:ascii="宋体" w:hAnsi="宋体" w:eastAsia="宋体" w:cs="宋体"/>
                <w:color w:val="auto"/>
                <w:kern w:val="2"/>
                <w:sz w:val="24"/>
                <w:szCs w:val="24"/>
                <w:highlight w:val="none"/>
                <w:lang w:val="en-US" w:eastAsia="zh-CN" w:bidi="ar"/>
              </w:rPr>
              <w:t>具有工作票“两种人”资格</w:t>
            </w:r>
            <w:bookmarkEnd w:id="101"/>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1#柴发区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1100" w:type="dxa"/>
            <w:vMerge w:val="restar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宋体" w:hAnsi="宋体"/>
                <w:color w:val="auto"/>
                <w:sz w:val="24"/>
                <w:highlight w:val="none"/>
                <w:lang w:bidi="ar"/>
              </w:rPr>
            </w:pPr>
            <w:r>
              <w:rPr>
                <w:rFonts w:hint="eastAsia" w:ascii="宋体" w:hAnsi="宋体"/>
                <w:color w:val="auto"/>
                <w:sz w:val="24"/>
                <w:highlight w:val="none"/>
                <w:lang w:bidi="ar"/>
              </w:rPr>
              <w:t>供电设施、核心区域电力设施现场值守及巡查</w:t>
            </w: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2#柴发区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1#降压变及UPS综合区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2#降压变及UPS综合区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3#降压变及UPS综合区</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3</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高压证</w:t>
            </w:r>
            <w:r>
              <w:rPr>
                <w:rFonts w:hint="eastAsia" w:ascii="宋体" w:hAnsi="宋体"/>
                <w:color w:val="auto"/>
                <w:sz w:val="24"/>
                <w:highlight w:val="none"/>
                <w:lang w:val="en-US" w:eastAsia="zh-CN" w:bidi="ar"/>
              </w:rPr>
              <w:t>或</w:t>
            </w: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suppressLineNumbers w:val="0"/>
              <w:spacing w:before="0" w:beforeAutospacing="0" w:after="0" w:afterAutospacing="0"/>
              <w:ind w:left="0" w:right="0"/>
              <w:rPr>
                <w:rFonts w:hint="default" w:ascii="宋体" w:hAnsi="宋体"/>
                <w:color w:val="auto"/>
                <w:sz w:val="24"/>
                <w:highlight w:val="none"/>
                <w:lang w:bidi="ar"/>
              </w:rPr>
            </w:pPr>
          </w:p>
        </w:tc>
        <w:tc>
          <w:tcPr>
            <w:tcW w:w="2618"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电箱（48个）</w:t>
            </w:r>
          </w:p>
        </w:tc>
        <w:tc>
          <w:tcPr>
            <w:tcW w:w="682"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24</w:t>
            </w:r>
          </w:p>
        </w:tc>
        <w:tc>
          <w:tcPr>
            <w:tcW w:w="1100" w:type="dxa"/>
            <w:vMerge w:val="continue"/>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c>
          <w:tcPr>
            <w:tcW w:w="2119"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r>
              <w:rPr>
                <w:rFonts w:hint="eastAsia" w:ascii="宋体" w:hAnsi="宋体"/>
                <w:color w:val="auto"/>
                <w:sz w:val="24"/>
                <w:highlight w:val="none"/>
                <w:lang w:bidi="ar"/>
              </w:rPr>
              <w:t>低压证</w:t>
            </w:r>
          </w:p>
        </w:tc>
        <w:tc>
          <w:tcPr>
            <w:tcW w:w="1096" w:type="dxa"/>
          </w:tcPr>
          <w:p>
            <w:pPr>
              <w:keepNext w:val="0"/>
              <w:keepLines w:val="0"/>
              <w:suppressLineNumbers w:val="0"/>
              <w:spacing w:before="0" w:beforeAutospacing="0" w:after="0" w:afterAutospacing="0"/>
              <w:ind w:left="0" w:right="0"/>
              <w:jc w:val="center"/>
              <w:rPr>
                <w:rFonts w:hint="default" w:ascii="宋体" w:hAnsi="宋体"/>
                <w:color w:val="auto"/>
                <w:sz w:val="24"/>
                <w:highlight w:val="none"/>
                <w:lang w:bidi="ar"/>
              </w:rPr>
            </w:pPr>
          </w:p>
        </w:tc>
      </w:tr>
    </w:tbl>
    <w:p>
      <w:pPr>
        <w:numPr>
          <w:ilvl w:val="0"/>
          <w:numId w:val="0"/>
        </w:numPr>
        <w:rPr>
          <w:rFonts w:hint="eastAsia" w:ascii="宋体" w:hAnsi="宋体"/>
          <w:color w:val="auto"/>
          <w:sz w:val="24"/>
          <w:highlight w:val="none"/>
          <w:lang w:val="en-US" w:eastAsia="zh-CN" w:bidi="ar"/>
        </w:rPr>
      </w:pPr>
      <w:r>
        <w:rPr>
          <w:rFonts w:hint="eastAsia" w:ascii="宋体" w:hAnsi="宋体"/>
          <w:color w:val="auto"/>
          <w:sz w:val="24"/>
          <w:highlight w:val="none"/>
          <w:lang w:eastAsia="zh-CN" w:bidi="ar"/>
        </w:rPr>
        <w:t>注：</w:t>
      </w:r>
      <w:r>
        <w:rPr>
          <w:rFonts w:hint="eastAsia" w:ascii="宋体" w:hAnsi="宋体"/>
          <w:color w:val="auto"/>
          <w:sz w:val="24"/>
          <w:highlight w:val="none"/>
          <w:lang w:val="en-US" w:eastAsia="zh-CN" w:bidi="ar"/>
        </w:rPr>
        <w:t xml:space="preserve">1、项目指挥长：制定项目总体目标与战略，协调高层资源，确保跨各部门及外部合作畅通，处理突发时间，监督项目整体落实；项目副指挥长：协助指挥长落实计划，分管特定事项，解决执行中的问题，确保分管项目顺利，定期向指挥长汇报进展，代理指挥长职责；项目负责人：制定详细计划，分解任务并落实，监控进度、质量与成本，及时调整执行偏差，定期向上汇报；项目技术负责人：负责项目总体技术，确保符合标准规范，监督技术实施，参与验收，推动技术创新应用；工作票签发人：核实作业安全措施、人员资质及设备状态，签发工作票，确保作业符合安全规程，有权终止违规操作，参与安全事故调查，监督整改措施落实。 </w:t>
      </w:r>
    </w:p>
    <w:p>
      <w:pPr>
        <w:pStyle w:val="2"/>
        <w:ind w:firstLine="720" w:firstLineChars="300"/>
        <w:rPr>
          <w:rFonts w:hint="default"/>
          <w:color w:val="auto"/>
          <w:highlight w:val="none"/>
          <w:lang w:val="en-US" w:eastAsia="zh-CN"/>
        </w:rPr>
      </w:pPr>
      <w:r>
        <w:rPr>
          <w:rFonts w:hint="eastAsia" w:ascii="宋体" w:hAnsi="宋体"/>
          <w:color w:val="auto"/>
          <w:sz w:val="24"/>
          <w:highlight w:val="none"/>
          <w:lang w:val="en-US" w:eastAsia="zh-CN" w:bidi="ar"/>
        </w:rPr>
        <w:t>以上人员要求不作为废标条件，如中标人在投标阶段提供人员不满足以上要求的，须在中标后进场前配齐，否则将按合同相关条款处理。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b/>
          <w:bCs/>
          <w:color w:val="auto"/>
          <w:sz w:val="24"/>
          <w:highlight w:val="none"/>
          <w:lang w:val="zh-CN" w:eastAsia="zh-CN" w:bidi="ar"/>
        </w:rPr>
      </w:pPr>
      <w:r>
        <w:rPr>
          <w:rFonts w:hint="eastAsia" w:ascii="宋体" w:hAnsi="宋体"/>
          <w:b/>
          <w:bCs/>
          <w:color w:val="auto"/>
          <w:sz w:val="24"/>
          <w:highlight w:val="none"/>
          <w:lang w:val="zh-CN" w:eastAsia="zh-CN" w:bidi="ar"/>
        </w:rPr>
        <w:t>三、设备要求</w:t>
      </w:r>
    </w:p>
    <w:p>
      <w:pPr>
        <w:ind w:left="420" w:firstLine="480" w:firstLineChars="200"/>
        <w:rPr>
          <w:rFonts w:ascii="宋体" w:hAnsi="宋体"/>
          <w:color w:val="auto"/>
          <w:sz w:val="24"/>
          <w:highlight w:val="none"/>
          <w:lang w:bidi="ar"/>
        </w:rPr>
      </w:pPr>
      <w:r>
        <w:rPr>
          <w:rFonts w:hint="eastAsia" w:ascii="宋体" w:hAnsi="宋体"/>
          <w:color w:val="auto"/>
          <w:sz w:val="24"/>
          <w:highlight w:val="none"/>
          <w:lang w:bidi="ar"/>
        </w:rPr>
        <w:t>所用电器设备（包括发电机、变压器、电缆及附件、环网柜、低压柜及柜内断路器、UPS、ATS）均选用国际国内重大活动供电服务保障项目使用过的品牌</w:t>
      </w:r>
      <w:r>
        <w:rPr>
          <w:rFonts w:hint="eastAsia" w:ascii="宋体" w:hAnsi="宋体"/>
          <w:color w:val="auto"/>
          <w:sz w:val="24"/>
          <w:highlight w:val="none"/>
          <w:lang w:eastAsia="zh-CN" w:bidi="ar"/>
        </w:rPr>
        <w:t>，且满足</w:t>
      </w:r>
      <w:r>
        <w:rPr>
          <w:rFonts w:hint="eastAsia" w:ascii="宋体" w:hAnsi="宋体"/>
          <w:color w:val="auto"/>
          <w:sz w:val="24"/>
          <w:highlight w:val="none"/>
          <w:lang w:bidi="ar"/>
        </w:rPr>
        <w:t>《十五运会和残特奥会开幕式供电保障服务项目技术规范书》</w:t>
      </w:r>
      <w:r>
        <w:rPr>
          <w:rFonts w:hint="eastAsia" w:ascii="宋体" w:hAnsi="宋体"/>
          <w:color w:val="auto"/>
          <w:sz w:val="24"/>
          <w:highlight w:val="none"/>
          <w:lang w:eastAsia="zh-CN" w:bidi="ar"/>
        </w:rPr>
        <w:t>要求</w:t>
      </w:r>
      <w:r>
        <w:rPr>
          <w:rFonts w:hint="eastAsia" w:ascii="宋体" w:hAnsi="宋体"/>
          <w:color w:val="auto"/>
          <w:sz w:val="24"/>
          <w:highlight w:val="none"/>
          <w:lang w:bidi="ar"/>
        </w:rPr>
        <w:t>。</w:t>
      </w:r>
    </w:p>
    <w:p>
      <w:pPr>
        <w:ind w:left="420" w:firstLine="480" w:firstLineChars="200"/>
        <w:rPr>
          <w:rFonts w:ascii="宋体" w:hAnsi="宋体"/>
          <w:color w:val="auto"/>
          <w:sz w:val="24"/>
          <w:highlight w:val="none"/>
          <w:lang w:bidi="ar"/>
        </w:rPr>
      </w:pPr>
      <w:r>
        <w:rPr>
          <w:rFonts w:hint="eastAsia" w:ascii="宋体" w:hAnsi="宋体"/>
          <w:color w:val="auto"/>
          <w:sz w:val="24"/>
          <w:highlight w:val="none"/>
          <w:lang w:bidi="ar"/>
        </w:rPr>
        <w:t>1、发电机机组出厂时间均应在投标截止日前5年内（以出厂的原产地报告为准），使用时间应在3000小时内，符合国三排放标准。</w:t>
      </w:r>
    </w:p>
    <w:p>
      <w:pPr>
        <w:ind w:left="420" w:firstLine="480" w:firstLineChars="200"/>
        <w:rPr>
          <w:rFonts w:hint="eastAsia" w:ascii="宋体" w:hAnsi="宋体"/>
          <w:color w:val="auto"/>
          <w:sz w:val="24"/>
          <w:highlight w:val="none"/>
          <w:lang w:bidi="ar"/>
        </w:rPr>
      </w:pPr>
      <w:r>
        <w:rPr>
          <w:rFonts w:hint="eastAsia" w:ascii="宋体" w:hAnsi="宋体"/>
          <w:color w:val="auto"/>
          <w:sz w:val="24"/>
          <w:highlight w:val="none"/>
          <w:lang w:bidi="ar"/>
        </w:rPr>
        <w:t>2、开关柜、变压器、ATS等主要设备出厂日期均应在投标截止日前2年内</w:t>
      </w:r>
    </w:p>
    <w:p>
      <w:pPr>
        <w:ind w:left="420" w:firstLine="480" w:firstLineChars="200"/>
        <w:rPr>
          <w:rFonts w:ascii="宋体" w:hAnsi="宋体"/>
          <w:color w:val="auto"/>
          <w:sz w:val="24"/>
          <w:highlight w:val="none"/>
          <w:lang w:bidi="ar"/>
        </w:rPr>
      </w:pPr>
      <w:r>
        <w:rPr>
          <w:rFonts w:ascii="宋体" w:hAnsi="宋体"/>
          <w:color w:val="auto"/>
          <w:sz w:val="24"/>
          <w:highlight w:val="none"/>
          <w:lang w:bidi="ar"/>
        </w:rPr>
        <w:t>3、</w:t>
      </w:r>
      <w:r>
        <w:rPr>
          <w:rFonts w:hint="eastAsia" w:ascii="宋体" w:hAnsi="宋体"/>
          <w:color w:val="auto"/>
          <w:sz w:val="24"/>
          <w:highlight w:val="none"/>
          <w:lang w:bidi="ar"/>
        </w:rPr>
        <w:t>不间断电源UPS主机采购年限均应在投标截止日前5年内，铅酸电池采购年限均应在投标截止日前3年内。</w:t>
      </w:r>
    </w:p>
    <w:p>
      <w:pPr>
        <w:ind w:left="420" w:firstLine="480" w:firstLineChars="200"/>
        <w:rPr>
          <w:rFonts w:hint="eastAsia" w:ascii="宋体" w:hAnsi="宋体"/>
          <w:color w:val="auto"/>
          <w:sz w:val="24"/>
          <w:highlight w:val="none"/>
          <w:lang w:bidi="ar"/>
        </w:rPr>
      </w:pPr>
      <w:r>
        <w:rPr>
          <w:rFonts w:hint="eastAsia" w:ascii="宋体" w:hAnsi="宋体"/>
          <w:color w:val="auto"/>
          <w:sz w:val="24"/>
          <w:highlight w:val="none"/>
          <w:lang w:val="en-US" w:eastAsia="zh-CN" w:bidi="ar"/>
        </w:rPr>
        <w:t>4、设施设备</w:t>
      </w:r>
      <w:r>
        <w:rPr>
          <w:rFonts w:hint="eastAsia" w:ascii="宋体" w:hAnsi="宋体"/>
          <w:color w:val="auto"/>
          <w:sz w:val="24"/>
          <w:highlight w:val="none"/>
          <w:lang w:bidi="ar"/>
        </w:rPr>
        <w:t>其</w:t>
      </w:r>
      <w:r>
        <w:rPr>
          <w:rFonts w:hint="eastAsia" w:ascii="宋体" w:hAnsi="宋体"/>
          <w:color w:val="auto"/>
          <w:sz w:val="24"/>
          <w:highlight w:val="none"/>
          <w:lang w:eastAsia="zh-CN" w:bidi="ar"/>
        </w:rPr>
        <w:t>它</w:t>
      </w:r>
      <w:r>
        <w:rPr>
          <w:rFonts w:hint="eastAsia" w:ascii="宋体" w:hAnsi="宋体"/>
          <w:color w:val="auto"/>
          <w:sz w:val="24"/>
          <w:highlight w:val="none"/>
          <w:lang w:bidi="ar"/>
        </w:rPr>
        <w:t>参数</w:t>
      </w:r>
      <w:r>
        <w:rPr>
          <w:rFonts w:hint="eastAsia" w:ascii="宋体" w:hAnsi="宋体"/>
          <w:color w:val="auto"/>
          <w:sz w:val="24"/>
          <w:highlight w:val="none"/>
          <w:lang w:eastAsia="zh-CN" w:bidi="ar"/>
        </w:rPr>
        <w:t>满足</w:t>
      </w:r>
      <w:r>
        <w:rPr>
          <w:rFonts w:hint="eastAsia" w:ascii="宋体" w:hAnsi="宋体"/>
          <w:color w:val="auto"/>
          <w:sz w:val="24"/>
          <w:highlight w:val="none"/>
          <w:lang w:bidi="ar"/>
        </w:rPr>
        <w:t>《十五运会和残特奥会开幕式供电保障服务项目技术规范书》</w:t>
      </w:r>
      <w:r>
        <w:rPr>
          <w:rFonts w:hint="eastAsia" w:ascii="宋体" w:hAnsi="宋体"/>
          <w:color w:val="auto"/>
          <w:sz w:val="24"/>
          <w:highlight w:val="none"/>
          <w:lang w:eastAsia="zh-CN" w:bidi="ar"/>
        </w:rPr>
        <w:t>（另册）要求</w:t>
      </w:r>
      <w:r>
        <w:rPr>
          <w:rFonts w:hint="eastAsia" w:ascii="宋体" w:hAnsi="宋体"/>
          <w:color w:val="auto"/>
          <w:sz w:val="24"/>
          <w:highlight w:val="none"/>
          <w:lang w:bidi="ar"/>
        </w:rPr>
        <w:t>。</w:t>
      </w:r>
    </w:p>
    <w:p>
      <w:pPr>
        <w:rPr>
          <w:rFonts w:hint="eastAsia" w:ascii="宋体" w:hAnsi="宋体"/>
          <w:color w:val="auto"/>
          <w:sz w:val="24"/>
          <w:highlight w:val="none"/>
          <w:lang w:bidi="ar"/>
        </w:rPr>
      </w:pPr>
      <w:r>
        <w:rPr>
          <w:rFonts w:hint="eastAsia" w:ascii="宋体" w:hAnsi="宋体"/>
          <w:color w:val="auto"/>
          <w:sz w:val="24"/>
          <w:highlight w:val="none"/>
          <w:lang w:bidi="ar"/>
        </w:rPr>
        <w:br w:type="page"/>
      </w:r>
    </w:p>
    <w:p>
      <w:pPr>
        <w:spacing w:line="200" w:lineRule="exact"/>
        <w:rPr>
          <w:rFonts w:ascii="宋体" w:hAnsi="宋体" w:cs="宋体"/>
          <w:color w:val="auto"/>
          <w:highlight w:val="none"/>
        </w:rPr>
      </w:pPr>
    </w:p>
    <w:p>
      <w:pPr>
        <w:pStyle w:val="20"/>
        <w:rPr>
          <w:color w:val="auto"/>
          <w:highlight w:val="none"/>
        </w:rPr>
      </w:pPr>
    </w:p>
    <w:p>
      <w:pPr>
        <w:pStyle w:val="3"/>
        <w:jc w:val="center"/>
        <w:rPr>
          <w:rFonts w:ascii="宋体" w:hAnsi="宋体" w:cs="宋体"/>
          <w:color w:val="auto"/>
          <w:highlight w:val="none"/>
        </w:rPr>
      </w:pPr>
      <w:bookmarkStart w:id="102" w:name="_Toc196159259"/>
      <w:bookmarkStart w:id="103" w:name="_Toc193363148"/>
      <w:r>
        <w:rPr>
          <w:rFonts w:hint="eastAsia" w:ascii="宋体" w:hAnsi="宋体" w:cs="宋体"/>
          <w:color w:val="auto"/>
          <w:highlight w:val="none"/>
        </w:rPr>
        <w:t>第三卷</w:t>
      </w:r>
      <w:bookmarkEnd w:id="102"/>
      <w:bookmarkEnd w:id="103"/>
    </w:p>
    <w:p>
      <w:pPr>
        <w:rPr>
          <w:color w:val="auto"/>
          <w:highlight w:val="none"/>
        </w:rPr>
      </w:pPr>
      <w:r>
        <w:rPr>
          <w:color w:val="auto"/>
          <w:highlight w:val="none"/>
        </w:rPr>
        <w:br w:type="page"/>
      </w:r>
    </w:p>
    <w:p>
      <w:pPr>
        <w:spacing w:line="491" w:lineRule="exact"/>
        <w:jc w:val="center"/>
        <w:textAlignment w:val="center"/>
        <w:rPr>
          <w:rFonts w:ascii="宋体" w:hAnsi="宋体" w:cs="宋体"/>
          <w:color w:val="auto"/>
          <w:highlight w:val="none"/>
        </w:rPr>
      </w:pPr>
    </w:p>
    <w:p>
      <w:pPr>
        <w:spacing w:line="491" w:lineRule="exact"/>
        <w:jc w:val="center"/>
        <w:textAlignment w:val="center"/>
        <w:rPr>
          <w:rFonts w:ascii="宋体" w:hAnsi="宋体" w:cs="宋体"/>
          <w:color w:val="auto"/>
          <w:highlight w:val="none"/>
        </w:rPr>
      </w:pPr>
    </w:p>
    <w:p>
      <w:pPr>
        <w:spacing w:line="491" w:lineRule="exact"/>
        <w:jc w:val="center"/>
        <w:textAlignment w:val="center"/>
        <w:rPr>
          <w:rFonts w:ascii="宋体" w:hAnsi="宋体" w:cs="宋体"/>
          <w:color w:val="auto"/>
          <w:highlight w:val="none"/>
        </w:rPr>
      </w:pPr>
    </w:p>
    <w:p>
      <w:pPr>
        <w:pStyle w:val="4"/>
        <w:spacing w:line="491" w:lineRule="exact"/>
        <w:jc w:val="center"/>
        <w:rPr>
          <w:rFonts w:ascii="宋体" w:hAnsi="宋体" w:eastAsia="宋体" w:cs="宋体"/>
          <w:b w:val="0"/>
          <w:color w:val="auto"/>
          <w:highlight w:val="none"/>
        </w:rPr>
      </w:pPr>
      <w:bookmarkStart w:id="104" w:name="_Toc196159260"/>
      <w:r>
        <w:rPr>
          <w:rFonts w:hint="eastAsia" w:ascii="宋体" w:hAnsi="宋体" w:eastAsia="宋体" w:cs="宋体"/>
          <w:b w:val="0"/>
          <w:color w:val="auto"/>
          <w:highlight w:val="none"/>
        </w:rPr>
        <w:t>第五章 投标文件格式</w:t>
      </w:r>
      <w:bookmarkEnd w:id="104"/>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jc w:val="left"/>
        <w:rPr>
          <w:rFonts w:ascii="宋体" w:hAnsi="宋体" w:cs="宋体"/>
          <w:b/>
          <w:color w:val="auto"/>
          <w:sz w:val="43"/>
          <w:highlight w:val="none"/>
        </w:rPr>
      </w:pPr>
      <w:r>
        <w:rPr>
          <w:rFonts w:ascii="宋体" w:hAnsi="宋体" w:cs="宋体"/>
          <w:b/>
          <w:color w:val="auto"/>
          <w:sz w:val="43"/>
          <w:highlight w:val="none"/>
        </w:rPr>
        <w:br w:type="page"/>
      </w:r>
    </w:p>
    <w:p>
      <w:pPr>
        <w:adjustRightInd w:val="0"/>
        <w:spacing w:line="360" w:lineRule="auto"/>
        <w:jc w:val="center"/>
        <w:rPr>
          <w:rFonts w:ascii="宋体" w:hAnsi="宋体" w:cs="宋体"/>
          <w:b/>
          <w:color w:val="auto"/>
          <w:sz w:val="36"/>
          <w:szCs w:val="44"/>
          <w:highlight w:val="none"/>
        </w:rPr>
      </w:pPr>
    </w:p>
    <w:p>
      <w:pPr>
        <w:adjustRightInd w:val="0"/>
        <w:spacing w:line="360" w:lineRule="auto"/>
        <w:jc w:val="center"/>
        <w:rPr>
          <w:rFonts w:ascii="宋体" w:hAnsi="宋体" w:cs="宋体"/>
          <w:b/>
          <w:color w:val="auto"/>
          <w:sz w:val="36"/>
          <w:szCs w:val="44"/>
          <w:highlight w:val="none"/>
        </w:rPr>
      </w:pPr>
    </w:p>
    <w:p>
      <w:pPr>
        <w:adjustRightInd w:val="0"/>
        <w:spacing w:line="360" w:lineRule="auto"/>
        <w:jc w:val="center"/>
        <w:rPr>
          <w:color w:val="auto"/>
          <w:highlight w:val="none"/>
        </w:rPr>
      </w:pPr>
      <w:r>
        <w:rPr>
          <w:rFonts w:hint="eastAsia" w:ascii="宋体" w:hAnsi="宋体" w:cs="宋体"/>
          <w:b/>
          <w:color w:val="auto"/>
          <w:sz w:val="36"/>
          <w:szCs w:val="44"/>
          <w:highlight w:val="none"/>
        </w:rPr>
        <w:t>十五运会和残特奥会开幕式供电保障服务项目</w:t>
      </w:r>
    </w:p>
    <w:p>
      <w:pPr>
        <w:rPr>
          <w:rFonts w:ascii="宋体" w:cs="宋体"/>
          <w:color w:val="auto"/>
          <w:sz w:val="20"/>
          <w:szCs w:val="20"/>
          <w:highlight w:val="none"/>
        </w:rPr>
      </w:pPr>
    </w:p>
    <w:p>
      <w:pPr>
        <w:spacing w:before="9"/>
        <w:rPr>
          <w:rFonts w:ascii="宋体" w:cs="宋体"/>
          <w:color w:val="auto"/>
          <w:sz w:val="15"/>
          <w:szCs w:val="15"/>
          <w:highlight w:val="none"/>
        </w:rPr>
      </w:pPr>
    </w:p>
    <w:p>
      <w:pPr>
        <w:spacing w:line="539" w:lineRule="exact"/>
        <w:ind w:left="3" w:right="1"/>
        <w:jc w:val="center"/>
        <w:rPr>
          <w:rFonts w:ascii="宋体" w:hAnsi="宋体" w:cs="宋体"/>
          <w:color w:val="auto"/>
          <w:sz w:val="44"/>
          <w:szCs w:val="44"/>
          <w:highlight w:val="none"/>
        </w:rPr>
      </w:pPr>
    </w:p>
    <w:p>
      <w:pPr>
        <w:pStyle w:val="20"/>
        <w:rPr>
          <w:rFonts w:hAnsi="宋体" w:cs="宋体"/>
          <w:color w:val="auto"/>
          <w:sz w:val="44"/>
          <w:szCs w:val="44"/>
          <w:highlight w:val="none"/>
        </w:rPr>
      </w:pPr>
    </w:p>
    <w:p>
      <w:pPr>
        <w:pStyle w:val="20"/>
        <w:rPr>
          <w:rFonts w:hAnsi="宋体" w:cs="宋体"/>
          <w:color w:val="auto"/>
          <w:sz w:val="44"/>
          <w:szCs w:val="44"/>
          <w:highlight w:val="none"/>
        </w:rPr>
      </w:pPr>
    </w:p>
    <w:p>
      <w:pPr>
        <w:spacing w:line="360" w:lineRule="auto"/>
        <w:ind w:left="6"/>
        <w:jc w:val="center"/>
        <w:rPr>
          <w:rFonts w:ascii="宋体" w:cs="宋体"/>
          <w:b/>
          <w:bCs/>
          <w:color w:val="auto"/>
          <w:sz w:val="72"/>
          <w:szCs w:val="72"/>
          <w:highlight w:val="none"/>
        </w:rPr>
      </w:pPr>
      <w:bookmarkStart w:id="105" w:name="OLE_LINK32"/>
      <w:r>
        <w:rPr>
          <w:rFonts w:hint="eastAsia" w:ascii="宋体" w:hAnsi="宋体" w:cs="宋体"/>
          <w:b/>
          <w:bCs/>
          <w:color w:val="auto"/>
          <w:sz w:val="72"/>
          <w:szCs w:val="72"/>
          <w:highlight w:val="none"/>
        </w:rPr>
        <w:t>投</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标</w:t>
      </w:r>
      <w:r>
        <w:rPr>
          <w:rFonts w:ascii="宋体" w:hAnsi="宋体" w:cs="宋体"/>
          <w:b/>
          <w:bCs/>
          <w:color w:val="auto"/>
          <w:sz w:val="72"/>
          <w:szCs w:val="72"/>
          <w:highlight w:val="none"/>
        </w:rPr>
        <w:t xml:space="preserve"> </w:t>
      </w:r>
      <w:r>
        <w:rPr>
          <w:rFonts w:hint="eastAsia" w:ascii="宋体" w:hAnsi="宋体" w:cs="宋体"/>
          <w:b/>
          <w:bCs/>
          <w:color w:val="auto"/>
          <w:sz w:val="72"/>
          <w:szCs w:val="72"/>
          <w:highlight w:val="none"/>
        </w:rPr>
        <w:t>文 件</w:t>
      </w:r>
    </w:p>
    <w:bookmarkEnd w:id="105"/>
    <w:p>
      <w:pPr>
        <w:rPr>
          <w:rFonts w:ascii="宋体" w:cs="宋体"/>
          <w:color w:val="auto"/>
          <w:sz w:val="44"/>
          <w:szCs w:val="44"/>
          <w:highlight w:val="none"/>
        </w:rPr>
      </w:pPr>
    </w:p>
    <w:p>
      <w:pPr>
        <w:rPr>
          <w:rFonts w:ascii="宋体" w:cs="宋体"/>
          <w:color w:val="auto"/>
          <w:sz w:val="44"/>
          <w:szCs w:val="44"/>
          <w:highlight w:val="none"/>
        </w:rPr>
      </w:pPr>
    </w:p>
    <w:p>
      <w:pPr>
        <w:rPr>
          <w:rFonts w:ascii="宋体" w:cs="宋体"/>
          <w:color w:val="auto"/>
          <w:sz w:val="44"/>
          <w:szCs w:val="44"/>
          <w:highlight w:val="none"/>
        </w:rPr>
      </w:pPr>
    </w:p>
    <w:p>
      <w:pPr>
        <w:spacing w:before="3"/>
        <w:rPr>
          <w:rFonts w:ascii="宋体" w:cs="宋体"/>
          <w:color w:val="auto"/>
          <w:sz w:val="41"/>
          <w:szCs w:val="41"/>
          <w:highlight w:val="none"/>
        </w:rPr>
      </w:pPr>
    </w:p>
    <w:p>
      <w:pPr>
        <w:tabs>
          <w:tab w:val="left" w:pos="5577"/>
          <w:tab w:val="left" w:pos="6942"/>
        </w:tabs>
        <w:spacing w:line="357" w:lineRule="auto"/>
        <w:ind w:left="1201" w:right="175"/>
        <w:rPr>
          <w:rFonts w:ascii="宋体" w:cs="宋体"/>
          <w:color w:val="auto"/>
          <w:spacing w:val="-136"/>
          <w:sz w:val="28"/>
          <w:szCs w:val="28"/>
          <w:highlight w:val="none"/>
        </w:rPr>
      </w:pPr>
      <w:r>
        <w:rPr>
          <w:rFonts w:hint="eastAsia" w:ascii="宋体" w:hAnsi="宋体" w:cs="宋体"/>
          <w:color w:val="auto"/>
          <w:sz w:val="28"/>
          <w:szCs w:val="28"/>
          <w:highlight w:val="none"/>
        </w:rPr>
        <w:t>投标人：</w:t>
      </w:r>
      <w:r>
        <w:rPr>
          <w:color w:val="auto"/>
          <w:sz w:val="28"/>
          <w:szCs w:val="28"/>
          <w:highlight w:val="none"/>
          <w:u w:val="single" w:color="000000"/>
        </w:rPr>
        <w:tab/>
      </w:r>
      <w:r>
        <w:rPr>
          <w:color w:val="auto"/>
          <w:sz w:val="28"/>
          <w:szCs w:val="28"/>
          <w:highlight w:val="none"/>
          <w:u w:val="single" w:color="000000"/>
        </w:rPr>
        <w:tab/>
      </w:r>
      <w:r>
        <w:rPr>
          <w:rFonts w:hint="eastAsia" w:ascii="宋体" w:hAnsi="宋体" w:cs="宋体"/>
          <w:color w:val="auto"/>
          <w:spacing w:val="-1"/>
          <w:sz w:val="28"/>
          <w:szCs w:val="28"/>
          <w:highlight w:val="none"/>
        </w:rPr>
        <w:t>（单位盖章）</w:t>
      </w:r>
    </w:p>
    <w:p>
      <w:pPr>
        <w:tabs>
          <w:tab w:val="left" w:pos="5577"/>
          <w:tab w:val="left" w:pos="6942"/>
        </w:tabs>
        <w:spacing w:line="357" w:lineRule="auto"/>
        <w:ind w:left="1201" w:right="175"/>
        <w:rPr>
          <w:rFonts w:ascii="宋体" w:hAnsi="宋体" w:cs="宋体"/>
          <w:color w:val="auto"/>
          <w:spacing w:val="-1"/>
          <w:sz w:val="28"/>
          <w:szCs w:val="28"/>
          <w:highlight w:val="none"/>
        </w:rPr>
      </w:pPr>
    </w:p>
    <w:p>
      <w:pPr>
        <w:tabs>
          <w:tab w:val="left" w:pos="5577"/>
          <w:tab w:val="left" w:pos="6942"/>
        </w:tabs>
        <w:spacing w:line="357" w:lineRule="auto"/>
        <w:ind w:left="1201" w:right="175"/>
        <w:rPr>
          <w:rFonts w:ascii="宋体" w:cs="宋体"/>
          <w:color w:val="auto"/>
          <w:sz w:val="28"/>
          <w:szCs w:val="28"/>
          <w:highlight w:val="none"/>
        </w:rPr>
      </w:pPr>
      <w:r>
        <w:rPr>
          <w:rFonts w:hint="eastAsia" w:ascii="宋体" w:hAnsi="宋体" w:cs="宋体"/>
          <w:color w:val="auto"/>
          <w:spacing w:val="-1"/>
          <w:sz w:val="28"/>
          <w:szCs w:val="28"/>
          <w:highlight w:val="none"/>
        </w:rPr>
        <w:t>法定代表人或其委托代理人：</w:t>
      </w:r>
      <w:r>
        <w:rPr>
          <w:color w:val="auto"/>
          <w:spacing w:val="-1"/>
          <w:sz w:val="28"/>
          <w:szCs w:val="28"/>
          <w:highlight w:val="none"/>
          <w:u w:val="single" w:color="000000"/>
        </w:rPr>
        <w:tab/>
      </w:r>
      <w:r>
        <w:rPr>
          <w:rFonts w:hint="eastAsia"/>
          <w:color w:val="auto"/>
          <w:spacing w:val="-1"/>
          <w:sz w:val="28"/>
          <w:szCs w:val="28"/>
          <w:highlight w:val="none"/>
          <w:u w:val="single" w:color="000000"/>
        </w:rPr>
        <w:t xml:space="preserve">     </w:t>
      </w:r>
      <w:r>
        <w:rPr>
          <w:rFonts w:hint="eastAsia" w:ascii="宋体" w:hAnsi="宋体" w:cs="宋体"/>
          <w:color w:val="auto"/>
          <w:spacing w:val="-1"/>
          <w:sz w:val="28"/>
          <w:szCs w:val="28"/>
          <w:highlight w:val="none"/>
        </w:rPr>
        <w:t>（签字）</w:t>
      </w:r>
    </w:p>
    <w:p>
      <w:pPr>
        <w:spacing w:before="10"/>
        <w:rPr>
          <w:rFonts w:ascii="宋体" w:cs="宋体"/>
          <w:color w:val="auto"/>
          <w:sz w:val="29"/>
          <w:szCs w:val="29"/>
          <w:highlight w:val="none"/>
        </w:rPr>
      </w:pPr>
    </w:p>
    <w:p>
      <w:pPr>
        <w:tabs>
          <w:tab w:val="left" w:pos="3611"/>
          <w:tab w:val="left" w:pos="4626"/>
          <w:tab w:val="left" w:pos="5642"/>
        </w:tabs>
        <w:spacing w:before="14"/>
        <w:ind w:left="2877" w:right="175"/>
        <w:rPr>
          <w:rFonts w:ascii="宋体" w:cs="宋体"/>
          <w:color w:val="auto"/>
          <w:sz w:val="28"/>
          <w:szCs w:val="28"/>
          <w:highlight w:val="none"/>
        </w:rPr>
      </w:pPr>
      <w:r>
        <w:rPr>
          <w:color w:val="auto"/>
          <w:sz w:val="28"/>
          <w:szCs w:val="28"/>
          <w:highlight w:val="none"/>
          <w:u w:val="single" w:color="000000"/>
        </w:rPr>
        <w:tab/>
      </w:r>
      <w:r>
        <w:rPr>
          <w:rFonts w:hint="eastAsia" w:ascii="宋体" w:hAnsi="宋体" w:cs="宋体"/>
          <w:color w:val="auto"/>
          <w:sz w:val="28"/>
          <w:szCs w:val="28"/>
          <w:highlight w:val="none"/>
        </w:rPr>
        <w:t>年</w:t>
      </w:r>
      <w:r>
        <w:rPr>
          <w:color w:val="auto"/>
          <w:sz w:val="28"/>
          <w:szCs w:val="28"/>
          <w:highlight w:val="none"/>
          <w:u w:val="single" w:color="000000"/>
        </w:rPr>
        <w:tab/>
      </w:r>
      <w:r>
        <w:rPr>
          <w:rFonts w:hint="eastAsia" w:ascii="宋体" w:hAnsi="宋体" w:cs="宋体"/>
          <w:color w:val="auto"/>
          <w:sz w:val="28"/>
          <w:szCs w:val="28"/>
          <w:highlight w:val="none"/>
        </w:rPr>
        <w:t>月</w:t>
      </w:r>
      <w:r>
        <w:rPr>
          <w:color w:val="auto"/>
          <w:sz w:val="28"/>
          <w:szCs w:val="28"/>
          <w:highlight w:val="none"/>
          <w:u w:val="single" w:color="000000"/>
        </w:rPr>
        <w:tab/>
      </w:r>
      <w:r>
        <w:rPr>
          <w:rFonts w:hint="eastAsia" w:ascii="宋体" w:hAnsi="宋体" w:cs="宋体"/>
          <w:color w:val="auto"/>
          <w:sz w:val="28"/>
          <w:szCs w:val="28"/>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pStyle w:val="20"/>
        <w:rPr>
          <w:color w:val="auto"/>
          <w:highlight w:val="none"/>
        </w:rPr>
      </w:pPr>
    </w:p>
    <w:p>
      <w:pPr>
        <w:pStyle w:val="205"/>
        <w:spacing w:line="443" w:lineRule="exact"/>
        <w:ind w:left="1244" w:right="1222"/>
        <w:jc w:val="center"/>
        <w:outlineLvl w:val="9"/>
        <w:rPr>
          <w:b w:val="0"/>
          <w:bCs w:val="0"/>
          <w:color w:val="auto"/>
          <w:highlight w:val="none"/>
          <w:lang w:eastAsia="zh-CN"/>
        </w:rPr>
      </w:pPr>
      <w:bookmarkStart w:id="106" w:name="_Toc352691655"/>
      <w:bookmarkStart w:id="107" w:name="_Toc7039"/>
      <w:bookmarkStart w:id="108" w:name="_Toc369531691"/>
      <w:r>
        <w:rPr>
          <w:rFonts w:hint="eastAsia"/>
          <w:color w:val="auto"/>
          <w:highlight w:val="none"/>
          <w:lang w:eastAsia="zh-CN"/>
        </w:rPr>
        <w:t>目录</w:t>
      </w:r>
    </w:p>
    <w:p>
      <w:pPr>
        <w:rPr>
          <w:rFonts w:ascii="Microsoft JhengHei" w:hAnsi="Microsoft JhengHei" w:eastAsia="Microsoft JhengHei" w:cs="Microsoft JhengHei"/>
          <w:b/>
          <w:bCs/>
          <w:color w:val="auto"/>
          <w:sz w:val="20"/>
          <w:szCs w:val="20"/>
          <w:highlight w:val="none"/>
        </w:rPr>
      </w:pPr>
    </w:p>
    <w:p>
      <w:pPr>
        <w:spacing w:line="360" w:lineRule="auto"/>
        <w:rPr>
          <w:rFonts w:ascii="宋体"/>
          <w:color w:val="auto"/>
          <w:sz w:val="24"/>
          <w:szCs w:val="24"/>
          <w:highlight w:val="none"/>
          <w:u w:val="single"/>
        </w:rPr>
      </w:pPr>
      <w:bookmarkStart w:id="109" w:name="_Toc193363150"/>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bookmarkEnd w:id="109"/>
    </w:p>
    <w:p>
      <w:pPr>
        <w:spacing w:line="360" w:lineRule="auto"/>
        <w:rPr>
          <w:rFonts w:ascii="宋体"/>
          <w:color w:val="auto"/>
          <w:sz w:val="24"/>
          <w:szCs w:val="24"/>
          <w:highlight w:val="none"/>
          <w:u w:val="single"/>
        </w:rPr>
      </w:pPr>
      <w:bookmarkStart w:id="110" w:name="_Toc193363151"/>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）投标函及投标函附录（按第五章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投标文件格式一）；</w:t>
      </w:r>
      <w:bookmarkEnd w:id="110"/>
    </w:p>
    <w:p>
      <w:pPr>
        <w:spacing w:line="360" w:lineRule="auto"/>
        <w:rPr>
          <w:rFonts w:ascii="宋体"/>
          <w:color w:val="auto"/>
          <w:sz w:val="24"/>
          <w:szCs w:val="24"/>
          <w:highlight w:val="none"/>
          <w:u w:val="single"/>
        </w:rPr>
      </w:pPr>
      <w:bookmarkStart w:id="111" w:name="_Toc193363152"/>
      <w:r>
        <w:rPr>
          <w:rFonts w:hint="eastAsia" w:ascii="宋体" w:hAnsi="宋体"/>
          <w:color w:val="auto"/>
          <w:sz w:val="24"/>
          <w:szCs w:val="24"/>
          <w:highlight w:val="none"/>
          <w:u w:val="single"/>
        </w:rPr>
        <w:t>（</w:t>
      </w:r>
      <w:r>
        <w:rPr>
          <w:rFonts w:ascii="宋体" w:hAnsi="宋体"/>
          <w:color w:val="auto"/>
          <w:sz w:val="24"/>
          <w:szCs w:val="24"/>
          <w:highlight w:val="none"/>
          <w:u w:val="single"/>
        </w:rPr>
        <w:t>3</w:t>
      </w:r>
      <w:r>
        <w:rPr>
          <w:rFonts w:hint="eastAsia" w:ascii="宋体" w:hAnsi="宋体"/>
          <w:color w:val="auto"/>
          <w:sz w:val="24"/>
          <w:szCs w:val="24"/>
          <w:highlight w:val="none"/>
          <w:u w:val="single"/>
        </w:rPr>
        <w:t>）法定代表人身份证明（按第五章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投标文件格式二）；</w:t>
      </w:r>
      <w:bookmarkEnd w:id="111"/>
    </w:p>
    <w:p>
      <w:pPr>
        <w:spacing w:line="360" w:lineRule="auto"/>
        <w:rPr>
          <w:rFonts w:ascii="宋体"/>
          <w:strike/>
          <w:color w:val="auto"/>
          <w:sz w:val="24"/>
          <w:szCs w:val="24"/>
          <w:highlight w:val="none"/>
          <w:u w:val="single"/>
        </w:rPr>
      </w:pPr>
      <w:bookmarkStart w:id="112" w:name="_Toc193363153"/>
      <w:r>
        <w:rPr>
          <w:rFonts w:hint="eastAsia" w:ascii="宋体" w:hAnsi="宋体"/>
          <w:color w:val="auto"/>
          <w:sz w:val="24"/>
          <w:szCs w:val="24"/>
          <w:highlight w:val="none"/>
          <w:u w:val="single"/>
        </w:rPr>
        <w:t>（</w:t>
      </w:r>
      <w:r>
        <w:rPr>
          <w:rFonts w:ascii="宋体" w:hAnsi="宋体"/>
          <w:color w:val="auto"/>
          <w:sz w:val="24"/>
          <w:szCs w:val="24"/>
          <w:highlight w:val="none"/>
          <w:u w:val="single"/>
        </w:rPr>
        <w:t>4</w:t>
      </w:r>
      <w:r>
        <w:rPr>
          <w:rFonts w:hint="eastAsia" w:ascii="宋体" w:hAnsi="宋体"/>
          <w:color w:val="auto"/>
          <w:sz w:val="24"/>
          <w:szCs w:val="24"/>
          <w:highlight w:val="none"/>
          <w:u w:val="single"/>
        </w:rPr>
        <w:t>）授权委托书（按第五章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投标文件格式三）；</w:t>
      </w:r>
      <w:bookmarkEnd w:id="112"/>
    </w:p>
    <w:p>
      <w:pPr>
        <w:spacing w:line="360" w:lineRule="auto"/>
        <w:rPr>
          <w:rFonts w:ascii="宋体"/>
          <w:color w:val="auto"/>
          <w:sz w:val="24"/>
          <w:szCs w:val="24"/>
          <w:highlight w:val="none"/>
          <w:u w:val="single"/>
        </w:rPr>
      </w:pPr>
      <w:bookmarkStart w:id="113" w:name="_Toc193363155"/>
      <w:r>
        <w:rPr>
          <w:rFonts w:hint="eastAsia" w:ascii="宋体" w:hAnsi="宋体"/>
          <w:color w:val="auto"/>
          <w:sz w:val="24"/>
          <w:szCs w:val="24"/>
          <w:highlight w:val="none"/>
          <w:u w:val="single"/>
        </w:rPr>
        <w:t>（5）类似业绩表（按第五章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s="宋体"/>
          <w:color w:val="auto"/>
          <w:spacing w:val="-2"/>
          <w:szCs w:val="24"/>
          <w:highlight w:val="none"/>
          <w:u w:val="single"/>
        </w:rPr>
        <w:t>四</w:t>
      </w:r>
      <w:r>
        <w:rPr>
          <w:rFonts w:hint="eastAsia" w:ascii="宋体" w:hAnsi="宋体"/>
          <w:color w:val="auto"/>
          <w:sz w:val="24"/>
          <w:szCs w:val="24"/>
          <w:highlight w:val="none"/>
          <w:u w:val="single"/>
        </w:rPr>
        <w:t>）；</w:t>
      </w:r>
      <w:bookmarkEnd w:id="113"/>
    </w:p>
    <w:p>
      <w:pPr>
        <w:spacing w:line="360" w:lineRule="auto"/>
        <w:rPr>
          <w:rFonts w:ascii="宋体" w:hAnsi="宋体"/>
          <w:color w:val="auto"/>
          <w:sz w:val="24"/>
          <w:szCs w:val="24"/>
          <w:highlight w:val="none"/>
          <w:u w:val="single"/>
        </w:rPr>
      </w:pPr>
      <w:bookmarkStart w:id="114" w:name="_Toc193363156"/>
      <w:r>
        <w:rPr>
          <w:rFonts w:hint="eastAsia" w:ascii="宋体" w:hAnsi="宋体"/>
          <w:color w:val="auto"/>
          <w:sz w:val="24"/>
          <w:szCs w:val="24"/>
          <w:highlight w:val="none"/>
          <w:u w:val="single"/>
        </w:rPr>
        <w:t>（6）</w:t>
      </w:r>
      <w:bookmarkStart w:id="115" w:name="_Hlk151021199"/>
      <w:r>
        <w:rPr>
          <w:rFonts w:hint="eastAsia" w:ascii="宋体" w:hAnsi="宋体"/>
          <w:color w:val="auto"/>
          <w:sz w:val="24"/>
          <w:szCs w:val="24"/>
          <w:highlight w:val="none"/>
          <w:u w:val="single"/>
        </w:rPr>
        <w:t>拟投入人员一览表</w:t>
      </w:r>
      <w:bookmarkEnd w:id="115"/>
      <w:r>
        <w:rPr>
          <w:rFonts w:hint="eastAsia" w:ascii="宋体" w:hAnsi="宋体"/>
          <w:color w:val="auto"/>
          <w:sz w:val="24"/>
          <w:szCs w:val="24"/>
          <w:highlight w:val="none"/>
          <w:u w:val="single"/>
        </w:rPr>
        <w:t>、主要人员简历表（按第五章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投标文件格式</w:t>
      </w:r>
      <w:r>
        <w:rPr>
          <w:rFonts w:hint="eastAsia" w:ascii="宋体" w:hAnsi="宋体" w:cs="宋体"/>
          <w:color w:val="auto"/>
          <w:spacing w:val="-2"/>
          <w:szCs w:val="24"/>
          <w:highlight w:val="none"/>
          <w:u w:val="single"/>
        </w:rPr>
        <w:t>五</w:t>
      </w:r>
      <w:r>
        <w:rPr>
          <w:rFonts w:hint="eastAsia" w:ascii="宋体" w:hAnsi="宋体"/>
          <w:color w:val="auto"/>
          <w:sz w:val="24"/>
          <w:szCs w:val="24"/>
          <w:highlight w:val="none"/>
          <w:u w:val="single"/>
        </w:rPr>
        <w:t>）；</w:t>
      </w:r>
      <w:bookmarkEnd w:id="114"/>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（7）服务保障方案；</w:t>
      </w:r>
    </w:p>
    <w:p>
      <w:pPr>
        <w:spacing w:line="360" w:lineRule="auto"/>
        <w:rPr>
          <w:rFonts w:ascii="宋体" w:hAnsi="宋体"/>
          <w:color w:val="auto"/>
          <w:sz w:val="24"/>
          <w:szCs w:val="24"/>
          <w:highlight w:val="none"/>
          <w:u w:val="single"/>
        </w:rPr>
      </w:pPr>
      <w:bookmarkStart w:id="116" w:name="OLE_LINK4"/>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捐赠</w:t>
      </w:r>
      <w:r>
        <w:rPr>
          <w:rFonts w:hint="eastAsia" w:ascii="宋体" w:hAnsi="宋体"/>
          <w:color w:val="auto"/>
          <w:sz w:val="24"/>
          <w:szCs w:val="24"/>
          <w:highlight w:val="none"/>
          <w:u w:val="single"/>
        </w:rPr>
        <w:t>承诺函（按第五章 投标文件格式七）；</w:t>
      </w:r>
    </w:p>
    <w:bookmarkEnd w:id="116"/>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）按本招标文件规定提交的其它所有资料。</w:t>
      </w:r>
    </w:p>
    <w:p>
      <w:pPr>
        <w:rPr>
          <w:color w:val="auto"/>
          <w:highlight w:val="none"/>
        </w:rPr>
      </w:pPr>
      <w:r>
        <w:rPr>
          <w:color w:val="auto"/>
          <w:highlight w:val="none"/>
        </w:rPr>
        <w:br w:type="page"/>
      </w:r>
    </w:p>
    <w:bookmarkEnd w:id="106"/>
    <w:bookmarkEnd w:id="107"/>
    <w:bookmarkEnd w:id="108"/>
    <w:p>
      <w:pPr>
        <w:spacing w:line="540" w:lineRule="exact"/>
        <w:outlineLvl w:val="2"/>
        <w:rPr>
          <w:b/>
          <w:color w:val="auto"/>
          <w:sz w:val="28"/>
          <w:szCs w:val="36"/>
          <w:highlight w:val="none"/>
        </w:rPr>
      </w:pPr>
      <w:bookmarkStart w:id="117" w:name="_Toc8656928"/>
      <w:bookmarkStart w:id="118" w:name="_Toc17960"/>
      <w:bookmarkStart w:id="119" w:name="_Toc152042576"/>
      <w:bookmarkStart w:id="120" w:name="_Toc300835209"/>
      <w:bookmarkStart w:id="121" w:name="_Toc369531697"/>
      <w:bookmarkStart w:id="122" w:name="_Toc361508752"/>
      <w:bookmarkStart w:id="123" w:name="_Toc384308375"/>
      <w:bookmarkStart w:id="124" w:name="_Toc247514246"/>
      <w:bookmarkStart w:id="125" w:name="_Toc144974856"/>
      <w:bookmarkStart w:id="126" w:name="_Toc247527827"/>
      <w:bookmarkStart w:id="127" w:name="_Toc352691661"/>
      <w:bookmarkStart w:id="128" w:name="_Toc152045787"/>
      <w:r>
        <w:rPr>
          <w:rFonts w:hint="eastAsia" w:ascii="宋体" w:hAnsi="宋体"/>
          <w:b/>
          <w:color w:val="auto"/>
          <w:sz w:val="24"/>
          <w:highlight w:val="none"/>
        </w:rPr>
        <w:t>格式一</w:t>
      </w:r>
    </w:p>
    <w:p>
      <w:pPr>
        <w:pStyle w:val="205"/>
        <w:spacing w:line="443" w:lineRule="exact"/>
        <w:ind w:left="2653" w:right="113"/>
        <w:outlineLvl w:val="9"/>
        <w:rPr>
          <w:b w:val="0"/>
          <w:bCs w:val="0"/>
          <w:color w:val="auto"/>
          <w:sz w:val="36"/>
          <w:szCs w:val="36"/>
          <w:highlight w:val="none"/>
          <w:lang w:eastAsia="zh-CN"/>
        </w:rPr>
      </w:pPr>
      <w:bookmarkStart w:id="129" w:name="_Toc193363157"/>
      <w:r>
        <w:rPr>
          <w:rFonts w:hint="eastAsia" w:ascii="黑体" w:hAnsi="黑体" w:eastAsia="黑体" w:cs="黑体"/>
          <w:color w:val="auto"/>
          <w:sz w:val="36"/>
          <w:szCs w:val="36"/>
          <w:highlight w:val="none"/>
          <w:lang w:eastAsia="zh-CN"/>
        </w:rPr>
        <w:t>一、投标函及投标函附录</w:t>
      </w:r>
      <w:bookmarkEnd w:id="117"/>
      <w:bookmarkEnd w:id="129"/>
    </w:p>
    <w:p>
      <w:pPr>
        <w:ind w:firstLine="119"/>
        <w:rPr>
          <w:color w:val="auto"/>
          <w:sz w:val="24"/>
          <w:szCs w:val="24"/>
          <w:highlight w:val="none"/>
        </w:rPr>
      </w:pPr>
      <w:bookmarkStart w:id="130" w:name="_bookmark177"/>
      <w:bookmarkEnd w:id="130"/>
      <w:bookmarkStart w:id="131" w:name="_Toc8656929"/>
      <w:r>
        <w:rPr>
          <w:rFonts w:hint="eastAsia"/>
          <w:color w:val="auto"/>
          <w:sz w:val="24"/>
          <w:szCs w:val="24"/>
          <w:highlight w:val="none"/>
        </w:rPr>
        <w:t>（一）投标函</w:t>
      </w:r>
      <w:bookmarkEnd w:id="131"/>
    </w:p>
    <w:p>
      <w:pPr>
        <w:pStyle w:val="16"/>
        <w:tabs>
          <w:tab w:val="left" w:pos="1991"/>
        </w:tabs>
        <w:ind w:left="100" w:right="113"/>
        <w:rPr>
          <w:color w:val="auto"/>
          <w:sz w:val="24"/>
          <w:szCs w:val="24"/>
          <w:highlight w:val="none"/>
        </w:rPr>
      </w:pPr>
      <w:r>
        <w:rPr>
          <w:rFonts w:eastAsia="Times New Roman"/>
          <w:color w:val="auto"/>
          <w:sz w:val="24"/>
          <w:szCs w:val="24"/>
          <w:highlight w:val="none"/>
          <w:u w:val="single" w:color="000000"/>
        </w:rPr>
        <w:tab/>
      </w:r>
      <w:r>
        <w:rPr>
          <w:rFonts w:hint="eastAsia"/>
          <w:color w:val="auto"/>
          <w:spacing w:val="-15"/>
          <w:sz w:val="24"/>
          <w:szCs w:val="24"/>
          <w:highlight w:val="none"/>
        </w:rPr>
        <w:t>（招标人名称）：</w:t>
      </w:r>
    </w:p>
    <w:p>
      <w:pPr>
        <w:spacing w:before="13"/>
        <w:rPr>
          <w:rFonts w:ascii="宋体" w:cs="宋体"/>
          <w:color w:val="auto"/>
          <w:sz w:val="24"/>
          <w:szCs w:val="24"/>
          <w:highlight w:val="none"/>
        </w:rPr>
      </w:pPr>
    </w:p>
    <w:p>
      <w:pPr>
        <w:pStyle w:val="16"/>
        <w:tabs>
          <w:tab w:val="left" w:pos="3739"/>
          <w:tab w:val="left" w:pos="4214"/>
          <w:tab w:val="left" w:pos="5630"/>
        </w:tabs>
        <w:spacing w:before="36" w:line="324" w:lineRule="auto"/>
        <w:ind w:left="100" w:right="113" w:firstLine="405"/>
        <w:rPr>
          <w:color w:val="auto"/>
          <w:sz w:val="24"/>
          <w:szCs w:val="24"/>
          <w:highlight w:val="none"/>
        </w:rPr>
      </w:pPr>
      <w:r>
        <w:rPr>
          <w:rFonts w:eastAsia="Times New Roman"/>
          <w:color w:val="auto"/>
          <w:spacing w:val="-11"/>
          <w:sz w:val="24"/>
          <w:szCs w:val="24"/>
          <w:highlight w:val="none"/>
        </w:rPr>
        <w:t>1</w:t>
      </w:r>
      <w:r>
        <w:rPr>
          <w:rFonts w:hint="eastAsia"/>
          <w:color w:val="auto"/>
          <w:spacing w:val="-11"/>
          <w:sz w:val="24"/>
          <w:szCs w:val="24"/>
          <w:highlight w:val="none"/>
        </w:rPr>
        <w:t>．我方已仔细研究了</w:t>
      </w:r>
      <w:r>
        <w:rPr>
          <w:rFonts w:eastAsia="Times New Roman"/>
          <w:color w:val="auto"/>
          <w:spacing w:val="-11"/>
          <w:sz w:val="24"/>
          <w:szCs w:val="24"/>
          <w:highlight w:val="none"/>
          <w:u w:val="single" w:color="000000"/>
        </w:rPr>
        <w:tab/>
      </w:r>
      <w:r>
        <w:rPr>
          <w:rFonts w:eastAsia="Times New Roman"/>
          <w:color w:val="auto"/>
          <w:spacing w:val="-11"/>
          <w:sz w:val="24"/>
          <w:szCs w:val="24"/>
          <w:highlight w:val="none"/>
          <w:u w:val="single" w:color="000000"/>
        </w:rPr>
        <w:tab/>
      </w:r>
      <w:r>
        <w:rPr>
          <w:rFonts w:hint="eastAsia"/>
          <w:color w:val="auto"/>
          <w:spacing w:val="-6"/>
          <w:sz w:val="24"/>
          <w:szCs w:val="24"/>
          <w:highlight w:val="none"/>
          <w:u w:val="single" w:color="000000"/>
        </w:rPr>
        <w:t>（</w:t>
      </w:r>
      <w:r>
        <w:rPr>
          <w:rFonts w:hint="eastAsia"/>
          <w:color w:val="auto"/>
          <w:spacing w:val="-6"/>
          <w:sz w:val="24"/>
          <w:szCs w:val="24"/>
          <w:highlight w:val="none"/>
        </w:rPr>
        <w:t>项目名称）招标项目招标文件的全部内容，</w:t>
      </w:r>
      <w:r>
        <w:rPr>
          <w:rFonts w:hint="eastAsia"/>
          <w:color w:val="auto"/>
          <w:spacing w:val="-4"/>
          <w:sz w:val="24"/>
          <w:szCs w:val="24"/>
          <w:highlight w:val="none"/>
        </w:rPr>
        <w:t>愿意以人民币（大写）</w:t>
      </w:r>
      <w:r>
        <w:rPr>
          <w:rFonts w:eastAsia="Times New Roman"/>
          <w:color w:val="auto"/>
          <w:spacing w:val="-4"/>
          <w:sz w:val="24"/>
          <w:szCs w:val="24"/>
          <w:highlight w:val="none"/>
          <w:u w:val="single" w:color="000000"/>
        </w:rPr>
        <w:tab/>
      </w:r>
      <w:r>
        <w:rPr>
          <w:rFonts w:hint="eastAsia"/>
          <w:color w:val="auto"/>
          <w:spacing w:val="-1"/>
          <w:sz w:val="24"/>
          <w:szCs w:val="24"/>
          <w:highlight w:val="none"/>
        </w:rPr>
        <w:t>（</w:t>
      </w:r>
      <w:r>
        <w:rPr>
          <w:rFonts w:eastAsia="Times New Roman"/>
          <w:color w:val="auto"/>
          <w:spacing w:val="-1"/>
          <w:sz w:val="24"/>
          <w:szCs w:val="24"/>
          <w:highlight w:val="none"/>
        </w:rPr>
        <w:t>¥</w:t>
      </w:r>
      <w:r>
        <w:rPr>
          <w:rFonts w:eastAsia="Times New Roman"/>
          <w:color w:val="auto"/>
          <w:spacing w:val="-1"/>
          <w:sz w:val="24"/>
          <w:szCs w:val="24"/>
          <w:highlight w:val="none"/>
          <w:u w:val="single" w:color="000000"/>
        </w:rPr>
        <w:tab/>
      </w:r>
      <w:r>
        <w:rPr>
          <w:rFonts w:eastAsia="Times New Roman"/>
          <w:color w:val="auto"/>
          <w:spacing w:val="-1"/>
          <w:sz w:val="24"/>
          <w:szCs w:val="24"/>
          <w:highlight w:val="none"/>
          <w:u w:val="single" w:color="000000"/>
        </w:rPr>
        <w:tab/>
      </w:r>
      <w:r>
        <w:rPr>
          <w:rFonts w:hint="eastAsia"/>
          <w:color w:val="auto"/>
          <w:spacing w:val="-5"/>
          <w:sz w:val="24"/>
          <w:szCs w:val="24"/>
          <w:highlight w:val="none"/>
        </w:rPr>
        <w:t>）的作为本项目报价，</w:t>
      </w:r>
      <w:r>
        <w:rPr>
          <w:rFonts w:hint="eastAsia"/>
          <w:color w:val="auto"/>
          <w:spacing w:val="-13"/>
          <w:sz w:val="24"/>
          <w:szCs w:val="24"/>
          <w:highlight w:val="none"/>
        </w:rPr>
        <w:t>服务期限：</w:t>
      </w:r>
      <w:r>
        <w:rPr>
          <w:rFonts w:hint="eastAsia"/>
          <w:color w:val="auto"/>
          <w:spacing w:val="-13"/>
          <w:sz w:val="24"/>
          <w:szCs w:val="24"/>
          <w:highlight w:val="none"/>
          <w:u w:val="single" w:color="000000"/>
        </w:rPr>
        <w:t>按招标文件要求</w:t>
      </w:r>
      <w:r>
        <w:rPr>
          <w:rFonts w:hint="eastAsia"/>
          <w:color w:val="auto"/>
          <w:spacing w:val="-2"/>
          <w:sz w:val="24"/>
          <w:szCs w:val="24"/>
          <w:highlight w:val="none"/>
        </w:rPr>
        <w:t>，按合同约定完成</w:t>
      </w:r>
      <w:r>
        <w:rPr>
          <w:rFonts w:hint="eastAsia" w:ascii="宋体" w:hAnsi="宋体" w:cs="宋体"/>
          <w:color w:val="auto"/>
          <w:sz w:val="24"/>
          <w:szCs w:val="24"/>
          <w:highlight w:val="none"/>
        </w:rPr>
        <w:t>项目</w:t>
      </w:r>
      <w:r>
        <w:rPr>
          <w:rFonts w:hint="eastAsia"/>
          <w:color w:val="auto"/>
          <w:spacing w:val="-2"/>
          <w:sz w:val="24"/>
          <w:szCs w:val="24"/>
          <w:highlight w:val="none"/>
        </w:rPr>
        <w:t>服务工作。</w:t>
      </w:r>
    </w:p>
    <w:p>
      <w:pPr>
        <w:pStyle w:val="16"/>
        <w:spacing w:before="36" w:line="324" w:lineRule="auto"/>
        <w:ind w:right="113"/>
        <w:rPr>
          <w:color w:val="auto"/>
          <w:sz w:val="24"/>
          <w:szCs w:val="24"/>
          <w:highlight w:val="none"/>
        </w:rPr>
      </w:pPr>
      <w:r>
        <w:rPr>
          <w:rFonts w:hint="eastAsia"/>
          <w:color w:val="auto"/>
          <w:sz w:val="24"/>
          <w:szCs w:val="24"/>
          <w:highlight w:val="none"/>
        </w:rPr>
        <w:t xml:space="preserve">    </w:t>
      </w:r>
      <w:r>
        <w:rPr>
          <w:rFonts w:eastAsia="Times New Roman"/>
          <w:color w:val="auto"/>
          <w:sz w:val="24"/>
          <w:szCs w:val="24"/>
          <w:highlight w:val="none"/>
        </w:rPr>
        <w:t>2.</w:t>
      </w:r>
      <w:r>
        <w:rPr>
          <w:rFonts w:hint="eastAsia"/>
          <w:color w:val="auto"/>
          <w:sz w:val="24"/>
          <w:szCs w:val="24"/>
          <w:highlight w:val="none"/>
        </w:rPr>
        <w:t>我方的投标文件包括下列内容：</w:t>
      </w:r>
    </w:p>
    <w:p>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）投标文件目录；</w:t>
      </w:r>
    </w:p>
    <w:p>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）投标函及投标函附录；</w:t>
      </w:r>
    </w:p>
    <w:p>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3</w:t>
      </w:r>
      <w:r>
        <w:rPr>
          <w:rFonts w:hint="eastAsia" w:ascii="宋体" w:hAnsi="宋体"/>
          <w:color w:val="auto"/>
          <w:sz w:val="24"/>
          <w:szCs w:val="24"/>
          <w:highlight w:val="none"/>
          <w:u w:val="single"/>
        </w:rPr>
        <w:t>）法定代表人身份证明；</w:t>
      </w:r>
    </w:p>
    <w:p>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4</w:t>
      </w:r>
      <w:r>
        <w:rPr>
          <w:rFonts w:hint="eastAsia" w:ascii="宋体" w:hAnsi="宋体"/>
          <w:color w:val="auto"/>
          <w:sz w:val="24"/>
          <w:szCs w:val="24"/>
          <w:highlight w:val="none"/>
          <w:u w:val="single"/>
        </w:rPr>
        <w:t>）授权委托书；</w:t>
      </w:r>
    </w:p>
    <w:p>
      <w:pPr>
        <w:spacing w:line="324" w:lineRule="auto"/>
        <w:ind w:firstLine="360" w:firstLineChars="150"/>
        <w:rPr>
          <w:rFonts w:ascii="宋体"/>
          <w:color w:val="auto"/>
          <w:sz w:val="24"/>
          <w:szCs w:val="24"/>
          <w:highlight w:val="none"/>
          <w:u w:val="single"/>
        </w:rPr>
      </w:pPr>
      <w:r>
        <w:rPr>
          <w:rFonts w:hint="eastAsia" w:ascii="宋体" w:hAnsi="宋体"/>
          <w:color w:val="auto"/>
          <w:sz w:val="24"/>
          <w:szCs w:val="24"/>
          <w:highlight w:val="none"/>
          <w:u w:val="single"/>
        </w:rPr>
        <w:t>（5）类似业绩表；</w:t>
      </w:r>
    </w:p>
    <w:p>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（6）拟投入人员一览表、主要人员简历表；</w:t>
      </w:r>
    </w:p>
    <w:p>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（7）服务保障方案；</w:t>
      </w:r>
    </w:p>
    <w:p>
      <w:pPr>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捐赠</w:t>
      </w:r>
      <w:r>
        <w:rPr>
          <w:rFonts w:hint="eastAsia" w:ascii="宋体" w:hAnsi="宋体"/>
          <w:color w:val="auto"/>
          <w:sz w:val="24"/>
          <w:szCs w:val="24"/>
          <w:highlight w:val="none"/>
          <w:u w:val="single"/>
        </w:rPr>
        <w:t>承诺函</w:t>
      </w:r>
    </w:p>
    <w:p>
      <w:pPr>
        <w:spacing w:line="324" w:lineRule="auto"/>
        <w:ind w:firstLine="360" w:firstLineChars="150"/>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）按本招标文件规定提交的其它所有资料。</w:t>
      </w:r>
    </w:p>
    <w:p>
      <w:pPr>
        <w:pStyle w:val="16"/>
        <w:spacing w:before="159" w:line="324" w:lineRule="auto"/>
        <w:ind w:right="-71" w:firstLine="354" w:firstLineChars="150"/>
        <w:rPr>
          <w:color w:val="auto"/>
          <w:spacing w:val="-2"/>
          <w:sz w:val="24"/>
          <w:szCs w:val="24"/>
          <w:highlight w:val="none"/>
        </w:rPr>
      </w:pPr>
      <w:r>
        <w:rPr>
          <w:rFonts w:hint="eastAsia"/>
          <w:color w:val="auto"/>
          <w:spacing w:val="-2"/>
          <w:sz w:val="24"/>
          <w:szCs w:val="24"/>
          <w:highlight w:val="none"/>
        </w:rPr>
        <w:t>投标文件的上述组成部分如存在内容不一致的，以投标函为准。</w:t>
      </w:r>
    </w:p>
    <w:p>
      <w:pPr>
        <w:pStyle w:val="16"/>
        <w:spacing w:before="159" w:line="324" w:lineRule="auto"/>
        <w:ind w:right="-71" w:firstLine="480" w:firstLineChars="200"/>
        <w:rPr>
          <w:color w:val="auto"/>
          <w:sz w:val="24"/>
          <w:szCs w:val="24"/>
          <w:highlight w:val="none"/>
        </w:rPr>
      </w:pPr>
      <w:r>
        <w:rPr>
          <w:rFonts w:eastAsia="Times New Roman"/>
          <w:color w:val="auto"/>
          <w:sz w:val="24"/>
          <w:szCs w:val="24"/>
          <w:highlight w:val="none"/>
        </w:rPr>
        <w:t>3</w:t>
      </w:r>
      <w:r>
        <w:rPr>
          <w:rFonts w:hint="eastAsia"/>
          <w:color w:val="auto"/>
          <w:sz w:val="24"/>
          <w:szCs w:val="24"/>
          <w:highlight w:val="none"/>
        </w:rPr>
        <w:t>．我方承诺在招标文件规定的投标有效期内不撤销投标文件。</w:t>
      </w:r>
    </w:p>
    <w:p>
      <w:pPr>
        <w:pStyle w:val="16"/>
        <w:spacing w:before="9" w:line="324" w:lineRule="auto"/>
        <w:ind w:right="113" w:firstLine="480" w:firstLineChars="200"/>
        <w:rPr>
          <w:color w:val="auto"/>
          <w:sz w:val="24"/>
          <w:szCs w:val="24"/>
          <w:highlight w:val="none"/>
        </w:rPr>
      </w:pPr>
      <w:r>
        <w:rPr>
          <w:rFonts w:eastAsia="Times New Roman"/>
          <w:color w:val="auto"/>
          <w:sz w:val="24"/>
          <w:szCs w:val="24"/>
          <w:highlight w:val="none"/>
        </w:rPr>
        <w:t>4</w:t>
      </w:r>
      <w:r>
        <w:rPr>
          <w:rFonts w:hint="eastAsia"/>
          <w:color w:val="auto"/>
          <w:sz w:val="24"/>
          <w:szCs w:val="24"/>
          <w:highlight w:val="none"/>
        </w:rPr>
        <w:t>．如我方中标，我方承诺：</w:t>
      </w:r>
    </w:p>
    <w:p>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1</w:t>
      </w:r>
      <w:r>
        <w:rPr>
          <w:rFonts w:hint="eastAsia"/>
          <w:color w:val="auto"/>
          <w:sz w:val="24"/>
          <w:szCs w:val="24"/>
          <w:highlight w:val="none"/>
        </w:rPr>
        <w:t>）在收到中标通知书后，在中标通知书规定的期限内与你方签订合同；</w:t>
      </w:r>
    </w:p>
    <w:p>
      <w:pPr>
        <w:pStyle w:val="16"/>
        <w:spacing w:before="151"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2</w:t>
      </w:r>
      <w:r>
        <w:rPr>
          <w:rFonts w:hint="eastAsia"/>
          <w:color w:val="auto"/>
          <w:sz w:val="24"/>
          <w:szCs w:val="24"/>
          <w:highlight w:val="none"/>
        </w:rPr>
        <w:t>）在签订合同时不向你方提出附加条件；</w:t>
      </w:r>
    </w:p>
    <w:p>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3</w:t>
      </w:r>
      <w:r>
        <w:rPr>
          <w:rFonts w:hint="eastAsia"/>
          <w:color w:val="auto"/>
          <w:sz w:val="24"/>
          <w:szCs w:val="24"/>
          <w:highlight w:val="none"/>
        </w:rPr>
        <w:t>）按照招标文件要求提交履约保证金（如有）；</w:t>
      </w:r>
    </w:p>
    <w:p>
      <w:pPr>
        <w:pStyle w:val="16"/>
        <w:spacing w:before="148" w:line="324" w:lineRule="auto"/>
        <w:ind w:left="940" w:right="113"/>
        <w:rPr>
          <w:color w:val="auto"/>
          <w:sz w:val="24"/>
          <w:szCs w:val="24"/>
          <w:highlight w:val="none"/>
        </w:rPr>
      </w:pPr>
      <w:r>
        <w:rPr>
          <w:rFonts w:hint="eastAsia"/>
          <w:color w:val="auto"/>
          <w:sz w:val="24"/>
          <w:szCs w:val="24"/>
          <w:highlight w:val="none"/>
        </w:rPr>
        <w:t>（</w:t>
      </w:r>
      <w:r>
        <w:rPr>
          <w:rFonts w:eastAsia="Times New Roman"/>
          <w:color w:val="auto"/>
          <w:sz w:val="24"/>
          <w:szCs w:val="24"/>
          <w:highlight w:val="none"/>
        </w:rPr>
        <w:t>4</w:t>
      </w:r>
      <w:r>
        <w:rPr>
          <w:rFonts w:hint="eastAsia"/>
          <w:color w:val="auto"/>
          <w:sz w:val="24"/>
          <w:szCs w:val="24"/>
          <w:highlight w:val="none"/>
        </w:rPr>
        <w:t>）在合同约定的期限内完成合同规定的全部义务。</w:t>
      </w:r>
    </w:p>
    <w:p>
      <w:pPr>
        <w:pStyle w:val="16"/>
        <w:spacing w:before="151" w:line="324" w:lineRule="auto"/>
        <w:ind w:left="100" w:right="113" w:firstLine="464" w:firstLineChars="200"/>
        <w:rPr>
          <w:color w:val="auto"/>
          <w:sz w:val="24"/>
          <w:szCs w:val="24"/>
          <w:highlight w:val="none"/>
        </w:rPr>
      </w:pPr>
      <w:r>
        <w:rPr>
          <w:rFonts w:eastAsia="Times New Roman"/>
          <w:color w:val="auto"/>
          <w:spacing w:val="-4"/>
          <w:sz w:val="24"/>
          <w:szCs w:val="24"/>
          <w:highlight w:val="none"/>
        </w:rPr>
        <w:t>5</w:t>
      </w:r>
      <w:r>
        <w:rPr>
          <w:rFonts w:hint="eastAsia"/>
          <w:color w:val="auto"/>
          <w:spacing w:val="-4"/>
          <w:sz w:val="24"/>
          <w:szCs w:val="24"/>
          <w:highlight w:val="none"/>
        </w:rPr>
        <w:t>．我方在此声明，所递交的投标文件及有关资料内容完整、真实和准确，且不存在第二章</w:t>
      </w:r>
      <w:r>
        <w:rPr>
          <w:rFonts w:eastAsia="Times New Roman"/>
          <w:color w:val="auto"/>
          <w:sz w:val="24"/>
          <w:szCs w:val="24"/>
          <w:highlight w:val="none"/>
        </w:rPr>
        <w:t>“</w:t>
      </w:r>
      <w:r>
        <w:rPr>
          <w:rFonts w:hint="eastAsia"/>
          <w:color w:val="auto"/>
          <w:sz w:val="24"/>
          <w:szCs w:val="24"/>
          <w:highlight w:val="none"/>
        </w:rPr>
        <w:t>投标人须知</w:t>
      </w:r>
      <w:r>
        <w:rPr>
          <w:rFonts w:eastAsia="Times New Roman"/>
          <w:color w:val="auto"/>
          <w:sz w:val="24"/>
          <w:szCs w:val="24"/>
          <w:highlight w:val="none"/>
        </w:rPr>
        <w:t>”</w:t>
      </w:r>
      <w:r>
        <w:rPr>
          <w:rFonts w:hint="eastAsia"/>
          <w:color w:val="auto"/>
          <w:sz w:val="24"/>
          <w:szCs w:val="24"/>
          <w:highlight w:val="none"/>
        </w:rPr>
        <w:t>第</w:t>
      </w:r>
      <w:r>
        <w:rPr>
          <w:rFonts w:eastAsia="Times New Roman"/>
          <w:color w:val="auto"/>
          <w:sz w:val="24"/>
          <w:szCs w:val="24"/>
          <w:highlight w:val="none"/>
        </w:rPr>
        <w:t>1.4.3</w:t>
      </w:r>
      <w:r>
        <w:rPr>
          <w:rFonts w:hint="eastAsia"/>
          <w:color w:val="auto"/>
          <w:sz w:val="24"/>
          <w:szCs w:val="24"/>
          <w:highlight w:val="none"/>
        </w:rPr>
        <w:t>项规定的任何一种情形。</w:t>
      </w:r>
    </w:p>
    <w:p>
      <w:pPr>
        <w:pStyle w:val="16"/>
        <w:spacing w:before="151" w:line="324" w:lineRule="auto"/>
        <w:ind w:left="100" w:right="113" w:firstLine="480" w:firstLineChars="200"/>
        <w:rPr>
          <w:rFonts w:ascii="宋体" w:cs="宋体"/>
          <w:color w:val="auto"/>
          <w:sz w:val="24"/>
          <w:szCs w:val="24"/>
          <w:highlight w:val="none"/>
        </w:rPr>
      </w:pPr>
      <w:r>
        <w:rPr>
          <w:color w:val="auto"/>
          <w:sz w:val="24"/>
          <w:szCs w:val="24"/>
          <w:highlight w:val="none"/>
        </w:rPr>
        <w:t>6.</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我方如果中标，保证履行投标文件中承诺的全部责任和义务，切实履行政府招标合同中的全部条款，并按照招标文件规定要求向广州市公共交易中心及广州市政府采购中心一次性足额缴纳交易服务费和招标代理服务费。</w:t>
      </w:r>
    </w:p>
    <w:p>
      <w:pPr>
        <w:pStyle w:val="16"/>
        <w:tabs>
          <w:tab w:val="left" w:pos="3880"/>
        </w:tabs>
        <w:spacing w:before="30" w:line="324" w:lineRule="auto"/>
        <w:ind w:right="113" w:firstLine="480" w:firstLineChars="200"/>
        <w:rPr>
          <w:color w:val="auto"/>
          <w:sz w:val="24"/>
          <w:szCs w:val="24"/>
          <w:highlight w:val="none"/>
        </w:rPr>
      </w:pPr>
      <w:r>
        <w:rPr>
          <w:rFonts w:hint="eastAsia"/>
          <w:color w:val="auto"/>
          <w:sz w:val="24"/>
          <w:szCs w:val="24"/>
          <w:highlight w:val="none"/>
        </w:rPr>
        <w:t>7</w:t>
      </w:r>
      <w:r>
        <w:rPr>
          <w:color w:val="auto"/>
          <w:sz w:val="24"/>
          <w:szCs w:val="24"/>
          <w:highlight w:val="none"/>
        </w:rPr>
        <w:t>.</w:t>
      </w:r>
      <w:r>
        <w:rPr>
          <w:rFonts w:eastAsia="Times New Roman"/>
          <w:color w:val="auto"/>
          <w:sz w:val="24"/>
          <w:szCs w:val="24"/>
          <w:highlight w:val="none"/>
          <w:u w:val="single" w:color="000000"/>
        </w:rPr>
        <w:tab/>
      </w:r>
      <w:r>
        <w:rPr>
          <w:rFonts w:hint="eastAsia"/>
          <w:color w:val="auto"/>
          <w:spacing w:val="-13"/>
          <w:sz w:val="24"/>
          <w:szCs w:val="24"/>
          <w:highlight w:val="none"/>
        </w:rPr>
        <w:t>（其他补充说明）。</w:t>
      </w:r>
    </w:p>
    <w:p>
      <w:pPr>
        <w:rPr>
          <w:rFonts w:ascii="宋体" w:cs="宋体"/>
          <w:color w:val="auto"/>
          <w:sz w:val="24"/>
          <w:szCs w:val="24"/>
          <w:highlight w:val="none"/>
        </w:rPr>
      </w:pPr>
    </w:p>
    <w:p>
      <w:pPr>
        <w:spacing w:before="5"/>
        <w:rPr>
          <w:rFonts w:ascii="宋体" w:cs="宋体"/>
          <w:color w:val="auto"/>
          <w:sz w:val="24"/>
          <w:szCs w:val="24"/>
          <w:highlight w:val="none"/>
        </w:rPr>
      </w:pPr>
    </w:p>
    <w:p>
      <w:pPr>
        <w:pStyle w:val="16"/>
        <w:tabs>
          <w:tab w:val="left" w:pos="7241"/>
        </w:tabs>
        <w:spacing w:before="36" w:line="360" w:lineRule="auto"/>
        <w:ind w:left="2621" w:right="113"/>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r>
        <w:rPr>
          <w:rFonts w:hint="eastAsia"/>
          <w:color w:val="auto"/>
          <w:sz w:val="24"/>
          <w:szCs w:val="24"/>
          <w:highlight w:val="none"/>
        </w:rPr>
        <w:t>（盖单位章）</w:t>
      </w:r>
    </w:p>
    <w:p>
      <w:pPr>
        <w:spacing w:line="360" w:lineRule="auto"/>
        <w:rPr>
          <w:color w:val="auto"/>
          <w:sz w:val="24"/>
          <w:szCs w:val="24"/>
          <w:highlight w:val="none"/>
        </w:rPr>
        <w:sectPr>
          <w:footerReference r:id="rId10" w:type="default"/>
          <w:type w:val="continuous"/>
          <w:pgSz w:w="11905" w:h="16838"/>
          <w:pgMar w:top="1417" w:right="1417" w:bottom="1417" w:left="1417" w:header="850" w:footer="992" w:gutter="0"/>
          <w:cols w:space="720" w:num="1"/>
          <w:titlePg/>
          <w:docGrid w:type="lines" w:linePitch="317" w:charSpace="0"/>
        </w:sectPr>
      </w:pPr>
    </w:p>
    <w:p>
      <w:pPr>
        <w:pStyle w:val="16"/>
        <w:tabs>
          <w:tab w:val="left" w:pos="6381"/>
        </w:tabs>
        <w:spacing w:before="48" w:line="360" w:lineRule="auto"/>
        <w:ind w:left="2601"/>
        <w:rPr>
          <w:rFonts w:ascii="宋体" w:hAnsi="宋体" w:cs="宋体"/>
          <w:color w:val="auto"/>
          <w:sz w:val="24"/>
          <w:szCs w:val="24"/>
          <w:highlight w:val="none"/>
        </w:rPr>
      </w:pPr>
      <w:r>
        <w:rPr>
          <w:rFonts w:hint="eastAsia"/>
          <w:color w:val="auto"/>
          <w:spacing w:val="-2"/>
          <w:sz w:val="24"/>
          <w:szCs w:val="24"/>
          <w:highlight w:val="none"/>
        </w:rPr>
        <w:t>法定代表人或其委托代理人：</w:t>
      </w:r>
      <w:r>
        <w:rPr>
          <w:rFonts w:eastAsia="Times New Roman"/>
          <w:color w:val="auto"/>
          <w:spacing w:val="-2"/>
          <w:sz w:val="24"/>
          <w:szCs w:val="24"/>
          <w:highlight w:val="none"/>
          <w:u w:val="single" w:color="000000"/>
        </w:rPr>
        <w:tab/>
      </w:r>
      <w:r>
        <w:rPr>
          <w:rFonts w:hint="eastAsia"/>
          <w:color w:val="auto"/>
          <w:spacing w:val="-2"/>
          <w:sz w:val="24"/>
          <w:szCs w:val="24"/>
          <w:highlight w:val="none"/>
          <w:u w:val="single" w:color="000000"/>
        </w:rPr>
        <w:t xml:space="preserve">         </w:t>
      </w:r>
      <w:r>
        <w:rPr>
          <w:rFonts w:hint="eastAsia"/>
          <w:color w:val="auto"/>
          <w:spacing w:val="-1"/>
          <w:sz w:val="24"/>
          <w:szCs w:val="24"/>
          <w:highlight w:val="none"/>
        </w:rPr>
        <w:t>（签字或盖章）</w:t>
      </w:r>
    </w:p>
    <w:p>
      <w:pPr>
        <w:spacing w:before="10"/>
        <w:rPr>
          <w:rFonts w:ascii="宋体" w:cs="宋体"/>
          <w:color w:val="auto"/>
          <w:sz w:val="24"/>
          <w:szCs w:val="24"/>
          <w:highlight w:val="none"/>
        </w:rPr>
      </w:pPr>
    </w:p>
    <w:p>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地</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pPr>
        <w:spacing w:before="4"/>
        <w:rPr>
          <w:color w:val="auto"/>
          <w:sz w:val="24"/>
          <w:szCs w:val="24"/>
          <w:highlight w:val="none"/>
        </w:rPr>
      </w:pPr>
    </w:p>
    <w:p>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网</w:t>
      </w:r>
      <w:r>
        <w:rPr>
          <w:color w:val="auto"/>
          <w:sz w:val="24"/>
          <w:szCs w:val="24"/>
          <w:highlight w:val="none"/>
        </w:rPr>
        <w:tab/>
      </w:r>
      <w:r>
        <w:rPr>
          <w:rFonts w:hint="eastAsia"/>
          <w:color w:val="auto"/>
          <w:sz w:val="24"/>
          <w:szCs w:val="24"/>
          <w:highlight w:val="none"/>
        </w:rPr>
        <w:t>址：</w:t>
      </w:r>
      <w:r>
        <w:rPr>
          <w:rFonts w:eastAsia="Times New Roman"/>
          <w:color w:val="auto"/>
          <w:sz w:val="24"/>
          <w:szCs w:val="24"/>
          <w:highlight w:val="none"/>
          <w:u w:val="single" w:color="000000"/>
        </w:rPr>
        <w:tab/>
      </w:r>
    </w:p>
    <w:p>
      <w:pPr>
        <w:spacing w:before="2"/>
        <w:rPr>
          <w:color w:val="auto"/>
          <w:sz w:val="24"/>
          <w:szCs w:val="24"/>
          <w:highlight w:val="none"/>
        </w:rPr>
      </w:pPr>
    </w:p>
    <w:p>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电</w:t>
      </w:r>
      <w:r>
        <w:rPr>
          <w:color w:val="auto"/>
          <w:sz w:val="24"/>
          <w:szCs w:val="24"/>
          <w:highlight w:val="none"/>
        </w:rPr>
        <w:tab/>
      </w:r>
      <w:r>
        <w:rPr>
          <w:rFonts w:hint="eastAsia"/>
          <w:color w:val="auto"/>
          <w:sz w:val="24"/>
          <w:szCs w:val="24"/>
          <w:highlight w:val="none"/>
        </w:rPr>
        <w:t>话：</w:t>
      </w:r>
      <w:r>
        <w:rPr>
          <w:rFonts w:eastAsia="Times New Roman"/>
          <w:color w:val="auto"/>
          <w:sz w:val="24"/>
          <w:szCs w:val="24"/>
          <w:highlight w:val="none"/>
          <w:u w:val="single" w:color="000000"/>
        </w:rPr>
        <w:tab/>
      </w:r>
    </w:p>
    <w:p>
      <w:pPr>
        <w:spacing w:before="2"/>
        <w:rPr>
          <w:color w:val="auto"/>
          <w:sz w:val="24"/>
          <w:szCs w:val="24"/>
          <w:highlight w:val="none"/>
        </w:rPr>
      </w:pPr>
    </w:p>
    <w:p>
      <w:pPr>
        <w:pStyle w:val="16"/>
        <w:tabs>
          <w:tab w:val="left" w:pos="3232"/>
          <w:tab w:val="left" w:pos="8529"/>
        </w:tabs>
        <w:spacing w:before="36"/>
        <w:ind w:left="2601"/>
        <w:rPr>
          <w:rFonts w:eastAsia="Times New Roman"/>
          <w:color w:val="auto"/>
          <w:sz w:val="24"/>
          <w:szCs w:val="24"/>
          <w:highlight w:val="none"/>
        </w:rPr>
      </w:pPr>
      <w:r>
        <w:rPr>
          <w:rFonts w:hint="eastAsia"/>
          <w:color w:val="auto"/>
          <w:sz w:val="24"/>
          <w:szCs w:val="24"/>
          <w:highlight w:val="none"/>
        </w:rPr>
        <w:t>传</w:t>
      </w:r>
      <w:r>
        <w:rPr>
          <w:color w:val="auto"/>
          <w:sz w:val="24"/>
          <w:szCs w:val="24"/>
          <w:highlight w:val="none"/>
        </w:rPr>
        <w:tab/>
      </w:r>
      <w:r>
        <w:rPr>
          <w:rFonts w:hint="eastAsia"/>
          <w:color w:val="auto"/>
          <w:sz w:val="24"/>
          <w:szCs w:val="24"/>
          <w:highlight w:val="none"/>
        </w:rPr>
        <w:t>真：</w:t>
      </w:r>
      <w:r>
        <w:rPr>
          <w:rFonts w:eastAsia="Times New Roman"/>
          <w:color w:val="auto"/>
          <w:sz w:val="24"/>
          <w:szCs w:val="24"/>
          <w:highlight w:val="none"/>
          <w:u w:val="single" w:color="000000"/>
        </w:rPr>
        <w:tab/>
      </w:r>
    </w:p>
    <w:p>
      <w:pPr>
        <w:spacing w:before="4"/>
        <w:rPr>
          <w:color w:val="auto"/>
          <w:sz w:val="24"/>
          <w:szCs w:val="24"/>
          <w:highlight w:val="none"/>
        </w:rPr>
      </w:pPr>
    </w:p>
    <w:p>
      <w:pPr>
        <w:pStyle w:val="16"/>
        <w:tabs>
          <w:tab w:val="left" w:pos="8529"/>
        </w:tabs>
        <w:spacing w:before="36"/>
        <w:ind w:left="2601"/>
        <w:rPr>
          <w:rFonts w:eastAsia="Times New Roman"/>
          <w:color w:val="auto"/>
          <w:sz w:val="24"/>
          <w:szCs w:val="24"/>
          <w:highlight w:val="none"/>
        </w:rPr>
      </w:pPr>
      <w:r>
        <w:rPr>
          <w:rFonts w:hint="eastAsia"/>
          <w:color w:val="auto"/>
          <w:sz w:val="24"/>
          <w:szCs w:val="24"/>
          <w:highlight w:val="none"/>
        </w:rPr>
        <w:t>邮政编码：</w:t>
      </w:r>
      <w:r>
        <w:rPr>
          <w:rFonts w:eastAsia="Times New Roman"/>
          <w:color w:val="auto"/>
          <w:sz w:val="24"/>
          <w:szCs w:val="24"/>
          <w:highlight w:val="none"/>
          <w:u w:val="single" w:color="000000"/>
        </w:rPr>
        <w:tab/>
      </w:r>
    </w:p>
    <w:p>
      <w:pPr>
        <w:spacing w:before="2"/>
        <w:rPr>
          <w:color w:val="auto"/>
          <w:sz w:val="24"/>
          <w:szCs w:val="24"/>
          <w:highlight w:val="none"/>
        </w:rPr>
      </w:pPr>
    </w:p>
    <w:p>
      <w:pPr>
        <w:pStyle w:val="16"/>
        <w:tabs>
          <w:tab w:val="left" w:pos="631"/>
          <w:tab w:val="left" w:pos="1471"/>
          <w:tab w:val="left" w:pos="2311"/>
        </w:tabs>
        <w:spacing w:before="36"/>
        <w:ind w:right="11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pPr>
        <w:pStyle w:val="16"/>
        <w:tabs>
          <w:tab w:val="left" w:pos="631"/>
          <w:tab w:val="left" w:pos="1471"/>
          <w:tab w:val="left" w:pos="2311"/>
        </w:tabs>
        <w:spacing w:before="36"/>
        <w:ind w:right="117"/>
        <w:jc w:val="right"/>
        <w:rPr>
          <w:color w:val="auto"/>
          <w:sz w:val="24"/>
          <w:szCs w:val="24"/>
          <w:highlight w:val="none"/>
        </w:rPr>
      </w:pPr>
    </w:p>
    <w:p>
      <w:pPr>
        <w:pStyle w:val="16"/>
        <w:tabs>
          <w:tab w:val="left" w:pos="631"/>
          <w:tab w:val="left" w:pos="1471"/>
          <w:tab w:val="left" w:pos="2311"/>
        </w:tabs>
        <w:spacing w:before="36"/>
        <w:ind w:right="117"/>
        <w:jc w:val="right"/>
        <w:rPr>
          <w:color w:val="auto"/>
          <w:sz w:val="24"/>
          <w:szCs w:val="24"/>
          <w:highlight w:val="none"/>
        </w:rPr>
      </w:pPr>
    </w:p>
    <w:p>
      <w:pPr>
        <w:pStyle w:val="16"/>
        <w:tabs>
          <w:tab w:val="left" w:pos="631"/>
          <w:tab w:val="left" w:pos="1471"/>
          <w:tab w:val="left" w:pos="2311"/>
        </w:tabs>
        <w:spacing w:before="36"/>
        <w:ind w:right="117"/>
        <w:jc w:val="right"/>
        <w:rPr>
          <w:color w:val="auto"/>
          <w:sz w:val="24"/>
          <w:szCs w:val="24"/>
          <w:highlight w:val="none"/>
        </w:rPr>
      </w:pPr>
    </w:p>
    <w:p>
      <w:pPr>
        <w:pStyle w:val="16"/>
        <w:tabs>
          <w:tab w:val="left" w:pos="631"/>
          <w:tab w:val="left" w:pos="1471"/>
          <w:tab w:val="left" w:pos="2311"/>
        </w:tabs>
        <w:spacing w:before="36"/>
        <w:ind w:right="117"/>
        <w:jc w:val="right"/>
        <w:rPr>
          <w:color w:val="auto"/>
          <w:sz w:val="24"/>
          <w:szCs w:val="24"/>
          <w:highlight w:val="none"/>
        </w:rPr>
      </w:pPr>
    </w:p>
    <w:p>
      <w:pPr>
        <w:pStyle w:val="16"/>
        <w:tabs>
          <w:tab w:val="left" w:pos="631"/>
          <w:tab w:val="left" w:pos="1471"/>
          <w:tab w:val="left" w:pos="2311"/>
        </w:tabs>
        <w:spacing w:before="36"/>
        <w:ind w:right="117"/>
        <w:jc w:val="right"/>
        <w:rPr>
          <w:color w:val="auto"/>
          <w:sz w:val="24"/>
          <w:szCs w:val="24"/>
          <w:highlight w:val="none"/>
        </w:rPr>
      </w:pPr>
    </w:p>
    <w:p>
      <w:pPr>
        <w:ind w:firstLine="176"/>
        <w:rPr>
          <w:color w:val="auto"/>
          <w:sz w:val="36"/>
          <w:szCs w:val="36"/>
          <w:highlight w:val="none"/>
        </w:rPr>
      </w:pPr>
      <w:bookmarkStart w:id="132" w:name="_Toc385943066"/>
      <w:bookmarkStart w:id="133" w:name="_Toc359594236"/>
      <w:bookmarkStart w:id="134" w:name="_Toc8656930"/>
      <w:bookmarkStart w:id="135" w:name="_Toc370676427"/>
      <w:bookmarkStart w:id="136" w:name="_Toc482188652"/>
      <w:bookmarkStart w:id="137" w:name="_Toc391394112"/>
      <w:r>
        <w:rPr>
          <w:color w:val="auto"/>
          <w:sz w:val="36"/>
          <w:szCs w:val="36"/>
          <w:highlight w:val="none"/>
        </w:rPr>
        <w:br w:type="page"/>
      </w:r>
      <w:r>
        <w:rPr>
          <w:rFonts w:hint="eastAsia"/>
          <w:color w:val="auto"/>
          <w:sz w:val="36"/>
          <w:szCs w:val="36"/>
          <w:highlight w:val="none"/>
        </w:rPr>
        <w:t>（二）投标函附录</w:t>
      </w:r>
      <w:bookmarkEnd w:id="132"/>
      <w:bookmarkEnd w:id="133"/>
      <w:bookmarkEnd w:id="134"/>
      <w:bookmarkEnd w:id="135"/>
      <w:bookmarkEnd w:id="136"/>
      <w:bookmarkEnd w:id="13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88"/>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序号</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条款名称</w:t>
            </w:r>
          </w:p>
        </w:tc>
        <w:tc>
          <w:tcPr>
            <w:tcW w:w="550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1</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项目负责人</w:t>
            </w:r>
          </w:p>
        </w:tc>
        <w:tc>
          <w:tcPr>
            <w:tcW w:w="5509" w:type="dxa"/>
            <w:vAlign w:val="center"/>
          </w:tcPr>
          <w:p>
            <w:pPr>
              <w:keepNext w:val="0"/>
              <w:keepLines w:val="0"/>
              <w:suppressLineNumbers w:val="0"/>
              <w:spacing w:before="0" w:beforeAutospacing="0" w:after="0" w:afterAutospacing="0"/>
              <w:ind w:left="0" w:right="0"/>
              <w:rPr>
                <w:rFonts w:hint="default"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2</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服务期限</w:t>
            </w:r>
          </w:p>
        </w:tc>
        <w:tc>
          <w:tcPr>
            <w:tcW w:w="5509"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4"/>
                <w:highlight w:val="none"/>
              </w:rPr>
            </w:pPr>
            <w:r>
              <w:rPr>
                <w:rFonts w:hint="eastAsia" w:ascii="宋体" w:hAnsi="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3</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bookmarkStart w:id="138" w:name="OLE_LINK27"/>
            <w:r>
              <w:rPr>
                <w:rFonts w:hint="eastAsia" w:ascii="宋体" w:hAnsi="宋体"/>
                <w:b/>
                <w:color w:val="auto"/>
                <w:sz w:val="24"/>
                <w:szCs w:val="24"/>
                <w:highlight w:val="none"/>
              </w:rPr>
              <w:t>合同价款确定方式</w:t>
            </w:r>
            <w:bookmarkEnd w:id="138"/>
          </w:p>
        </w:tc>
        <w:tc>
          <w:tcPr>
            <w:tcW w:w="5509"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4"/>
                <w:highlight w:val="none"/>
              </w:rPr>
            </w:pPr>
            <w:r>
              <w:rPr>
                <w:rFonts w:hint="eastAsia" w:ascii="宋体" w:hAnsi="宋体"/>
                <w:color w:val="auto"/>
                <w:sz w:val="24"/>
                <w:szCs w:val="24"/>
                <w:highlight w:val="none"/>
              </w:rPr>
              <w:t>详见项目合同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4</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bookmarkStart w:id="139" w:name="OLE_LINK28"/>
            <w:r>
              <w:rPr>
                <w:rFonts w:hint="eastAsia" w:ascii="宋体" w:hAnsi="宋体"/>
                <w:b/>
                <w:color w:val="auto"/>
                <w:sz w:val="24"/>
                <w:szCs w:val="24"/>
                <w:highlight w:val="none"/>
              </w:rPr>
              <w:t>技术要求</w:t>
            </w:r>
            <w:bookmarkEnd w:id="139"/>
          </w:p>
        </w:tc>
        <w:tc>
          <w:tcPr>
            <w:tcW w:w="5509"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4"/>
                <w:highlight w:val="none"/>
              </w:rPr>
            </w:pPr>
            <w:r>
              <w:rPr>
                <w:rFonts w:hint="eastAsia" w:ascii="宋体" w:hAnsi="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5</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bookmarkStart w:id="140" w:name="OLE_LINK29"/>
            <w:r>
              <w:rPr>
                <w:rFonts w:hint="eastAsia" w:ascii="宋体" w:hAnsi="宋体"/>
                <w:b/>
                <w:color w:val="auto"/>
                <w:sz w:val="24"/>
                <w:szCs w:val="24"/>
                <w:highlight w:val="none"/>
              </w:rPr>
              <w:t>投标有效期</w:t>
            </w:r>
            <w:bookmarkEnd w:id="140"/>
          </w:p>
        </w:tc>
        <w:tc>
          <w:tcPr>
            <w:tcW w:w="5509" w:type="dxa"/>
            <w:vAlign w:val="center"/>
          </w:tcPr>
          <w:p>
            <w:pPr>
              <w:keepNext w:val="0"/>
              <w:keepLines w:val="0"/>
              <w:suppressLineNumbers w:val="0"/>
              <w:spacing w:before="0" w:beforeAutospacing="0" w:after="0" w:afterAutospacing="0"/>
              <w:ind w:left="0" w:right="0"/>
              <w:jc w:val="left"/>
              <w:rPr>
                <w:rFonts w:hint="default" w:ascii="宋体" w:hAnsi="宋体"/>
                <w:color w:val="auto"/>
                <w:sz w:val="24"/>
                <w:szCs w:val="24"/>
                <w:highlight w:val="none"/>
              </w:rPr>
            </w:pPr>
            <w:r>
              <w:rPr>
                <w:rFonts w:hint="eastAsia" w:ascii="宋体" w:hAnsi="宋体"/>
                <w:color w:val="auto"/>
                <w:sz w:val="24"/>
                <w:szCs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29"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default" w:ascii="宋体" w:hAnsi="宋体"/>
                <w:b/>
                <w:color w:val="auto"/>
                <w:sz w:val="24"/>
                <w:szCs w:val="24"/>
                <w:highlight w:val="none"/>
              </w:rPr>
              <w:t xml:space="preserve">6 </w:t>
            </w:r>
          </w:p>
        </w:tc>
        <w:tc>
          <w:tcPr>
            <w:tcW w:w="228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bookmarkStart w:id="141" w:name="OLE_LINK30"/>
            <w:r>
              <w:rPr>
                <w:rFonts w:hint="eastAsia" w:ascii="宋体" w:hAnsi="宋体"/>
                <w:b/>
                <w:color w:val="auto"/>
                <w:sz w:val="24"/>
                <w:szCs w:val="24"/>
                <w:highlight w:val="none"/>
              </w:rPr>
              <w:t>投标总报价</w:t>
            </w:r>
          </w:p>
          <w:bookmarkEnd w:id="141"/>
          <w:p>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（元）</w:t>
            </w:r>
          </w:p>
        </w:tc>
        <w:tc>
          <w:tcPr>
            <w:tcW w:w="5509" w:type="dxa"/>
            <w:vAlign w:val="center"/>
          </w:tcPr>
          <w:p>
            <w:pPr>
              <w:pStyle w:val="20"/>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b/>
                <w:color w:val="auto"/>
                <w:sz w:val="24"/>
                <w:szCs w:val="24"/>
                <w:highlight w:val="none"/>
              </w:rPr>
              <w:t>投标报价：</w:t>
            </w:r>
            <w:r>
              <w:rPr>
                <w:rFonts w:hint="eastAsia" w:hAnsi="宋体"/>
                <w:color w:val="auto"/>
                <w:sz w:val="24"/>
                <w:szCs w:val="24"/>
                <w:highlight w:val="none"/>
                <w:u w:val="single"/>
              </w:rPr>
              <w:t xml:space="preserve">       </w:t>
            </w:r>
            <w:r>
              <w:rPr>
                <w:rFonts w:hint="eastAsia" w:hAnsi="宋体"/>
                <w:color w:val="auto"/>
                <w:sz w:val="24"/>
                <w:szCs w:val="24"/>
                <w:highlight w:val="none"/>
              </w:rPr>
              <w:t>元</w:t>
            </w:r>
          </w:p>
        </w:tc>
      </w:tr>
    </w:tbl>
    <w:p>
      <w:pPr>
        <w:spacing w:line="312" w:lineRule="exact"/>
        <w:jc w:val="left"/>
        <w:rPr>
          <w:color w:val="auto"/>
          <w:sz w:val="24"/>
          <w:szCs w:val="24"/>
          <w:highlight w:val="none"/>
        </w:rPr>
      </w:pPr>
      <w:r>
        <w:rPr>
          <w:rFonts w:hint="eastAsia"/>
          <w:color w:val="auto"/>
          <w:sz w:val="24"/>
          <w:szCs w:val="24"/>
          <w:highlight w:val="none"/>
        </w:rPr>
        <w:t>注：</w:t>
      </w:r>
    </w:p>
    <w:p>
      <w:pPr>
        <w:spacing w:line="312" w:lineRule="exact"/>
        <w:ind w:firstLine="480" w:firstLineChars="200"/>
        <w:jc w:val="left"/>
        <w:rPr>
          <w:color w:val="auto"/>
          <w:sz w:val="24"/>
          <w:szCs w:val="24"/>
          <w:highlight w:val="none"/>
        </w:rPr>
      </w:pPr>
      <w:r>
        <w:rPr>
          <w:rFonts w:hint="eastAsia"/>
          <w:color w:val="auto"/>
          <w:sz w:val="24"/>
          <w:szCs w:val="24"/>
          <w:highlight w:val="none"/>
        </w:rPr>
        <w:t>1、投标报价总价以“元”为单位，小数点后保留两位小数，第三位小数四舍五入；</w:t>
      </w:r>
    </w:p>
    <w:p>
      <w:pPr>
        <w:spacing w:line="312" w:lineRule="exact"/>
        <w:ind w:firstLine="480" w:firstLineChars="200"/>
        <w:jc w:val="left"/>
        <w:rPr>
          <w:color w:val="auto"/>
          <w:sz w:val="24"/>
          <w:szCs w:val="24"/>
          <w:highlight w:val="none"/>
        </w:rPr>
      </w:pPr>
      <w:r>
        <w:rPr>
          <w:rFonts w:hint="eastAsia"/>
          <w:color w:val="auto"/>
          <w:sz w:val="24"/>
          <w:szCs w:val="24"/>
          <w:highlight w:val="none"/>
        </w:rPr>
        <w:t>2、如投标报价形式不符合本点要求的，不作为否决投标条件，由评标委员会进行修正；修正后的投标报价若超过对应的最高投标限价，则由评标委员会作无效投标处理。</w:t>
      </w: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16"/>
        <w:tabs>
          <w:tab w:val="left" w:pos="7321"/>
        </w:tabs>
        <w:spacing w:before="36"/>
        <w:ind w:left="2701"/>
        <w:rPr>
          <w:color w:val="auto"/>
          <w:sz w:val="24"/>
          <w:szCs w:val="24"/>
          <w:highlight w:val="none"/>
        </w:rPr>
      </w:pPr>
      <w:r>
        <w:rPr>
          <w:rFonts w:hint="eastAsia"/>
          <w:color w:val="auto"/>
          <w:sz w:val="24"/>
          <w:szCs w:val="24"/>
          <w:highlight w:val="none"/>
        </w:rPr>
        <w:t>投标人：</w:t>
      </w:r>
      <w:r>
        <w:rPr>
          <w:rFonts w:eastAsia="Times New Roman"/>
          <w:color w:val="auto"/>
          <w:sz w:val="24"/>
          <w:szCs w:val="24"/>
          <w:highlight w:val="none"/>
          <w:u w:val="single" w:color="000000"/>
        </w:rPr>
        <w:tab/>
      </w:r>
    </w:p>
    <w:p>
      <w:pPr>
        <w:spacing w:before="13"/>
        <w:rPr>
          <w:rFonts w:ascii="宋体" w:cs="宋体"/>
          <w:color w:val="auto"/>
          <w:sz w:val="24"/>
          <w:szCs w:val="24"/>
          <w:highlight w:val="none"/>
        </w:rPr>
      </w:pPr>
    </w:p>
    <w:p>
      <w:pPr>
        <w:pStyle w:val="16"/>
        <w:tabs>
          <w:tab w:val="left" w:pos="6481"/>
        </w:tabs>
        <w:spacing w:before="36"/>
        <w:ind w:left="2701"/>
        <w:rPr>
          <w:color w:val="auto"/>
          <w:sz w:val="24"/>
          <w:szCs w:val="24"/>
          <w:highlight w:val="none"/>
        </w:rPr>
      </w:pPr>
      <w:r>
        <w:rPr>
          <w:rFonts w:hint="eastAsia"/>
          <w:color w:val="auto"/>
          <w:spacing w:val="-2"/>
          <w:sz w:val="24"/>
          <w:szCs w:val="24"/>
          <w:highlight w:val="none"/>
        </w:rPr>
        <w:t>法定代表人或其委托代理人：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pPr>
        <w:spacing w:before="10"/>
        <w:rPr>
          <w:rFonts w:ascii="宋体" w:cs="宋体"/>
          <w:color w:val="auto"/>
          <w:sz w:val="24"/>
          <w:szCs w:val="24"/>
          <w:highlight w:val="none"/>
        </w:rPr>
      </w:pPr>
    </w:p>
    <w:p>
      <w:pPr>
        <w:pStyle w:val="16"/>
        <w:tabs>
          <w:tab w:val="left" w:pos="631"/>
          <w:tab w:val="left" w:pos="1471"/>
          <w:tab w:val="left" w:pos="2311"/>
        </w:tabs>
        <w:spacing w:before="36"/>
        <w:ind w:right="177"/>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bookmarkEnd w:id="118"/>
    <w:bookmarkEnd w:id="119"/>
    <w:bookmarkEnd w:id="120"/>
    <w:bookmarkEnd w:id="121"/>
    <w:bookmarkEnd w:id="122"/>
    <w:bookmarkEnd w:id="123"/>
    <w:bookmarkEnd w:id="124"/>
    <w:bookmarkEnd w:id="125"/>
    <w:bookmarkEnd w:id="126"/>
    <w:bookmarkEnd w:id="127"/>
    <w:bookmarkEnd w:id="128"/>
    <w:p>
      <w:pPr>
        <w:widowControl/>
        <w:jc w:val="left"/>
        <w:rPr>
          <w:color w:val="auto"/>
          <w:highlight w:val="none"/>
        </w:rPr>
      </w:pPr>
      <w:r>
        <w:rPr>
          <w:color w:val="auto"/>
          <w:highlight w:val="none"/>
        </w:rPr>
        <w:br w:type="page"/>
      </w:r>
      <w:bookmarkStart w:id="142" w:name="_Toc8656931"/>
    </w:p>
    <w:p>
      <w:pPr>
        <w:widowControl/>
        <w:jc w:val="left"/>
        <w:rPr>
          <w:color w:val="auto"/>
          <w:highlight w:val="none"/>
        </w:rPr>
      </w:pPr>
    </w:p>
    <w:p>
      <w:pPr>
        <w:keepNext/>
        <w:adjustRightInd w:val="0"/>
        <w:snapToGrid w:val="0"/>
        <w:spacing w:after="158" w:afterLines="50" w:line="288" w:lineRule="auto"/>
        <w:jc w:val="center"/>
        <w:rPr>
          <w:rFonts w:ascii="宋体"/>
          <w:b/>
          <w:color w:val="auto"/>
          <w:sz w:val="28"/>
          <w:highlight w:val="none"/>
        </w:rPr>
      </w:pPr>
      <w:r>
        <w:rPr>
          <w:rFonts w:hint="eastAsia" w:ascii="宋体"/>
          <w:b/>
          <w:color w:val="auto"/>
          <w:sz w:val="28"/>
          <w:highlight w:val="none"/>
        </w:rPr>
        <w:t>投标报价明细表</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22"/>
        <w:gridCol w:w="2563"/>
        <w:gridCol w:w="2550"/>
        <w:gridCol w:w="31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85" w:hRule="atLeast"/>
          <w:tblHeader/>
          <w:jc w:val="center"/>
        </w:trPr>
        <w:tc>
          <w:tcPr>
            <w:tcW w:w="550"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8"/>
                <w:highlight w:val="none"/>
              </w:rPr>
            </w:pPr>
            <w:r>
              <w:rPr>
                <w:rFonts w:hint="eastAsia"/>
                <w:b/>
                <w:color w:val="auto"/>
                <w:sz w:val="28"/>
                <w:highlight w:val="none"/>
              </w:rPr>
              <w:t>序号</w:t>
            </w:r>
          </w:p>
        </w:tc>
        <w:tc>
          <w:tcPr>
            <w:tcW w:w="1379"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8"/>
                <w:highlight w:val="none"/>
              </w:rPr>
            </w:pPr>
            <w:r>
              <w:rPr>
                <w:rFonts w:hint="eastAsia"/>
                <w:b/>
                <w:color w:val="auto"/>
                <w:sz w:val="28"/>
                <w:highlight w:val="none"/>
              </w:rPr>
              <w:t>项目</w:t>
            </w:r>
          </w:p>
        </w:tc>
        <w:tc>
          <w:tcPr>
            <w:tcW w:w="1372"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8"/>
                <w:highlight w:val="none"/>
              </w:rPr>
            </w:pPr>
            <w:r>
              <w:rPr>
                <w:rFonts w:hint="eastAsia"/>
                <w:b/>
                <w:color w:val="auto"/>
                <w:sz w:val="28"/>
                <w:highlight w:val="none"/>
              </w:rPr>
              <w:t>投标报价</w:t>
            </w:r>
            <w:r>
              <w:rPr>
                <w:rFonts w:hint="default"/>
                <w:b/>
                <w:color w:val="auto"/>
                <w:sz w:val="28"/>
                <w:highlight w:val="none"/>
              </w:rPr>
              <w:t>总价</w:t>
            </w:r>
            <w:r>
              <w:rPr>
                <w:rFonts w:hint="eastAsia"/>
                <w:b/>
                <w:color w:val="auto"/>
                <w:sz w:val="28"/>
                <w:highlight w:val="none"/>
              </w:rPr>
              <w:t>（元）</w:t>
            </w:r>
          </w:p>
        </w:tc>
        <w:tc>
          <w:tcPr>
            <w:tcW w:w="1696"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8"/>
                <w:highlight w:val="none"/>
              </w:rPr>
            </w:pPr>
            <w:r>
              <w:rPr>
                <w:rFonts w:hint="eastAsia"/>
                <w:b/>
                <w:color w:val="auto"/>
                <w:sz w:val="28"/>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r>
              <w:rPr>
                <w:rFonts w:hint="eastAsia"/>
                <w:color w:val="auto"/>
                <w:sz w:val="28"/>
                <w:highlight w:val="none"/>
              </w:rPr>
              <w:t>1</w:t>
            </w:r>
          </w:p>
        </w:tc>
        <w:tc>
          <w:tcPr>
            <w:tcW w:w="1379"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r>
              <w:rPr>
                <w:rFonts w:hint="eastAsia"/>
                <w:b/>
                <w:color w:val="auto"/>
                <w:sz w:val="24"/>
                <w:szCs w:val="24"/>
                <w:highlight w:val="none"/>
              </w:rPr>
              <w:t>投标报价：</w:t>
            </w:r>
          </w:p>
        </w:tc>
        <w:tc>
          <w:tcPr>
            <w:tcW w:w="1372"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c>
          <w:tcPr>
            <w:tcW w:w="1696"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9" w:hRule="atLeast"/>
          <w:jc w:val="center"/>
        </w:trPr>
        <w:tc>
          <w:tcPr>
            <w:tcW w:w="550"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r>
              <w:rPr>
                <w:rFonts w:hint="eastAsia"/>
                <w:color w:val="auto"/>
                <w:sz w:val="28"/>
                <w:highlight w:val="none"/>
              </w:rPr>
              <w:t>1.1</w:t>
            </w:r>
          </w:p>
        </w:tc>
        <w:tc>
          <w:tcPr>
            <w:tcW w:w="1379"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4"/>
                <w:szCs w:val="24"/>
                <w:highlight w:val="none"/>
              </w:rPr>
            </w:pPr>
            <w:r>
              <w:rPr>
                <w:rFonts w:hint="eastAsia"/>
                <w:b/>
                <w:color w:val="auto"/>
                <w:sz w:val="24"/>
                <w:szCs w:val="24"/>
                <w:highlight w:val="none"/>
              </w:rPr>
              <w:t>电网工程及所有配电设施建设部分</w:t>
            </w:r>
          </w:p>
        </w:tc>
        <w:tc>
          <w:tcPr>
            <w:tcW w:w="1372"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c>
          <w:tcPr>
            <w:tcW w:w="1696"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1509" w:hRule="atLeast"/>
          <w:jc w:val="center"/>
        </w:trPr>
        <w:tc>
          <w:tcPr>
            <w:tcW w:w="550"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r>
              <w:rPr>
                <w:rFonts w:hint="eastAsia"/>
                <w:color w:val="auto"/>
                <w:sz w:val="28"/>
                <w:highlight w:val="none"/>
              </w:rPr>
              <w:t>1.2</w:t>
            </w:r>
          </w:p>
        </w:tc>
        <w:tc>
          <w:tcPr>
            <w:tcW w:w="1379"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b/>
                <w:color w:val="auto"/>
                <w:sz w:val="24"/>
                <w:szCs w:val="24"/>
                <w:highlight w:val="none"/>
              </w:rPr>
            </w:pPr>
            <w:r>
              <w:rPr>
                <w:rFonts w:hint="eastAsia"/>
                <w:b/>
                <w:color w:val="auto"/>
                <w:sz w:val="24"/>
                <w:szCs w:val="24"/>
                <w:highlight w:val="none"/>
              </w:rPr>
              <w:t>耗材及设备租赁</w:t>
            </w:r>
          </w:p>
        </w:tc>
        <w:tc>
          <w:tcPr>
            <w:tcW w:w="1372"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c>
          <w:tcPr>
            <w:tcW w:w="1696" w:type="pct"/>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8"/>
                <w:highlight w:val="none"/>
              </w:rPr>
            </w:pPr>
          </w:p>
        </w:tc>
      </w:tr>
    </w:tbl>
    <w:p>
      <w:pPr>
        <w:widowControl/>
        <w:jc w:val="left"/>
        <w:rPr>
          <w:color w:val="auto"/>
          <w:highlight w:val="none"/>
        </w:rPr>
      </w:pPr>
    </w:p>
    <w:p>
      <w:pPr>
        <w:widowControl/>
        <w:jc w:val="left"/>
        <w:rPr>
          <w:color w:val="auto"/>
          <w:highlight w:val="none"/>
        </w:rPr>
      </w:pPr>
      <w:r>
        <w:rPr>
          <w:rFonts w:hint="eastAsia"/>
          <w:color w:val="auto"/>
          <w:highlight w:val="none"/>
        </w:rPr>
        <w:t>注：</w:t>
      </w:r>
    </w:p>
    <w:p>
      <w:pPr>
        <w:widowControl/>
        <w:jc w:val="left"/>
        <w:rPr>
          <w:color w:val="auto"/>
          <w:highlight w:val="none"/>
        </w:rPr>
      </w:pPr>
      <w:r>
        <w:rPr>
          <w:rFonts w:hint="eastAsia"/>
          <w:bCs/>
          <w:color w:val="auto"/>
          <w:highlight w:val="none"/>
        </w:rPr>
        <w:t>投标报价以元为单位，小数点后保留二位小数，第三位小数四舍五入。</w:t>
      </w:r>
    </w:p>
    <w:p>
      <w:pPr>
        <w:widowControl/>
        <w:jc w:val="left"/>
        <w:rPr>
          <w:color w:val="auto"/>
          <w:highlight w:val="none"/>
        </w:rPr>
      </w:pPr>
    </w:p>
    <w:p>
      <w:pPr>
        <w:widowControl/>
        <w:jc w:val="left"/>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spacing w:line="473" w:lineRule="auto"/>
        <w:outlineLvl w:val="2"/>
        <w:rPr>
          <w:b/>
          <w:color w:val="auto"/>
          <w:highlight w:val="none"/>
        </w:rPr>
      </w:pPr>
      <w:bookmarkStart w:id="143" w:name="_Toc193363158"/>
      <w:r>
        <w:rPr>
          <w:rFonts w:hint="eastAsia"/>
          <w:b/>
          <w:bCs/>
          <w:color w:val="auto"/>
          <w:highlight w:val="none"/>
        </w:rPr>
        <w:t>格式二</w:t>
      </w:r>
      <w:bookmarkEnd w:id="143"/>
    </w:p>
    <w:p>
      <w:pPr>
        <w:pStyle w:val="205"/>
        <w:spacing w:line="443" w:lineRule="exact"/>
        <w:ind w:left="2654"/>
        <w:outlineLvl w:val="9"/>
        <w:rPr>
          <w:b w:val="0"/>
          <w:bCs w:val="0"/>
          <w:color w:val="auto"/>
          <w:sz w:val="36"/>
          <w:szCs w:val="36"/>
          <w:highlight w:val="none"/>
          <w:lang w:eastAsia="zh-CN"/>
        </w:rPr>
      </w:pPr>
      <w:bookmarkStart w:id="144" w:name="_Toc193363159"/>
      <w:r>
        <w:rPr>
          <w:rFonts w:hint="eastAsia" w:ascii="黑体" w:hAnsi="黑体" w:eastAsia="黑体" w:cs="黑体"/>
          <w:color w:val="auto"/>
          <w:sz w:val="36"/>
          <w:szCs w:val="36"/>
          <w:highlight w:val="none"/>
          <w:lang w:eastAsia="zh-CN"/>
        </w:rPr>
        <w:t>二、法定代表人身份证明</w:t>
      </w:r>
      <w:bookmarkEnd w:id="142"/>
      <w:bookmarkEnd w:id="144"/>
    </w:p>
    <w:p>
      <w:pPr>
        <w:rPr>
          <w:rFonts w:ascii="Microsoft JhengHei" w:hAnsi="Microsoft JhengHei" w:eastAsia="Microsoft JhengHei" w:cs="Microsoft JhengHei"/>
          <w:b/>
          <w:bCs/>
          <w:color w:val="auto"/>
          <w:sz w:val="24"/>
          <w:szCs w:val="24"/>
          <w:highlight w:val="none"/>
        </w:rPr>
      </w:pPr>
    </w:p>
    <w:p>
      <w:pPr>
        <w:spacing w:before="8"/>
        <w:rPr>
          <w:rFonts w:ascii="Microsoft JhengHei" w:hAnsi="Microsoft JhengHei" w:eastAsia="Microsoft JhengHei" w:cs="Microsoft JhengHei"/>
          <w:b/>
          <w:bCs/>
          <w:color w:val="auto"/>
          <w:sz w:val="24"/>
          <w:szCs w:val="24"/>
          <w:highlight w:val="none"/>
        </w:rPr>
      </w:pPr>
    </w:p>
    <w:p>
      <w:pPr>
        <w:pStyle w:val="16"/>
        <w:tabs>
          <w:tab w:val="left" w:pos="3928"/>
        </w:tabs>
        <w:ind w:left="100"/>
        <w:rPr>
          <w:rFonts w:eastAsia="Times New Roman"/>
          <w:color w:val="auto"/>
          <w:sz w:val="24"/>
          <w:szCs w:val="24"/>
          <w:highlight w:val="none"/>
        </w:rPr>
      </w:pPr>
      <w:r>
        <w:rPr>
          <w:rFonts w:hint="eastAsia"/>
          <w:color w:val="auto"/>
          <w:sz w:val="24"/>
          <w:szCs w:val="24"/>
          <w:highlight w:val="none"/>
        </w:rPr>
        <w:t>投标人名称：</w:t>
      </w:r>
      <w:r>
        <w:rPr>
          <w:rFonts w:eastAsia="Times New Roman"/>
          <w:color w:val="auto"/>
          <w:sz w:val="24"/>
          <w:szCs w:val="24"/>
          <w:highlight w:val="none"/>
          <w:u w:val="single" w:color="000000"/>
        </w:rPr>
        <w:tab/>
      </w:r>
    </w:p>
    <w:p>
      <w:pPr>
        <w:spacing w:before="2"/>
        <w:rPr>
          <w:color w:val="auto"/>
          <w:sz w:val="24"/>
          <w:szCs w:val="24"/>
          <w:highlight w:val="none"/>
        </w:rPr>
      </w:pPr>
    </w:p>
    <w:p>
      <w:pPr>
        <w:pStyle w:val="16"/>
        <w:tabs>
          <w:tab w:val="left" w:pos="2412"/>
          <w:tab w:val="left" w:pos="3883"/>
          <w:tab w:val="left" w:pos="5352"/>
          <w:tab w:val="left" w:pos="6869"/>
        </w:tabs>
        <w:spacing w:before="36"/>
        <w:ind w:left="100"/>
        <w:rPr>
          <w:rFonts w:eastAsia="Times New Roman"/>
          <w:color w:val="auto"/>
          <w:sz w:val="24"/>
          <w:szCs w:val="24"/>
          <w:highlight w:val="none"/>
        </w:rPr>
      </w:pPr>
      <w:r>
        <w:rPr>
          <w:rFonts w:hint="eastAsia"/>
          <w:color w:val="auto"/>
          <w:spacing w:val="-1"/>
          <w:sz w:val="24"/>
          <w:szCs w:val="24"/>
          <w:highlight w:val="none"/>
        </w:rPr>
        <w:t>姓名：</w:t>
      </w:r>
      <w:r>
        <w:rPr>
          <w:rFonts w:eastAsia="Times New Roman"/>
          <w:color w:val="auto"/>
          <w:spacing w:val="-1"/>
          <w:sz w:val="24"/>
          <w:szCs w:val="24"/>
          <w:highlight w:val="none"/>
          <w:u w:val="single" w:color="000000"/>
        </w:rPr>
        <w:tab/>
      </w:r>
      <w:r>
        <w:rPr>
          <w:rFonts w:hint="eastAsia"/>
          <w:color w:val="auto"/>
          <w:spacing w:val="-1"/>
          <w:sz w:val="24"/>
          <w:szCs w:val="24"/>
          <w:highlight w:val="none"/>
        </w:rPr>
        <w:t>性别：</w:t>
      </w:r>
      <w:r>
        <w:rPr>
          <w:rFonts w:eastAsia="Times New Roman"/>
          <w:color w:val="auto"/>
          <w:spacing w:val="-1"/>
          <w:sz w:val="24"/>
          <w:szCs w:val="24"/>
          <w:highlight w:val="none"/>
          <w:u w:val="single" w:color="000000"/>
        </w:rPr>
        <w:tab/>
      </w:r>
      <w:r>
        <w:rPr>
          <w:rFonts w:hint="eastAsia"/>
          <w:color w:val="auto"/>
          <w:spacing w:val="-2"/>
          <w:sz w:val="24"/>
          <w:szCs w:val="24"/>
          <w:highlight w:val="none"/>
        </w:rPr>
        <w:t>年龄：</w:t>
      </w:r>
      <w:r>
        <w:rPr>
          <w:rFonts w:eastAsia="Times New Roman"/>
          <w:color w:val="auto"/>
          <w:spacing w:val="-2"/>
          <w:sz w:val="24"/>
          <w:szCs w:val="24"/>
          <w:highlight w:val="none"/>
          <w:u w:val="single" w:color="000000"/>
        </w:rPr>
        <w:tab/>
      </w:r>
      <w:r>
        <w:rPr>
          <w:rFonts w:hint="eastAsia"/>
          <w:color w:val="auto"/>
          <w:spacing w:val="-2"/>
          <w:sz w:val="24"/>
          <w:szCs w:val="24"/>
          <w:highlight w:val="none"/>
        </w:rPr>
        <w:t>职务：</w:t>
      </w:r>
      <w:r>
        <w:rPr>
          <w:rFonts w:eastAsia="Times New Roman"/>
          <w:color w:val="auto"/>
          <w:sz w:val="24"/>
          <w:szCs w:val="24"/>
          <w:highlight w:val="none"/>
          <w:u w:val="single" w:color="000000"/>
        </w:rPr>
        <w:tab/>
      </w:r>
    </w:p>
    <w:p>
      <w:pPr>
        <w:spacing w:before="5"/>
        <w:rPr>
          <w:color w:val="auto"/>
          <w:sz w:val="24"/>
          <w:szCs w:val="24"/>
          <w:highlight w:val="none"/>
        </w:rPr>
      </w:pPr>
    </w:p>
    <w:p>
      <w:pPr>
        <w:pStyle w:val="16"/>
        <w:tabs>
          <w:tab w:val="left" w:pos="2832"/>
        </w:tabs>
        <w:spacing w:before="36"/>
        <w:ind w:left="100"/>
        <w:rPr>
          <w:color w:val="auto"/>
          <w:sz w:val="24"/>
          <w:szCs w:val="24"/>
          <w:highlight w:val="none"/>
        </w:rPr>
      </w:pPr>
      <w:r>
        <w:rPr>
          <w:rFonts w:hint="eastAsia"/>
          <w:color w:val="auto"/>
          <w:spacing w:val="-1"/>
          <w:sz w:val="24"/>
          <w:szCs w:val="24"/>
          <w:highlight w:val="none"/>
        </w:rPr>
        <w:t>系</w:t>
      </w:r>
      <w:r>
        <w:rPr>
          <w:rFonts w:eastAsia="Times New Roman"/>
          <w:color w:val="auto"/>
          <w:spacing w:val="-1"/>
          <w:sz w:val="24"/>
          <w:szCs w:val="24"/>
          <w:highlight w:val="none"/>
          <w:u w:val="single" w:color="000000"/>
        </w:rPr>
        <w:tab/>
      </w:r>
      <w:r>
        <w:rPr>
          <w:rFonts w:hint="eastAsia"/>
          <w:color w:val="auto"/>
          <w:spacing w:val="-2"/>
          <w:sz w:val="24"/>
          <w:szCs w:val="24"/>
          <w:highlight w:val="none"/>
        </w:rPr>
        <w:t>（投标人名称）的法定代表人。</w:t>
      </w:r>
    </w:p>
    <w:p>
      <w:pPr>
        <w:spacing w:before="10"/>
        <w:rPr>
          <w:rFonts w:ascii="宋体" w:cs="宋体"/>
          <w:color w:val="auto"/>
          <w:sz w:val="24"/>
          <w:szCs w:val="24"/>
          <w:highlight w:val="none"/>
        </w:rPr>
      </w:pPr>
    </w:p>
    <w:p>
      <w:pPr>
        <w:pStyle w:val="16"/>
        <w:spacing w:before="36"/>
        <w:ind w:left="100" w:firstLine="419"/>
        <w:rPr>
          <w:color w:val="auto"/>
          <w:sz w:val="24"/>
          <w:szCs w:val="24"/>
          <w:highlight w:val="none"/>
        </w:rPr>
      </w:pPr>
      <w:r>
        <w:rPr>
          <w:rFonts w:hint="eastAsia"/>
          <w:color w:val="auto"/>
          <w:sz w:val="24"/>
          <w:szCs w:val="24"/>
          <w:highlight w:val="none"/>
        </w:rPr>
        <w:t>特此证明。</w:t>
      </w:r>
    </w:p>
    <w:p>
      <w:pPr>
        <w:rPr>
          <w:rFonts w:ascii="宋体" w:cs="宋体"/>
          <w:color w:val="auto"/>
          <w:sz w:val="24"/>
          <w:szCs w:val="24"/>
          <w:highlight w:val="none"/>
        </w:rPr>
      </w:pPr>
    </w:p>
    <w:p>
      <w:pPr>
        <w:spacing w:before="4"/>
        <w:rPr>
          <w:rFonts w:ascii="宋体" w:cs="宋体"/>
          <w:color w:val="auto"/>
          <w:sz w:val="24"/>
          <w:szCs w:val="24"/>
          <w:highlight w:val="none"/>
        </w:rPr>
      </w:pPr>
    </w:p>
    <w:p>
      <w:pPr>
        <w:pStyle w:val="16"/>
        <w:ind w:left="100"/>
        <w:rPr>
          <w:rFonts w:ascii="宋体" w:cs="宋体"/>
          <w:color w:val="auto"/>
          <w:sz w:val="24"/>
          <w:szCs w:val="24"/>
          <w:highlight w:val="none"/>
        </w:rPr>
      </w:pPr>
      <w:r>
        <w:rPr>
          <w:rFonts w:hint="eastAsia"/>
          <w:color w:val="auto"/>
          <w:sz w:val="24"/>
          <w:szCs w:val="24"/>
          <w:highlight w:val="none"/>
        </w:rPr>
        <w:t>附：法定代表人身份证扫描件</w:t>
      </w:r>
    </w:p>
    <w:p>
      <w:pPr>
        <w:pStyle w:val="16"/>
        <w:ind w:left="100"/>
        <w:rPr>
          <w:rFonts w:ascii="宋体" w:cs="宋体"/>
          <w:color w:val="auto"/>
          <w:sz w:val="24"/>
          <w:szCs w:val="24"/>
          <w:highlight w:val="none"/>
        </w:rPr>
      </w:pPr>
      <w:r>
        <w:rPr>
          <w:rFonts w:hint="eastAsia"/>
          <w:color w:val="auto"/>
          <w:sz w:val="24"/>
          <w:szCs w:val="24"/>
          <w:highlight w:val="none"/>
        </w:rPr>
        <w:t>注：本身份证明需由投标人加盖单位公章。</w:t>
      </w:r>
    </w:p>
    <w:p>
      <w:pPr>
        <w:spacing w:before="2"/>
        <w:rPr>
          <w:rFonts w:ascii="宋体" w:cs="宋体"/>
          <w:color w:val="auto"/>
          <w:sz w:val="24"/>
          <w:szCs w:val="24"/>
          <w:highlight w:val="none"/>
        </w:rPr>
      </w:pPr>
    </w:p>
    <w:p>
      <w:pPr>
        <w:pStyle w:val="16"/>
        <w:tabs>
          <w:tab w:val="left" w:pos="6521"/>
        </w:tabs>
        <w:spacing w:before="36"/>
        <w:ind w:left="4212"/>
        <w:rPr>
          <w:rFonts w:ascii="宋体" w:cs="宋体"/>
          <w:color w:val="auto"/>
          <w:sz w:val="24"/>
          <w:szCs w:val="24"/>
          <w:highlight w:val="none"/>
        </w:rPr>
      </w:pPr>
      <w:r>
        <w:rPr>
          <w:rFonts w:hint="eastAsia"/>
          <w:color w:val="auto"/>
          <w:spacing w:val="-2"/>
          <w:sz w:val="24"/>
          <w:szCs w:val="24"/>
          <w:highlight w:val="none"/>
        </w:rPr>
        <w:t>投标人：</w:t>
      </w:r>
      <w:r>
        <w:rPr>
          <w:rFonts w:eastAsia="Times New Roman"/>
          <w:color w:val="auto"/>
          <w:spacing w:val="-2"/>
          <w:sz w:val="24"/>
          <w:szCs w:val="24"/>
          <w:highlight w:val="none"/>
          <w:u w:val="single" w:color="000000"/>
        </w:rPr>
        <w:tab/>
      </w:r>
      <w:r>
        <w:rPr>
          <w:rFonts w:hint="eastAsia"/>
          <w:color w:val="auto"/>
          <w:spacing w:val="-1"/>
          <w:sz w:val="24"/>
          <w:szCs w:val="24"/>
          <w:highlight w:val="none"/>
        </w:rPr>
        <w:t>（盖单位章）</w:t>
      </w:r>
    </w:p>
    <w:p>
      <w:pPr>
        <w:pStyle w:val="16"/>
        <w:tabs>
          <w:tab w:val="left" w:pos="5352"/>
          <w:tab w:val="left" w:pos="6192"/>
          <w:tab w:val="left" w:pos="7032"/>
        </w:tabs>
        <w:spacing w:before="36"/>
        <w:ind w:left="4721"/>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z w:val="24"/>
          <w:szCs w:val="24"/>
          <w:highlight w:val="none"/>
        </w:rPr>
        <w:t>月</w:t>
      </w:r>
      <w:r>
        <w:rPr>
          <w:rFonts w:eastAsia="Times New Roman"/>
          <w:color w:val="auto"/>
          <w:sz w:val="24"/>
          <w:szCs w:val="24"/>
          <w:highlight w:val="none"/>
          <w:u w:val="single" w:color="000000"/>
        </w:rPr>
        <w:tab/>
      </w:r>
      <w:r>
        <w:rPr>
          <w:rFonts w:hint="eastAsia"/>
          <w:color w:val="auto"/>
          <w:sz w:val="24"/>
          <w:szCs w:val="24"/>
          <w:highlight w:val="none"/>
        </w:rPr>
        <w:t>日</w:t>
      </w:r>
    </w:p>
    <w:p>
      <w:pPr>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p>
    <w:p>
      <w:pPr>
        <w:spacing w:line="440" w:lineRule="exact"/>
        <w:rPr>
          <w:rFonts w:eastAsia="黑体"/>
          <w:color w:val="auto"/>
          <w:sz w:val="24"/>
          <w:szCs w:val="24"/>
          <w:highlight w:val="none"/>
        </w:rPr>
      </w:pPr>
    </w:p>
    <w:p>
      <w:pPr>
        <w:spacing w:line="440" w:lineRule="exact"/>
        <w:rPr>
          <w:rFonts w:eastAsia="黑体"/>
          <w:color w:val="auto"/>
          <w:sz w:val="24"/>
          <w:szCs w:val="24"/>
          <w:highlight w:val="none"/>
        </w:rPr>
      </w:pPr>
    </w:p>
    <w:p>
      <w:pPr>
        <w:spacing w:line="440" w:lineRule="exact"/>
        <w:rPr>
          <w:rFonts w:eastAsia="黑体"/>
          <w:color w:val="auto"/>
          <w:sz w:val="24"/>
          <w:szCs w:val="24"/>
          <w:highlight w:val="none"/>
        </w:rPr>
      </w:pPr>
    </w:p>
    <w:p>
      <w:pPr>
        <w:spacing w:line="440" w:lineRule="exact"/>
        <w:rPr>
          <w:rFonts w:eastAsia="黑体"/>
          <w:color w:val="auto"/>
          <w:sz w:val="24"/>
          <w:szCs w:val="24"/>
          <w:highlight w:val="none"/>
        </w:rPr>
      </w:pPr>
    </w:p>
    <w:p>
      <w:pPr>
        <w:spacing w:line="440" w:lineRule="exact"/>
        <w:rPr>
          <w:rFonts w:eastAsia="黑体"/>
          <w:color w:val="auto"/>
          <w:sz w:val="36"/>
          <w:szCs w:val="36"/>
          <w:highlight w:val="none"/>
        </w:rPr>
      </w:pPr>
      <w:r>
        <w:rPr>
          <w:rFonts w:eastAsia="黑体"/>
          <w:color w:val="auto"/>
          <w:sz w:val="24"/>
          <w:szCs w:val="24"/>
          <w:highlight w:val="none"/>
        </w:rPr>
        <w:br w:type="page"/>
      </w:r>
    </w:p>
    <w:p>
      <w:pPr>
        <w:spacing w:line="473" w:lineRule="auto"/>
        <w:ind w:right="17"/>
        <w:outlineLvl w:val="2"/>
        <w:rPr>
          <w:b/>
          <w:bCs/>
          <w:color w:val="auto"/>
          <w:highlight w:val="none"/>
        </w:rPr>
      </w:pPr>
      <w:bookmarkStart w:id="145" w:name="_Toc193363160"/>
      <w:bookmarkStart w:id="146" w:name="_Toc8656932"/>
      <w:r>
        <w:rPr>
          <w:rFonts w:hint="eastAsia"/>
          <w:b/>
          <w:bCs/>
          <w:color w:val="auto"/>
          <w:highlight w:val="none"/>
        </w:rPr>
        <w:t>格式三</w:t>
      </w:r>
      <w:bookmarkEnd w:id="145"/>
    </w:p>
    <w:p>
      <w:pPr>
        <w:pStyle w:val="205"/>
        <w:spacing w:line="443" w:lineRule="exact"/>
        <w:ind w:left="0" w:right="17"/>
        <w:jc w:val="center"/>
        <w:outlineLvl w:val="9"/>
        <w:rPr>
          <w:b w:val="0"/>
          <w:bCs w:val="0"/>
          <w:color w:val="auto"/>
          <w:sz w:val="36"/>
          <w:szCs w:val="36"/>
          <w:highlight w:val="none"/>
          <w:lang w:eastAsia="zh-CN"/>
        </w:rPr>
      </w:pPr>
      <w:bookmarkStart w:id="147" w:name="_Toc193363161"/>
      <w:r>
        <w:rPr>
          <w:rFonts w:hint="eastAsia" w:ascii="黑体" w:hAnsi="黑体" w:eastAsia="黑体" w:cs="黑体"/>
          <w:color w:val="auto"/>
          <w:sz w:val="36"/>
          <w:szCs w:val="36"/>
          <w:highlight w:val="none"/>
          <w:lang w:eastAsia="zh-CN"/>
        </w:rPr>
        <w:t>三、授权委托书</w:t>
      </w:r>
      <w:bookmarkEnd w:id="146"/>
      <w:bookmarkEnd w:id="147"/>
    </w:p>
    <w:p>
      <w:pPr>
        <w:spacing w:before="4"/>
        <w:rPr>
          <w:rFonts w:ascii="Microsoft JhengHei" w:hAnsi="Microsoft JhengHei" w:eastAsia="Microsoft JhengHei" w:cs="Microsoft JhengHei"/>
          <w:b/>
          <w:bCs/>
          <w:color w:val="auto"/>
          <w:sz w:val="24"/>
          <w:szCs w:val="24"/>
          <w:highlight w:val="none"/>
        </w:rPr>
      </w:pPr>
    </w:p>
    <w:p>
      <w:pPr>
        <w:pStyle w:val="16"/>
        <w:tabs>
          <w:tab w:val="left" w:pos="2421"/>
          <w:tab w:val="left" w:pos="5585"/>
        </w:tabs>
        <w:spacing w:line="360" w:lineRule="auto"/>
        <w:ind w:right="113" w:firstLine="480" w:firstLineChars="200"/>
        <w:rPr>
          <w:color w:val="auto"/>
          <w:spacing w:val="-2"/>
          <w:sz w:val="24"/>
          <w:szCs w:val="24"/>
          <w:highlight w:val="none"/>
        </w:rPr>
      </w:pPr>
      <w:r>
        <w:rPr>
          <w:rFonts w:hint="eastAsia"/>
          <w:color w:val="auto"/>
          <w:sz w:val="24"/>
          <w:szCs w:val="24"/>
          <w:highlight w:val="none"/>
        </w:rPr>
        <w:t>本人</w:t>
      </w:r>
      <w:r>
        <w:rPr>
          <w:rFonts w:eastAsia="Times New Roman"/>
          <w:color w:val="auto"/>
          <w:sz w:val="24"/>
          <w:szCs w:val="24"/>
          <w:highlight w:val="none"/>
          <w:u w:val="single" w:color="000000"/>
        </w:rPr>
        <w:tab/>
      </w:r>
      <w:r>
        <w:rPr>
          <w:rFonts w:hint="eastAsia"/>
          <w:color w:val="auto"/>
          <w:spacing w:val="-1"/>
          <w:sz w:val="24"/>
          <w:szCs w:val="24"/>
          <w:highlight w:val="none"/>
        </w:rPr>
        <w:t>（姓名）系</w:t>
      </w:r>
      <w:r>
        <w:rPr>
          <w:rFonts w:eastAsia="Times New Roman"/>
          <w:color w:val="auto"/>
          <w:spacing w:val="-1"/>
          <w:sz w:val="24"/>
          <w:szCs w:val="24"/>
          <w:highlight w:val="none"/>
          <w:u w:val="single" w:color="000000"/>
        </w:rPr>
        <w:tab/>
      </w:r>
      <w:r>
        <w:rPr>
          <w:rFonts w:hint="eastAsia"/>
          <w:color w:val="auto"/>
          <w:spacing w:val="-1"/>
          <w:sz w:val="24"/>
          <w:szCs w:val="24"/>
          <w:highlight w:val="none"/>
        </w:rPr>
        <w:t>（投标人名称）的法定代表人，现委托</w:t>
      </w:r>
      <w:r>
        <w:rPr>
          <w:rFonts w:eastAsia="Times New Roman"/>
          <w:color w:val="auto"/>
          <w:spacing w:val="-1"/>
          <w:sz w:val="24"/>
          <w:szCs w:val="24"/>
          <w:highlight w:val="none"/>
          <w:u w:val="single" w:color="000000"/>
        </w:rPr>
        <w:tab/>
      </w:r>
      <w:r>
        <w:rPr>
          <w:rFonts w:hint="eastAsia"/>
          <w:color w:val="auto"/>
          <w:spacing w:val="-1"/>
          <w:sz w:val="24"/>
          <w:szCs w:val="24"/>
          <w:highlight w:val="none"/>
        </w:rPr>
        <w:t>（姓名）为我方代理人。代理人根据授权，以我方名义签署、澄清确认、递</w:t>
      </w:r>
      <w:r>
        <w:rPr>
          <w:rFonts w:hint="eastAsia"/>
          <w:color w:val="auto"/>
          <w:spacing w:val="-2"/>
          <w:sz w:val="24"/>
          <w:szCs w:val="24"/>
          <w:highlight w:val="none"/>
        </w:rPr>
        <w:t>交、撤回、修改招标项目投标文件、签订合同和处理有关事宜，其法律后果由我方承担。</w:t>
      </w:r>
    </w:p>
    <w:p>
      <w:pPr>
        <w:pStyle w:val="16"/>
        <w:tabs>
          <w:tab w:val="left" w:pos="2421"/>
          <w:tab w:val="left" w:pos="5585"/>
        </w:tabs>
        <w:spacing w:line="360" w:lineRule="auto"/>
        <w:ind w:right="113" w:firstLine="472" w:firstLineChars="200"/>
        <w:rPr>
          <w:color w:val="auto"/>
          <w:sz w:val="24"/>
          <w:szCs w:val="24"/>
          <w:highlight w:val="none"/>
        </w:rPr>
      </w:pPr>
      <w:r>
        <w:rPr>
          <w:rFonts w:hint="eastAsia"/>
          <w:color w:val="auto"/>
          <w:spacing w:val="-2"/>
          <w:sz w:val="24"/>
          <w:szCs w:val="24"/>
          <w:highlight w:val="none"/>
        </w:rPr>
        <w:t>委托期限：</w:t>
      </w:r>
      <w:r>
        <w:rPr>
          <w:rFonts w:eastAsia="Times New Roman"/>
          <w:color w:val="auto"/>
          <w:spacing w:val="-2"/>
          <w:sz w:val="24"/>
          <w:szCs w:val="24"/>
          <w:highlight w:val="none"/>
          <w:u w:val="single" w:color="000000"/>
        </w:rPr>
        <w:tab/>
      </w:r>
      <w:r>
        <w:rPr>
          <w:rFonts w:hint="eastAsia"/>
          <w:color w:val="auto"/>
          <w:sz w:val="24"/>
          <w:szCs w:val="24"/>
          <w:highlight w:val="none"/>
        </w:rPr>
        <w:t>。代理人无转委托权。</w:t>
      </w:r>
    </w:p>
    <w:p>
      <w:pPr>
        <w:rPr>
          <w:rFonts w:ascii="宋体" w:cs="宋体"/>
          <w:color w:val="auto"/>
          <w:sz w:val="24"/>
          <w:szCs w:val="24"/>
          <w:highlight w:val="none"/>
        </w:rPr>
      </w:pPr>
    </w:p>
    <w:p>
      <w:pPr>
        <w:spacing w:before="4"/>
        <w:rPr>
          <w:rFonts w:ascii="宋体" w:cs="宋体"/>
          <w:color w:val="auto"/>
          <w:sz w:val="24"/>
          <w:szCs w:val="24"/>
          <w:highlight w:val="none"/>
        </w:rPr>
      </w:pPr>
    </w:p>
    <w:p>
      <w:pPr>
        <w:pStyle w:val="16"/>
        <w:ind w:left="100" w:right="113"/>
        <w:rPr>
          <w:color w:val="auto"/>
          <w:sz w:val="24"/>
          <w:szCs w:val="24"/>
          <w:highlight w:val="none"/>
        </w:rPr>
      </w:pPr>
      <w:r>
        <w:rPr>
          <w:rFonts w:hint="eastAsia"/>
          <w:color w:val="auto"/>
          <w:sz w:val="24"/>
          <w:szCs w:val="24"/>
          <w:highlight w:val="none"/>
        </w:rPr>
        <w:t>附：法定代表人身份证扫描件及委托代理人身份证扫描件</w:t>
      </w:r>
    </w:p>
    <w:p>
      <w:pPr>
        <w:rPr>
          <w:rFonts w:ascii="宋体" w:cs="宋体"/>
          <w:color w:val="auto"/>
          <w:sz w:val="24"/>
          <w:szCs w:val="24"/>
          <w:highlight w:val="none"/>
        </w:rPr>
      </w:pPr>
    </w:p>
    <w:p>
      <w:pPr>
        <w:spacing w:before="2"/>
        <w:rPr>
          <w:rFonts w:ascii="宋体" w:cs="宋体"/>
          <w:color w:val="auto"/>
          <w:sz w:val="24"/>
          <w:szCs w:val="24"/>
          <w:highlight w:val="none"/>
        </w:rPr>
      </w:pPr>
    </w:p>
    <w:p>
      <w:pPr>
        <w:pStyle w:val="16"/>
        <w:ind w:left="100" w:right="113"/>
        <w:rPr>
          <w:rFonts w:ascii="宋体" w:cs="宋体"/>
          <w:color w:val="auto"/>
          <w:sz w:val="24"/>
          <w:szCs w:val="24"/>
          <w:highlight w:val="none"/>
        </w:rPr>
      </w:pPr>
      <w:r>
        <w:rPr>
          <w:rFonts w:hint="eastAsia"/>
          <w:color w:val="auto"/>
          <w:sz w:val="24"/>
          <w:szCs w:val="24"/>
          <w:highlight w:val="none"/>
        </w:rPr>
        <w:t>注：本授权委托书需由投标人加盖单位公章并由其法定代表人和委托代理人签字</w:t>
      </w:r>
      <w:r>
        <w:rPr>
          <w:rFonts w:hint="eastAsia"/>
          <w:color w:val="auto"/>
          <w:spacing w:val="-1"/>
          <w:sz w:val="24"/>
          <w:szCs w:val="24"/>
          <w:highlight w:val="none"/>
        </w:rPr>
        <w:t>或盖章</w:t>
      </w:r>
      <w:r>
        <w:rPr>
          <w:rFonts w:hint="eastAsia"/>
          <w:color w:val="auto"/>
          <w:sz w:val="24"/>
          <w:szCs w:val="24"/>
          <w:highlight w:val="none"/>
        </w:rPr>
        <w:t>。</w:t>
      </w:r>
    </w:p>
    <w:p>
      <w:pPr>
        <w:spacing w:before="4"/>
        <w:rPr>
          <w:rFonts w:ascii="宋体" w:cs="宋体"/>
          <w:color w:val="auto"/>
          <w:sz w:val="24"/>
          <w:szCs w:val="24"/>
          <w:highlight w:val="none"/>
        </w:rPr>
      </w:pPr>
    </w:p>
    <w:p>
      <w:pPr>
        <w:pStyle w:val="16"/>
        <w:tabs>
          <w:tab w:val="left" w:pos="3216"/>
          <w:tab w:val="left" w:pos="3636"/>
          <w:tab w:val="left" w:pos="7241"/>
        </w:tabs>
        <w:ind w:left="2793" w:right="113"/>
        <w:rPr>
          <w:color w:val="auto"/>
          <w:sz w:val="24"/>
          <w:szCs w:val="24"/>
          <w:highlight w:val="none"/>
        </w:rPr>
      </w:pPr>
      <w:r>
        <w:rPr>
          <w:rFonts w:hint="eastAsia"/>
          <w:color w:val="auto"/>
          <w:sz w:val="24"/>
          <w:szCs w:val="24"/>
          <w:highlight w:val="none"/>
        </w:rPr>
        <w:t>投</w:t>
      </w:r>
      <w:r>
        <w:rPr>
          <w:color w:val="auto"/>
          <w:sz w:val="24"/>
          <w:szCs w:val="24"/>
          <w:highlight w:val="none"/>
        </w:rPr>
        <w:tab/>
      </w:r>
      <w:r>
        <w:rPr>
          <w:rFonts w:hint="eastAsia"/>
          <w:color w:val="auto"/>
          <w:sz w:val="24"/>
          <w:szCs w:val="24"/>
          <w:highlight w:val="none"/>
        </w:rPr>
        <w:t>标</w:t>
      </w:r>
      <w:r>
        <w:rPr>
          <w:color w:val="auto"/>
          <w:sz w:val="24"/>
          <w:szCs w:val="24"/>
          <w:highlight w:val="none"/>
        </w:rPr>
        <w:tab/>
      </w:r>
      <w:r>
        <w:rPr>
          <w:rFonts w:hint="eastAsia"/>
          <w:color w:val="auto"/>
          <w:spacing w:val="-3"/>
          <w:sz w:val="24"/>
          <w:szCs w:val="24"/>
          <w:highlight w:val="none"/>
        </w:rPr>
        <w:t>人：</w:t>
      </w:r>
      <w:r>
        <w:rPr>
          <w:rFonts w:eastAsia="Times New Roman"/>
          <w:color w:val="auto"/>
          <w:spacing w:val="-3"/>
          <w:sz w:val="24"/>
          <w:szCs w:val="24"/>
          <w:highlight w:val="none"/>
          <w:u w:val="single" w:color="000000"/>
        </w:rPr>
        <w:tab/>
      </w:r>
      <w:r>
        <w:rPr>
          <w:rFonts w:hint="eastAsia"/>
          <w:color w:val="auto"/>
          <w:sz w:val="24"/>
          <w:szCs w:val="24"/>
          <w:highlight w:val="none"/>
        </w:rPr>
        <w:t>（盖单位章）</w:t>
      </w:r>
    </w:p>
    <w:p>
      <w:pPr>
        <w:pStyle w:val="16"/>
        <w:tabs>
          <w:tab w:val="left" w:pos="6401"/>
        </w:tabs>
        <w:spacing w:before="36"/>
        <w:ind w:left="2791" w:right="113"/>
        <w:rPr>
          <w:rFonts w:ascii="宋体" w:cs="宋体"/>
          <w:color w:val="auto"/>
          <w:sz w:val="24"/>
          <w:szCs w:val="24"/>
          <w:highlight w:val="none"/>
        </w:rPr>
      </w:pPr>
      <w:r>
        <w:rPr>
          <w:rFonts w:hint="eastAsia"/>
          <w:color w:val="auto"/>
          <w:spacing w:val="-2"/>
          <w:sz w:val="24"/>
          <w:szCs w:val="24"/>
          <w:highlight w:val="none"/>
        </w:rPr>
        <w:t>法定代表人：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pPr>
        <w:pStyle w:val="16"/>
        <w:tabs>
          <w:tab w:val="left" w:pos="7189"/>
        </w:tabs>
        <w:spacing w:before="36"/>
        <w:ind w:left="2793" w:right="113"/>
        <w:rPr>
          <w:rFonts w:ascii="宋体" w:cs="宋体"/>
          <w:color w:val="auto"/>
          <w:sz w:val="24"/>
          <w:szCs w:val="24"/>
          <w:highlight w:val="none"/>
        </w:rPr>
      </w:pPr>
      <w:r>
        <w:rPr>
          <w:rFonts w:hint="eastAsia"/>
          <w:color w:val="auto"/>
          <w:spacing w:val="-2"/>
          <w:sz w:val="24"/>
          <w:szCs w:val="24"/>
          <w:highlight w:val="none"/>
        </w:rPr>
        <w:t>委托代理人：</w:t>
      </w:r>
      <w:r>
        <w:rPr>
          <w:rFonts w:eastAsia="Times New Roman"/>
          <w:color w:val="auto"/>
          <w:spacing w:val="-2"/>
          <w:sz w:val="24"/>
          <w:szCs w:val="24"/>
          <w:highlight w:val="none"/>
          <w:u w:val="single" w:color="000000"/>
        </w:rPr>
        <w:tab/>
      </w:r>
      <w:r>
        <w:rPr>
          <w:rFonts w:hint="eastAsia"/>
          <w:color w:val="auto"/>
          <w:spacing w:val="-1"/>
          <w:sz w:val="24"/>
          <w:szCs w:val="24"/>
          <w:highlight w:val="none"/>
        </w:rPr>
        <w:t>（签字或盖章）</w:t>
      </w:r>
    </w:p>
    <w:p>
      <w:pPr>
        <w:pStyle w:val="16"/>
        <w:tabs>
          <w:tab w:val="left" w:pos="736"/>
          <w:tab w:val="left" w:pos="1682"/>
          <w:tab w:val="left" w:pos="2626"/>
        </w:tabs>
        <w:spacing w:before="36"/>
        <w:ind w:right="113"/>
        <w:jc w:val="right"/>
        <w:rPr>
          <w:color w:val="auto"/>
          <w:sz w:val="24"/>
          <w:szCs w:val="24"/>
          <w:highlight w:val="none"/>
        </w:rPr>
      </w:pPr>
      <w:r>
        <w:rPr>
          <w:rFonts w:eastAsia="Times New Roman"/>
          <w:color w:val="auto"/>
          <w:sz w:val="24"/>
          <w:szCs w:val="24"/>
          <w:highlight w:val="none"/>
          <w:u w:val="single" w:color="000000"/>
        </w:rPr>
        <w:tab/>
      </w:r>
      <w:r>
        <w:rPr>
          <w:rFonts w:hint="eastAsia"/>
          <w:color w:val="auto"/>
          <w:sz w:val="24"/>
          <w:szCs w:val="24"/>
          <w:highlight w:val="none"/>
        </w:rPr>
        <w:t>年</w:t>
      </w:r>
      <w:r>
        <w:rPr>
          <w:rFonts w:eastAsia="Times New Roman"/>
          <w:color w:val="auto"/>
          <w:sz w:val="24"/>
          <w:szCs w:val="24"/>
          <w:highlight w:val="none"/>
          <w:u w:val="single" w:color="000000"/>
        </w:rPr>
        <w:tab/>
      </w:r>
      <w:r>
        <w:rPr>
          <w:rFonts w:hint="eastAsia"/>
          <w:color w:val="auto"/>
          <w:spacing w:val="-3"/>
          <w:sz w:val="24"/>
          <w:szCs w:val="24"/>
          <w:highlight w:val="none"/>
        </w:rPr>
        <w:t>月</w:t>
      </w:r>
      <w:r>
        <w:rPr>
          <w:rFonts w:eastAsia="Times New Roman"/>
          <w:color w:val="auto"/>
          <w:spacing w:val="-3"/>
          <w:sz w:val="24"/>
          <w:szCs w:val="24"/>
          <w:highlight w:val="none"/>
          <w:u w:val="single" w:color="000000"/>
        </w:rPr>
        <w:tab/>
      </w:r>
      <w:r>
        <w:rPr>
          <w:rFonts w:hint="eastAsia"/>
          <w:color w:val="auto"/>
          <w:sz w:val="24"/>
          <w:szCs w:val="24"/>
          <w:highlight w:val="none"/>
        </w:rPr>
        <w:t>日</w:t>
      </w:r>
    </w:p>
    <w:p>
      <w:pPr>
        <w:jc w:val="right"/>
        <w:rPr>
          <w:color w:val="auto"/>
          <w:sz w:val="24"/>
          <w:szCs w:val="24"/>
          <w:highlight w:val="none"/>
        </w:rPr>
      </w:pPr>
    </w:p>
    <w:p>
      <w:pPr>
        <w:jc w:val="right"/>
        <w:rPr>
          <w:color w:val="auto"/>
          <w:sz w:val="24"/>
          <w:szCs w:val="24"/>
          <w:highlight w:val="none"/>
        </w:rPr>
        <w:sectPr>
          <w:type w:val="continuous"/>
          <w:pgSz w:w="11905" w:h="16838"/>
          <w:pgMar w:top="1417" w:right="1417" w:bottom="1417" w:left="1417" w:header="850" w:footer="992" w:gutter="0"/>
          <w:cols w:space="720" w:num="1"/>
          <w:titlePg/>
          <w:docGrid w:type="lines" w:linePitch="317" w:charSpace="0"/>
        </w:sectPr>
      </w:pPr>
    </w:p>
    <w:p>
      <w:pPr>
        <w:pStyle w:val="20"/>
        <w:outlineLvl w:val="2"/>
        <w:rPr>
          <w:b/>
          <w:bCs/>
          <w:color w:val="auto"/>
          <w:sz w:val="24"/>
          <w:szCs w:val="24"/>
          <w:highlight w:val="none"/>
        </w:rPr>
      </w:pPr>
      <w:bookmarkStart w:id="148" w:name="_Toc361508760"/>
      <w:r>
        <w:rPr>
          <w:rFonts w:hint="eastAsia"/>
          <w:b/>
          <w:bCs/>
          <w:color w:val="auto"/>
          <w:sz w:val="24"/>
          <w:szCs w:val="24"/>
          <w:highlight w:val="none"/>
        </w:rPr>
        <w:t>格式四</w:t>
      </w:r>
    </w:p>
    <w:p>
      <w:pPr>
        <w:pStyle w:val="5"/>
        <w:keepNext w:val="0"/>
        <w:keepLines w:val="0"/>
        <w:numPr>
          <w:ilvl w:val="0"/>
          <w:numId w:val="3"/>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类似业绩表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项目名称</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项目所在地</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建设单位名称</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合同价格</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服务内容</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项目负责人</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项目简述</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keepNext w:val="0"/>
              <w:keepLines w:val="0"/>
              <w:suppressLineNumbers w:val="0"/>
              <w:topLinePunct/>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备注</w:t>
            </w:r>
          </w:p>
        </w:tc>
        <w:tc>
          <w:tcPr>
            <w:tcW w:w="6253" w:type="dxa"/>
          </w:tcPr>
          <w:p>
            <w:pPr>
              <w:keepNext w:val="0"/>
              <w:keepLines w:val="0"/>
              <w:suppressLineNumbers w:val="0"/>
              <w:topLinePunct/>
              <w:spacing w:before="0" w:beforeAutospacing="0" w:after="0" w:afterAutospacing="0" w:line="440" w:lineRule="exact"/>
              <w:ind w:left="0" w:right="0"/>
              <w:rPr>
                <w:rFonts w:hint="default"/>
                <w:color w:val="auto"/>
                <w:sz w:val="24"/>
                <w:szCs w:val="24"/>
                <w:highlight w:val="none"/>
              </w:rPr>
            </w:pPr>
          </w:p>
        </w:tc>
      </w:tr>
    </w:tbl>
    <w:p>
      <w:pPr>
        <w:spacing w:line="440" w:lineRule="exact"/>
        <w:rPr>
          <w:color w:val="auto"/>
          <w:sz w:val="24"/>
          <w:szCs w:val="24"/>
          <w:highlight w:val="none"/>
        </w:rPr>
      </w:pPr>
      <w:r>
        <w:rPr>
          <w:rFonts w:hint="eastAsia"/>
          <w:color w:val="auto"/>
          <w:sz w:val="24"/>
          <w:szCs w:val="24"/>
          <w:highlight w:val="none"/>
        </w:rPr>
        <w:t>注：在本表后按招标文件第三章评标办法前附表第2.2.2条要求提供相关证明材料。</w:t>
      </w:r>
    </w:p>
    <w:bookmarkEnd w:id="148"/>
    <w:p>
      <w:pPr>
        <w:pStyle w:val="5"/>
        <w:keepNext w:val="0"/>
        <w:keepLines w:val="0"/>
        <w:ind w:firstLine="118"/>
        <w:jc w:val="left"/>
        <w:rPr>
          <w:color w:val="auto"/>
          <w:sz w:val="24"/>
          <w:szCs w:val="24"/>
          <w:highlight w:val="none"/>
        </w:rPr>
      </w:pPr>
      <w:bookmarkStart w:id="149" w:name="_Toc8656942"/>
      <w:bookmarkStart w:id="150" w:name="_Toc482188667"/>
      <w:r>
        <w:rPr>
          <w:color w:val="auto"/>
          <w:sz w:val="24"/>
          <w:szCs w:val="24"/>
          <w:highlight w:val="none"/>
        </w:rPr>
        <w:br w:type="page"/>
      </w:r>
      <w:r>
        <w:rPr>
          <w:rFonts w:hint="eastAsia"/>
          <w:color w:val="auto"/>
          <w:sz w:val="24"/>
          <w:szCs w:val="24"/>
          <w:highlight w:val="none"/>
        </w:rPr>
        <w:t>格式五</w:t>
      </w:r>
    </w:p>
    <w:p>
      <w:pPr>
        <w:pStyle w:val="5"/>
        <w:keepNext w:val="0"/>
        <w:keepLines w:val="0"/>
        <w:numPr>
          <w:ilvl w:val="0"/>
          <w:numId w:val="3"/>
        </w:numPr>
        <w:tabs>
          <w:tab w:val="left" w:pos="0"/>
        </w:tabs>
        <w:spacing w:line="240" w:lineRule="auto"/>
        <w:jc w:val="center"/>
        <w:rPr>
          <w:color w:val="auto"/>
          <w:sz w:val="36"/>
          <w:szCs w:val="36"/>
          <w:highlight w:val="none"/>
        </w:rPr>
      </w:pPr>
      <w:r>
        <w:rPr>
          <w:rFonts w:hint="eastAsia" w:ascii="黑体" w:hAnsi="黑体" w:eastAsia="黑体" w:cs="黑体"/>
          <w:color w:val="auto"/>
          <w:kern w:val="0"/>
          <w:sz w:val="36"/>
          <w:szCs w:val="36"/>
          <w:highlight w:val="none"/>
        </w:rPr>
        <w:t>拟投入人员</w:t>
      </w:r>
      <w:bookmarkEnd w:id="149"/>
      <w:bookmarkEnd w:id="150"/>
      <w:r>
        <w:rPr>
          <w:rFonts w:hint="eastAsia" w:ascii="黑体" w:hAnsi="黑体" w:eastAsia="黑体" w:cs="黑体"/>
          <w:color w:val="auto"/>
          <w:kern w:val="0"/>
          <w:sz w:val="36"/>
          <w:szCs w:val="36"/>
          <w:highlight w:val="none"/>
        </w:rPr>
        <w:t>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46"/>
        <w:gridCol w:w="2084"/>
        <w:gridCol w:w="274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47"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序号</w:t>
            </w:r>
          </w:p>
        </w:tc>
        <w:tc>
          <w:tcPr>
            <w:tcW w:w="154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姓名</w:t>
            </w:r>
          </w:p>
        </w:tc>
        <w:tc>
          <w:tcPr>
            <w:tcW w:w="208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本项目任职</w:t>
            </w:r>
          </w:p>
        </w:tc>
        <w:tc>
          <w:tcPr>
            <w:tcW w:w="274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职称/专业资格</w:t>
            </w:r>
          </w:p>
        </w:tc>
        <w:tc>
          <w:tcPr>
            <w:tcW w:w="1298"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546"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08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744"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98" w:type="dxa"/>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r>
    </w:tbl>
    <w:p>
      <w:pPr>
        <w:spacing w:line="440" w:lineRule="exact"/>
        <w:rPr>
          <w:color w:val="auto"/>
          <w:sz w:val="24"/>
          <w:szCs w:val="24"/>
          <w:highlight w:val="none"/>
        </w:rPr>
      </w:pPr>
      <w:bookmarkStart w:id="151" w:name="_Toc152042594"/>
      <w:bookmarkStart w:id="152" w:name="_Toc144974873"/>
      <w:bookmarkStart w:id="153" w:name="_Toc152045805"/>
      <w:bookmarkStart w:id="154" w:name="_Toc179632825"/>
    </w:p>
    <w:p>
      <w:pPr>
        <w:spacing w:line="440" w:lineRule="exact"/>
        <w:rPr>
          <w:color w:val="auto"/>
          <w:sz w:val="24"/>
          <w:szCs w:val="24"/>
          <w:highlight w:val="none"/>
        </w:rPr>
      </w:pPr>
      <w:r>
        <w:rPr>
          <w:rFonts w:hint="eastAsia"/>
          <w:color w:val="auto"/>
          <w:sz w:val="24"/>
          <w:szCs w:val="24"/>
          <w:highlight w:val="none"/>
        </w:rPr>
        <w:t>注：在本表后按招标文件第三章评标办法前附表第2.2.2条要求提供相关证明材料。</w:t>
      </w:r>
    </w:p>
    <w:p>
      <w:pPr>
        <w:widowControl/>
        <w:jc w:val="left"/>
        <w:rPr>
          <w:color w:val="auto"/>
          <w:sz w:val="24"/>
          <w:szCs w:val="24"/>
          <w:highlight w:val="none"/>
        </w:rPr>
      </w:pPr>
      <w:bookmarkStart w:id="155" w:name="_Toc391394125"/>
      <w:bookmarkStart w:id="156" w:name="_Toc300835232"/>
      <w:bookmarkStart w:id="157" w:name="_Toc370676440"/>
      <w:bookmarkStart w:id="158" w:name="_Toc8656943"/>
      <w:bookmarkStart w:id="159" w:name="_Toc384308390"/>
      <w:bookmarkStart w:id="160" w:name="_Toc482188668"/>
      <w:bookmarkStart w:id="161" w:name="_Toc385943079"/>
      <w:bookmarkStart w:id="162" w:name="_Toc359594249"/>
      <w:r>
        <w:rPr>
          <w:color w:val="auto"/>
          <w:sz w:val="24"/>
          <w:szCs w:val="24"/>
          <w:highlight w:val="none"/>
        </w:rPr>
        <w:br w:type="page"/>
      </w:r>
    </w:p>
    <w:p>
      <w:pPr>
        <w:pStyle w:val="5"/>
        <w:keepNext w:val="0"/>
        <w:keepLines w:val="0"/>
        <w:numPr>
          <w:ilvl w:val="0"/>
          <w:numId w:val="3"/>
        </w:numPr>
        <w:tabs>
          <w:tab w:val="left" w:pos="0"/>
        </w:tabs>
        <w:spacing w:line="240" w:lineRule="auto"/>
        <w:jc w:val="center"/>
        <w:rPr>
          <w:color w:val="auto"/>
          <w:sz w:val="36"/>
          <w:szCs w:val="36"/>
          <w:highlight w:val="none"/>
        </w:rPr>
      </w:pPr>
      <w:bookmarkStart w:id="163" w:name="_Hlk151020147"/>
      <w:r>
        <w:rPr>
          <w:rFonts w:hint="eastAsia" w:ascii="黑体" w:hAnsi="黑体" w:eastAsia="黑体" w:cs="黑体"/>
          <w:color w:val="auto"/>
          <w:kern w:val="0"/>
          <w:sz w:val="36"/>
          <w:szCs w:val="36"/>
          <w:highlight w:val="none"/>
        </w:rPr>
        <w:t>主要人员简历表</w:t>
      </w:r>
      <w:bookmarkEnd w:id="151"/>
      <w:bookmarkEnd w:id="152"/>
      <w:bookmarkEnd w:id="153"/>
      <w:bookmarkEnd w:id="154"/>
      <w:bookmarkEnd w:id="155"/>
      <w:bookmarkEnd w:id="156"/>
      <w:bookmarkEnd w:id="157"/>
      <w:bookmarkEnd w:id="158"/>
      <w:bookmarkEnd w:id="159"/>
      <w:bookmarkEnd w:id="160"/>
      <w:bookmarkEnd w:id="161"/>
      <w:bookmarkEnd w:id="162"/>
    </w:p>
    <w:bookmarkEnd w:id="163"/>
    <w:p>
      <w:pPr>
        <w:topLinePunct/>
        <w:spacing w:line="440" w:lineRule="exact"/>
        <w:jc w:val="center"/>
        <w:rPr>
          <w:color w:val="auto"/>
          <w:sz w:val="24"/>
          <w:szCs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姓名</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c>
          <w:tcPr>
            <w:tcW w:w="958"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年龄</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c>
          <w:tcPr>
            <w:tcW w:w="2368" w:type="dxa"/>
            <w:gridSpan w:val="3"/>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职称或专业资格名称</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187"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r>
              <w:rPr>
                <w:rFonts w:hint="eastAsia"/>
                <w:color w:val="auto"/>
                <w:sz w:val="24"/>
                <w:szCs w:val="24"/>
                <w:highlight w:val="none"/>
              </w:rPr>
              <w:t>职称</w:t>
            </w:r>
          </w:p>
        </w:tc>
        <w:tc>
          <w:tcPr>
            <w:tcW w:w="1048" w:type="dxa"/>
            <w:gridSpan w:val="2"/>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c>
          <w:tcPr>
            <w:tcW w:w="958" w:type="dxa"/>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学历</w:t>
            </w:r>
          </w:p>
        </w:tc>
        <w:tc>
          <w:tcPr>
            <w:tcW w:w="1065"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c>
          <w:tcPr>
            <w:tcW w:w="2368" w:type="dxa"/>
            <w:gridSpan w:val="3"/>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拟在本项目任职</w:t>
            </w:r>
          </w:p>
        </w:tc>
        <w:tc>
          <w:tcPr>
            <w:tcW w:w="1896" w:type="dxa"/>
            <w:vAlign w:val="center"/>
          </w:tcPr>
          <w:p>
            <w:pPr>
              <w:keepNext w:val="0"/>
              <w:keepLines w:val="0"/>
              <w:suppressLineNumbers w:val="0"/>
              <w:spacing w:before="0" w:beforeAutospacing="0" w:after="0" w:afterAutospacing="0" w:line="440" w:lineRule="exact"/>
              <w:ind w:left="0" w:right="0"/>
              <w:jc w:val="center"/>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22" w:type="dxa"/>
            <w:gridSpan w:val="9"/>
            <w:vAlign w:val="center"/>
          </w:tcPr>
          <w:p>
            <w:pPr>
              <w:keepNext w:val="0"/>
              <w:keepLines w:val="0"/>
              <w:suppressLineNumbers w:val="0"/>
              <w:spacing w:before="100" w:beforeAutospacing="1" w:after="100" w:afterAutospacing="1" w:line="440" w:lineRule="exact"/>
              <w:ind w:left="0" w:right="0"/>
              <w:jc w:val="left"/>
              <w:rPr>
                <w:rFonts w:hint="default"/>
                <w:color w:val="auto"/>
                <w:sz w:val="24"/>
                <w:szCs w:val="24"/>
                <w:highlight w:val="none"/>
              </w:rPr>
            </w:pPr>
            <w:r>
              <w:rPr>
                <w:rFonts w:hint="eastAsia"/>
                <w:color w:val="auto"/>
                <w:sz w:val="24"/>
                <w:szCs w:val="24"/>
                <w:highlight w:val="none"/>
              </w:rPr>
              <w:t xml:space="preserve"> 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544" w:type="dxa"/>
            <w:gridSpan w:val="2"/>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时间</w:t>
            </w:r>
          </w:p>
        </w:tc>
        <w:tc>
          <w:tcPr>
            <w:tcW w:w="3420" w:type="dxa"/>
            <w:gridSpan w:val="4"/>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参加过的类似项目</w:t>
            </w:r>
          </w:p>
        </w:tc>
        <w:tc>
          <w:tcPr>
            <w:tcW w:w="1261" w:type="dxa"/>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担任职务</w:t>
            </w:r>
          </w:p>
        </w:tc>
        <w:tc>
          <w:tcPr>
            <w:tcW w:w="2297" w:type="dxa"/>
            <w:gridSpan w:val="2"/>
            <w:vAlign w:val="center"/>
          </w:tcPr>
          <w:p>
            <w:pPr>
              <w:keepNext w:val="0"/>
              <w:keepLines w:val="0"/>
              <w:suppressLineNumbers w:val="0"/>
              <w:spacing w:before="100" w:beforeAutospacing="1" w:after="100" w:afterAutospacing="1" w:line="440" w:lineRule="exact"/>
              <w:ind w:left="0" w:right="0"/>
              <w:jc w:val="center"/>
              <w:rPr>
                <w:rFonts w:hint="default"/>
                <w:color w:val="auto"/>
                <w:sz w:val="24"/>
                <w:szCs w:val="24"/>
                <w:highlight w:val="none"/>
              </w:rPr>
            </w:pPr>
            <w:r>
              <w:rPr>
                <w:rFonts w:hint="eastAsia"/>
                <w:color w:val="auto"/>
                <w:sz w:val="24"/>
                <w:szCs w:val="24"/>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544"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3420" w:type="dxa"/>
            <w:gridSpan w:val="4"/>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1261" w:type="dxa"/>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c>
          <w:tcPr>
            <w:tcW w:w="2297" w:type="dxa"/>
            <w:gridSpan w:val="2"/>
            <w:vAlign w:val="center"/>
          </w:tcPr>
          <w:p>
            <w:pPr>
              <w:keepNext w:val="0"/>
              <w:keepLines w:val="0"/>
              <w:suppressLineNumbers w:val="0"/>
              <w:spacing w:before="0" w:beforeAutospacing="0" w:after="0" w:afterAutospacing="0" w:line="440" w:lineRule="exact"/>
              <w:ind w:left="0" w:right="0"/>
              <w:rPr>
                <w:rFonts w:hint="default"/>
                <w:color w:val="auto"/>
                <w:sz w:val="24"/>
                <w:szCs w:val="24"/>
                <w:highlight w:val="none"/>
              </w:rPr>
            </w:pPr>
          </w:p>
        </w:tc>
      </w:tr>
    </w:tbl>
    <w:p>
      <w:pPr>
        <w:spacing w:line="440" w:lineRule="exact"/>
        <w:rPr>
          <w:color w:val="auto"/>
          <w:sz w:val="24"/>
          <w:szCs w:val="24"/>
          <w:highlight w:val="none"/>
        </w:rPr>
      </w:pPr>
      <w:r>
        <w:rPr>
          <w:rFonts w:hint="eastAsia"/>
          <w:color w:val="auto"/>
          <w:sz w:val="24"/>
          <w:szCs w:val="24"/>
          <w:highlight w:val="none"/>
        </w:rPr>
        <w:t>注：1.主要人员是指</w:t>
      </w:r>
      <w:r>
        <w:rPr>
          <w:rFonts w:hint="eastAsia"/>
          <w:color w:val="auto"/>
          <w:sz w:val="24"/>
          <w:szCs w:val="24"/>
          <w:highlight w:val="none"/>
          <w:lang w:val="en-US" w:eastAsia="zh-CN"/>
        </w:rPr>
        <w:t>项目指挥长、</w:t>
      </w:r>
      <w:r>
        <w:rPr>
          <w:rFonts w:hint="eastAsia"/>
          <w:color w:val="auto"/>
          <w:sz w:val="24"/>
          <w:szCs w:val="24"/>
          <w:highlight w:val="none"/>
        </w:rPr>
        <w:t>项目负责人、技术负责人。</w:t>
      </w:r>
    </w:p>
    <w:p>
      <w:pPr>
        <w:spacing w:line="440" w:lineRule="exact"/>
        <w:rPr>
          <w:color w:val="auto"/>
          <w:sz w:val="24"/>
          <w:szCs w:val="24"/>
          <w:highlight w:val="none"/>
        </w:rPr>
      </w:pPr>
      <w:r>
        <w:rPr>
          <w:rFonts w:hint="eastAsia"/>
          <w:color w:val="auto"/>
          <w:sz w:val="24"/>
          <w:szCs w:val="24"/>
          <w:highlight w:val="none"/>
        </w:rPr>
        <w:t>2.在本表后按招标文件第三章评标办法前附表第2.2.2条要求提供相关证明材料。</w:t>
      </w:r>
    </w:p>
    <w:p>
      <w:pPr>
        <w:spacing w:line="440" w:lineRule="exact"/>
        <w:rPr>
          <w:color w:val="auto"/>
          <w:sz w:val="24"/>
          <w:szCs w:val="24"/>
          <w:highlight w:val="none"/>
        </w:rPr>
      </w:pPr>
      <w:bookmarkStart w:id="164" w:name="_Toc300835229"/>
      <w:bookmarkStart w:id="165" w:name="_Toc352703741"/>
    </w:p>
    <w:p>
      <w:pPr>
        <w:spacing w:line="440" w:lineRule="exact"/>
        <w:rPr>
          <w:color w:val="auto"/>
          <w:sz w:val="24"/>
          <w:szCs w:val="24"/>
          <w:highlight w:val="none"/>
        </w:rPr>
      </w:pPr>
    </w:p>
    <w:bookmarkEnd w:id="164"/>
    <w:bookmarkEnd w:id="165"/>
    <w:p>
      <w:pPr>
        <w:keepNext w:val="0"/>
        <w:keepLines w:val="0"/>
        <w:pageBreakBefore w:val="0"/>
        <w:widowControl/>
        <w:kinsoku/>
        <w:wordWrap/>
        <w:overflowPunct/>
        <w:topLinePunct w:val="0"/>
        <w:autoSpaceDE/>
        <w:autoSpaceDN/>
        <w:bidi w:val="0"/>
        <w:adjustRightInd/>
        <w:snapToGrid/>
        <w:jc w:val="left"/>
        <w:textAlignment w:val="auto"/>
        <w:outlineLvl w:val="2"/>
        <w:rPr>
          <w:color w:val="auto"/>
          <w:sz w:val="24"/>
          <w:szCs w:val="24"/>
          <w:highlight w:val="none"/>
        </w:rPr>
      </w:pPr>
      <w:bookmarkStart w:id="166" w:name="_Toc482188666"/>
      <w:bookmarkStart w:id="167" w:name="_Toc8656944"/>
      <w:r>
        <w:rPr>
          <w:color w:val="auto"/>
          <w:sz w:val="24"/>
          <w:szCs w:val="24"/>
          <w:highlight w:val="none"/>
        </w:rPr>
        <w:br w:type="page"/>
      </w:r>
      <w:r>
        <w:rPr>
          <w:rFonts w:hint="eastAsia" w:ascii="Times New Roman" w:hAnsi="Times New Roman" w:eastAsia="宋体" w:cs="Times New Roman"/>
          <w:b/>
          <w:bCs/>
          <w:color w:val="auto"/>
          <w:kern w:val="2"/>
          <w:sz w:val="24"/>
          <w:szCs w:val="24"/>
          <w:highlight w:val="none"/>
          <w:lang w:val="en-US" w:eastAsia="zh-CN" w:bidi="ar-SA"/>
        </w:rPr>
        <w:t>格式六</w:t>
      </w:r>
    </w:p>
    <w:bookmarkEnd w:id="166"/>
    <w:bookmarkEnd w:id="167"/>
    <w:p>
      <w:pPr>
        <w:rPr>
          <w:color w:val="auto"/>
          <w:highlight w:val="none"/>
        </w:rPr>
      </w:pPr>
    </w:p>
    <w:p>
      <w:pPr>
        <w:adjustRightInd w:val="0"/>
        <w:snapToGrid w:val="0"/>
        <w:spacing w:after="158" w:afterLines="50" w:line="288" w:lineRule="auto"/>
        <w:jc w:val="center"/>
        <w:rPr>
          <w:rFonts w:ascii="宋体"/>
          <w:b/>
          <w:color w:val="auto"/>
          <w:sz w:val="36"/>
          <w:highlight w:val="none"/>
        </w:rPr>
      </w:pPr>
      <w:bookmarkStart w:id="168" w:name="_Toc193363163"/>
      <w:r>
        <w:rPr>
          <w:rFonts w:hint="eastAsia" w:ascii="宋体"/>
          <w:b/>
          <w:color w:val="auto"/>
          <w:sz w:val="36"/>
          <w:highlight w:val="none"/>
        </w:rPr>
        <w:t>服务保障方案部分</w:t>
      </w:r>
      <w:bookmarkEnd w:id="168"/>
    </w:p>
    <w:p>
      <w:pPr>
        <w:spacing w:line="360" w:lineRule="auto"/>
        <w:rPr>
          <w:color w:val="auto"/>
          <w:sz w:val="24"/>
          <w:szCs w:val="24"/>
          <w:highlight w:val="none"/>
        </w:rPr>
      </w:pPr>
    </w:p>
    <w:p>
      <w:pPr>
        <w:spacing w:line="360" w:lineRule="auto"/>
        <w:rPr>
          <w:color w:val="auto"/>
          <w:sz w:val="24"/>
          <w:szCs w:val="24"/>
          <w:highlight w:val="none"/>
        </w:rPr>
      </w:pPr>
    </w:p>
    <w:p>
      <w:pPr>
        <w:jc w:val="center"/>
        <w:rPr>
          <w:color w:val="auto"/>
          <w:sz w:val="24"/>
          <w:szCs w:val="24"/>
          <w:highlight w:val="none"/>
        </w:rPr>
      </w:pPr>
      <w:r>
        <w:rPr>
          <w:rFonts w:hint="eastAsia"/>
          <w:color w:val="auto"/>
          <w:sz w:val="24"/>
          <w:szCs w:val="24"/>
          <w:highlight w:val="none"/>
        </w:rPr>
        <w:t>（格式自拟）</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Cs/>
          <w:color w:val="auto"/>
          <w:highlight w:val="none"/>
        </w:rPr>
      </w:pPr>
    </w:p>
    <w:p>
      <w:pPr>
        <w:rPr>
          <w:bCs/>
          <w:color w:val="auto"/>
          <w:highlight w:val="none"/>
        </w:rPr>
      </w:pPr>
    </w:p>
    <w:p>
      <w:pPr>
        <w:rPr>
          <w:bCs/>
          <w:color w:val="auto"/>
          <w:highlight w:val="none"/>
        </w:rPr>
      </w:pPr>
    </w:p>
    <w:p>
      <w:pPr>
        <w:rPr>
          <w:bCs/>
          <w:color w:val="auto"/>
          <w:highlight w:val="none"/>
        </w:rPr>
      </w:pPr>
    </w:p>
    <w:p>
      <w:pPr>
        <w:jc w:val="center"/>
        <w:rPr>
          <w:bCs/>
          <w:color w:val="auto"/>
          <w:highlight w:val="none"/>
        </w:rPr>
      </w:pPr>
      <w:r>
        <w:rPr>
          <w:rFonts w:hint="eastAsia"/>
          <w:bCs/>
          <w:color w:val="auto"/>
          <w:highlight w:val="none"/>
        </w:rPr>
        <w:t>投标人：</w:t>
      </w:r>
      <w:r>
        <w:rPr>
          <w:rFonts w:hint="eastAsia"/>
          <w:bCs/>
          <w:color w:val="auto"/>
          <w:highlight w:val="none"/>
          <w:lang w:val="en-US" w:eastAsia="zh-CN"/>
        </w:rPr>
        <w:t xml:space="preserve"> </w:t>
      </w:r>
      <w:r>
        <w:rPr>
          <w:rFonts w:hint="eastAsia"/>
          <w:color w:val="auto"/>
          <w:highlight w:val="none"/>
          <w:u w:val="single" w:color="000000"/>
        </w:rPr>
        <w:tab/>
      </w:r>
      <w:r>
        <w:rPr>
          <w:rFonts w:hint="eastAsia"/>
          <w:color w:val="auto"/>
          <w:highlight w:val="none"/>
          <w:u w:val="single" w:color="000000"/>
          <w:lang w:val="en-US" w:eastAsia="zh-CN"/>
        </w:rPr>
        <w:t xml:space="preserve">      </w:t>
      </w:r>
      <w:r>
        <w:rPr>
          <w:rFonts w:hint="eastAsia"/>
          <w:color w:val="auto"/>
          <w:highlight w:val="none"/>
          <w:u w:val="single" w:color="000000"/>
        </w:rPr>
        <w:t xml:space="preserve">                     </w:t>
      </w:r>
    </w:p>
    <w:p>
      <w:pPr>
        <w:jc w:val="right"/>
        <w:rPr>
          <w:bCs/>
          <w:color w:val="auto"/>
          <w:highlight w:val="none"/>
        </w:rPr>
      </w:pPr>
    </w:p>
    <w:p>
      <w:pPr>
        <w:keepNext w:val="0"/>
        <w:keepLines w:val="0"/>
        <w:pageBreakBefore w:val="0"/>
        <w:widowControl w:val="0"/>
        <w:kinsoku/>
        <w:wordWrap/>
        <w:overflowPunct/>
        <w:topLinePunct w:val="0"/>
        <w:autoSpaceDE/>
        <w:autoSpaceDN/>
        <w:bidi w:val="0"/>
        <w:adjustRightInd/>
        <w:snapToGrid/>
        <w:ind w:left="2100" w:leftChars="1000"/>
        <w:jc w:val="center"/>
        <w:textAlignment w:val="auto"/>
        <w:rPr>
          <w:bCs/>
          <w:color w:val="auto"/>
          <w:highlight w:val="none"/>
        </w:rPr>
      </w:pPr>
      <w:r>
        <w:rPr>
          <w:rFonts w:hint="eastAsia"/>
          <w:color w:val="auto"/>
          <w:highlight w:val="none"/>
          <w:u w:val="single" w:color="000000"/>
          <w:lang w:val="en-US" w:eastAsia="zh-CN"/>
        </w:rPr>
        <w:t xml:space="preserve">   </w:t>
      </w:r>
      <w:r>
        <w:rPr>
          <w:rFonts w:hint="eastAsia"/>
          <w:color w:val="auto"/>
          <w:highlight w:val="none"/>
          <w:u w:val="single" w:color="000000"/>
        </w:rPr>
        <w:tab/>
      </w:r>
      <w:r>
        <w:rPr>
          <w:rFonts w:hint="eastAsia"/>
          <w:color w:val="auto"/>
          <w:highlight w:val="none"/>
        </w:rPr>
        <w:t>年</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月</w:t>
      </w:r>
      <w:r>
        <w:rPr>
          <w:rFonts w:hint="eastAsia"/>
          <w:color w:val="auto"/>
          <w:highlight w:val="none"/>
          <w:u w:val="single" w:color="000000"/>
        </w:rPr>
        <w:tab/>
      </w:r>
      <w:r>
        <w:rPr>
          <w:rFonts w:hint="eastAsia"/>
          <w:color w:val="auto"/>
          <w:highlight w:val="none"/>
          <w:u w:val="single" w:color="000000"/>
        </w:rPr>
        <w:t xml:space="preserve">  </w:t>
      </w:r>
      <w:r>
        <w:rPr>
          <w:rFonts w:hint="eastAsia"/>
          <w:color w:val="auto"/>
          <w:highlight w:val="none"/>
        </w:rPr>
        <w:t>日</w:t>
      </w:r>
    </w:p>
    <w:p>
      <w:pPr>
        <w:keepNext/>
        <w:keepLines/>
        <w:pageBreakBefore w:val="0"/>
        <w:widowControl/>
        <w:kinsoku/>
        <w:wordWrap/>
        <w:overflowPunct/>
        <w:topLinePunct w:val="0"/>
        <w:autoSpaceDE/>
        <w:autoSpaceDN/>
        <w:bidi w:val="0"/>
        <w:adjustRightInd/>
        <w:snapToGrid/>
        <w:spacing w:line="360" w:lineRule="auto"/>
        <w:jc w:val="left"/>
        <w:textAlignment w:val="auto"/>
        <w:outlineLvl w:val="2"/>
        <w:rPr>
          <w:rFonts w:ascii="宋体" w:hAnsi="宋体" w:cs="宋体"/>
          <w:color w:val="auto"/>
          <w:kern w:val="0"/>
          <w:sz w:val="32"/>
          <w:szCs w:val="32"/>
          <w:highlight w:val="none"/>
        </w:rPr>
      </w:pPr>
      <w:bookmarkStart w:id="169" w:name="_Toc8656946"/>
      <w:r>
        <w:rPr>
          <w:color w:val="auto"/>
          <w:szCs w:val="36"/>
          <w:highlight w:val="none"/>
        </w:rPr>
        <w:br w:type="page"/>
      </w:r>
      <w:bookmarkStart w:id="170" w:name="_Toc193363164"/>
      <w:r>
        <w:rPr>
          <w:rFonts w:hint="eastAsia"/>
          <w:b/>
          <w:bCs/>
          <w:color w:val="auto"/>
          <w:sz w:val="24"/>
          <w:szCs w:val="24"/>
          <w:highlight w:val="none"/>
        </w:rPr>
        <w:t>格式七</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bidi="ar"/>
        </w:rPr>
        <w:t>捐赠</w:t>
      </w:r>
      <w:r>
        <w:rPr>
          <w:rFonts w:hint="eastAsia" w:ascii="宋体" w:hAnsi="宋体" w:cs="宋体"/>
          <w:b/>
          <w:color w:val="auto"/>
          <w:sz w:val="28"/>
          <w:szCs w:val="28"/>
          <w:highlight w:val="none"/>
          <w:lang w:bidi="ar"/>
        </w:rPr>
        <w:t>承诺函</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致：</w:t>
      </w:r>
      <w:r>
        <w:rPr>
          <w:rFonts w:hint="eastAsia" w:ascii="宋体" w:hAnsi="宋体"/>
          <w:color w:val="auto"/>
          <w:sz w:val="24"/>
          <w:highlight w:val="none"/>
          <w:u w:val="single"/>
        </w:rPr>
        <w:t>第十五届全国运动会和全国第十二届残疾人运动会暨第九届特殊奥林匹克运动会广州赛区执行委员会</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我司现积极应征</w:t>
      </w:r>
      <w:r>
        <w:rPr>
          <w:rFonts w:hint="eastAsia" w:ascii="宋体" w:hAnsi="宋体"/>
          <w:color w:val="auto"/>
          <w:sz w:val="24"/>
          <w:szCs w:val="24"/>
          <w:highlight w:val="none"/>
          <w:u w:val="single"/>
        </w:rPr>
        <w:t>十五运会和残特奥会开幕式供电保障服务</w:t>
      </w:r>
      <w:r>
        <w:rPr>
          <w:rFonts w:hint="eastAsia" w:ascii="宋体" w:hAnsi="宋体" w:cs="宋体"/>
          <w:bCs/>
          <w:color w:val="auto"/>
          <w:sz w:val="24"/>
          <w:szCs w:val="24"/>
          <w:highlight w:val="none"/>
          <w:u w:val="single"/>
          <w:lang w:bidi="ar"/>
        </w:rPr>
        <w:t>项目</w:t>
      </w:r>
      <w:r>
        <w:rPr>
          <w:rFonts w:hint="eastAsia" w:ascii="宋体" w:hAnsi="宋体" w:cs="宋体"/>
          <w:bCs/>
          <w:color w:val="auto"/>
          <w:sz w:val="24"/>
          <w:szCs w:val="24"/>
          <w:highlight w:val="none"/>
          <w:lang w:bidi="ar"/>
        </w:rPr>
        <w:t xml:space="preserve">招标，在服务工作过程中，将严格执行国家有关法律法规，维护招标人的利益，提供优质服务，现对本项目郑重承诺如下： </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一、</w:t>
      </w:r>
      <w:r>
        <w:rPr>
          <w:rFonts w:hint="eastAsia" w:ascii="宋体" w:hAnsi="宋体" w:cs="宋体"/>
          <w:b/>
          <w:color w:val="auto"/>
          <w:sz w:val="28"/>
          <w:szCs w:val="28"/>
          <w:highlight w:val="none"/>
          <w:lang w:eastAsia="zh-CN" w:bidi="ar"/>
        </w:rPr>
        <w:t>捐赠</w:t>
      </w:r>
      <w:r>
        <w:rPr>
          <w:rFonts w:hint="eastAsia" w:ascii="宋体" w:hAnsi="宋体" w:cs="宋体"/>
          <w:bCs/>
          <w:color w:val="auto"/>
          <w:sz w:val="24"/>
          <w:szCs w:val="24"/>
          <w:highlight w:val="none"/>
          <w:lang w:bidi="ar"/>
        </w:rPr>
        <w:t xml:space="preserve">履约承诺 </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我司承诺，中标后</w:t>
      </w:r>
      <w:r>
        <w:rPr>
          <w:rFonts w:hint="eastAsia" w:ascii="宋体" w:hAnsi="宋体" w:cs="宋体"/>
          <w:bCs/>
          <w:color w:val="auto"/>
          <w:sz w:val="24"/>
          <w:szCs w:val="24"/>
          <w:highlight w:val="none"/>
          <w:lang w:eastAsia="zh-CN" w:bidi="ar"/>
        </w:rPr>
        <w:t>严格按照捐赠清单</w:t>
      </w:r>
      <w:r>
        <w:rPr>
          <w:rFonts w:hint="eastAsia" w:ascii="宋体" w:hAnsi="宋体" w:cs="宋体"/>
          <w:bCs/>
          <w:color w:val="auto"/>
          <w:sz w:val="24"/>
          <w:szCs w:val="24"/>
          <w:highlight w:val="none"/>
          <w:lang w:bidi="ar"/>
        </w:rPr>
        <w:t>履行</w:t>
      </w:r>
      <w:r>
        <w:rPr>
          <w:rFonts w:hint="eastAsia" w:ascii="宋体" w:hAnsi="宋体" w:cs="宋体"/>
          <w:bCs/>
          <w:color w:val="auto"/>
          <w:sz w:val="24"/>
          <w:szCs w:val="24"/>
          <w:highlight w:val="none"/>
          <w:lang w:eastAsia="zh-CN" w:bidi="ar"/>
        </w:rPr>
        <w:t>捐赠</w:t>
      </w:r>
      <w:r>
        <w:rPr>
          <w:rFonts w:hint="eastAsia" w:ascii="宋体" w:hAnsi="宋体" w:cs="宋体"/>
          <w:bCs/>
          <w:color w:val="auto"/>
          <w:sz w:val="24"/>
          <w:szCs w:val="24"/>
          <w:highlight w:val="none"/>
          <w:lang w:bidi="ar"/>
        </w:rPr>
        <w:t>义务，发挥企业担当。</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二、</w:t>
      </w:r>
      <w:r>
        <w:rPr>
          <w:rFonts w:hint="eastAsia" w:ascii="宋体" w:hAnsi="宋体" w:cs="宋体"/>
          <w:b/>
          <w:color w:val="auto"/>
          <w:sz w:val="28"/>
          <w:szCs w:val="28"/>
          <w:highlight w:val="none"/>
          <w:lang w:eastAsia="zh-CN" w:bidi="ar"/>
        </w:rPr>
        <w:t>捐赠</w:t>
      </w:r>
      <w:r>
        <w:rPr>
          <w:rFonts w:hint="eastAsia" w:ascii="宋体" w:hAnsi="宋体" w:cs="宋体"/>
          <w:bCs/>
          <w:color w:val="auto"/>
          <w:sz w:val="24"/>
          <w:szCs w:val="24"/>
          <w:highlight w:val="none"/>
          <w:lang w:bidi="ar"/>
        </w:rPr>
        <w:t xml:space="preserve">额度承诺 </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bidi="ar"/>
        </w:rPr>
        <w:t>我司承诺，按照</w:t>
      </w:r>
      <w:r>
        <w:rPr>
          <w:rFonts w:hint="eastAsia" w:ascii="宋体" w:hAnsi="宋体"/>
          <w:color w:val="auto"/>
          <w:sz w:val="24"/>
          <w:szCs w:val="24"/>
          <w:highlight w:val="none"/>
          <w:u w:val="single"/>
        </w:rPr>
        <w:t>十五运会和残特奥会开幕式供电保障服务</w:t>
      </w:r>
      <w:r>
        <w:rPr>
          <w:rFonts w:hint="eastAsia" w:ascii="宋体" w:hAnsi="宋体" w:cs="宋体"/>
          <w:bCs/>
          <w:color w:val="auto"/>
          <w:sz w:val="24"/>
          <w:szCs w:val="24"/>
          <w:highlight w:val="none"/>
          <w:u w:val="single"/>
          <w:lang w:bidi="ar"/>
        </w:rPr>
        <w:t>招标内容</w:t>
      </w:r>
      <w:r>
        <w:rPr>
          <w:rFonts w:hint="eastAsia" w:ascii="宋体" w:hAnsi="宋体" w:cs="宋体"/>
          <w:bCs/>
          <w:color w:val="auto"/>
          <w:sz w:val="24"/>
          <w:szCs w:val="24"/>
          <w:highlight w:val="none"/>
          <w:lang w:bidi="ar"/>
        </w:rPr>
        <w:t>，</w:t>
      </w:r>
      <w:r>
        <w:rPr>
          <w:rFonts w:hint="eastAsia" w:ascii="宋体" w:hAnsi="宋体"/>
          <w:color w:val="auto"/>
          <w:sz w:val="24"/>
          <w:szCs w:val="24"/>
          <w:highlight w:val="none"/>
          <w:u w:val="single"/>
        </w:rPr>
        <w:t>负责</w:t>
      </w:r>
      <w:r>
        <w:rPr>
          <w:rFonts w:hint="eastAsia" w:ascii="宋体" w:hAnsi="宋体"/>
          <w:color w:val="auto"/>
          <w:sz w:val="24"/>
          <w:szCs w:val="24"/>
          <w:highlight w:val="none"/>
          <w:u w:val="single"/>
          <w:lang w:eastAsia="zh-CN"/>
        </w:rPr>
        <w:t>捐赠两个开幕式场馆在开幕式期间场馆功能性用电保障和开幕式场馆群在竞赛期间</w:t>
      </w:r>
      <w:r>
        <w:rPr>
          <w:rFonts w:hint="eastAsia" w:ascii="宋体" w:hAnsi="宋体"/>
          <w:color w:val="auto"/>
          <w:sz w:val="24"/>
          <w:szCs w:val="24"/>
          <w:highlight w:val="none"/>
          <w:u w:val="single"/>
        </w:rPr>
        <w:t>的电力保障服务，包括但不限于人员运维值守、发电机和UPS租赁、备品备件、应急抢修及应急隐患整改等（具体以经市执委会有关部门审核确认的金额为准）。</w:t>
      </w:r>
      <w:r>
        <w:rPr>
          <w:rFonts w:hint="eastAsia" w:ascii="宋体" w:hAnsi="宋体" w:cs="宋体"/>
          <w:bCs/>
          <w:color w:val="auto"/>
          <w:sz w:val="24"/>
          <w:szCs w:val="24"/>
          <w:highlight w:val="none"/>
          <w:lang w:bidi="ar"/>
        </w:rPr>
        <w:t xml:space="preserve"> </w:t>
      </w:r>
    </w:p>
    <w:p>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三、其他承诺</w:t>
      </w:r>
    </w:p>
    <w:p>
      <w:pPr>
        <w:spacing w:line="360" w:lineRule="auto"/>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lang w:bidi="ar"/>
        </w:rPr>
        <w:t>我司承诺，</w:t>
      </w:r>
      <w:r>
        <w:rPr>
          <w:rFonts w:hint="eastAsia" w:ascii="宋体" w:hAnsi="宋体" w:cs="宋体"/>
          <w:bCs/>
          <w:color w:val="auto"/>
          <w:sz w:val="24"/>
          <w:szCs w:val="24"/>
          <w:highlight w:val="none"/>
          <w:lang w:eastAsia="zh-CN" w:bidi="ar"/>
        </w:rPr>
        <w:t>提供的</w:t>
      </w:r>
      <w:r>
        <w:rPr>
          <w:rFonts w:hint="eastAsia" w:ascii="宋体" w:hAnsi="宋体" w:cs="宋体"/>
          <w:bCs/>
          <w:color w:val="auto"/>
          <w:sz w:val="24"/>
          <w:szCs w:val="24"/>
          <w:highlight w:val="none"/>
          <w:lang w:bidi="ar"/>
        </w:rPr>
        <w:t>产品和服务满足招标项目中全部的技术要求、</w:t>
      </w:r>
      <w:r>
        <w:rPr>
          <w:rFonts w:hint="eastAsia" w:ascii="宋体" w:hAnsi="宋体" w:cs="宋体"/>
          <w:bCs/>
          <w:color w:val="auto"/>
          <w:sz w:val="24"/>
          <w:szCs w:val="24"/>
          <w:highlight w:val="none"/>
          <w:lang w:eastAsia="zh-CN" w:bidi="ar"/>
        </w:rPr>
        <w:t>质量要求和</w:t>
      </w:r>
      <w:r>
        <w:rPr>
          <w:rFonts w:hint="eastAsia" w:ascii="宋体" w:hAnsi="宋体" w:cs="宋体"/>
          <w:bCs/>
          <w:color w:val="auto"/>
          <w:sz w:val="24"/>
          <w:szCs w:val="24"/>
          <w:highlight w:val="none"/>
          <w:lang w:bidi="ar"/>
        </w:rPr>
        <w:t>数量要求。</w:t>
      </w:r>
      <w:r>
        <w:rPr>
          <w:rFonts w:hint="eastAsia" w:ascii="宋体" w:hAnsi="宋体" w:cs="宋体"/>
          <w:bCs/>
          <w:color w:val="auto"/>
          <w:sz w:val="24"/>
          <w:szCs w:val="24"/>
          <w:highlight w:val="none"/>
          <w:lang w:eastAsia="zh-CN" w:bidi="ar"/>
        </w:rPr>
        <w:t>保质保量按时完成捐赠工作内容。</w:t>
      </w:r>
    </w:p>
    <w:p>
      <w:pPr>
        <w:keepNext w:val="0"/>
        <w:keepLines w:val="0"/>
        <w:pageBreakBefore w:val="0"/>
        <w:widowControl/>
        <w:kinsoku/>
        <w:wordWrap/>
        <w:overflowPunct/>
        <w:topLinePunct w:val="0"/>
        <w:autoSpaceDE/>
        <w:autoSpaceDN/>
        <w:bidi w:val="0"/>
        <w:adjustRightInd/>
        <w:snapToGrid/>
        <w:spacing w:line="360" w:lineRule="auto"/>
        <w:ind w:right="0" w:rightChars="0" w:firstLine="420" w:firstLineChars="175"/>
        <w:jc w:val="left"/>
        <w:textAlignment w:val="auto"/>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 xml:space="preserve">我司对上述承诺的真实性负责，如有虚假，将依法承担相应责任。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auto"/>
        <w:ind w:right="2520" w:rightChars="1200"/>
        <w:jc w:val="right"/>
        <w:textAlignment w:val="auto"/>
        <w:rPr>
          <w:rFonts w:hint="eastAsia" w:ascii="宋体" w:hAnsi="宋体" w:cs="宋体"/>
          <w:bCs/>
          <w:color w:val="auto"/>
          <w:sz w:val="24"/>
          <w:szCs w:val="24"/>
          <w:highlight w:val="none"/>
          <w:lang w:bidi="ar"/>
        </w:rPr>
      </w:pPr>
    </w:p>
    <w:p>
      <w:pPr>
        <w:keepNext w:val="0"/>
        <w:keepLines w:val="0"/>
        <w:pageBreakBefore w:val="0"/>
        <w:widowControl w:val="0"/>
        <w:kinsoku/>
        <w:wordWrap/>
        <w:overflowPunct/>
        <w:topLinePunct w:val="0"/>
        <w:autoSpaceDE/>
        <w:autoSpaceDN/>
        <w:bidi w:val="0"/>
        <w:adjustRightInd/>
        <w:snapToGrid/>
        <w:spacing w:line="360" w:lineRule="auto"/>
        <w:ind w:right="2520" w:rightChars="1200"/>
        <w:jc w:val="righ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投标人名称（盖公章）：</w:t>
      </w:r>
    </w:p>
    <w:p>
      <w:pPr>
        <w:keepNext w:val="0"/>
        <w:keepLines w:val="0"/>
        <w:pageBreakBefore w:val="0"/>
        <w:widowControl w:val="0"/>
        <w:kinsoku/>
        <w:wordWrap/>
        <w:overflowPunct/>
        <w:topLinePunct w:val="0"/>
        <w:autoSpaceDE/>
        <w:autoSpaceDN/>
        <w:bidi w:val="0"/>
        <w:adjustRightInd/>
        <w:snapToGrid/>
        <w:spacing w:line="360" w:lineRule="auto"/>
        <w:ind w:right="1680" w:rightChars="800"/>
        <w:jc w:val="righ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bidi="ar"/>
        </w:rPr>
        <w:t xml:space="preserve">法定代表人或委托代理人签字或盖章： </w:t>
      </w:r>
    </w:p>
    <w:p>
      <w:pPr>
        <w:keepNext w:val="0"/>
        <w:keepLines w:val="0"/>
        <w:pageBreakBefore w:val="0"/>
        <w:widowControl/>
        <w:kinsoku/>
        <w:wordWrap/>
        <w:overflowPunct/>
        <w:topLinePunct w:val="0"/>
        <w:autoSpaceDE/>
        <w:autoSpaceDN/>
        <w:bidi w:val="0"/>
        <w:adjustRightInd/>
        <w:snapToGrid/>
        <w:jc w:val="left"/>
        <w:textAlignment w:val="auto"/>
        <w:outlineLvl w:val="9"/>
        <w:rPr>
          <w:rFonts w:hint="eastAsia"/>
          <w:b/>
          <w:bCs/>
          <w:color w:val="auto"/>
          <w:sz w:val="24"/>
          <w:szCs w:val="24"/>
          <w:highlight w:val="none"/>
        </w:rPr>
      </w:pPr>
      <w:r>
        <w:rPr>
          <w:rFonts w:hint="eastAsia"/>
          <w:b/>
          <w:bCs/>
          <w:color w:val="auto"/>
          <w:sz w:val="24"/>
          <w:szCs w:val="24"/>
          <w:highlight w:val="none"/>
        </w:rPr>
        <w:br w:type="page"/>
      </w:r>
    </w:p>
    <w:p>
      <w:pPr>
        <w:keepNext w:val="0"/>
        <w:keepLines w:val="0"/>
        <w:pageBreakBefore w:val="0"/>
        <w:widowControl/>
        <w:kinsoku/>
        <w:wordWrap/>
        <w:overflowPunct/>
        <w:topLinePunct w:val="0"/>
        <w:autoSpaceDE/>
        <w:autoSpaceDN/>
        <w:bidi w:val="0"/>
        <w:adjustRightInd/>
        <w:snapToGrid/>
        <w:jc w:val="left"/>
        <w:textAlignment w:val="auto"/>
        <w:outlineLvl w:val="2"/>
        <w:rPr>
          <w:b/>
          <w:bCs/>
          <w:color w:val="auto"/>
          <w:sz w:val="24"/>
          <w:szCs w:val="24"/>
          <w:highlight w:val="none"/>
        </w:rPr>
      </w:pPr>
      <w:r>
        <w:rPr>
          <w:rFonts w:hint="eastAsia"/>
          <w:b/>
          <w:bCs/>
          <w:color w:val="auto"/>
          <w:sz w:val="24"/>
          <w:szCs w:val="24"/>
          <w:highlight w:val="none"/>
        </w:rPr>
        <w:t>格式八 其他资料</w:t>
      </w:r>
      <w:bookmarkEnd w:id="169"/>
      <w:bookmarkEnd w:id="170"/>
    </w:p>
    <w:p>
      <w:pPr>
        <w:jc w:val="center"/>
        <w:rPr>
          <w:color w:val="auto"/>
          <w:sz w:val="24"/>
          <w:szCs w:val="24"/>
          <w:highlight w:val="none"/>
        </w:rPr>
      </w:pPr>
      <w:r>
        <w:rPr>
          <w:rFonts w:hint="eastAsia"/>
          <w:color w:val="auto"/>
          <w:sz w:val="24"/>
          <w:szCs w:val="24"/>
          <w:highlight w:val="none"/>
        </w:rPr>
        <w:t>（格式自拟）</w:t>
      </w: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rFonts w:ascii="宋体" w:hAnsi="宋体" w:cs="宋体"/>
          <w:color w:val="auto"/>
          <w:spacing w:val="4"/>
          <w:kern w:val="0"/>
          <w:sz w:val="24"/>
          <w:szCs w:val="24"/>
          <w:highlight w:val="none"/>
        </w:rPr>
      </w:pPr>
      <w:r>
        <w:rPr>
          <w:rFonts w:ascii="宋体" w:hAnsi="宋体" w:cs="宋体"/>
          <w:color w:val="auto"/>
          <w:highlight w:val="none"/>
        </w:rPr>
        <w:br w:type="page"/>
      </w:r>
    </w:p>
    <w:p>
      <w:pPr>
        <w:pStyle w:val="126"/>
        <w:ind w:firstLine="0" w:firstLineChars="0"/>
        <w:jc w:val="center"/>
        <w:outlineLvl w:val="1"/>
        <w:rPr>
          <w:rFonts w:ascii="宋体" w:hAnsi="宋体" w:cs="宋体"/>
          <w:color w:val="auto"/>
          <w:spacing w:val="0"/>
          <w:kern w:val="2"/>
          <w:sz w:val="43"/>
          <w:szCs w:val="22"/>
          <w:highlight w:val="none"/>
        </w:rPr>
      </w:pPr>
      <w:bookmarkStart w:id="171" w:name="_Toc196159261"/>
      <w:r>
        <w:rPr>
          <w:rFonts w:hint="eastAsia" w:ascii="宋体" w:hAnsi="宋体" w:cs="宋体"/>
          <w:color w:val="auto"/>
          <w:spacing w:val="0"/>
          <w:kern w:val="2"/>
          <w:sz w:val="43"/>
          <w:szCs w:val="22"/>
          <w:highlight w:val="none"/>
        </w:rPr>
        <w:t>第六章 图纸</w:t>
      </w:r>
      <w:bookmarkEnd w:id="171"/>
    </w:p>
    <w:p>
      <w:pPr>
        <w:topLinePunct/>
        <w:adjustRightInd w:val="0"/>
        <w:snapToGrid w:val="0"/>
        <w:spacing w:line="360" w:lineRule="auto"/>
        <w:rPr>
          <w:rFonts w:cs="宋体"/>
          <w:snapToGrid w:val="0"/>
          <w:color w:val="auto"/>
          <w:spacing w:val="4"/>
          <w:kern w:val="0"/>
          <w:sz w:val="24"/>
          <w:szCs w:val="24"/>
          <w:highlight w:val="none"/>
        </w:rPr>
      </w:pPr>
      <w:r>
        <w:rPr>
          <w:rFonts w:hint="eastAsia" w:cs="宋体"/>
          <w:snapToGrid w:val="0"/>
          <w:color w:val="auto"/>
          <w:spacing w:val="4"/>
          <w:kern w:val="0"/>
          <w:sz w:val="24"/>
          <w:szCs w:val="24"/>
          <w:highlight w:val="none"/>
        </w:rPr>
        <w:t>注：另册。</w:t>
      </w:r>
    </w:p>
    <w:p>
      <w:pPr>
        <w:pStyle w:val="20"/>
        <w:rPr>
          <w:snapToGrid w:val="0"/>
          <w:color w:val="auto"/>
          <w:highlight w:val="none"/>
        </w:rPr>
      </w:pPr>
      <w:r>
        <w:rPr>
          <w:snapToGrid w:val="0"/>
          <w:color w:val="auto"/>
          <w:highlight w:val="none"/>
        </w:rPr>
        <w:br w:type="page"/>
      </w:r>
    </w:p>
    <w:p>
      <w:pPr>
        <w:pStyle w:val="126"/>
        <w:ind w:firstLine="0" w:firstLineChars="0"/>
        <w:jc w:val="center"/>
        <w:outlineLvl w:val="1"/>
        <w:rPr>
          <w:rFonts w:ascii="宋体" w:hAnsi="宋体" w:cs="宋体"/>
          <w:color w:val="auto"/>
          <w:spacing w:val="0"/>
          <w:kern w:val="2"/>
          <w:sz w:val="43"/>
          <w:szCs w:val="22"/>
          <w:highlight w:val="none"/>
        </w:rPr>
      </w:pPr>
      <w:bookmarkStart w:id="172" w:name="_Toc196159262"/>
      <w:r>
        <w:rPr>
          <w:rFonts w:hint="eastAsia" w:ascii="宋体" w:hAnsi="宋体" w:cs="宋体"/>
          <w:color w:val="auto"/>
          <w:spacing w:val="0"/>
          <w:kern w:val="2"/>
          <w:sz w:val="43"/>
          <w:szCs w:val="22"/>
          <w:highlight w:val="none"/>
        </w:rPr>
        <w:t>第七章 工程量清单</w:t>
      </w:r>
      <w:bookmarkEnd w:id="172"/>
    </w:p>
    <w:p>
      <w:pPr>
        <w:rPr>
          <w:b/>
          <w:color w:val="auto"/>
          <w:sz w:val="24"/>
          <w:szCs w:val="24"/>
          <w:highlight w:val="none"/>
        </w:rPr>
      </w:pPr>
      <w:r>
        <w:rPr>
          <w:rFonts w:hint="eastAsia"/>
          <w:color w:val="auto"/>
          <w:sz w:val="24"/>
          <w:szCs w:val="24"/>
          <w:highlight w:val="none"/>
        </w:rPr>
        <w:t>注：另册。</w:t>
      </w:r>
    </w:p>
    <w:p>
      <w:pPr>
        <w:topLinePunct/>
        <w:adjustRightInd w:val="0"/>
        <w:snapToGrid w:val="0"/>
        <w:spacing w:line="360" w:lineRule="auto"/>
        <w:rPr>
          <w:rFonts w:cs="宋体"/>
          <w:snapToGrid w:val="0"/>
          <w:color w:val="auto"/>
          <w:spacing w:val="4"/>
          <w:kern w:val="0"/>
          <w:sz w:val="24"/>
          <w:szCs w:val="24"/>
          <w:highlight w:val="none"/>
        </w:rPr>
      </w:pPr>
    </w:p>
    <w:p>
      <w:pPr>
        <w:pStyle w:val="126"/>
        <w:ind w:firstLine="0" w:firstLineChars="0"/>
        <w:jc w:val="center"/>
        <w:rPr>
          <w:rFonts w:ascii="宋体" w:hAnsi="宋体" w:cs="宋体"/>
          <w:color w:val="auto"/>
          <w:highlight w:val="none"/>
        </w:rPr>
      </w:pPr>
    </w:p>
    <w:sectPr>
      <w:footerReference r:id="rId13" w:type="first"/>
      <w:headerReference r:id="rId11" w:type="default"/>
      <w:footerReference r:id="rId12" w:type="default"/>
      <w:pgSz w:w="11905" w:h="16838"/>
      <w:pgMar w:top="1417" w:right="1417" w:bottom="1417" w:left="1417" w:header="850"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30</w:t>
                    </w:r>
                    <w: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49</w:t>
                    </w:r>
                    <w:r>
                      <w:fldChar w:fldCharType="end"/>
                    </w:r>
                  </w:p>
                </w:txbxContent>
              </v:textbox>
            </v:shape>
          </w:pict>
        </mc:Fallback>
      </mc:AlternateContent>
    </w:r>
  </w:p>
  <w:p>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6BC5"/>
    <w:multiLevelType w:val="singleLevel"/>
    <w:tmpl w:val="88F26BC5"/>
    <w:lvl w:ilvl="0" w:tentative="0">
      <w:start w:val="1"/>
      <w:numFmt w:val="chineseCounting"/>
      <w:suff w:val="nothing"/>
      <w:lvlText w:val="（%1）"/>
      <w:lvlJc w:val="left"/>
      <w:pPr>
        <w:tabs>
          <w:tab w:val="left" w:pos="6804"/>
        </w:tabs>
      </w:pPr>
      <w:rPr>
        <w:rFonts w:hint="eastAsia" w:ascii="黑体" w:hAnsi="黑体" w:eastAsia="黑体" w:cs="黑体"/>
      </w:rPr>
    </w:lvl>
  </w:abstractNum>
  <w:abstractNum w:abstractNumId="1">
    <w:nsid w:val="B2AFFBD1"/>
    <w:multiLevelType w:val="singleLevel"/>
    <w:tmpl w:val="B2AFFBD1"/>
    <w:lvl w:ilvl="0" w:tentative="0">
      <w:start w:val="2"/>
      <w:numFmt w:val="decimal"/>
      <w:suff w:val="nothing"/>
      <w:lvlText w:val="%1、"/>
      <w:lvlJc w:val="left"/>
    </w:lvl>
  </w:abstractNum>
  <w:abstractNum w:abstractNumId="2">
    <w:nsid w:val="0186A8C0"/>
    <w:multiLevelType w:val="singleLevel"/>
    <w:tmpl w:val="0186A8C0"/>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3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NDMxZTA5NzgzYTcyZTJlNDEzMzBjYWJkNjk2YjEifQ=="/>
  </w:docVars>
  <w:rsids>
    <w:rsidRoot w:val="0053386B"/>
    <w:rsid w:val="000001AE"/>
    <w:rsid w:val="00000B01"/>
    <w:rsid w:val="00000C26"/>
    <w:rsid w:val="0000315A"/>
    <w:rsid w:val="0001744E"/>
    <w:rsid w:val="00017A81"/>
    <w:rsid w:val="00026DAF"/>
    <w:rsid w:val="00033123"/>
    <w:rsid w:val="000352D3"/>
    <w:rsid w:val="00035DB8"/>
    <w:rsid w:val="000377F1"/>
    <w:rsid w:val="00037863"/>
    <w:rsid w:val="000428A6"/>
    <w:rsid w:val="00046AB9"/>
    <w:rsid w:val="00050C55"/>
    <w:rsid w:val="000510E1"/>
    <w:rsid w:val="00055971"/>
    <w:rsid w:val="00057DB9"/>
    <w:rsid w:val="0006115B"/>
    <w:rsid w:val="000637F4"/>
    <w:rsid w:val="000638D3"/>
    <w:rsid w:val="0006733E"/>
    <w:rsid w:val="00073026"/>
    <w:rsid w:val="0007362B"/>
    <w:rsid w:val="000758B6"/>
    <w:rsid w:val="00082555"/>
    <w:rsid w:val="000872FF"/>
    <w:rsid w:val="0009267C"/>
    <w:rsid w:val="00094F6B"/>
    <w:rsid w:val="000A54DF"/>
    <w:rsid w:val="000B071E"/>
    <w:rsid w:val="000B186B"/>
    <w:rsid w:val="000B2A11"/>
    <w:rsid w:val="000B3DAB"/>
    <w:rsid w:val="000C24B0"/>
    <w:rsid w:val="000C46B6"/>
    <w:rsid w:val="000C542C"/>
    <w:rsid w:val="000D554C"/>
    <w:rsid w:val="000D5D14"/>
    <w:rsid w:val="000F3B0E"/>
    <w:rsid w:val="000F7CA8"/>
    <w:rsid w:val="00100416"/>
    <w:rsid w:val="00102E7C"/>
    <w:rsid w:val="001106ED"/>
    <w:rsid w:val="00114750"/>
    <w:rsid w:val="001166CD"/>
    <w:rsid w:val="00116AF6"/>
    <w:rsid w:val="0012503D"/>
    <w:rsid w:val="001360E6"/>
    <w:rsid w:val="00136915"/>
    <w:rsid w:val="0014181D"/>
    <w:rsid w:val="001420FC"/>
    <w:rsid w:val="001554D3"/>
    <w:rsid w:val="00160485"/>
    <w:rsid w:val="001668ED"/>
    <w:rsid w:val="00172FFB"/>
    <w:rsid w:val="0017426D"/>
    <w:rsid w:val="00175076"/>
    <w:rsid w:val="0017695A"/>
    <w:rsid w:val="001860CA"/>
    <w:rsid w:val="00194087"/>
    <w:rsid w:val="0019540B"/>
    <w:rsid w:val="001B65A2"/>
    <w:rsid w:val="001C39F3"/>
    <w:rsid w:val="001D4C99"/>
    <w:rsid w:val="001D5236"/>
    <w:rsid w:val="001E0032"/>
    <w:rsid w:val="001F0B18"/>
    <w:rsid w:val="001F2BB2"/>
    <w:rsid w:val="001F5B26"/>
    <w:rsid w:val="00206E44"/>
    <w:rsid w:val="002220D8"/>
    <w:rsid w:val="00222D0B"/>
    <w:rsid w:val="00222F5F"/>
    <w:rsid w:val="002275DE"/>
    <w:rsid w:val="0023433B"/>
    <w:rsid w:val="0023460D"/>
    <w:rsid w:val="00235811"/>
    <w:rsid w:val="0024331E"/>
    <w:rsid w:val="00252EFC"/>
    <w:rsid w:val="00260274"/>
    <w:rsid w:val="00260C03"/>
    <w:rsid w:val="00264C2C"/>
    <w:rsid w:val="00266161"/>
    <w:rsid w:val="002665E4"/>
    <w:rsid w:val="002722D0"/>
    <w:rsid w:val="00272AE2"/>
    <w:rsid w:val="0027389F"/>
    <w:rsid w:val="002A22D4"/>
    <w:rsid w:val="002A2A53"/>
    <w:rsid w:val="002A2BBC"/>
    <w:rsid w:val="002A39FA"/>
    <w:rsid w:val="002A674D"/>
    <w:rsid w:val="002A7208"/>
    <w:rsid w:val="002B16B2"/>
    <w:rsid w:val="002B1710"/>
    <w:rsid w:val="002B54CA"/>
    <w:rsid w:val="002C1E8E"/>
    <w:rsid w:val="002C1EB7"/>
    <w:rsid w:val="002C5A14"/>
    <w:rsid w:val="002C5F1B"/>
    <w:rsid w:val="002C5FFC"/>
    <w:rsid w:val="002D13C3"/>
    <w:rsid w:val="002D15CD"/>
    <w:rsid w:val="002D20D6"/>
    <w:rsid w:val="002D3271"/>
    <w:rsid w:val="002D3507"/>
    <w:rsid w:val="002D36D6"/>
    <w:rsid w:val="002E325A"/>
    <w:rsid w:val="002E487E"/>
    <w:rsid w:val="002E7F00"/>
    <w:rsid w:val="002F49D9"/>
    <w:rsid w:val="002F72B9"/>
    <w:rsid w:val="002F7E16"/>
    <w:rsid w:val="00300CFE"/>
    <w:rsid w:val="00301BB2"/>
    <w:rsid w:val="00303087"/>
    <w:rsid w:val="00315FF2"/>
    <w:rsid w:val="00316E90"/>
    <w:rsid w:val="00316EFC"/>
    <w:rsid w:val="0032154B"/>
    <w:rsid w:val="00322D27"/>
    <w:rsid w:val="00324355"/>
    <w:rsid w:val="00326E2F"/>
    <w:rsid w:val="003371C4"/>
    <w:rsid w:val="00360C86"/>
    <w:rsid w:val="0036163D"/>
    <w:rsid w:val="003653DB"/>
    <w:rsid w:val="0037261B"/>
    <w:rsid w:val="003807C6"/>
    <w:rsid w:val="00381C50"/>
    <w:rsid w:val="00383473"/>
    <w:rsid w:val="00390820"/>
    <w:rsid w:val="00391A4D"/>
    <w:rsid w:val="00397FBA"/>
    <w:rsid w:val="003A3B86"/>
    <w:rsid w:val="003A47E5"/>
    <w:rsid w:val="003A66E5"/>
    <w:rsid w:val="003C0D65"/>
    <w:rsid w:val="003C2D0F"/>
    <w:rsid w:val="003D2F8C"/>
    <w:rsid w:val="003D4A84"/>
    <w:rsid w:val="003E0DCD"/>
    <w:rsid w:val="003F5D40"/>
    <w:rsid w:val="003F600F"/>
    <w:rsid w:val="003F767F"/>
    <w:rsid w:val="00400F2A"/>
    <w:rsid w:val="004015A3"/>
    <w:rsid w:val="00402D3E"/>
    <w:rsid w:val="004036D0"/>
    <w:rsid w:val="004037B6"/>
    <w:rsid w:val="00404019"/>
    <w:rsid w:val="00406489"/>
    <w:rsid w:val="0041185A"/>
    <w:rsid w:val="004142BC"/>
    <w:rsid w:val="00414385"/>
    <w:rsid w:val="00424CF3"/>
    <w:rsid w:val="0043472C"/>
    <w:rsid w:val="00440B96"/>
    <w:rsid w:val="00440E2C"/>
    <w:rsid w:val="00441136"/>
    <w:rsid w:val="004439FB"/>
    <w:rsid w:val="004458A8"/>
    <w:rsid w:val="00450BE2"/>
    <w:rsid w:val="00454725"/>
    <w:rsid w:val="00456C76"/>
    <w:rsid w:val="004609A2"/>
    <w:rsid w:val="004611A2"/>
    <w:rsid w:val="00461B23"/>
    <w:rsid w:val="004635A2"/>
    <w:rsid w:val="00464163"/>
    <w:rsid w:val="00465F84"/>
    <w:rsid w:val="004716DB"/>
    <w:rsid w:val="004742A7"/>
    <w:rsid w:val="00476252"/>
    <w:rsid w:val="004872FA"/>
    <w:rsid w:val="00487816"/>
    <w:rsid w:val="004941D3"/>
    <w:rsid w:val="00494AC1"/>
    <w:rsid w:val="00497A8E"/>
    <w:rsid w:val="004A0EAE"/>
    <w:rsid w:val="004A69AF"/>
    <w:rsid w:val="004B237A"/>
    <w:rsid w:val="004B4526"/>
    <w:rsid w:val="004C33A0"/>
    <w:rsid w:val="004C43A5"/>
    <w:rsid w:val="004C7131"/>
    <w:rsid w:val="004C7CAB"/>
    <w:rsid w:val="004D0F55"/>
    <w:rsid w:val="004D2448"/>
    <w:rsid w:val="004D6C0E"/>
    <w:rsid w:val="004E0E72"/>
    <w:rsid w:val="004E3EF2"/>
    <w:rsid w:val="004F23AF"/>
    <w:rsid w:val="004F2FA1"/>
    <w:rsid w:val="004F3F6B"/>
    <w:rsid w:val="00501758"/>
    <w:rsid w:val="00513B7D"/>
    <w:rsid w:val="00515C25"/>
    <w:rsid w:val="0052203A"/>
    <w:rsid w:val="005238D2"/>
    <w:rsid w:val="005244FF"/>
    <w:rsid w:val="00525479"/>
    <w:rsid w:val="0053386B"/>
    <w:rsid w:val="005374E8"/>
    <w:rsid w:val="0054101C"/>
    <w:rsid w:val="0054212B"/>
    <w:rsid w:val="00547D31"/>
    <w:rsid w:val="00547F2F"/>
    <w:rsid w:val="005512AF"/>
    <w:rsid w:val="005534E3"/>
    <w:rsid w:val="005541DC"/>
    <w:rsid w:val="00562989"/>
    <w:rsid w:val="00562CF8"/>
    <w:rsid w:val="005631AB"/>
    <w:rsid w:val="005638DB"/>
    <w:rsid w:val="005655A4"/>
    <w:rsid w:val="005721EC"/>
    <w:rsid w:val="005737E2"/>
    <w:rsid w:val="00584A0F"/>
    <w:rsid w:val="00584F53"/>
    <w:rsid w:val="005A3546"/>
    <w:rsid w:val="005A70F1"/>
    <w:rsid w:val="005B69DF"/>
    <w:rsid w:val="005C44E0"/>
    <w:rsid w:val="005D37B1"/>
    <w:rsid w:val="005D55CB"/>
    <w:rsid w:val="005E4B47"/>
    <w:rsid w:val="005E78D6"/>
    <w:rsid w:val="005E79CA"/>
    <w:rsid w:val="005F0B3A"/>
    <w:rsid w:val="005F6141"/>
    <w:rsid w:val="00602898"/>
    <w:rsid w:val="0060388F"/>
    <w:rsid w:val="006052E8"/>
    <w:rsid w:val="0061635C"/>
    <w:rsid w:val="006261DB"/>
    <w:rsid w:val="00626736"/>
    <w:rsid w:val="00630873"/>
    <w:rsid w:val="006312E4"/>
    <w:rsid w:val="006359EF"/>
    <w:rsid w:val="00641FC0"/>
    <w:rsid w:val="00647199"/>
    <w:rsid w:val="006542FC"/>
    <w:rsid w:val="00655F6D"/>
    <w:rsid w:val="00663243"/>
    <w:rsid w:val="0066598C"/>
    <w:rsid w:val="00671601"/>
    <w:rsid w:val="00672F44"/>
    <w:rsid w:val="006779AB"/>
    <w:rsid w:val="0068107B"/>
    <w:rsid w:val="00687014"/>
    <w:rsid w:val="00692629"/>
    <w:rsid w:val="00692DD3"/>
    <w:rsid w:val="00692F14"/>
    <w:rsid w:val="006945B5"/>
    <w:rsid w:val="00695E6A"/>
    <w:rsid w:val="006967A1"/>
    <w:rsid w:val="006A5E83"/>
    <w:rsid w:val="006A70F6"/>
    <w:rsid w:val="006B1D17"/>
    <w:rsid w:val="006C55CB"/>
    <w:rsid w:val="006C74A9"/>
    <w:rsid w:val="006D0CF8"/>
    <w:rsid w:val="006D7051"/>
    <w:rsid w:val="006E1A7B"/>
    <w:rsid w:val="006E4B21"/>
    <w:rsid w:val="006E757C"/>
    <w:rsid w:val="0070223B"/>
    <w:rsid w:val="00702B3E"/>
    <w:rsid w:val="00703EA8"/>
    <w:rsid w:val="0070646F"/>
    <w:rsid w:val="00710122"/>
    <w:rsid w:val="00710F79"/>
    <w:rsid w:val="007117A8"/>
    <w:rsid w:val="00713A12"/>
    <w:rsid w:val="0071641A"/>
    <w:rsid w:val="007203D6"/>
    <w:rsid w:val="00722388"/>
    <w:rsid w:val="00731384"/>
    <w:rsid w:val="00745995"/>
    <w:rsid w:val="00747387"/>
    <w:rsid w:val="007512F4"/>
    <w:rsid w:val="00763979"/>
    <w:rsid w:val="00775EF0"/>
    <w:rsid w:val="00781DA3"/>
    <w:rsid w:val="00790325"/>
    <w:rsid w:val="007905DE"/>
    <w:rsid w:val="00795EB7"/>
    <w:rsid w:val="00797408"/>
    <w:rsid w:val="00797A8D"/>
    <w:rsid w:val="007A03D6"/>
    <w:rsid w:val="007A1D99"/>
    <w:rsid w:val="007A2531"/>
    <w:rsid w:val="007A4420"/>
    <w:rsid w:val="007B4354"/>
    <w:rsid w:val="007B611F"/>
    <w:rsid w:val="007C15E4"/>
    <w:rsid w:val="007C29DC"/>
    <w:rsid w:val="007C5179"/>
    <w:rsid w:val="007D56BB"/>
    <w:rsid w:val="007E0871"/>
    <w:rsid w:val="007F4488"/>
    <w:rsid w:val="0080218C"/>
    <w:rsid w:val="00802539"/>
    <w:rsid w:val="00804C10"/>
    <w:rsid w:val="00811063"/>
    <w:rsid w:val="00816FB7"/>
    <w:rsid w:val="008265AE"/>
    <w:rsid w:val="008379F3"/>
    <w:rsid w:val="00837BF9"/>
    <w:rsid w:val="00844252"/>
    <w:rsid w:val="00845BDB"/>
    <w:rsid w:val="008468D8"/>
    <w:rsid w:val="008554E7"/>
    <w:rsid w:val="008554F1"/>
    <w:rsid w:val="00857DA9"/>
    <w:rsid w:val="00860C46"/>
    <w:rsid w:val="00863CF1"/>
    <w:rsid w:val="008667B1"/>
    <w:rsid w:val="00866A48"/>
    <w:rsid w:val="00874BD1"/>
    <w:rsid w:val="00886765"/>
    <w:rsid w:val="0089118A"/>
    <w:rsid w:val="0089264D"/>
    <w:rsid w:val="008976D4"/>
    <w:rsid w:val="008A0543"/>
    <w:rsid w:val="008A17D2"/>
    <w:rsid w:val="008A1C66"/>
    <w:rsid w:val="008B0A7B"/>
    <w:rsid w:val="008B0FC8"/>
    <w:rsid w:val="008B3B3E"/>
    <w:rsid w:val="008B76A7"/>
    <w:rsid w:val="008B7B2E"/>
    <w:rsid w:val="008C289E"/>
    <w:rsid w:val="008D6FE5"/>
    <w:rsid w:val="008D7D63"/>
    <w:rsid w:val="008E18EA"/>
    <w:rsid w:val="008E7AC9"/>
    <w:rsid w:val="008F324E"/>
    <w:rsid w:val="009063F6"/>
    <w:rsid w:val="009074B4"/>
    <w:rsid w:val="00921CD6"/>
    <w:rsid w:val="00925496"/>
    <w:rsid w:val="009317D9"/>
    <w:rsid w:val="00931C64"/>
    <w:rsid w:val="00933964"/>
    <w:rsid w:val="009377F0"/>
    <w:rsid w:val="009423E4"/>
    <w:rsid w:val="009426E3"/>
    <w:rsid w:val="0094302B"/>
    <w:rsid w:val="009476A3"/>
    <w:rsid w:val="00950104"/>
    <w:rsid w:val="009504B7"/>
    <w:rsid w:val="00956FB3"/>
    <w:rsid w:val="009608D8"/>
    <w:rsid w:val="00962E46"/>
    <w:rsid w:val="00964871"/>
    <w:rsid w:val="0096645E"/>
    <w:rsid w:val="00973FAA"/>
    <w:rsid w:val="00974969"/>
    <w:rsid w:val="00976EA1"/>
    <w:rsid w:val="00985496"/>
    <w:rsid w:val="0099421B"/>
    <w:rsid w:val="009A0ADB"/>
    <w:rsid w:val="009A4058"/>
    <w:rsid w:val="009A7947"/>
    <w:rsid w:val="009B0567"/>
    <w:rsid w:val="009B0F68"/>
    <w:rsid w:val="009B345A"/>
    <w:rsid w:val="009B34A9"/>
    <w:rsid w:val="009B58BC"/>
    <w:rsid w:val="009B73A2"/>
    <w:rsid w:val="009B7AD7"/>
    <w:rsid w:val="009C29DD"/>
    <w:rsid w:val="009C4DFE"/>
    <w:rsid w:val="009C56E5"/>
    <w:rsid w:val="009D0FD1"/>
    <w:rsid w:val="009D5434"/>
    <w:rsid w:val="009E0702"/>
    <w:rsid w:val="009E3405"/>
    <w:rsid w:val="009E345C"/>
    <w:rsid w:val="009E79D7"/>
    <w:rsid w:val="009F47F9"/>
    <w:rsid w:val="00A00595"/>
    <w:rsid w:val="00A07BC7"/>
    <w:rsid w:val="00A11FB7"/>
    <w:rsid w:val="00A12E76"/>
    <w:rsid w:val="00A175A2"/>
    <w:rsid w:val="00A20E5F"/>
    <w:rsid w:val="00A2175B"/>
    <w:rsid w:val="00A224BB"/>
    <w:rsid w:val="00A2342E"/>
    <w:rsid w:val="00A2369E"/>
    <w:rsid w:val="00A23CE2"/>
    <w:rsid w:val="00A249CA"/>
    <w:rsid w:val="00A2556E"/>
    <w:rsid w:val="00A30BAB"/>
    <w:rsid w:val="00A328BA"/>
    <w:rsid w:val="00A34809"/>
    <w:rsid w:val="00A44566"/>
    <w:rsid w:val="00A46253"/>
    <w:rsid w:val="00A521BD"/>
    <w:rsid w:val="00A550C2"/>
    <w:rsid w:val="00A55C6E"/>
    <w:rsid w:val="00A60C8F"/>
    <w:rsid w:val="00A623AF"/>
    <w:rsid w:val="00A62951"/>
    <w:rsid w:val="00A6428E"/>
    <w:rsid w:val="00A67B16"/>
    <w:rsid w:val="00A743AC"/>
    <w:rsid w:val="00A8357A"/>
    <w:rsid w:val="00A83DBF"/>
    <w:rsid w:val="00A841B9"/>
    <w:rsid w:val="00A8689A"/>
    <w:rsid w:val="00A95A9A"/>
    <w:rsid w:val="00A96F8B"/>
    <w:rsid w:val="00AA0DDC"/>
    <w:rsid w:val="00AA13AC"/>
    <w:rsid w:val="00AB12D1"/>
    <w:rsid w:val="00AB2A75"/>
    <w:rsid w:val="00AB3CA4"/>
    <w:rsid w:val="00AB5B18"/>
    <w:rsid w:val="00AB7A79"/>
    <w:rsid w:val="00AC0E62"/>
    <w:rsid w:val="00AD4FD2"/>
    <w:rsid w:val="00AD64FB"/>
    <w:rsid w:val="00AD70E7"/>
    <w:rsid w:val="00AD7C19"/>
    <w:rsid w:val="00AE15A4"/>
    <w:rsid w:val="00AE3509"/>
    <w:rsid w:val="00AE597E"/>
    <w:rsid w:val="00AF3253"/>
    <w:rsid w:val="00AF518F"/>
    <w:rsid w:val="00AF6584"/>
    <w:rsid w:val="00AF6964"/>
    <w:rsid w:val="00AF69F4"/>
    <w:rsid w:val="00AF752F"/>
    <w:rsid w:val="00B010B5"/>
    <w:rsid w:val="00B2540D"/>
    <w:rsid w:val="00B27116"/>
    <w:rsid w:val="00B27EBE"/>
    <w:rsid w:val="00B30208"/>
    <w:rsid w:val="00B351C9"/>
    <w:rsid w:val="00B35BD1"/>
    <w:rsid w:val="00B363C9"/>
    <w:rsid w:val="00B427CA"/>
    <w:rsid w:val="00B447F7"/>
    <w:rsid w:val="00B520EB"/>
    <w:rsid w:val="00B52771"/>
    <w:rsid w:val="00B530CF"/>
    <w:rsid w:val="00B62C1C"/>
    <w:rsid w:val="00B6549D"/>
    <w:rsid w:val="00B731AE"/>
    <w:rsid w:val="00B81206"/>
    <w:rsid w:val="00B85998"/>
    <w:rsid w:val="00B917C3"/>
    <w:rsid w:val="00B92030"/>
    <w:rsid w:val="00B96CFA"/>
    <w:rsid w:val="00B978A5"/>
    <w:rsid w:val="00BA52AB"/>
    <w:rsid w:val="00BB03E0"/>
    <w:rsid w:val="00BB1305"/>
    <w:rsid w:val="00BB144A"/>
    <w:rsid w:val="00BB2E07"/>
    <w:rsid w:val="00BB6ACA"/>
    <w:rsid w:val="00BC7E2A"/>
    <w:rsid w:val="00BD0EFA"/>
    <w:rsid w:val="00BD1420"/>
    <w:rsid w:val="00BD1C74"/>
    <w:rsid w:val="00BD586A"/>
    <w:rsid w:val="00BE20DF"/>
    <w:rsid w:val="00BE4F67"/>
    <w:rsid w:val="00BF1FB4"/>
    <w:rsid w:val="00BF1FD6"/>
    <w:rsid w:val="00C015D1"/>
    <w:rsid w:val="00C1131F"/>
    <w:rsid w:val="00C124FE"/>
    <w:rsid w:val="00C1332E"/>
    <w:rsid w:val="00C15228"/>
    <w:rsid w:val="00C178B6"/>
    <w:rsid w:val="00C21DD1"/>
    <w:rsid w:val="00C266E6"/>
    <w:rsid w:val="00C31FD3"/>
    <w:rsid w:val="00C43EBC"/>
    <w:rsid w:val="00C458BB"/>
    <w:rsid w:val="00C50544"/>
    <w:rsid w:val="00C52200"/>
    <w:rsid w:val="00C56745"/>
    <w:rsid w:val="00C57C35"/>
    <w:rsid w:val="00C634D5"/>
    <w:rsid w:val="00C64032"/>
    <w:rsid w:val="00C6438C"/>
    <w:rsid w:val="00C65F6E"/>
    <w:rsid w:val="00C6697A"/>
    <w:rsid w:val="00C6783B"/>
    <w:rsid w:val="00C72D8E"/>
    <w:rsid w:val="00C74291"/>
    <w:rsid w:val="00C81A64"/>
    <w:rsid w:val="00C83C01"/>
    <w:rsid w:val="00C91EAE"/>
    <w:rsid w:val="00C9778C"/>
    <w:rsid w:val="00CB2765"/>
    <w:rsid w:val="00CB5C34"/>
    <w:rsid w:val="00CC043F"/>
    <w:rsid w:val="00CC3C2C"/>
    <w:rsid w:val="00CC6B04"/>
    <w:rsid w:val="00CC784A"/>
    <w:rsid w:val="00CE3A85"/>
    <w:rsid w:val="00CE6A0A"/>
    <w:rsid w:val="00CE7A46"/>
    <w:rsid w:val="00CF07A2"/>
    <w:rsid w:val="00CF20FF"/>
    <w:rsid w:val="00CF25F1"/>
    <w:rsid w:val="00CF5687"/>
    <w:rsid w:val="00CF5C44"/>
    <w:rsid w:val="00D005A5"/>
    <w:rsid w:val="00D03DFB"/>
    <w:rsid w:val="00D15EDC"/>
    <w:rsid w:val="00D23645"/>
    <w:rsid w:val="00D32432"/>
    <w:rsid w:val="00D32CC1"/>
    <w:rsid w:val="00D406E9"/>
    <w:rsid w:val="00D41482"/>
    <w:rsid w:val="00D47447"/>
    <w:rsid w:val="00D5027F"/>
    <w:rsid w:val="00D524BF"/>
    <w:rsid w:val="00D614FE"/>
    <w:rsid w:val="00D64641"/>
    <w:rsid w:val="00D6479D"/>
    <w:rsid w:val="00D80078"/>
    <w:rsid w:val="00D95D53"/>
    <w:rsid w:val="00DA4C29"/>
    <w:rsid w:val="00DA5D11"/>
    <w:rsid w:val="00DA62A3"/>
    <w:rsid w:val="00DB3682"/>
    <w:rsid w:val="00DB3C4A"/>
    <w:rsid w:val="00DC126A"/>
    <w:rsid w:val="00DC7EF3"/>
    <w:rsid w:val="00DD266B"/>
    <w:rsid w:val="00DD39D4"/>
    <w:rsid w:val="00DD615A"/>
    <w:rsid w:val="00DE2CFB"/>
    <w:rsid w:val="00DF1976"/>
    <w:rsid w:val="00DF331C"/>
    <w:rsid w:val="00E02E44"/>
    <w:rsid w:val="00E06B0C"/>
    <w:rsid w:val="00E13E51"/>
    <w:rsid w:val="00E15275"/>
    <w:rsid w:val="00E16059"/>
    <w:rsid w:val="00E17A9A"/>
    <w:rsid w:val="00E2087D"/>
    <w:rsid w:val="00E21FD7"/>
    <w:rsid w:val="00E27CBD"/>
    <w:rsid w:val="00E3068E"/>
    <w:rsid w:val="00E32397"/>
    <w:rsid w:val="00E36F4C"/>
    <w:rsid w:val="00E420C2"/>
    <w:rsid w:val="00E435FC"/>
    <w:rsid w:val="00E53B64"/>
    <w:rsid w:val="00E54E0B"/>
    <w:rsid w:val="00E61DC5"/>
    <w:rsid w:val="00E63142"/>
    <w:rsid w:val="00E67F9E"/>
    <w:rsid w:val="00E67FD4"/>
    <w:rsid w:val="00E72016"/>
    <w:rsid w:val="00E75476"/>
    <w:rsid w:val="00E75F4A"/>
    <w:rsid w:val="00E77AD4"/>
    <w:rsid w:val="00E824AB"/>
    <w:rsid w:val="00E87D7D"/>
    <w:rsid w:val="00E90DA3"/>
    <w:rsid w:val="00E91349"/>
    <w:rsid w:val="00E9404C"/>
    <w:rsid w:val="00E9449E"/>
    <w:rsid w:val="00E97B9D"/>
    <w:rsid w:val="00EA0FB4"/>
    <w:rsid w:val="00EA4341"/>
    <w:rsid w:val="00EA6D5C"/>
    <w:rsid w:val="00EB11D6"/>
    <w:rsid w:val="00EB2841"/>
    <w:rsid w:val="00EB5B78"/>
    <w:rsid w:val="00EC225D"/>
    <w:rsid w:val="00ED0366"/>
    <w:rsid w:val="00ED2AE6"/>
    <w:rsid w:val="00EE288F"/>
    <w:rsid w:val="00EE5024"/>
    <w:rsid w:val="00EE5C68"/>
    <w:rsid w:val="00EE7416"/>
    <w:rsid w:val="00EF1814"/>
    <w:rsid w:val="00EF1D16"/>
    <w:rsid w:val="00EF74DB"/>
    <w:rsid w:val="00F00E67"/>
    <w:rsid w:val="00F05012"/>
    <w:rsid w:val="00F10DBD"/>
    <w:rsid w:val="00F1423A"/>
    <w:rsid w:val="00F1672B"/>
    <w:rsid w:val="00F23D4C"/>
    <w:rsid w:val="00F2684D"/>
    <w:rsid w:val="00F26B1C"/>
    <w:rsid w:val="00F32B62"/>
    <w:rsid w:val="00F361ED"/>
    <w:rsid w:val="00F3665B"/>
    <w:rsid w:val="00F40CFB"/>
    <w:rsid w:val="00F423C7"/>
    <w:rsid w:val="00F44127"/>
    <w:rsid w:val="00F45141"/>
    <w:rsid w:val="00F460C8"/>
    <w:rsid w:val="00F51E02"/>
    <w:rsid w:val="00F5405E"/>
    <w:rsid w:val="00F5430E"/>
    <w:rsid w:val="00F5570A"/>
    <w:rsid w:val="00F604F6"/>
    <w:rsid w:val="00F6550B"/>
    <w:rsid w:val="00F67B18"/>
    <w:rsid w:val="00F70C74"/>
    <w:rsid w:val="00F7236E"/>
    <w:rsid w:val="00F73088"/>
    <w:rsid w:val="00F84CAE"/>
    <w:rsid w:val="00F91684"/>
    <w:rsid w:val="00FA10EF"/>
    <w:rsid w:val="00FA1548"/>
    <w:rsid w:val="00FA21E3"/>
    <w:rsid w:val="00FA49E8"/>
    <w:rsid w:val="00FB3DDD"/>
    <w:rsid w:val="00FB53FA"/>
    <w:rsid w:val="00FD6F93"/>
    <w:rsid w:val="00FE1B1E"/>
    <w:rsid w:val="00FE2025"/>
    <w:rsid w:val="00FE2367"/>
    <w:rsid w:val="00FE7EBD"/>
    <w:rsid w:val="00FF1C7D"/>
    <w:rsid w:val="00FF1D03"/>
    <w:rsid w:val="00FF3392"/>
    <w:rsid w:val="00FF5816"/>
    <w:rsid w:val="00FF6F67"/>
    <w:rsid w:val="00FF7B9A"/>
    <w:rsid w:val="01F23506"/>
    <w:rsid w:val="02B71660"/>
    <w:rsid w:val="071871E6"/>
    <w:rsid w:val="07722E8F"/>
    <w:rsid w:val="079E06FB"/>
    <w:rsid w:val="07A61C74"/>
    <w:rsid w:val="07FB7E2F"/>
    <w:rsid w:val="08CC41FB"/>
    <w:rsid w:val="09FB7388"/>
    <w:rsid w:val="0A340131"/>
    <w:rsid w:val="0C2B3807"/>
    <w:rsid w:val="0C523489"/>
    <w:rsid w:val="0DDA4BE1"/>
    <w:rsid w:val="0E483041"/>
    <w:rsid w:val="0ECF4488"/>
    <w:rsid w:val="0FE90C11"/>
    <w:rsid w:val="0FE94D30"/>
    <w:rsid w:val="10401F77"/>
    <w:rsid w:val="10FA540C"/>
    <w:rsid w:val="11A72C36"/>
    <w:rsid w:val="11C06EA3"/>
    <w:rsid w:val="125435DC"/>
    <w:rsid w:val="1259749A"/>
    <w:rsid w:val="131E08C0"/>
    <w:rsid w:val="133904E5"/>
    <w:rsid w:val="14D6178B"/>
    <w:rsid w:val="151A1002"/>
    <w:rsid w:val="177F0E01"/>
    <w:rsid w:val="19846A8F"/>
    <w:rsid w:val="19FF6E72"/>
    <w:rsid w:val="1A904BA7"/>
    <w:rsid w:val="1B3C4C5D"/>
    <w:rsid w:val="1B46399A"/>
    <w:rsid w:val="1C5E0126"/>
    <w:rsid w:val="1D602727"/>
    <w:rsid w:val="1E3F4903"/>
    <w:rsid w:val="1E716E83"/>
    <w:rsid w:val="1EC21F7A"/>
    <w:rsid w:val="1FF5AAEC"/>
    <w:rsid w:val="1FFB152F"/>
    <w:rsid w:val="2065606D"/>
    <w:rsid w:val="20B02443"/>
    <w:rsid w:val="216C22C3"/>
    <w:rsid w:val="2211370E"/>
    <w:rsid w:val="22A5210D"/>
    <w:rsid w:val="233869C9"/>
    <w:rsid w:val="237648A6"/>
    <w:rsid w:val="264C7852"/>
    <w:rsid w:val="27011943"/>
    <w:rsid w:val="27D11F31"/>
    <w:rsid w:val="28571B01"/>
    <w:rsid w:val="290851A4"/>
    <w:rsid w:val="291C2D89"/>
    <w:rsid w:val="2938125A"/>
    <w:rsid w:val="298F268B"/>
    <w:rsid w:val="29A529F3"/>
    <w:rsid w:val="29FF65A7"/>
    <w:rsid w:val="2AC34874"/>
    <w:rsid w:val="2BEE0681"/>
    <w:rsid w:val="2C73370C"/>
    <w:rsid w:val="2F310BDE"/>
    <w:rsid w:val="2F4C7780"/>
    <w:rsid w:val="2FFD5337"/>
    <w:rsid w:val="30122E7C"/>
    <w:rsid w:val="305D23CE"/>
    <w:rsid w:val="311A031D"/>
    <w:rsid w:val="316204D6"/>
    <w:rsid w:val="31CD277D"/>
    <w:rsid w:val="32B22ACE"/>
    <w:rsid w:val="32BE2948"/>
    <w:rsid w:val="330812C2"/>
    <w:rsid w:val="33BB1B60"/>
    <w:rsid w:val="34B04472"/>
    <w:rsid w:val="34FB5BBD"/>
    <w:rsid w:val="35BEB933"/>
    <w:rsid w:val="365748D2"/>
    <w:rsid w:val="36C327B3"/>
    <w:rsid w:val="370623B0"/>
    <w:rsid w:val="37F407F5"/>
    <w:rsid w:val="37F5B8C9"/>
    <w:rsid w:val="38616A24"/>
    <w:rsid w:val="38FC3020"/>
    <w:rsid w:val="39260C1E"/>
    <w:rsid w:val="397A3554"/>
    <w:rsid w:val="399A6E11"/>
    <w:rsid w:val="3BDFE460"/>
    <w:rsid w:val="3D40709A"/>
    <w:rsid w:val="3DCEC805"/>
    <w:rsid w:val="3DDC0872"/>
    <w:rsid w:val="3EC3599D"/>
    <w:rsid w:val="3ED70CA5"/>
    <w:rsid w:val="3F15092A"/>
    <w:rsid w:val="3FAB2CAA"/>
    <w:rsid w:val="3FF732A9"/>
    <w:rsid w:val="40420B44"/>
    <w:rsid w:val="40A9266D"/>
    <w:rsid w:val="41353E2B"/>
    <w:rsid w:val="422E6094"/>
    <w:rsid w:val="43CF26EE"/>
    <w:rsid w:val="45D15B68"/>
    <w:rsid w:val="47262885"/>
    <w:rsid w:val="4946453D"/>
    <w:rsid w:val="4A4B2102"/>
    <w:rsid w:val="4B662670"/>
    <w:rsid w:val="4C3363A1"/>
    <w:rsid w:val="4C4E6541"/>
    <w:rsid w:val="4DA147FF"/>
    <w:rsid w:val="4E793FEA"/>
    <w:rsid w:val="4E8014BC"/>
    <w:rsid w:val="4F11005F"/>
    <w:rsid w:val="4F3EC351"/>
    <w:rsid w:val="4FCFE6C9"/>
    <w:rsid w:val="4FE237A9"/>
    <w:rsid w:val="50D87B4B"/>
    <w:rsid w:val="50ED0533"/>
    <w:rsid w:val="5150612E"/>
    <w:rsid w:val="51894111"/>
    <w:rsid w:val="53F450B3"/>
    <w:rsid w:val="53FB5E41"/>
    <w:rsid w:val="552E3E65"/>
    <w:rsid w:val="55B70D59"/>
    <w:rsid w:val="56336B0D"/>
    <w:rsid w:val="563794CC"/>
    <w:rsid w:val="56C91B0E"/>
    <w:rsid w:val="56DA6FF5"/>
    <w:rsid w:val="57484931"/>
    <w:rsid w:val="582F05B7"/>
    <w:rsid w:val="584E4F82"/>
    <w:rsid w:val="58627B7D"/>
    <w:rsid w:val="58663869"/>
    <w:rsid w:val="58946F9D"/>
    <w:rsid w:val="58B33F35"/>
    <w:rsid w:val="593A0F7B"/>
    <w:rsid w:val="59FED286"/>
    <w:rsid w:val="5A056BEA"/>
    <w:rsid w:val="5A0C551C"/>
    <w:rsid w:val="5B0D16CA"/>
    <w:rsid w:val="5BBB76A2"/>
    <w:rsid w:val="5CF84C75"/>
    <w:rsid w:val="5CFA0C68"/>
    <w:rsid w:val="5DD230AF"/>
    <w:rsid w:val="5EED6BF7"/>
    <w:rsid w:val="5F7B338E"/>
    <w:rsid w:val="5FB70C17"/>
    <w:rsid w:val="5FEF4005"/>
    <w:rsid w:val="5FFED979"/>
    <w:rsid w:val="613B720B"/>
    <w:rsid w:val="61984373"/>
    <w:rsid w:val="62261C1B"/>
    <w:rsid w:val="63C4194F"/>
    <w:rsid w:val="63EA177E"/>
    <w:rsid w:val="647E65B1"/>
    <w:rsid w:val="64930AC3"/>
    <w:rsid w:val="64F9732A"/>
    <w:rsid w:val="67E9720D"/>
    <w:rsid w:val="67FB4928"/>
    <w:rsid w:val="6A1522A9"/>
    <w:rsid w:val="6A58196E"/>
    <w:rsid w:val="6B6F4E0D"/>
    <w:rsid w:val="6BBD0EFB"/>
    <w:rsid w:val="6BDF0195"/>
    <w:rsid w:val="6DB64422"/>
    <w:rsid w:val="6EEFF064"/>
    <w:rsid w:val="6F86554D"/>
    <w:rsid w:val="6F9A42D9"/>
    <w:rsid w:val="6FAC480E"/>
    <w:rsid w:val="6FBF2BA5"/>
    <w:rsid w:val="6FEC17CB"/>
    <w:rsid w:val="6FFC3E4C"/>
    <w:rsid w:val="70C1148D"/>
    <w:rsid w:val="71AEEA08"/>
    <w:rsid w:val="73ED0ADF"/>
    <w:rsid w:val="741B485E"/>
    <w:rsid w:val="742747BE"/>
    <w:rsid w:val="74CC01FF"/>
    <w:rsid w:val="75BF0139"/>
    <w:rsid w:val="76881D43"/>
    <w:rsid w:val="76F7880D"/>
    <w:rsid w:val="78302EED"/>
    <w:rsid w:val="786567BB"/>
    <w:rsid w:val="7A1E525A"/>
    <w:rsid w:val="7A3D4AB7"/>
    <w:rsid w:val="7A476160"/>
    <w:rsid w:val="7B7E253E"/>
    <w:rsid w:val="7BD46310"/>
    <w:rsid w:val="7BFFD3F1"/>
    <w:rsid w:val="7C8F897C"/>
    <w:rsid w:val="7D3163A3"/>
    <w:rsid w:val="7D37BB34"/>
    <w:rsid w:val="7D7B6E68"/>
    <w:rsid w:val="7D8D3EDF"/>
    <w:rsid w:val="7DFFC0A2"/>
    <w:rsid w:val="7E3B46FF"/>
    <w:rsid w:val="7E7B4632"/>
    <w:rsid w:val="7E9A6F1D"/>
    <w:rsid w:val="7E9C0119"/>
    <w:rsid w:val="7EFAC456"/>
    <w:rsid w:val="7F26795B"/>
    <w:rsid w:val="7F7252BD"/>
    <w:rsid w:val="7FBB8569"/>
    <w:rsid w:val="7FDD97AB"/>
    <w:rsid w:val="7FE9C3CA"/>
    <w:rsid w:val="837F6883"/>
    <w:rsid w:val="8D6E77B9"/>
    <w:rsid w:val="91F08955"/>
    <w:rsid w:val="A3FB585B"/>
    <w:rsid w:val="A52D2B53"/>
    <w:rsid w:val="AA77785D"/>
    <w:rsid w:val="AFBE0A42"/>
    <w:rsid w:val="BBF6B8A4"/>
    <w:rsid w:val="BC9EC9F4"/>
    <w:rsid w:val="BDE59315"/>
    <w:rsid w:val="BDEBC51F"/>
    <w:rsid w:val="BEB7AAA6"/>
    <w:rsid w:val="CB033B89"/>
    <w:rsid w:val="CDFEB4AD"/>
    <w:rsid w:val="CEFD8414"/>
    <w:rsid w:val="D09F2633"/>
    <w:rsid w:val="D5FE7555"/>
    <w:rsid w:val="D65F0EED"/>
    <w:rsid w:val="DDCBC299"/>
    <w:rsid w:val="DE7902C3"/>
    <w:rsid w:val="DEFF1EB1"/>
    <w:rsid w:val="DFF3814A"/>
    <w:rsid w:val="DFFBB9F3"/>
    <w:rsid w:val="EAEFDF4F"/>
    <w:rsid w:val="EAFC3B40"/>
    <w:rsid w:val="EBFFA4B5"/>
    <w:rsid w:val="EDF2EEC7"/>
    <w:rsid w:val="EDF67B5B"/>
    <w:rsid w:val="EDFF6ED0"/>
    <w:rsid w:val="EF1CFFF9"/>
    <w:rsid w:val="EFED7597"/>
    <w:rsid w:val="EFEFF4D9"/>
    <w:rsid w:val="EFF57E57"/>
    <w:rsid w:val="F3EF679B"/>
    <w:rsid w:val="F54324E0"/>
    <w:rsid w:val="F79D1446"/>
    <w:rsid w:val="F7BF63CE"/>
    <w:rsid w:val="F9BBA0C8"/>
    <w:rsid w:val="F9DD81DA"/>
    <w:rsid w:val="FA27159C"/>
    <w:rsid w:val="FBBBDDAB"/>
    <w:rsid w:val="FBF20F4C"/>
    <w:rsid w:val="FE774A08"/>
    <w:rsid w:val="FF9E3420"/>
    <w:rsid w:val="FFB71713"/>
    <w:rsid w:val="FFBDFCC5"/>
    <w:rsid w:val="FFBE6C4E"/>
    <w:rsid w:val="FFBF87F4"/>
    <w:rsid w:val="FFBF8969"/>
    <w:rsid w:val="FFD7934A"/>
    <w:rsid w:val="FFE72CF6"/>
    <w:rsid w:val="FFFB61ED"/>
    <w:rsid w:val="FFFBE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8"/>
    <w:qFormat/>
    <w:uiPriority w:val="0"/>
    <w:pPr>
      <w:jc w:val="left"/>
      <w:textAlignment w:val="center"/>
      <w:outlineLvl w:val="1"/>
    </w:pPr>
    <w:rPr>
      <w:rFonts w:ascii="Arial" w:hAnsi="Arial" w:eastAsia="黑体"/>
      <w:b/>
      <w:bCs/>
      <w:color w:val="000000"/>
      <w:kern w:val="0"/>
      <w:sz w:val="36"/>
      <w:szCs w:val="32"/>
    </w:rPr>
  </w:style>
  <w:style w:type="paragraph" w:styleId="5">
    <w:name w:val="heading 3"/>
    <w:basedOn w:val="1"/>
    <w:next w:val="1"/>
    <w:link w:val="49"/>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50"/>
    <w:qFormat/>
    <w:uiPriority w:val="0"/>
    <w:pPr>
      <w:outlineLvl w:val="3"/>
    </w:pPr>
    <w:rPr>
      <w:rFonts w:ascii="Arial" w:hAnsi="Arial" w:eastAsia="黑体"/>
      <w:b/>
      <w:bCs/>
      <w:color w:val="0000FF"/>
      <w:kern w:val="0"/>
      <w:sz w:val="24"/>
      <w:szCs w:val="24"/>
    </w:rPr>
  </w:style>
  <w:style w:type="paragraph" w:styleId="7">
    <w:name w:val="heading 5"/>
    <w:basedOn w:val="1"/>
    <w:next w:val="1"/>
    <w:link w:val="51"/>
    <w:qFormat/>
    <w:uiPriority w:val="0"/>
    <w:pPr>
      <w:outlineLvl w:val="4"/>
    </w:pPr>
    <w:rPr>
      <w:rFonts w:ascii="Times New Roman" w:hAnsi="Times New Roman" w:eastAsia="华文中宋"/>
      <w:b/>
      <w:bCs/>
      <w:color w:val="800000"/>
      <w:kern w:val="0"/>
      <w:sz w:val="24"/>
      <w:szCs w:val="24"/>
    </w:rPr>
  </w:style>
  <w:style w:type="paragraph" w:styleId="8">
    <w:name w:val="heading 6"/>
    <w:basedOn w:val="1"/>
    <w:next w:val="1"/>
    <w:link w:val="52"/>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0"/>
    <w:link w:val="53"/>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10">
    <w:name w:val="heading 8"/>
    <w:basedOn w:val="1"/>
    <w:next w:val="1"/>
    <w:link w:val="54"/>
    <w:qFormat/>
    <w:uiPriority w:val="0"/>
    <w:pPr>
      <w:ind w:left="369" w:hanging="369"/>
      <w:outlineLvl w:val="7"/>
    </w:pPr>
    <w:rPr>
      <w:rFonts w:ascii="Times New Roman" w:hAnsi="Times New Roman" w:eastAsia="华文中宋"/>
      <w:kern w:val="0"/>
      <w:sz w:val="24"/>
      <w:szCs w:val="24"/>
    </w:rPr>
  </w:style>
  <w:style w:type="paragraph" w:styleId="11">
    <w:name w:val="heading 9"/>
    <w:basedOn w:val="1"/>
    <w:next w:val="1"/>
    <w:link w:val="5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rPr>
  </w:style>
  <w:style w:type="paragraph" w:styleId="12">
    <w:name w:val="toc 7"/>
    <w:basedOn w:val="1"/>
    <w:next w:val="1"/>
    <w:qFormat/>
    <w:uiPriority w:val="39"/>
    <w:pPr>
      <w:ind w:left="1200" w:leftChars="1200"/>
    </w:pPr>
    <w:rPr>
      <w:rFonts w:ascii="Times New Roman" w:hAnsi="Times New Roman"/>
    </w:rPr>
  </w:style>
  <w:style w:type="paragraph" w:styleId="13">
    <w:name w:val="Document Map"/>
    <w:basedOn w:val="1"/>
    <w:link w:val="56"/>
    <w:unhideWhenUsed/>
    <w:qFormat/>
    <w:uiPriority w:val="0"/>
    <w:pPr>
      <w:widowControl/>
      <w:jc w:val="left"/>
    </w:pPr>
    <w:rPr>
      <w:rFonts w:ascii="宋体"/>
      <w:kern w:val="0"/>
      <w:sz w:val="18"/>
      <w:szCs w:val="18"/>
    </w:rPr>
  </w:style>
  <w:style w:type="paragraph" w:styleId="14">
    <w:name w:val="annotation text"/>
    <w:basedOn w:val="1"/>
    <w:link w:val="57"/>
    <w:unhideWhenUsed/>
    <w:qFormat/>
    <w:uiPriority w:val="0"/>
    <w:pPr>
      <w:jc w:val="left"/>
    </w:pPr>
  </w:style>
  <w:style w:type="paragraph" w:styleId="15">
    <w:name w:val="Body Text 3"/>
    <w:basedOn w:val="1"/>
    <w:link w:val="58"/>
    <w:qFormat/>
    <w:uiPriority w:val="0"/>
    <w:pPr>
      <w:spacing w:after="120"/>
    </w:pPr>
    <w:rPr>
      <w:rFonts w:eastAsia="楷体_GB2312"/>
      <w:kern w:val="0"/>
      <w:sz w:val="16"/>
      <w:szCs w:val="16"/>
    </w:rPr>
  </w:style>
  <w:style w:type="paragraph" w:styleId="16">
    <w:name w:val="Body Text"/>
    <w:basedOn w:val="1"/>
    <w:link w:val="59"/>
    <w:unhideWhenUsed/>
    <w:qFormat/>
    <w:uiPriority w:val="99"/>
    <w:pPr>
      <w:spacing w:after="120"/>
    </w:pPr>
    <w:rPr>
      <w:rFonts w:ascii="Times New Roman" w:hAnsi="Times New Roman"/>
      <w:kern w:val="0"/>
      <w:sz w:val="20"/>
      <w:szCs w:val="20"/>
    </w:rPr>
  </w:style>
  <w:style w:type="paragraph" w:styleId="17">
    <w:name w:val="Body Text Indent"/>
    <w:basedOn w:val="1"/>
    <w:link w:val="60"/>
    <w:qFormat/>
    <w:uiPriority w:val="0"/>
    <w:pPr>
      <w:spacing w:after="120"/>
      <w:ind w:left="420" w:leftChars="200"/>
    </w:pPr>
    <w:rPr>
      <w:kern w:val="0"/>
      <w:sz w:val="20"/>
      <w:szCs w:val="20"/>
    </w:rPr>
  </w:style>
  <w:style w:type="paragraph" w:styleId="18">
    <w:name w:val="toc 5"/>
    <w:basedOn w:val="1"/>
    <w:next w:val="1"/>
    <w:qFormat/>
    <w:uiPriority w:val="39"/>
    <w:pPr>
      <w:ind w:left="800" w:leftChars="800"/>
    </w:pPr>
    <w:rPr>
      <w:rFonts w:ascii="Times New Roman" w:hAnsi="Times New Roman"/>
    </w:rPr>
  </w:style>
  <w:style w:type="paragraph" w:styleId="19">
    <w:name w:val="toc 3"/>
    <w:basedOn w:val="1"/>
    <w:next w:val="1"/>
    <w:qFormat/>
    <w:uiPriority w:val="39"/>
    <w:pPr>
      <w:ind w:left="400" w:leftChars="400"/>
    </w:pPr>
    <w:rPr>
      <w:rFonts w:ascii="Times New Roman" w:hAnsi="Times New Roman"/>
    </w:rPr>
  </w:style>
  <w:style w:type="paragraph" w:styleId="20">
    <w:name w:val="Plain Text"/>
    <w:basedOn w:val="1"/>
    <w:next w:val="1"/>
    <w:link w:val="46"/>
    <w:qFormat/>
    <w:uiPriority w:val="99"/>
    <w:rPr>
      <w:rFonts w:ascii="宋体"/>
      <w:kern w:val="0"/>
      <w:sz w:val="20"/>
      <w:szCs w:val="20"/>
    </w:rPr>
  </w:style>
  <w:style w:type="paragraph" w:styleId="21">
    <w:name w:val="toc 8"/>
    <w:basedOn w:val="1"/>
    <w:next w:val="1"/>
    <w:qFormat/>
    <w:uiPriority w:val="39"/>
    <w:pPr>
      <w:ind w:left="1400" w:leftChars="1400"/>
    </w:pPr>
    <w:rPr>
      <w:rFonts w:ascii="Times New Roman" w:hAnsi="Times New Roman"/>
    </w:rPr>
  </w:style>
  <w:style w:type="paragraph" w:styleId="22">
    <w:name w:val="Date"/>
    <w:basedOn w:val="1"/>
    <w:next w:val="1"/>
    <w:link w:val="61"/>
    <w:qFormat/>
    <w:uiPriority w:val="0"/>
    <w:pPr>
      <w:ind w:left="2500" w:leftChars="2500"/>
    </w:pPr>
    <w:rPr>
      <w:kern w:val="0"/>
      <w:sz w:val="20"/>
      <w:szCs w:val="20"/>
    </w:rPr>
  </w:style>
  <w:style w:type="paragraph" w:styleId="23">
    <w:name w:val="Balloon Text"/>
    <w:basedOn w:val="1"/>
    <w:link w:val="62"/>
    <w:unhideWhenUsed/>
    <w:qFormat/>
    <w:uiPriority w:val="0"/>
    <w:rPr>
      <w:rFonts w:ascii="Times New Roman" w:hAnsi="Times New Roman"/>
      <w:kern w:val="0"/>
      <w:sz w:val="18"/>
      <w:szCs w:val="18"/>
    </w:rPr>
  </w:style>
  <w:style w:type="paragraph" w:styleId="24">
    <w:name w:val="footer"/>
    <w:basedOn w:val="1"/>
    <w:link w:val="63"/>
    <w:unhideWhenUsed/>
    <w:qFormat/>
    <w:uiPriority w:val="99"/>
    <w:pPr>
      <w:tabs>
        <w:tab w:val="center" w:pos="4153"/>
        <w:tab w:val="right" w:pos="8306"/>
      </w:tabs>
      <w:snapToGrid w:val="0"/>
      <w:jc w:val="left"/>
    </w:pPr>
    <w:rPr>
      <w:kern w:val="0"/>
      <w:sz w:val="18"/>
      <w:szCs w:val="18"/>
    </w:rPr>
  </w:style>
  <w:style w:type="paragraph" w:styleId="25">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39"/>
    <w:rPr>
      <w:rFonts w:ascii="Times New Roman" w:hAnsi="Times New Roman"/>
      <w:sz w:val="30"/>
    </w:rPr>
  </w:style>
  <w:style w:type="paragraph" w:styleId="27">
    <w:name w:val="toc 4"/>
    <w:basedOn w:val="1"/>
    <w:next w:val="1"/>
    <w:qFormat/>
    <w:uiPriority w:val="39"/>
    <w:pPr>
      <w:ind w:left="600" w:leftChars="600"/>
    </w:pPr>
    <w:rPr>
      <w:rFonts w:ascii="Times New Roman" w:hAnsi="Times New Roman"/>
    </w:rPr>
  </w:style>
  <w:style w:type="paragraph" w:styleId="28">
    <w:name w:val="toc 6"/>
    <w:basedOn w:val="1"/>
    <w:next w:val="1"/>
    <w:qFormat/>
    <w:uiPriority w:val="39"/>
    <w:pPr>
      <w:ind w:left="1000" w:leftChars="1000"/>
    </w:pPr>
    <w:rPr>
      <w:rFonts w:ascii="Times New Roman" w:hAnsi="Times New Roman"/>
    </w:rPr>
  </w:style>
  <w:style w:type="paragraph" w:styleId="29">
    <w:name w:val="Body Text Indent 3"/>
    <w:basedOn w:val="1"/>
    <w:link w:val="65"/>
    <w:qFormat/>
    <w:uiPriority w:val="0"/>
    <w:pPr>
      <w:spacing w:after="120"/>
      <w:ind w:left="200" w:leftChars="200"/>
    </w:pPr>
    <w:rPr>
      <w:kern w:val="0"/>
      <w:sz w:val="16"/>
      <w:szCs w:val="16"/>
    </w:rPr>
  </w:style>
  <w:style w:type="paragraph" w:styleId="30">
    <w:name w:val="toc 2"/>
    <w:basedOn w:val="1"/>
    <w:next w:val="1"/>
    <w:qFormat/>
    <w:uiPriority w:val="39"/>
    <w:pPr>
      <w:ind w:left="200" w:leftChars="200"/>
    </w:pPr>
    <w:rPr>
      <w:rFonts w:ascii="Times New Roman" w:hAnsi="Times New Roman"/>
      <w:sz w:val="30"/>
    </w:rPr>
  </w:style>
  <w:style w:type="paragraph" w:styleId="31">
    <w:name w:val="toc 9"/>
    <w:basedOn w:val="1"/>
    <w:next w:val="1"/>
    <w:qFormat/>
    <w:uiPriority w:val="39"/>
    <w:pPr>
      <w:ind w:left="1600" w:leftChars="1600"/>
    </w:pPr>
    <w:rPr>
      <w:rFonts w:ascii="Times New Roman" w:hAnsi="Times New Roman"/>
    </w:rPr>
  </w:style>
  <w:style w:type="paragraph" w:styleId="32">
    <w:name w:val="Body Text 2"/>
    <w:basedOn w:val="1"/>
    <w:link w:val="66"/>
    <w:qFormat/>
    <w:uiPriority w:val="0"/>
    <w:rPr>
      <w:rFonts w:ascii="宋体" w:hAnsi="宋体"/>
      <w:kern w:val="0"/>
      <w:sz w:val="20"/>
      <w:szCs w:val="24"/>
      <w:u w:val="single"/>
    </w:rPr>
  </w:style>
  <w:style w:type="paragraph" w:styleId="33">
    <w:name w:val="Normal (Web)"/>
    <w:basedOn w:val="1"/>
    <w:qFormat/>
    <w:uiPriority w:val="99"/>
    <w:pPr>
      <w:widowControl/>
      <w:spacing w:before="100" w:beforeAutospacing="1" w:after="100" w:afterAutospacing="1"/>
      <w:jc w:val="left"/>
    </w:pPr>
    <w:rPr>
      <w:rFonts w:ascii="宋体" w:hAnsi="宋体" w:cs="Calibri"/>
      <w:kern w:val="0"/>
      <w:sz w:val="24"/>
      <w:szCs w:val="24"/>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6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8"/>
    <w:unhideWhenUsed/>
    <w:qFormat/>
    <w:uiPriority w:val="0"/>
    <w:pPr>
      <w:widowControl/>
    </w:pPr>
    <w:rPr>
      <w:b/>
      <w:bCs/>
      <w:kern w:val="0"/>
      <w:sz w:val="20"/>
      <w:szCs w:val="20"/>
    </w:rPr>
  </w:style>
  <w:style w:type="paragraph" w:styleId="37">
    <w:name w:val="Body Text First Indent"/>
    <w:basedOn w:val="16"/>
    <w:link w:val="69"/>
    <w:qFormat/>
    <w:uiPriority w:val="0"/>
    <w:pPr>
      <w:spacing w:line="312" w:lineRule="auto"/>
      <w:ind w:firstLine="420"/>
    </w:pPr>
    <w:rPr>
      <w:rFonts w:ascii="Calibri" w:hAnsi="Calibri"/>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纯文本 Char7"/>
    <w:link w:val="20"/>
    <w:qFormat/>
    <w:uiPriority w:val="0"/>
    <w:rPr>
      <w:rFonts w:ascii="宋体"/>
    </w:rPr>
  </w:style>
  <w:style w:type="character" w:customStyle="1" w:styleId="47">
    <w:name w:val="标题 1 Char"/>
    <w:link w:val="3"/>
    <w:qFormat/>
    <w:uiPriority w:val="0"/>
    <w:rPr>
      <w:rFonts w:ascii="Times New Roman" w:hAnsi="Times New Roman" w:eastAsia="宋体" w:cs="Times New Roman"/>
      <w:b/>
      <w:bCs/>
      <w:kern w:val="44"/>
      <w:sz w:val="44"/>
      <w:szCs w:val="44"/>
    </w:rPr>
  </w:style>
  <w:style w:type="character" w:customStyle="1" w:styleId="48">
    <w:name w:val="标题 2 Char1"/>
    <w:link w:val="4"/>
    <w:qFormat/>
    <w:uiPriority w:val="0"/>
    <w:rPr>
      <w:rFonts w:ascii="Arial" w:hAnsi="Arial" w:eastAsia="黑体" w:cs="Times New Roman"/>
      <w:b/>
      <w:bCs/>
      <w:color w:val="000000"/>
      <w:kern w:val="0"/>
      <w:sz w:val="36"/>
      <w:szCs w:val="32"/>
    </w:rPr>
  </w:style>
  <w:style w:type="character" w:customStyle="1" w:styleId="49">
    <w:name w:val="标题 3 Char"/>
    <w:link w:val="5"/>
    <w:qFormat/>
    <w:uiPriority w:val="0"/>
    <w:rPr>
      <w:rFonts w:ascii="Times New Roman" w:hAnsi="Times New Roman" w:eastAsia="宋体" w:cs="Times New Roman"/>
      <w:b/>
      <w:bCs/>
      <w:sz w:val="32"/>
      <w:szCs w:val="32"/>
    </w:rPr>
  </w:style>
  <w:style w:type="character" w:customStyle="1" w:styleId="50">
    <w:name w:val="标题 4 Char"/>
    <w:link w:val="6"/>
    <w:qFormat/>
    <w:uiPriority w:val="0"/>
    <w:rPr>
      <w:rFonts w:ascii="Arial" w:hAnsi="Arial" w:eastAsia="黑体" w:cs="Times New Roman"/>
      <w:b/>
      <w:bCs/>
      <w:color w:val="0000FF"/>
      <w:kern w:val="0"/>
      <w:sz w:val="24"/>
      <w:szCs w:val="24"/>
    </w:rPr>
  </w:style>
  <w:style w:type="character" w:customStyle="1" w:styleId="51">
    <w:name w:val="标题 5 Char"/>
    <w:link w:val="7"/>
    <w:qFormat/>
    <w:uiPriority w:val="0"/>
    <w:rPr>
      <w:rFonts w:ascii="Times New Roman" w:hAnsi="Times New Roman" w:eastAsia="华文中宋" w:cs="Times New Roman"/>
      <w:b/>
      <w:bCs/>
      <w:color w:val="800000"/>
      <w:kern w:val="0"/>
      <w:sz w:val="24"/>
      <w:szCs w:val="24"/>
    </w:rPr>
  </w:style>
  <w:style w:type="character" w:customStyle="1" w:styleId="52">
    <w:name w:val="标题 6 Char"/>
    <w:link w:val="8"/>
    <w:qFormat/>
    <w:uiPriority w:val="9"/>
    <w:rPr>
      <w:rFonts w:ascii="Arial" w:hAnsi="Arial" w:eastAsia="黑体" w:cs="Times New Roman"/>
      <w:b/>
      <w:bCs/>
      <w:kern w:val="0"/>
      <w:sz w:val="24"/>
      <w:szCs w:val="20"/>
    </w:rPr>
  </w:style>
  <w:style w:type="character" w:customStyle="1" w:styleId="53">
    <w:name w:val="标题 7 Char"/>
    <w:link w:val="9"/>
    <w:qFormat/>
    <w:uiPriority w:val="0"/>
    <w:rPr>
      <w:rFonts w:ascii="Times New Roman" w:hAnsi="Times New Roman" w:eastAsia="华文中宋" w:cs="Times New Roman"/>
      <w:bCs/>
      <w:kern w:val="0"/>
      <w:sz w:val="24"/>
      <w:szCs w:val="24"/>
    </w:rPr>
  </w:style>
  <w:style w:type="character" w:customStyle="1" w:styleId="54">
    <w:name w:val="标题 8 Char"/>
    <w:link w:val="10"/>
    <w:qFormat/>
    <w:uiPriority w:val="0"/>
    <w:rPr>
      <w:rFonts w:ascii="Times New Roman" w:hAnsi="Times New Roman" w:eastAsia="华文中宋" w:cs="Times New Roman"/>
      <w:kern w:val="0"/>
      <w:sz w:val="24"/>
      <w:szCs w:val="24"/>
    </w:rPr>
  </w:style>
  <w:style w:type="character" w:customStyle="1" w:styleId="55">
    <w:name w:val="标题 9 Char"/>
    <w:link w:val="11"/>
    <w:qFormat/>
    <w:uiPriority w:val="0"/>
    <w:rPr>
      <w:rFonts w:ascii="Arial" w:hAnsi="Arial" w:eastAsia="黑体" w:cs="Times New Roman"/>
      <w:kern w:val="0"/>
      <w:szCs w:val="21"/>
    </w:rPr>
  </w:style>
  <w:style w:type="character" w:customStyle="1" w:styleId="56">
    <w:name w:val="文档结构图 Char"/>
    <w:link w:val="13"/>
    <w:qFormat/>
    <w:uiPriority w:val="0"/>
    <w:rPr>
      <w:rFonts w:ascii="宋体"/>
      <w:sz w:val="18"/>
      <w:szCs w:val="18"/>
    </w:rPr>
  </w:style>
  <w:style w:type="character" w:customStyle="1" w:styleId="57">
    <w:name w:val="批注文字 Char6"/>
    <w:link w:val="14"/>
    <w:qFormat/>
    <w:uiPriority w:val="99"/>
  </w:style>
  <w:style w:type="character" w:customStyle="1" w:styleId="58">
    <w:name w:val="正文文本 3 Char"/>
    <w:link w:val="15"/>
    <w:qFormat/>
    <w:uiPriority w:val="0"/>
    <w:rPr>
      <w:rFonts w:eastAsia="楷体_GB2312"/>
      <w:sz w:val="16"/>
      <w:szCs w:val="16"/>
    </w:rPr>
  </w:style>
  <w:style w:type="character" w:customStyle="1" w:styleId="59">
    <w:name w:val="正文文本 Char5"/>
    <w:link w:val="16"/>
    <w:qFormat/>
    <w:uiPriority w:val="99"/>
    <w:rPr>
      <w:rFonts w:ascii="Times New Roman" w:hAnsi="Times New Roman"/>
    </w:rPr>
  </w:style>
  <w:style w:type="character" w:customStyle="1" w:styleId="60">
    <w:name w:val="正文文本缩进 Char"/>
    <w:link w:val="17"/>
    <w:qFormat/>
    <w:uiPriority w:val="0"/>
    <w:rPr>
      <w:rFonts w:ascii="Calibri" w:hAnsi="Calibri" w:eastAsia="宋体" w:cs="Times New Roman"/>
      <w:kern w:val="0"/>
      <w:sz w:val="20"/>
      <w:szCs w:val="20"/>
    </w:rPr>
  </w:style>
  <w:style w:type="character" w:customStyle="1" w:styleId="61">
    <w:name w:val="日期 Char"/>
    <w:link w:val="22"/>
    <w:qFormat/>
    <w:uiPriority w:val="0"/>
    <w:rPr>
      <w:rFonts w:ascii="Calibri" w:hAnsi="Calibri" w:eastAsia="宋体" w:cs="Times New Roman"/>
      <w:kern w:val="0"/>
      <w:sz w:val="20"/>
      <w:szCs w:val="20"/>
    </w:rPr>
  </w:style>
  <w:style w:type="character" w:customStyle="1" w:styleId="62">
    <w:name w:val="批注框文本 Char"/>
    <w:link w:val="23"/>
    <w:qFormat/>
    <w:uiPriority w:val="0"/>
    <w:rPr>
      <w:rFonts w:ascii="Times New Roman" w:hAnsi="Times New Roman"/>
      <w:sz w:val="18"/>
      <w:szCs w:val="18"/>
    </w:rPr>
  </w:style>
  <w:style w:type="character" w:customStyle="1" w:styleId="63">
    <w:name w:val="页脚 Char"/>
    <w:link w:val="24"/>
    <w:qFormat/>
    <w:uiPriority w:val="99"/>
    <w:rPr>
      <w:sz w:val="18"/>
      <w:szCs w:val="18"/>
    </w:rPr>
  </w:style>
  <w:style w:type="character" w:customStyle="1" w:styleId="64">
    <w:name w:val="页眉 Char"/>
    <w:link w:val="25"/>
    <w:qFormat/>
    <w:uiPriority w:val="0"/>
    <w:rPr>
      <w:sz w:val="18"/>
      <w:szCs w:val="18"/>
    </w:rPr>
  </w:style>
  <w:style w:type="character" w:customStyle="1" w:styleId="65">
    <w:name w:val="正文文本缩进 3 Char"/>
    <w:link w:val="29"/>
    <w:qFormat/>
    <w:uiPriority w:val="0"/>
    <w:rPr>
      <w:sz w:val="16"/>
      <w:szCs w:val="16"/>
    </w:rPr>
  </w:style>
  <w:style w:type="character" w:customStyle="1" w:styleId="66">
    <w:name w:val="正文文本 2 Char"/>
    <w:link w:val="32"/>
    <w:qFormat/>
    <w:uiPriority w:val="0"/>
    <w:rPr>
      <w:rFonts w:ascii="宋体" w:hAnsi="宋体"/>
      <w:szCs w:val="24"/>
      <w:u w:val="single"/>
    </w:rPr>
  </w:style>
  <w:style w:type="character" w:customStyle="1" w:styleId="67">
    <w:name w:val="标题 Char"/>
    <w:link w:val="35"/>
    <w:qFormat/>
    <w:uiPriority w:val="0"/>
    <w:rPr>
      <w:rFonts w:ascii="Arial" w:hAnsi="Arial"/>
      <w:b/>
      <w:sz w:val="32"/>
    </w:rPr>
  </w:style>
  <w:style w:type="character" w:customStyle="1" w:styleId="68">
    <w:name w:val="批注主题 Char"/>
    <w:link w:val="36"/>
    <w:qFormat/>
    <w:uiPriority w:val="0"/>
    <w:rPr>
      <w:b/>
      <w:bCs/>
    </w:rPr>
  </w:style>
  <w:style w:type="character" w:customStyle="1" w:styleId="69">
    <w:name w:val="正文首行缩进 Char"/>
    <w:link w:val="37"/>
    <w:qFormat/>
    <w:uiPriority w:val="0"/>
    <w:rPr>
      <w:szCs w:val="24"/>
    </w:rPr>
  </w:style>
  <w:style w:type="character" w:customStyle="1" w:styleId="70">
    <w:name w:val="正文文本缩进 3 Char1"/>
    <w:semiHidden/>
    <w:qFormat/>
    <w:uiPriority w:val="99"/>
    <w:rPr>
      <w:rFonts w:ascii="Calibri" w:hAnsi="Calibri"/>
      <w:sz w:val="16"/>
      <w:szCs w:val="16"/>
    </w:rPr>
  </w:style>
  <w:style w:type="character" w:customStyle="1" w:styleId="71">
    <w:name w:val="正文文本 3 Char5"/>
    <w:semiHidden/>
    <w:qFormat/>
    <w:uiPriority w:val="99"/>
    <w:rPr>
      <w:rFonts w:ascii="Calibri" w:hAnsi="Calibri" w:eastAsia="宋体" w:cs="Times New Roman"/>
      <w:sz w:val="16"/>
      <w:szCs w:val="16"/>
    </w:rPr>
  </w:style>
  <w:style w:type="character" w:customStyle="1" w:styleId="72">
    <w:name w:val="正文文本 2 Char4"/>
    <w:semiHidden/>
    <w:qFormat/>
    <w:uiPriority w:val="99"/>
    <w:rPr>
      <w:kern w:val="2"/>
      <w:sz w:val="21"/>
      <w:szCs w:val="22"/>
    </w:rPr>
  </w:style>
  <w:style w:type="character" w:customStyle="1" w:styleId="73">
    <w:name w:val="Char Char5"/>
    <w:qFormat/>
    <w:uiPriority w:val="0"/>
    <w:rPr>
      <w:rFonts w:ascii="Times New Roman" w:hAnsi="Times New Roman" w:eastAsia="长城仿宋" w:cs="Times New Roman"/>
      <w:sz w:val="18"/>
      <w:lang w:val="en-US" w:eastAsia="zh-CN" w:bidi="ar-SA"/>
    </w:rPr>
  </w:style>
  <w:style w:type="character" w:customStyle="1" w:styleId="74">
    <w:name w:val="批注文字 Char4"/>
    <w:semiHidden/>
    <w:qFormat/>
    <w:uiPriority w:val="99"/>
    <w:rPr>
      <w:rFonts w:ascii="Calibri" w:hAnsi="Calibri"/>
      <w:kern w:val="2"/>
      <w:sz w:val="21"/>
      <w:szCs w:val="22"/>
    </w:rPr>
  </w:style>
  <w:style w:type="character" w:customStyle="1" w:styleId="75">
    <w:name w:val="正文文本 3 Char3"/>
    <w:semiHidden/>
    <w:qFormat/>
    <w:uiPriority w:val="99"/>
    <w:rPr>
      <w:kern w:val="2"/>
      <w:sz w:val="16"/>
      <w:szCs w:val="16"/>
    </w:rPr>
  </w:style>
  <w:style w:type="character" w:customStyle="1" w:styleId="76">
    <w:name w:val="Comment Text Char"/>
    <w:qFormat/>
    <w:uiPriority w:val="0"/>
  </w:style>
  <w:style w:type="character" w:customStyle="1" w:styleId="77">
    <w:name w:val="章节二 Char"/>
    <w:qFormat/>
    <w:uiPriority w:val="0"/>
    <w:rPr>
      <w:rFonts w:ascii="Times New Roman" w:hAnsi="Times New Roman" w:eastAsia="黑体" w:cs="Times New Roman"/>
      <w:b/>
      <w:snapToGrid/>
      <w:spacing w:val="4"/>
      <w:sz w:val="30"/>
      <w:szCs w:val="30"/>
      <w:lang w:val="en-US" w:eastAsia="zh-CN" w:bidi="ar-SA"/>
    </w:rPr>
  </w:style>
  <w:style w:type="character" w:customStyle="1" w:styleId="78">
    <w:name w:val="正文文本缩进 Char2"/>
    <w:semiHidden/>
    <w:qFormat/>
    <w:uiPriority w:val="99"/>
    <w:rPr>
      <w:kern w:val="2"/>
      <w:sz w:val="21"/>
      <w:szCs w:val="22"/>
    </w:rPr>
  </w:style>
  <w:style w:type="character" w:customStyle="1" w:styleId="79">
    <w:name w:val="批注主题 Char4"/>
    <w:semiHidden/>
    <w:qFormat/>
    <w:uiPriority w:val="99"/>
    <w:rPr>
      <w:b/>
      <w:bCs/>
      <w:kern w:val="2"/>
      <w:sz w:val="21"/>
      <w:szCs w:val="22"/>
    </w:rPr>
  </w:style>
  <w:style w:type="character" w:customStyle="1" w:styleId="80">
    <w:name w:val="Char Char52"/>
    <w:qFormat/>
    <w:uiPriority w:val="0"/>
    <w:rPr>
      <w:rFonts w:ascii="Times New Roman" w:hAnsi="Times New Roman" w:eastAsia="长城仿宋" w:cs="Times New Roman"/>
      <w:sz w:val="18"/>
      <w:lang w:val="en-US" w:eastAsia="zh-CN" w:bidi="ar-SA"/>
    </w:rPr>
  </w:style>
  <w:style w:type="character" w:customStyle="1" w:styleId="81">
    <w:name w:val="正文文本 Char4"/>
    <w:semiHidden/>
    <w:qFormat/>
    <w:uiPriority w:val="99"/>
    <w:rPr>
      <w:kern w:val="2"/>
      <w:sz w:val="21"/>
      <w:szCs w:val="22"/>
    </w:rPr>
  </w:style>
  <w:style w:type="character" w:customStyle="1" w:styleId="82">
    <w:name w:val="批注文字 Char1"/>
    <w:qFormat/>
    <w:uiPriority w:val="0"/>
    <w:rPr>
      <w:kern w:val="2"/>
      <w:sz w:val="21"/>
      <w:szCs w:val="22"/>
    </w:rPr>
  </w:style>
  <w:style w:type="character" w:customStyle="1" w:styleId="83">
    <w:name w:val="文一 Char Char"/>
    <w:qFormat/>
    <w:uiPriority w:val="0"/>
    <w:rPr>
      <w:rFonts w:ascii="Times New Roman" w:hAnsi="Times New Roman" w:eastAsia="宋体" w:cs="Times New Roman"/>
      <w:snapToGrid/>
      <w:spacing w:val="4"/>
      <w:sz w:val="24"/>
      <w:szCs w:val="24"/>
      <w:lang w:val="en-US" w:eastAsia="zh-CN" w:bidi="ar-SA"/>
    </w:rPr>
  </w:style>
  <w:style w:type="character" w:customStyle="1" w:styleId="84">
    <w:name w:val="Char Char62"/>
    <w:qFormat/>
    <w:uiPriority w:val="0"/>
    <w:rPr>
      <w:rFonts w:ascii="Times New Roman" w:hAnsi="Times New Roman" w:eastAsia="楷体_GB2312" w:cs="Times New Roman"/>
      <w:b/>
      <w:bCs/>
      <w:kern w:val="2"/>
      <w:sz w:val="24"/>
      <w:szCs w:val="24"/>
    </w:rPr>
  </w:style>
  <w:style w:type="character" w:customStyle="1" w:styleId="85">
    <w:name w:val="日期 Char2"/>
    <w:semiHidden/>
    <w:qFormat/>
    <w:uiPriority w:val="99"/>
    <w:rPr>
      <w:kern w:val="2"/>
      <w:sz w:val="21"/>
      <w:szCs w:val="22"/>
    </w:rPr>
  </w:style>
  <w:style w:type="character" w:customStyle="1" w:styleId="86">
    <w:name w:val="文档结构图 Char3"/>
    <w:semiHidden/>
    <w:qFormat/>
    <w:uiPriority w:val="99"/>
    <w:rPr>
      <w:rFonts w:ascii="宋体"/>
      <w:kern w:val="2"/>
      <w:sz w:val="18"/>
      <w:szCs w:val="18"/>
    </w:rPr>
  </w:style>
  <w:style w:type="character" w:customStyle="1" w:styleId="87">
    <w:name w:val="标题 Char3"/>
    <w:qFormat/>
    <w:uiPriority w:val="10"/>
    <w:rPr>
      <w:rFonts w:ascii="Cambria" w:hAnsi="Cambria" w:cs="Times New Roman"/>
      <w:b/>
      <w:bCs/>
      <w:kern w:val="2"/>
      <w:sz w:val="32"/>
      <w:szCs w:val="32"/>
    </w:rPr>
  </w:style>
  <w:style w:type="character" w:customStyle="1" w:styleId="88">
    <w:name w:val="Char Char3"/>
    <w:qFormat/>
    <w:uiPriority w:val="0"/>
    <w:rPr>
      <w:rFonts w:ascii="Times New Roman" w:hAnsi="Times New Roman" w:eastAsia="宋体" w:cs="Times New Roman"/>
      <w:kern w:val="2"/>
      <w:sz w:val="18"/>
      <w:lang w:val="en-US" w:eastAsia="zh-CN" w:bidi="ar-SA"/>
    </w:rPr>
  </w:style>
  <w:style w:type="character" w:customStyle="1" w:styleId="89">
    <w:name w:val="正文文本 Char2"/>
    <w:semiHidden/>
    <w:qFormat/>
    <w:uiPriority w:val="99"/>
    <w:rPr>
      <w:rFonts w:ascii="Calibri" w:hAnsi="Calibri"/>
      <w:sz w:val="21"/>
      <w:szCs w:val="22"/>
    </w:rPr>
  </w:style>
  <w:style w:type="character" w:customStyle="1" w:styleId="90">
    <w:name w:val="标题 Char4"/>
    <w:qFormat/>
    <w:uiPriority w:val="10"/>
    <w:rPr>
      <w:rFonts w:ascii="Cambria" w:hAnsi="Cambria" w:cs="Times New Roman"/>
      <w:b/>
      <w:bCs/>
      <w:kern w:val="2"/>
      <w:sz w:val="32"/>
      <w:szCs w:val="32"/>
    </w:rPr>
  </w:style>
  <w:style w:type="character" w:customStyle="1" w:styleId="91">
    <w:name w:val="页脚 Char2"/>
    <w:semiHidden/>
    <w:qFormat/>
    <w:uiPriority w:val="99"/>
    <w:rPr>
      <w:rFonts w:ascii="Calibri" w:hAnsi="Calibri" w:eastAsia="宋体" w:cs="Times New Roman"/>
      <w:sz w:val="18"/>
      <w:szCs w:val="18"/>
    </w:rPr>
  </w:style>
  <w:style w:type="character" w:customStyle="1" w:styleId="92">
    <w:name w:val="正文文本缩进 3 Char3"/>
    <w:semiHidden/>
    <w:qFormat/>
    <w:uiPriority w:val="99"/>
    <w:rPr>
      <w:kern w:val="2"/>
      <w:sz w:val="16"/>
      <w:szCs w:val="16"/>
    </w:rPr>
  </w:style>
  <w:style w:type="character" w:customStyle="1" w:styleId="93">
    <w:name w:val="批注主题 Char1"/>
    <w:semiHidden/>
    <w:qFormat/>
    <w:uiPriority w:val="99"/>
    <w:rPr>
      <w:rFonts w:ascii="Calibri" w:hAnsi="Calibri"/>
      <w:b/>
      <w:bCs/>
      <w:sz w:val="21"/>
      <w:szCs w:val="22"/>
    </w:rPr>
  </w:style>
  <w:style w:type="character" w:customStyle="1" w:styleId="94">
    <w:name w:val="日期 Char1"/>
    <w:semiHidden/>
    <w:qFormat/>
    <w:uiPriority w:val="99"/>
    <w:rPr>
      <w:rFonts w:ascii="Calibri" w:hAnsi="Calibri"/>
      <w:sz w:val="21"/>
      <w:szCs w:val="22"/>
    </w:rPr>
  </w:style>
  <w:style w:type="character" w:customStyle="1" w:styleId="95">
    <w:name w:val="页眉 Char2"/>
    <w:semiHidden/>
    <w:qFormat/>
    <w:uiPriority w:val="99"/>
    <w:rPr>
      <w:rFonts w:ascii="Calibri" w:hAnsi="Calibri" w:eastAsia="宋体" w:cs="Times New Roman"/>
      <w:sz w:val="18"/>
      <w:szCs w:val="18"/>
    </w:rPr>
  </w:style>
  <w:style w:type="character" w:customStyle="1" w:styleId="96">
    <w:name w:val="正文文本 2 Char1"/>
    <w:semiHidden/>
    <w:qFormat/>
    <w:uiPriority w:val="99"/>
    <w:rPr>
      <w:rFonts w:ascii="Times New Roman" w:hAnsi="Times New Roman" w:eastAsia="宋体" w:cs="Calibri"/>
      <w:kern w:val="2"/>
      <w:sz w:val="21"/>
      <w:szCs w:val="24"/>
    </w:rPr>
  </w:style>
  <w:style w:type="character" w:customStyle="1" w:styleId="97">
    <w:name w:val="正文文本缩进 3 Char5"/>
    <w:semiHidden/>
    <w:qFormat/>
    <w:uiPriority w:val="99"/>
    <w:rPr>
      <w:rFonts w:ascii="Calibri" w:hAnsi="Calibri" w:eastAsia="宋体" w:cs="Times New Roman"/>
      <w:sz w:val="16"/>
      <w:szCs w:val="16"/>
    </w:rPr>
  </w:style>
  <w:style w:type="character" w:customStyle="1" w:styleId="98">
    <w:name w:val="正文文本 2 Char3"/>
    <w:semiHidden/>
    <w:qFormat/>
    <w:uiPriority w:val="99"/>
    <w:rPr>
      <w:kern w:val="2"/>
      <w:sz w:val="21"/>
      <w:szCs w:val="22"/>
    </w:rPr>
  </w:style>
  <w:style w:type="character" w:customStyle="1" w:styleId="99">
    <w:name w:val="纯文本 Char6"/>
    <w:semiHidden/>
    <w:qFormat/>
    <w:uiPriority w:val="99"/>
    <w:rPr>
      <w:rFonts w:ascii="宋体" w:hAnsi="Courier New" w:eastAsia="宋体" w:cs="Courier New"/>
      <w:szCs w:val="21"/>
    </w:rPr>
  </w:style>
  <w:style w:type="character" w:customStyle="1" w:styleId="100">
    <w:name w:val="font161"/>
    <w:qFormat/>
    <w:uiPriority w:val="0"/>
    <w:rPr>
      <w:b/>
      <w:bCs/>
      <w:sz w:val="32"/>
      <w:szCs w:val="32"/>
    </w:rPr>
  </w:style>
  <w:style w:type="character" w:customStyle="1" w:styleId="101">
    <w:name w:val="批注主题 Char5"/>
    <w:semiHidden/>
    <w:qFormat/>
    <w:uiPriority w:val="99"/>
    <w:rPr>
      <w:rFonts w:ascii="Calibri" w:hAnsi="Calibri" w:eastAsia="宋体" w:cs="Times New Roman"/>
      <w:b/>
      <w:bCs/>
    </w:rPr>
  </w:style>
  <w:style w:type="character" w:customStyle="1" w:styleId="102">
    <w:name w:val="纯文本 Char5"/>
    <w:semiHidden/>
    <w:qFormat/>
    <w:uiPriority w:val="99"/>
    <w:rPr>
      <w:rFonts w:ascii="宋体" w:hAnsi="Courier New" w:cs="Courier New"/>
      <w:kern w:val="2"/>
      <w:sz w:val="21"/>
      <w:szCs w:val="21"/>
    </w:rPr>
  </w:style>
  <w:style w:type="character" w:customStyle="1" w:styleId="103">
    <w:name w:val="批注框文本 Char3"/>
    <w:semiHidden/>
    <w:qFormat/>
    <w:uiPriority w:val="99"/>
    <w:rPr>
      <w:kern w:val="2"/>
      <w:sz w:val="18"/>
      <w:szCs w:val="18"/>
    </w:rPr>
  </w:style>
  <w:style w:type="character" w:customStyle="1" w:styleId="104">
    <w:name w:val="批注主题 Char3"/>
    <w:semiHidden/>
    <w:qFormat/>
    <w:uiPriority w:val="99"/>
    <w:rPr>
      <w:b/>
      <w:bCs/>
      <w:kern w:val="2"/>
      <w:sz w:val="21"/>
      <w:szCs w:val="22"/>
    </w:rPr>
  </w:style>
  <w:style w:type="character" w:customStyle="1" w:styleId="105">
    <w:name w:val="批注文字 Char2"/>
    <w:semiHidden/>
    <w:qFormat/>
    <w:locked/>
    <w:uiPriority w:val="99"/>
    <w:rPr>
      <w:rFonts w:ascii="Times New Roman" w:hAnsi="Times New Roman"/>
      <w:kern w:val="2"/>
      <w:sz w:val="21"/>
      <w:szCs w:val="24"/>
    </w:rPr>
  </w:style>
  <w:style w:type="character" w:customStyle="1" w:styleId="106">
    <w:name w:val="Char Char6"/>
    <w:qFormat/>
    <w:uiPriority w:val="0"/>
    <w:rPr>
      <w:rFonts w:ascii="Times New Roman" w:hAnsi="Times New Roman" w:eastAsia="楷体_GB2312" w:cs="Times New Roman"/>
      <w:b/>
      <w:bCs/>
      <w:kern w:val="2"/>
      <w:sz w:val="24"/>
      <w:szCs w:val="24"/>
    </w:rPr>
  </w:style>
  <w:style w:type="character" w:customStyle="1" w:styleId="107">
    <w:name w:val="正文文本缩进 Char1"/>
    <w:semiHidden/>
    <w:qFormat/>
    <w:uiPriority w:val="99"/>
    <w:rPr>
      <w:rFonts w:ascii="Calibri" w:hAnsi="Calibri"/>
      <w:sz w:val="21"/>
      <w:szCs w:val="22"/>
    </w:rPr>
  </w:style>
  <w:style w:type="character" w:customStyle="1" w:styleId="108">
    <w:name w:val="日期 Char3"/>
    <w:semiHidden/>
    <w:qFormat/>
    <w:uiPriority w:val="99"/>
    <w:rPr>
      <w:kern w:val="2"/>
      <w:sz w:val="21"/>
      <w:szCs w:val="22"/>
    </w:rPr>
  </w:style>
  <w:style w:type="character" w:customStyle="1" w:styleId="109">
    <w:name w:val="文档结构图 Char4"/>
    <w:semiHidden/>
    <w:qFormat/>
    <w:uiPriority w:val="99"/>
    <w:rPr>
      <w:rFonts w:ascii="宋体"/>
      <w:kern w:val="2"/>
      <w:sz w:val="18"/>
      <w:szCs w:val="18"/>
    </w:rPr>
  </w:style>
  <w:style w:type="character" w:customStyle="1" w:styleId="110">
    <w:name w:val="正文首行缩进 Char2"/>
    <w:semiHidden/>
    <w:qFormat/>
    <w:uiPriority w:val="99"/>
    <w:rPr>
      <w:rFonts w:ascii="Calibri" w:hAnsi="Calibri"/>
      <w:sz w:val="21"/>
      <w:szCs w:val="22"/>
    </w:rPr>
  </w:style>
  <w:style w:type="character" w:customStyle="1" w:styleId="111">
    <w:name w:val="正文文本 Char"/>
    <w:qFormat/>
    <w:uiPriority w:val="99"/>
    <w:rPr>
      <w:rFonts w:ascii="Calibri" w:hAnsi="Calibri" w:eastAsia="宋体"/>
      <w:lang w:bidi="ar-SA"/>
    </w:rPr>
  </w:style>
  <w:style w:type="character" w:customStyle="1" w:styleId="112">
    <w:name w:val="批注框文本 Char1"/>
    <w:semiHidden/>
    <w:qFormat/>
    <w:uiPriority w:val="99"/>
    <w:rPr>
      <w:rFonts w:ascii="Calibri" w:hAnsi="Calibri"/>
      <w:sz w:val="18"/>
      <w:szCs w:val="18"/>
    </w:rPr>
  </w:style>
  <w:style w:type="character" w:customStyle="1" w:styleId="113">
    <w:name w:val="页眉 字符"/>
    <w:qFormat/>
    <w:uiPriority w:val="0"/>
    <w:rPr>
      <w:rFonts w:ascii="Times New Roman" w:hAnsi="Times New Roman" w:eastAsia="楷体_GB2312" w:cs="Times New Roman"/>
      <w:kern w:val="2"/>
      <w:sz w:val="18"/>
      <w:szCs w:val="18"/>
    </w:rPr>
  </w:style>
  <w:style w:type="character" w:customStyle="1" w:styleId="114">
    <w:name w:val="正文首行缩进 Char3"/>
    <w:semiHidden/>
    <w:qFormat/>
    <w:uiPriority w:val="99"/>
  </w:style>
  <w:style w:type="character" w:customStyle="1" w:styleId="115">
    <w:name w:val="16"/>
    <w:qFormat/>
    <w:uiPriority w:val="0"/>
    <w:rPr>
      <w:rFonts w:hint="default" w:ascii="Times New Roman" w:hAnsi="Times New Roman" w:eastAsia="楷体_GB2312" w:cs="Times New Roman"/>
      <w:color w:val="0000FF"/>
      <w:u w:val="single"/>
    </w:rPr>
  </w:style>
  <w:style w:type="character" w:customStyle="1" w:styleId="116">
    <w:name w:val="标题 Char1"/>
    <w:qFormat/>
    <w:uiPriority w:val="10"/>
    <w:rPr>
      <w:rFonts w:ascii="Cambria" w:hAnsi="Cambria" w:cs="Times New Roman"/>
      <w:b/>
      <w:bCs/>
      <w:sz w:val="32"/>
      <w:szCs w:val="32"/>
    </w:rPr>
  </w:style>
  <w:style w:type="character" w:customStyle="1" w:styleId="117">
    <w:name w:val="批注文字 Char7"/>
    <w:semiHidden/>
    <w:qFormat/>
    <w:uiPriority w:val="99"/>
    <w:rPr>
      <w:rFonts w:ascii="Calibri" w:hAnsi="Calibri" w:eastAsia="宋体" w:cs="Times New Roman"/>
    </w:rPr>
  </w:style>
  <w:style w:type="character" w:customStyle="1" w:styleId="118">
    <w:name w:val="style_kwd"/>
    <w:qFormat/>
    <w:uiPriority w:val="0"/>
  </w:style>
  <w:style w:type="character" w:customStyle="1" w:styleId="119">
    <w:name w:val="页脚 Char1"/>
    <w:semiHidden/>
    <w:qFormat/>
    <w:uiPriority w:val="99"/>
    <w:rPr>
      <w:rFonts w:ascii="Calibri" w:hAnsi="Calibri"/>
      <w:sz w:val="18"/>
      <w:szCs w:val="18"/>
    </w:rPr>
  </w:style>
  <w:style w:type="character" w:customStyle="1" w:styleId="120">
    <w:name w:val="正文文本缩进 3 Char2"/>
    <w:semiHidden/>
    <w:qFormat/>
    <w:uiPriority w:val="99"/>
    <w:rPr>
      <w:kern w:val="2"/>
      <w:sz w:val="16"/>
      <w:szCs w:val="16"/>
    </w:rPr>
  </w:style>
  <w:style w:type="character" w:customStyle="1" w:styleId="121">
    <w:name w:val="文档结构图 Char1"/>
    <w:semiHidden/>
    <w:qFormat/>
    <w:uiPriority w:val="99"/>
    <w:rPr>
      <w:rFonts w:ascii="宋体" w:hAnsi="Calibri"/>
      <w:sz w:val="18"/>
      <w:szCs w:val="18"/>
    </w:rPr>
  </w:style>
  <w:style w:type="character" w:customStyle="1" w:styleId="122">
    <w:name w:val="正文文本 3 Char4"/>
    <w:semiHidden/>
    <w:qFormat/>
    <w:uiPriority w:val="99"/>
    <w:rPr>
      <w:kern w:val="2"/>
      <w:sz w:val="16"/>
      <w:szCs w:val="16"/>
    </w:rPr>
  </w:style>
  <w:style w:type="character" w:customStyle="1" w:styleId="123">
    <w:name w:val="日期 Char5"/>
    <w:semiHidden/>
    <w:qFormat/>
    <w:uiPriority w:val="99"/>
    <w:rPr>
      <w:rFonts w:ascii="Calibri" w:hAnsi="Calibri" w:eastAsia="宋体" w:cs="Times New Roman"/>
    </w:rPr>
  </w:style>
  <w:style w:type="character" w:customStyle="1" w:styleId="124">
    <w:name w:val="正文文本 Char7"/>
    <w:semiHidden/>
    <w:qFormat/>
    <w:uiPriority w:val="99"/>
    <w:rPr>
      <w:rFonts w:ascii="Calibri" w:hAnsi="Calibri" w:eastAsia="宋体" w:cs="Times New Roman"/>
    </w:rPr>
  </w:style>
  <w:style w:type="character" w:customStyle="1" w:styleId="125">
    <w:name w:val="文一 Char"/>
    <w:link w:val="126"/>
    <w:qFormat/>
    <w:uiPriority w:val="0"/>
    <w:rPr>
      <w:spacing w:val="4"/>
      <w:sz w:val="24"/>
      <w:szCs w:val="24"/>
    </w:rPr>
  </w:style>
  <w:style w:type="paragraph" w:customStyle="1" w:styleId="126">
    <w:name w:val="文一"/>
    <w:basedOn w:val="1"/>
    <w:link w:val="125"/>
    <w:qFormat/>
    <w:uiPriority w:val="0"/>
    <w:pPr>
      <w:topLinePunct/>
      <w:adjustRightInd w:val="0"/>
      <w:snapToGrid w:val="0"/>
      <w:spacing w:line="360" w:lineRule="auto"/>
      <w:ind w:firstLine="200" w:firstLineChars="200"/>
    </w:pPr>
    <w:rPr>
      <w:spacing w:val="4"/>
      <w:kern w:val="0"/>
      <w:sz w:val="24"/>
      <w:szCs w:val="24"/>
    </w:rPr>
  </w:style>
  <w:style w:type="character" w:customStyle="1" w:styleId="127">
    <w:name w:val="Char Char31"/>
    <w:qFormat/>
    <w:uiPriority w:val="0"/>
    <w:rPr>
      <w:rFonts w:ascii="Times New Roman" w:hAnsi="Times New Roman" w:eastAsia="宋体" w:cs="Times New Roman"/>
      <w:kern w:val="2"/>
      <w:sz w:val="18"/>
      <w:lang w:val="en-US" w:eastAsia="zh-CN" w:bidi="ar-SA"/>
    </w:rPr>
  </w:style>
  <w:style w:type="character" w:customStyle="1" w:styleId="128">
    <w:name w:val="正文首行缩进 Char1"/>
    <w:qFormat/>
    <w:uiPriority w:val="99"/>
    <w:rPr>
      <w:rFonts w:eastAsia="宋体"/>
      <w:kern w:val="2"/>
      <w:sz w:val="21"/>
    </w:rPr>
  </w:style>
  <w:style w:type="character" w:customStyle="1" w:styleId="129">
    <w:name w:val="Char Char4"/>
    <w:qFormat/>
    <w:uiPriority w:val="0"/>
    <w:rPr>
      <w:rFonts w:ascii="Times New Roman" w:hAnsi="Times New Roman" w:eastAsia="楷体_GB2312" w:cs="Times New Roman"/>
      <w:sz w:val="18"/>
      <w:szCs w:val="18"/>
    </w:rPr>
  </w:style>
  <w:style w:type="character" w:customStyle="1" w:styleId="130">
    <w:name w:val="Char Char61"/>
    <w:qFormat/>
    <w:uiPriority w:val="0"/>
    <w:rPr>
      <w:rFonts w:ascii="Times New Roman" w:hAnsi="Times New Roman" w:eastAsia="楷体_GB2312" w:cs="Times New Roman"/>
      <w:b/>
      <w:bCs/>
      <w:kern w:val="2"/>
      <w:sz w:val="24"/>
      <w:szCs w:val="24"/>
    </w:rPr>
  </w:style>
  <w:style w:type="character" w:customStyle="1" w:styleId="131">
    <w:name w:val="纯文本 Char2"/>
    <w:semiHidden/>
    <w:qFormat/>
    <w:uiPriority w:val="99"/>
    <w:rPr>
      <w:rFonts w:ascii="宋体" w:hAnsi="Courier New" w:eastAsia="宋体" w:cs="Courier New"/>
      <w:kern w:val="2"/>
      <w:sz w:val="21"/>
      <w:szCs w:val="21"/>
    </w:rPr>
  </w:style>
  <w:style w:type="character" w:customStyle="1" w:styleId="132">
    <w:name w:val="样式73 Char"/>
    <w:link w:val="133"/>
    <w:qFormat/>
    <w:uiPriority w:val="0"/>
    <w:rPr>
      <w:rFonts w:ascii="华文中宋" w:hAnsi="华文中宋" w:eastAsia="华文中宋"/>
      <w:sz w:val="28"/>
      <w:szCs w:val="28"/>
    </w:rPr>
  </w:style>
  <w:style w:type="paragraph" w:customStyle="1" w:styleId="133">
    <w:name w:val="样式73"/>
    <w:basedOn w:val="1"/>
    <w:link w:val="132"/>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134">
    <w:name w:val="正文文本 3 Char1"/>
    <w:semiHidden/>
    <w:qFormat/>
    <w:uiPriority w:val="99"/>
    <w:rPr>
      <w:rFonts w:ascii="Calibri" w:hAnsi="Calibri"/>
      <w:sz w:val="16"/>
      <w:szCs w:val="16"/>
    </w:rPr>
  </w:style>
  <w:style w:type="character" w:customStyle="1" w:styleId="135">
    <w:name w:val="页眉 Char1"/>
    <w:semiHidden/>
    <w:qFormat/>
    <w:uiPriority w:val="99"/>
    <w:rPr>
      <w:rFonts w:ascii="Calibri" w:hAnsi="Calibri"/>
      <w:sz w:val="18"/>
      <w:szCs w:val="18"/>
    </w:rPr>
  </w:style>
  <w:style w:type="character" w:customStyle="1" w:styleId="136">
    <w:name w:val="正文文本 Char6"/>
    <w:semiHidden/>
    <w:qFormat/>
    <w:uiPriority w:val="99"/>
    <w:rPr>
      <w:kern w:val="2"/>
      <w:sz w:val="21"/>
      <w:szCs w:val="22"/>
    </w:rPr>
  </w:style>
  <w:style w:type="character" w:customStyle="1" w:styleId="137">
    <w:name w:val="批注主题 字符"/>
    <w:qFormat/>
    <w:uiPriority w:val="0"/>
    <w:rPr>
      <w:rFonts w:ascii="Times New Roman" w:hAnsi="Times New Roman" w:eastAsia="楷体_GB2312" w:cs="Times New Roman"/>
      <w:b/>
      <w:bCs/>
      <w:kern w:val="2"/>
      <w:sz w:val="21"/>
      <w:szCs w:val="24"/>
    </w:rPr>
  </w:style>
  <w:style w:type="character" w:customStyle="1" w:styleId="138">
    <w:name w:val="fontstyle01"/>
    <w:qFormat/>
    <w:uiPriority w:val="0"/>
    <w:rPr>
      <w:rFonts w:hint="eastAsia" w:ascii="宋体" w:hAnsi="宋体" w:eastAsia="宋体"/>
      <w:color w:val="000000"/>
      <w:sz w:val="22"/>
      <w:szCs w:val="22"/>
    </w:rPr>
  </w:style>
  <w:style w:type="character" w:customStyle="1" w:styleId="139">
    <w:name w:val="批注文字 Char"/>
    <w:qFormat/>
    <w:uiPriority w:val="99"/>
  </w:style>
  <w:style w:type="character" w:customStyle="1" w:styleId="140">
    <w:name w:val="正文文本 3 Char2"/>
    <w:semiHidden/>
    <w:qFormat/>
    <w:uiPriority w:val="99"/>
    <w:rPr>
      <w:kern w:val="2"/>
      <w:sz w:val="16"/>
      <w:szCs w:val="16"/>
    </w:rPr>
  </w:style>
  <w:style w:type="character" w:customStyle="1" w:styleId="141">
    <w:name w:val="标题 Char5"/>
    <w:qFormat/>
    <w:uiPriority w:val="10"/>
    <w:rPr>
      <w:rFonts w:ascii="Cambria" w:hAnsi="Cambria" w:cs="Times New Roman"/>
      <w:b/>
      <w:bCs/>
      <w:kern w:val="2"/>
      <w:sz w:val="32"/>
      <w:szCs w:val="32"/>
    </w:rPr>
  </w:style>
  <w:style w:type="character" w:customStyle="1" w:styleId="142">
    <w:name w:val="正文文本 2 Char5"/>
    <w:semiHidden/>
    <w:qFormat/>
    <w:uiPriority w:val="99"/>
    <w:rPr>
      <w:rFonts w:ascii="Calibri" w:hAnsi="Calibri" w:eastAsia="宋体" w:cs="Times New Roman"/>
    </w:rPr>
  </w:style>
  <w:style w:type="character" w:customStyle="1" w:styleId="143">
    <w:name w:val="日期 Char4"/>
    <w:semiHidden/>
    <w:qFormat/>
    <w:uiPriority w:val="99"/>
    <w:rPr>
      <w:kern w:val="2"/>
      <w:sz w:val="21"/>
      <w:szCs w:val="22"/>
    </w:rPr>
  </w:style>
  <w:style w:type="character" w:customStyle="1" w:styleId="144">
    <w:name w:val="章节一 Char"/>
    <w:qFormat/>
    <w:uiPriority w:val="0"/>
    <w:rPr>
      <w:rFonts w:ascii="Times New Roman" w:hAnsi="Times New Roman" w:eastAsia="黑体" w:cs="Times New Roman"/>
      <w:b/>
      <w:snapToGrid/>
      <w:spacing w:val="4"/>
      <w:sz w:val="36"/>
      <w:szCs w:val="36"/>
      <w:lang w:val="en-US" w:eastAsia="zh-CN" w:bidi="ar-SA"/>
    </w:rPr>
  </w:style>
  <w:style w:type="character" w:customStyle="1" w:styleId="145">
    <w:name w:val="正文文本缩进 Char5"/>
    <w:semiHidden/>
    <w:qFormat/>
    <w:uiPriority w:val="99"/>
    <w:rPr>
      <w:rFonts w:ascii="Calibri" w:hAnsi="Calibri" w:eastAsia="宋体" w:cs="Times New Roman"/>
    </w:rPr>
  </w:style>
  <w:style w:type="character" w:customStyle="1" w:styleId="146">
    <w:name w:val="批注文字 Char5"/>
    <w:semiHidden/>
    <w:qFormat/>
    <w:uiPriority w:val="99"/>
    <w:rPr>
      <w:kern w:val="2"/>
      <w:sz w:val="21"/>
      <w:szCs w:val="22"/>
    </w:rPr>
  </w:style>
  <w:style w:type="character" w:customStyle="1" w:styleId="147">
    <w:name w:val="正文文本 2 Char2"/>
    <w:semiHidden/>
    <w:qFormat/>
    <w:uiPriority w:val="99"/>
    <w:rPr>
      <w:kern w:val="2"/>
      <w:sz w:val="21"/>
      <w:szCs w:val="22"/>
    </w:rPr>
  </w:style>
  <w:style w:type="character" w:customStyle="1" w:styleId="148">
    <w:name w:val="批注框文本 Char4"/>
    <w:semiHidden/>
    <w:qFormat/>
    <w:uiPriority w:val="99"/>
    <w:rPr>
      <w:rFonts w:ascii="Calibri" w:hAnsi="Calibri" w:eastAsia="宋体" w:cs="Times New Roman"/>
      <w:sz w:val="18"/>
      <w:szCs w:val="18"/>
    </w:rPr>
  </w:style>
  <w:style w:type="character" w:customStyle="1" w:styleId="149">
    <w:name w:val="纯文本 Char4"/>
    <w:semiHidden/>
    <w:qFormat/>
    <w:uiPriority w:val="99"/>
    <w:rPr>
      <w:rFonts w:ascii="宋体" w:hAnsi="Courier New" w:cs="Courier New"/>
      <w:kern w:val="2"/>
      <w:sz w:val="21"/>
      <w:szCs w:val="21"/>
    </w:rPr>
  </w:style>
  <w:style w:type="character" w:customStyle="1" w:styleId="150">
    <w:name w:val="纯文本 Char3"/>
    <w:semiHidden/>
    <w:qFormat/>
    <w:uiPriority w:val="99"/>
    <w:rPr>
      <w:rFonts w:ascii="宋体" w:hAnsi="Courier New" w:cs="Courier New"/>
      <w:kern w:val="2"/>
      <w:sz w:val="21"/>
      <w:szCs w:val="21"/>
    </w:rPr>
  </w:style>
  <w:style w:type="character" w:customStyle="1" w:styleId="151">
    <w:name w:val="title1"/>
    <w:qFormat/>
    <w:uiPriority w:val="0"/>
    <w:rPr>
      <w:rFonts w:ascii="Times New Roman" w:hAnsi="Times New Roman" w:eastAsia="楷体_GB2312" w:cs="Times New Roman"/>
      <w:sz w:val="24"/>
      <w:szCs w:val="24"/>
    </w:rPr>
  </w:style>
  <w:style w:type="character" w:customStyle="1" w:styleId="152">
    <w:name w:val="批注框文本 Char2"/>
    <w:semiHidden/>
    <w:qFormat/>
    <w:uiPriority w:val="99"/>
    <w:rPr>
      <w:kern w:val="2"/>
      <w:sz w:val="18"/>
      <w:szCs w:val="18"/>
    </w:rPr>
  </w:style>
  <w:style w:type="character" w:customStyle="1" w:styleId="153">
    <w:name w:val="Char Char7"/>
    <w:qFormat/>
    <w:uiPriority w:val="0"/>
    <w:rPr>
      <w:rFonts w:ascii="Times New Roman" w:hAnsi="Times New Roman" w:eastAsia="宋体" w:cs="Times New Roman"/>
      <w:kern w:val="2"/>
      <w:sz w:val="21"/>
      <w:lang w:val="en-US" w:eastAsia="zh-CN" w:bidi="ar-SA"/>
    </w:rPr>
  </w:style>
  <w:style w:type="character" w:customStyle="1" w:styleId="154">
    <w:name w:val="Char Char51"/>
    <w:qFormat/>
    <w:uiPriority w:val="0"/>
    <w:rPr>
      <w:rFonts w:ascii="Times New Roman" w:hAnsi="Times New Roman" w:eastAsia="长城仿宋" w:cs="Times New Roman"/>
      <w:sz w:val="18"/>
      <w:lang w:val="en-US" w:eastAsia="zh-CN" w:bidi="ar-SA"/>
    </w:rPr>
  </w:style>
  <w:style w:type="character" w:customStyle="1" w:styleId="155">
    <w:name w:val="纯文本 Char1"/>
    <w:qFormat/>
    <w:uiPriority w:val="0"/>
    <w:rPr>
      <w:rFonts w:ascii="宋体" w:hAnsi="Courier New" w:cs="Courier New"/>
      <w:sz w:val="21"/>
      <w:szCs w:val="21"/>
    </w:rPr>
  </w:style>
  <w:style w:type="character" w:customStyle="1" w:styleId="156">
    <w:name w:val="正文文本缩进 3 Char4"/>
    <w:semiHidden/>
    <w:qFormat/>
    <w:uiPriority w:val="99"/>
    <w:rPr>
      <w:kern w:val="2"/>
      <w:sz w:val="16"/>
      <w:szCs w:val="16"/>
    </w:rPr>
  </w:style>
  <w:style w:type="character" w:customStyle="1" w:styleId="157">
    <w:name w:val="标题 Char2"/>
    <w:qFormat/>
    <w:uiPriority w:val="10"/>
    <w:rPr>
      <w:rFonts w:ascii="Cambria" w:hAnsi="Cambria" w:eastAsia="宋体" w:cs="Times New Roman"/>
      <w:b/>
      <w:bCs/>
      <w:kern w:val="2"/>
      <w:sz w:val="32"/>
      <w:szCs w:val="32"/>
    </w:rPr>
  </w:style>
  <w:style w:type="character" w:customStyle="1" w:styleId="158">
    <w:name w:val="批注主题 Char2"/>
    <w:semiHidden/>
    <w:qFormat/>
    <w:uiPriority w:val="99"/>
    <w:rPr>
      <w:b/>
      <w:bCs/>
      <w:kern w:val="2"/>
      <w:sz w:val="21"/>
      <w:szCs w:val="22"/>
    </w:rPr>
  </w:style>
  <w:style w:type="character" w:customStyle="1" w:styleId="159">
    <w:name w:val="正文文本缩进 Char4"/>
    <w:semiHidden/>
    <w:qFormat/>
    <w:uiPriority w:val="99"/>
    <w:rPr>
      <w:kern w:val="2"/>
      <w:sz w:val="21"/>
      <w:szCs w:val="22"/>
    </w:rPr>
  </w:style>
  <w:style w:type="character" w:customStyle="1" w:styleId="160">
    <w:name w:val="正文文本缩进 Char3"/>
    <w:semiHidden/>
    <w:qFormat/>
    <w:uiPriority w:val="99"/>
    <w:rPr>
      <w:kern w:val="2"/>
      <w:sz w:val="21"/>
      <w:szCs w:val="22"/>
    </w:rPr>
  </w:style>
  <w:style w:type="character" w:customStyle="1" w:styleId="161">
    <w:name w:val="正文首行缩进 Char4"/>
    <w:semiHidden/>
    <w:qFormat/>
    <w:uiPriority w:val="99"/>
  </w:style>
  <w:style w:type="character" w:customStyle="1" w:styleId="162">
    <w:name w:val="批注文字 Char3"/>
    <w:qFormat/>
    <w:uiPriority w:val="99"/>
    <w:rPr>
      <w:rFonts w:ascii="Calibri" w:hAnsi="Calibri"/>
      <w:sz w:val="21"/>
      <w:szCs w:val="22"/>
    </w:rPr>
  </w:style>
  <w:style w:type="character" w:customStyle="1" w:styleId="163">
    <w:name w:val="正文文本 Char1"/>
    <w:qFormat/>
    <w:uiPriority w:val="99"/>
    <w:rPr>
      <w:sz w:val="21"/>
    </w:rPr>
  </w:style>
  <w:style w:type="character" w:customStyle="1" w:styleId="164">
    <w:name w:val="页脚 字符"/>
    <w:qFormat/>
    <w:uiPriority w:val="0"/>
    <w:rPr>
      <w:rFonts w:ascii="Times New Roman" w:hAnsi="Times New Roman" w:eastAsia="楷体_GB2312" w:cs="Times New Roman"/>
      <w:kern w:val="2"/>
      <w:sz w:val="18"/>
      <w:szCs w:val="18"/>
    </w:rPr>
  </w:style>
  <w:style w:type="character" w:customStyle="1" w:styleId="165">
    <w:name w:val="Char Char71"/>
    <w:qFormat/>
    <w:uiPriority w:val="0"/>
    <w:rPr>
      <w:rFonts w:ascii="Times New Roman" w:hAnsi="Times New Roman" w:eastAsia="宋体" w:cs="Times New Roman"/>
      <w:kern w:val="2"/>
      <w:sz w:val="21"/>
      <w:lang w:val="en-US" w:eastAsia="zh-CN" w:bidi="ar-SA"/>
    </w:rPr>
  </w:style>
  <w:style w:type="character" w:customStyle="1" w:styleId="166">
    <w:name w:val="文档结构图 Char5"/>
    <w:semiHidden/>
    <w:qFormat/>
    <w:uiPriority w:val="99"/>
    <w:rPr>
      <w:rFonts w:ascii="宋体" w:hAnsi="Calibri" w:eastAsia="宋体" w:cs="Times New Roman"/>
      <w:sz w:val="18"/>
      <w:szCs w:val="18"/>
    </w:rPr>
  </w:style>
  <w:style w:type="character" w:customStyle="1" w:styleId="167">
    <w:name w:val="正文首行缩进 Char6"/>
    <w:semiHidden/>
    <w:qFormat/>
    <w:uiPriority w:val="99"/>
  </w:style>
  <w:style w:type="character" w:customStyle="1" w:styleId="168">
    <w:name w:val="标题 Char6"/>
    <w:qFormat/>
    <w:uiPriority w:val="10"/>
    <w:rPr>
      <w:rFonts w:ascii="Cambria" w:hAnsi="Cambria" w:eastAsia="宋体" w:cs="Times New Roman"/>
      <w:b/>
      <w:bCs/>
      <w:sz w:val="32"/>
      <w:szCs w:val="32"/>
    </w:rPr>
  </w:style>
  <w:style w:type="character" w:customStyle="1" w:styleId="169">
    <w:name w:val="正文文本 Char3"/>
    <w:semiHidden/>
    <w:qFormat/>
    <w:uiPriority w:val="99"/>
    <w:rPr>
      <w:rFonts w:ascii="Calibri" w:hAnsi="Calibri"/>
      <w:kern w:val="2"/>
      <w:sz w:val="21"/>
      <w:szCs w:val="22"/>
    </w:rPr>
  </w:style>
  <w:style w:type="character" w:customStyle="1" w:styleId="170">
    <w:name w:val="文档结构图 Char2"/>
    <w:semiHidden/>
    <w:qFormat/>
    <w:uiPriority w:val="99"/>
    <w:rPr>
      <w:rFonts w:ascii="宋体"/>
      <w:kern w:val="2"/>
      <w:sz w:val="18"/>
      <w:szCs w:val="18"/>
    </w:rPr>
  </w:style>
  <w:style w:type="character" w:customStyle="1" w:styleId="171">
    <w:name w:val="批注文字 字符"/>
    <w:qFormat/>
    <w:uiPriority w:val="0"/>
    <w:rPr>
      <w:rFonts w:ascii="Times New Roman" w:hAnsi="Times New Roman" w:eastAsia="楷体_GB2312" w:cs="Times New Roman"/>
      <w:kern w:val="2"/>
      <w:sz w:val="21"/>
      <w:szCs w:val="24"/>
    </w:rPr>
  </w:style>
  <w:style w:type="paragraph" w:customStyle="1" w:styleId="172">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paragraph" w:customStyle="1" w:styleId="173">
    <w:name w:val="默认段落字体 Para Char"/>
    <w:basedOn w:val="1"/>
    <w:qFormat/>
    <w:uiPriority w:val="0"/>
    <w:rPr>
      <w:rFonts w:ascii="Times New Roman" w:hAnsi="Times New Roman"/>
      <w:sz w:val="30"/>
      <w:szCs w:val="24"/>
    </w:rPr>
  </w:style>
  <w:style w:type="paragraph" w:customStyle="1" w:styleId="174">
    <w:name w:val="发文落款"/>
    <w:basedOn w:val="175"/>
    <w:qFormat/>
    <w:uiPriority w:val="0"/>
    <w:pPr>
      <w:ind w:left="4094" w:right="607" w:firstLine="0"/>
      <w:jc w:val="center"/>
    </w:pPr>
  </w:style>
  <w:style w:type="paragraph" w:customStyle="1" w:styleId="1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6">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77">
    <w:name w:val="表格"/>
    <w:basedOn w:val="1"/>
    <w:qFormat/>
    <w:uiPriority w:val="0"/>
    <w:pPr>
      <w:jc w:val="center"/>
      <w:textAlignment w:val="center"/>
    </w:pPr>
    <w:rPr>
      <w:rFonts w:ascii="华文细黑" w:hAnsi="华文细黑"/>
      <w:kern w:val="0"/>
      <w:szCs w:val="20"/>
    </w:rPr>
  </w:style>
  <w:style w:type="paragraph" w:customStyle="1" w:styleId="178">
    <w:name w:val="我的正文"/>
    <w:basedOn w:val="1"/>
    <w:qFormat/>
    <w:uiPriority w:val="0"/>
    <w:rPr>
      <w:rFonts w:ascii="宋体" w:hAnsi="宋体"/>
      <w:sz w:val="24"/>
      <w:szCs w:val="24"/>
    </w:rPr>
  </w:style>
  <w:style w:type="paragraph" w:customStyle="1" w:styleId="179">
    <w:name w:val="WPSOffice手动目录 1"/>
    <w:qFormat/>
    <w:uiPriority w:val="0"/>
    <w:rPr>
      <w:rFonts w:ascii="Calibri" w:hAnsi="Calibri" w:eastAsia="宋体" w:cs="Times New Roman"/>
      <w:lang w:val="en-US" w:eastAsia="zh-CN" w:bidi="ar-SA"/>
    </w:rPr>
  </w:style>
  <w:style w:type="paragraph" w:customStyle="1" w:styleId="180">
    <w:name w:val="_Style 23"/>
    <w:basedOn w:val="1"/>
    <w:qFormat/>
    <w:uiPriority w:val="0"/>
    <w:pPr>
      <w:widowControl/>
      <w:spacing w:after="160" w:line="240" w:lineRule="exact"/>
      <w:jc w:val="left"/>
    </w:pPr>
    <w:rPr>
      <w:rFonts w:ascii="Times New Roman" w:hAnsi="Times New Roman"/>
    </w:rPr>
  </w:style>
  <w:style w:type="paragraph" w:customStyle="1" w:styleId="181">
    <w:name w:val="样式1"/>
    <w:basedOn w:val="1"/>
    <w:next w:val="6"/>
    <w:qFormat/>
    <w:uiPriority w:val="0"/>
    <w:pPr>
      <w:spacing w:line="360" w:lineRule="auto"/>
      <w:ind w:firstLine="420" w:firstLineChars="200"/>
    </w:pPr>
    <w:rPr>
      <w:rFonts w:ascii="宋体" w:hAnsi="宋体"/>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83">
    <w:name w:val="结构图及表格"/>
    <w:qFormat/>
    <w:uiPriority w:val="0"/>
    <w:pPr>
      <w:widowControl w:val="0"/>
      <w:jc w:val="center"/>
    </w:pPr>
    <w:rPr>
      <w:rFonts w:ascii="Calibri" w:hAnsi="Calibri" w:eastAsia="宋体" w:cs="Times New Roman"/>
      <w:kern w:val="21"/>
      <w:sz w:val="21"/>
      <w:lang w:val="en-US" w:eastAsia="zh-CN" w:bidi="ar-SA"/>
    </w:rPr>
  </w:style>
  <w:style w:type="paragraph" w:customStyle="1" w:styleId="184">
    <w:name w:val="Char1"/>
    <w:basedOn w:val="1"/>
    <w:qFormat/>
    <w:uiPriority w:val="0"/>
    <w:pPr>
      <w:tabs>
        <w:tab w:val="left" w:pos="360"/>
      </w:tabs>
    </w:pPr>
    <w:rPr>
      <w:rFonts w:ascii="Times New Roman" w:hAnsi="Times New Roman"/>
      <w:sz w:val="24"/>
      <w:szCs w:val="20"/>
    </w:rPr>
  </w:style>
  <w:style w:type="paragraph" w:customStyle="1" w:styleId="185">
    <w:name w:val="章节三"/>
    <w:basedOn w:val="126"/>
    <w:next w:val="126"/>
    <w:qFormat/>
    <w:uiPriority w:val="0"/>
    <w:pPr>
      <w:spacing w:beforeLines="50" w:afterLines="50" w:line="240" w:lineRule="auto"/>
      <w:ind w:firstLine="0" w:firstLineChars="0"/>
      <w:jc w:val="left"/>
      <w:outlineLvl w:val="2"/>
    </w:pPr>
    <w:rPr>
      <w:rFonts w:ascii="黑体" w:hAnsi="宋体" w:eastAsia="黑体"/>
      <w:b/>
    </w:rPr>
  </w:style>
  <w:style w:type="paragraph" w:customStyle="1" w:styleId="186">
    <w:name w:val="_Style 71"/>
    <w:unhideWhenUsed/>
    <w:qFormat/>
    <w:uiPriority w:val="99"/>
    <w:rPr>
      <w:rFonts w:ascii="Calibri" w:hAnsi="Calibri" w:eastAsia="宋体" w:cs="Calibri"/>
      <w:kern w:val="2"/>
      <w:sz w:val="21"/>
      <w:szCs w:val="24"/>
      <w:lang w:val="en-US" w:eastAsia="zh-CN" w:bidi="ar-SA"/>
    </w:rPr>
  </w:style>
  <w:style w:type="paragraph" w:customStyle="1" w:styleId="187">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88">
    <w:name w:val="修订2"/>
    <w:qFormat/>
    <w:uiPriority w:val="0"/>
    <w:rPr>
      <w:rFonts w:ascii="Calibri" w:hAnsi="Calibri" w:eastAsia="宋体" w:cs="Times New Roman"/>
      <w:kern w:val="2"/>
      <w:sz w:val="21"/>
      <w:szCs w:val="24"/>
      <w:lang w:val="en-US" w:eastAsia="zh-CN" w:bidi="ar-SA"/>
    </w:rPr>
  </w:style>
  <w:style w:type="paragraph" w:styleId="189">
    <w:name w:val="List Paragraph"/>
    <w:basedOn w:val="1"/>
    <w:qFormat/>
    <w:uiPriority w:val="0"/>
    <w:pPr>
      <w:ind w:firstLine="420" w:firstLineChars="200"/>
    </w:pPr>
    <w:rPr>
      <w:rFonts w:ascii="Times New Roman" w:hAnsi="Times New Roman"/>
    </w:rPr>
  </w:style>
  <w:style w:type="paragraph" w:customStyle="1" w:styleId="19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91">
    <w:name w:val="样式 标题 2 + Times New Roman 四号 非加粗 段前: 5 磅 段后: 0 磅 行距: 固定值 20..."/>
    <w:basedOn w:val="4"/>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92">
    <w:name w:val="正题"/>
    <w:basedOn w:val="126"/>
    <w:next w:val="126"/>
    <w:qFormat/>
    <w:uiPriority w:val="0"/>
    <w:pPr>
      <w:ind w:firstLine="0" w:firstLineChars="0"/>
      <w:jc w:val="center"/>
    </w:pPr>
    <w:rPr>
      <w:rFonts w:eastAsia="黑体"/>
      <w:b/>
      <w:sz w:val="36"/>
      <w:szCs w:val="36"/>
    </w:rPr>
  </w:style>
  <w:style w:type="paragraph" w:customStyle="1" w:styleId="193">
    <w:name w:val="文二"/>
    <w:basedOn w:val="1"/>
    <w:qFormat/>
    <w:uiPriority w:val="0"/>
    <w:pPr>
      <w:jc w:val="left"/>
    </w:pPr>
    <w:rPr>
      <w:rFonts w:ascii="宋体" w:hAnsi="宋体" w:cs="Calibri"/>
      <w:szCs w:val="21"/>
    </w:rPr>
  </w:style>
  <w:style w:type="paragraph" w:customStyle="1" w:styleId="194">
    <w:name w:val="修订1"/>
    <w:qFormat/>
    <w:uiPriority w:val="99"/>
    <w:rPr>
      <w:rFonts w:ascii="Calibri" w:hAnsi="Calibri" w:eastAsia="宋体" w:cs="Arial"/>
      <w:lang w:val="en-US" w:eastAsia="zh-CN" w:bidi="ar-SA"/>
    </w:rPr>
  </w:style>
  <w:style w:type="paragraph" w:customStyle="1" w:styleId="1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7">
    <w:name w:val="样式2"/>
    <w:basedOn w:val="5"/>
    <w:qFormat/>
    <w:uiPriority w:val="0"/>
    <w:pPr>
      <w:spacing w:line="415" w:lineRule="auto"/>
      <w:ind w:firstLine="137" w:firstLineChars="49"/>
    </w:pPr>
    <w:rPr>
      <w:rFonts w:ascii="黑体" w:hAnsi="Calibri" w:eastAsia="黑体"/>
      <w:b w:val="0"/>
      <w:i/>
      <w:kern w:val="0"/>
      <w:sz w:val="28"/>
      <w:szCs w:val="28"/>
    </w:rPr>
  </w:style>
  <w:style w:type="paragraph" w:customStyle="1" w:styleId="198">
    <w:name w:val="样式 标题 3 + (中文) 黑体 小四 非加粗 段前: 7.8 磅 段后: 0 磅 行距: 固定值 20 磅"/>
    <w:basedOn w:val="5"/>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99">
    <w:name w:val="_Style 47"/>
    <w:semiHidden/>
    <w:qFormat/>
    <w:uiPriority w:val="0"/>
    <w:rPr>
      <w:rFonts w:ascii="Calibri" w:hAnsi="Calibri" w:eastAsia="宋体" w:cs="Calibri"/>
      <w:kern w:val="2"/>
      <w:sz w:val="21"/>
      <w:szCs w:val="24"/>
      <w:lang w:val="en-US" w:eastAsia="zh-CN" w:bidi="ar-SA"/>
    </w:rPr>
  </w:style>
  <w:style w:type="paragraph" w:customStyle="1" w:styleId="200">
    <w:name w:val="1"/>
    <w:basedOn w:val="1"/>
    <w:qFormat/>
    <w:uiPriority w:val="0"/>
    <w:rPr>
      <w:rFonts w:ascii="Times New Roman" w:hAnsi="Times New Roman"/>
      <w:szCs w:val="20"/>
    </w:rPr>
  </w:style>
  <w:style w:type="paragraph" w:customStyle="1" w:styleId="201">
    <w:name w:val="修订111"/>
    <w:qFormat/>
    <w:uiPriority w:val="0"/>
    <w:rPr>
      <w:rFonts w:ascii="Calibri" w:hAnsi="Calibri" w:eastAsia="宋体" w:cs="Times New Roman"/>
      <w:kern w:val="2"/>
      <w:sz w:val="21"/>
      <w:lang w:val="en-US" w:eastAsia="zh-CN" w:bidi="ar-SA"/>
    </w:rPr>
  </w:style>
  <w:style w:type="paragraph" w:customStyle="1" w:styleId="202">
    <w:name w:val="WPSOffice手动目录 2"/>
    <w:qFormat/>
    <w:uiPriority w:val="0"/>
    <w:pPr>
      <w:ind w:left="200" w:leftChars="200"/>
    </w:pPr>
    <w:rPr>
      <w:rFonts w:ascii="Calibri" w:hAnsi="Calibri" w:eastAsia="宋体" w:cs="Times New Roman"/>
      <w:lang w:val="en-US" w:eastAsia="zh-CN" w:bidi="ar-SA"/>
    </w:rPr>
  </w:style>
  <w:style w:type="paragraph" w:customStyle="1" w:styleId="203">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204">
    <w:name w:val="TOC 标题11"/>
    <w:basedOn w:val="3"/>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205">
    <w:name w:val="标题 31"/>
    <w:basedOn w:val="1"/>
    <w:qFormat/>
    <w:uiPriority w:val="99"/>
    <w:pPr>
      <w:ind w:left="100"/>
      <w:jc w:val="left"/>
      <w:outlineLvl w:val="3"/>
    </w:pPr>
    <w:rPr>
      <w:rFonts w:ascii="Microsoft JhengHei" w:hAnsi="Microsoft JhengHei" w:eastAsia="Microsoft JhengHei"/>
      <w:b/>
      <w:bCs/>
      <w:kern w:val="0"/>
      <w:sz w:val="32"/>
      <w:szCs w:val="32"/>
      <w:lang w:eastAsia="en-US"/>
    </w:rPr>
  </w:style>
  <w:style w:type="paragraph" w:customStyle="1" w:styleId="20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修订11"/>
    <w:qFormat/>
    <w:uiPriority w:val="0"/>
    <w:rPr>
      <w:rFonts w:ascii="Calibri" w:hAnsi="Calibri" w:eastAsia="宋体" w:cs="Times New Roman"/>
      <w:kern w:val="2"/>
      <w:sz w:val="21"/>
      <w:szCs w:val="24"/>
      <w:lang w:val="en-US" w:eastAsia="zh-CN" w:bidi="ar-SA"/>
    </w:rPr>
  </w:style>
  <w:style w:type="character" w:customStyle="1" w:styleId="208">
    <w:name w:val="标题 2 Char"/>
    <w:qFormat/>
    <w:uiPriority w:val="0"/>
    <w:rPr>
      <w:rFonts w:ascii="Arial" w:hAnsi="Arial" w:eastAsia="黑体" w:cs="Times New Roman"/>
      <w:b/>
      <w:bCs/>
      <w:color w:val="000000"/>
      <w:kern w:val="0"/>
      <w:sz w:val="36"/>
      <w:szCs w:val="32"/>
    </w:rPr>
  </w:style>
  <w:style w:type="character" w:customStyle="1" w:styleId="209">
    <w:name w:val="纯文本 Char"/>
    <w:qFormat/>
    <w:uiPriority w:val="99"/>
    <w:rPr>
      <w:rFonts w:ascii="宋体"/>
    </w:rPr>
  </w:style>
  <w:style w:type="paragraph" w:customStyle="1" w:styleId="210">
    <w:name w:val="修订3"/>
    <w:hidden/>
    <w:semiHidden/>
    <w:qFormat/>
    <w:uiPriority w:val="99"/>
    <w:rPr>
      <w:rFonts w:ascii="Calibri" w:hAnsi="Calibri" w:eastAsia="宋体" w:cs="Times New Roman"/>
      <w:kern w:val="2"/>
      <w:sz w:val="21"/>
      <w:szCs w:val="22"/>
      <w:lang w:val="en-US" w:eastAsia="zh-CN" w:bidi="ar-SA"/>
    </w:rPr>
  </w:style>
  <w:style w:type="paragraph" w:customStyle="1" w:styleId="211">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12">
    <w:name w:val="网格型1"/>
    <w:basedOn w:val="3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28032</Words>
  <Characters>29577</Characters>
  <Lines>1469</Lines>
  <Paragraphs>1315</Paragraphs>
  <TotalTime>69</TotalTime>
  <ScaleCrop>false</ScaleCrop>
  <LinksUpToDate>false</LinksUpToDate>
  <CharactersWithSpaces>30267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2025-03-24T09:07:00Z</dcterms:created>
  <dc:creator>Administrator</dc:creator>
  <cp:lastModifiedBy>Misaki</cp:lastModifiedBy>
  <cp:lastPrinted>2025-04-30T22:34:00Z</cp:lastPrinted>
  <dcterms:modified xsi:type="dcterms:W3CDTF">2025-04-30T12:00:17Z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289B9BECD59D49F48A800F866A66877E</vt:lpwstr>
  </property>
  <property fmtid="{D5CDD505-2E9C-101B-9397-08002B2CF9AE}" pid="4" name="KSOTemplateDocerSaveRecord">
    <vt:lpwstr>eyJoZGlkIjoiN2JmZjM1MWUzNTBjOGVlYzkyZGQ1YTY0ZDgwZGQwMTciLCJ1c2VySWQiOiI0MjA0NTIwODcifQ==</vt:lpwstr>
  </property>
</Properties>
</file>