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ascii="方正小标宋_GBK" w:hAnsi="方正小标宋_GBK" w:eastAsia="方正小标宋_GBK" w:cs="方正小标宋_GBK"/>
          <w:sz w:val="44"/>
          <w:szCs w:val="44"/>
        </w:rPr>
      </w:pPr>
      <w:bookmarkStart w:id="0" w:name="_Toc7673"/>
      <w:bookmarkStart w:id="1" w:name="_Toc11333"/>
    </w:p>
    <w:p>
      <w:pPr>
        <w:spacing w:line="560" w:lineRule="exact"/>
        <w:jc w:val="center"/>
        <w:outlineLvl w:val="1"/>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十五运会和残特奥会开幕式供电保障服务项目合同</w:t>
      </w:r>
      <w:bookmarkEnd w:id="0"/>
      <w:bookmarkEnd w:id="1"/>
    </w:p>
    <w:p>
      <w:pPr>
        <w:tabs>
          <w:tab w:val="left" w:pos="851"/>
        </w:tabs>
        <w:spacing w:line="560" w:lineRule="exact"/>
        <w:ind w:firstLine="640" w:firstLineChars="200"/>
        <w:rPr>
          <w:szCs w:val="32"/>
        </w:rPr>
      </w:pPr>
    </w:p>
    <w:p>
      <w:pPr>
        <w:tabs>
          <w:tab w:val="left" w:pos="851"/>
        </w:tabs>
        <w:spacing w:line="560" w:lineRule="exact"/>
        <w:ind w:firstLine="640" w:firstLineChars="200"/>
        <w:rPr>
          <w:szCs w:val="32"/>
        </w:rPr>
      </w:pPr>
      <w:r>
        <w:rPr>
          <w:szCs w:val="32"/>
        </w:rPr>
        <w:t>甲方：第十五届全国运动会和全国第十二届残疾人运动会暨第九届特殊奥林匹克运动会广州赛区执行委员会</w:t>
      </w:r>
    </w:p>
    <w:p>
      <w:pPr>
        <w:tabs>
          <w:tab w:val="left" w:pos="851"/>
        </w:tabs>
        <w:spacing w:line="560" w:lineRule="exact"/>
        <w:ind w:firstLine="640" w:firstLineChars="200"/>
        <w:rPr>
          <w:szCs w:val="32"/>
        </w:rPr>
      </w:pPr>
      <w:r>
        <w:rPr>
          <w:szCs w:val="32"/>
        </w:rPr>
        <w:t>住所地：广州市天河区天河路299号</w:t>
      </w:r>
    </w:p>
    <w:p>
      <w:pPr>
        <w:tabs>
          <w:tab w:val="left" w:pos="851"/>
        </w:tabs>
        <w:spacing w:line="560" w:lineRule="exact"/>
        <w:ind w:firstLine="640" w:firstLineChars="200"/>
        <w:rPr>
          <w:szCs w:val="32"/>
        </w:rPr>
      </w:pPr>
      <w:r>
        <w:rPr>
          <w:szCs w:val="32"/>
        </w:rPr>
        <w:t>法定代表人：</w:t>
      </w:r>
      <w:r>
        <w:rPr>
          <w:bCs/>
          <w:szCs w:val="32"/>
        </w:rPr>
        <w:t>谭爱英</w:t>
      </w:r>
    </w:p>
    <w:p>
      <w:pPr>
        <w:tabs>
          <w:tab w:val="left" w:pos="851"/>
        </w:tabs>
        <w:spacing w:line="560" w:lineRule="exact"/>
        <w:ind w:firstLine="640" w:firstLineChars="200"/>
        <w:rPr>
          <w:szCs w:val="32"/>
        </w:rPr>
      </w:pPr>
      <w:r>
        <w:rPr>
          <w:szCs w:val="32"/>
        </w:rPr>
        <w:t>授权签约代表：</w:t>
      </w:r>
    </w:p>
    <w:p>
      <w:pPr>
        <w:pStyle w:val="2"/>
        <w:spacing w:line="560" w:lineRule="exact"/>
        <w:rPr>
          <w:rFonts w:ascii="Times New Roman" w:hAnsi="Times New Roman" w:cs="Times New Roman"/>
          <w:sz w:val="32"/>
          <w:szCs w:val="32"/>
        </w:rPr>
      </w:pPr>
    </w:p>
    <w:p>
      <w:pPr>
        <w:tabs>
          <w:tab w:val="left" w:pos="851"/>
        </w:tabs>
        <w:spacing w:line="560" w:lineRule="exact"/>
        <w:ind w:firstLine="640" w:firstLineChars="200"/>
        <w:rPr>
          <w:szCs w:val="32"/>
        </w:rPr>
      </w:pPr>
      <w:r>
        <w:rPr>
          <w:szCs w:val="32"/>
        </w:rPr>
        <w:t>乙方：</w:t>
      </w:r>
    </w:p>
    <w:p>
      <w:pPr>
        <w:tabs>
          <w:tab w:val="left" w:pos="851"/>
        </w:tabs>
        <w:spacing w:line="560" w:lineRule="exact"/>
        <w:ind w:firstLine="640" w:firstLineChars="200"/>
        <w:rPr>
          <w:szCs w:val="32"/>
        </w:rPr>
      </w:pPr>
      <w:r>
        <w:rPr>
          <w:szCs w:val="32"/>
        </w:rPr>
        <w:t>住所地：</w:t>
      </w:r>
    </w:p>
    <w:p>
      <w:pPr>
        <w:tabs>
          <w:tab w:val="left" w:pos="851"/>
        </w:tabs>
        <w:spacing w:line="560" w:lineRule="exact"/>
        <w:ind w:firstLine="640" w:firstLineChars="200"/>
        <w:rPr>
          <w:szCs w:val="32"/>
        </w:rPr>
      </w:pPr>
      <w:r>
        <w:rPr>
          <w:szCs w:val="32"/>
        </w:rPr>
        <w:t>法定代表人：</w:t>
      </w:r>
    </w:p>
    <w:p>
      <w:pPr>
        <w:tabs>
          <w:tab w:val="left" w:pos="851"/>
        </w:tabs>
        <w:spacing w:line="560" w:lineRule="exact"/>
        <w:ind w:firstLine="640" w:firstLineChars="200"/>
        <w:rPr>
          <w:szCs w:val="32"/>
        </w:rPr>
      </w:pPr>
      <w:r>
        <w:rPr>
          <w:szCs w:val="32"/>
        </w:rPr>
        <w:t>授权签约代表：</w:t>
      </w:r>
    </w:p>
    <w:p>
      <w:pPr>
        <w:tabs>
          <w:tab w:val="left" w:pos="851"/>
        </w:tabs>
        <w:spacing w:line="560" w:lineRule="exact"/>
        <w:ind w:firstLine="640" w:firstLineChars="200"/>
        <w:rPr>
          <w:szCs w:val="32"/>
        </w:rPr>
      </w:pPr>
    </w:p>
    <w:p>
      <w:pPr>
        <w:tabs>
          <w:tab w:val="left" w:pos="851"/>
        </w:tabs>
        <w:spacing w:line="560" w:lineRule="exact"/>
        <w:ind w:firstLine="640" w:firstLineChars="200"/>
        <w:rPr>
          <w:szCs w:val="32"/>
        </w:rPr>
      </w:pPr>
      <w:r>
        <w:rPr>
          <w:szCs w:val="32"/>
        </w:rPr>
        <w:t>按照《中华人民共和国招标投标法》《中华人民共和国招标投标法实施条例》，《中华人民共和国民法典(合同编)》的规定，经合法有效的政府</w:t>
      </w:r>
      <w:r>
        <w:rPr>
          <w:rFonts w:hint="eastAsia"/>
          <w:szCs w:val="32"/>
        </w:rPr>
        <w:t>招标</w:t>
      </w:r>
      <w:r>
        <w:rPr>
          <w:szCs w:val="32"/>
        </w:rPr>
        <w:t>流程，确定乙方为甲方</w:t>
      </w:r>
      <w:r>
        <w:rPr>
          <w:rFonts w:hint="eastAsia"/>
          <w:szCs w:val="32"/>
        </w:rPr>
        <w:t>十五运会和残特奥会开幕式供电保障服务</w:t>
      </w:r>
      <w:r>
        <w:rPr>
          <w:szCs w:val="32"/>
        </w:rPr>
        <w:t>项目（以下简称</w:t>
      </w:r>
      <w:r>
        <w:rPr>
          <w:rFonts w:hint="eastAsia"/>
          <w:szCs w:val="32"/>
        </w:rPr>
        <w:t>“</w:t>
      </w:r>
      <w:r>
        <w:rPr>
          <w:szCs w:val="32"/>
        </w:rPr>
        <w:t>本项目</w:t>
      </w:r>
      <w:r>
        <w:rPr>
          <w:rFonts w:hint="eastAsia"/>
          <w:szCs w:val="32"/>
        </w:rPr>
        <w:t>”</w:t>
      </w:r>
      <w:r>
        <w:rPr>
          <w:szCs w:val="32"/>
        </w:rPr>
        <w:t>）的中标人/成交供应商，现就本项目签订本合同，以资共同遵守。</w:t>
      </w:r>
    </w:p>
    <w:p>
      <w:pPr>
        <w:tabs>
          <w:tab w:val="left" w:pos="851"/>
        </w:tabs>
        <w:spacing w:line="560" w:lineRule="exact"/>
        <w:ind w:firstLine="640" w:firstLineChars="200"/>
        <w:rPr>
          <w:rFonts w:ascii="黑体" w:hAnsi="黑体" w:eastAsia="黑体" w:cs="黑体"/>
          <w:szCs w:val="32"/>
        </w:rPr>
      </w:pPr>
      <w:r>
        <w:rPr>
          <w:rFonts w:hint="eastAsia" w:ascii="黑体" w:hAnsi="黑体" w:eastAsia="黑体" w:cs="黑体"/>
          <w:szCs w:val="32"/>
        </w:rPr>
        <w:t>一、项目情况</w:t>
      </w:r>
    </w:p>
    <w:p>
      <w:pPr>
        <w:tabs>
          <w:tab w:val="left" w:pos="851"/>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（一）项目名称。</w:t>
      </w:r>
    </w:p>
    <w:p>
      <w:pPr>
        <w:tabs>
          <w:tab w:val="left" w:pos="851"/>
        </w:tabs>
        <w:spacing w:line="560" w:lineRule="exact"/>
        <w:ind w:firstLine="640" w:firstLineChars="200"/>
        <w:rPr>
          <w:szCs w:val="32"/>
        </w:rPr>
      </w:pPr>
      <w:bookmarkStart w:id="2" w:name="OLE_LINK6"/>
      <w:r>
        <w:rPr>
          <w:rFonts w:hint="eastAsia"/>
          <w:szCs w:val="32"/>
        </w:rPr>
        <w:t>十五运会和残特奥会</w:t>
      </w:r>
      <w:bookmarkEnd w:id="2"/>
      <w:r>
        <w:rPr>
          <w:rFonts w:hint="eastAsia"/>
          <w:szCs w:val="32"/>
        </w:rPr>
        <w:t>开幕式供电保障服务</w:t>
      </w:r>
      <w:r>
        <w:rPr>
          <w:szCs w:val="32"/>
        </w:rPr>
        <w:t>项目（项目编号：XX）。</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（二）服务范围和内容</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szCs w:val="32"/>
        </w:rPr>
        <w:t>乙方向甲方提供的服务包括但不限于以下各项，可能根据甲方工作安排进行调整：</w:t>
      </w:r>
    </w:p>
    <w:p>
      <w:pPr>
        <w:tabs>
          <w:tab w:val="left" w:pos="851"/>
        </w:tabs>
        <w:spacing w:line="560" w:lineRule="exact"/>
        <w:ind w:firstLine="640" w:firstLineChars="200"/>
        <w:rPr>
          <w:szCs w:val="32"/>
        </w:rPr>
      </w:pPr>
      <w:r>
        <w:rPr>
          <w:rFonts w:hint="eastAsia"/>
          <w:szCs w:val="32"/>
        </w:rPr>
        <w:t>1.</w:t>
      </w:r>
      <w:r>
        <w:rPr>
          <w:szCs w:val="32"/>
        </w:rPr>
        <w:t>供电</w:t>
      </w:r>
      <w:r>
        <w:rPr>
          <w:rFonts w:hint="eastAsia"/>
          <w:szCs w:val="32"/>
        </w:rPr>
        <w:t>保障</w:t>
      </w:r>
      <w:r>
        <w:rPr>
          <w:szCs w:val="32"/>
        </w:rPr>
        <w:t>服务必须做到“设备零故障、场所零闪动、工作零差错、服务零投诉、安全零事故”。</w:t>
      </w:r>
      <w:r>
        <w:rPr>
          <w:rFonts w:hint="eastAsia"/>
          <w:szCs w:val="32"/>
        </w:rPr>
        <w:t>乙方</w:t>
      </w:r>
      <w:r>
        <w:rPr>
          <w:szCs w:val="32"/>
        </w:rPr>
        <w:t>依照</w:t>
      </w:r>
      <w:r>
        <w:rPr>
          <w:rFonts w:hint="eastAsia"/>
          <w:szCs w:val="32"/>
        </w:rPr>
        <w:t>甲方</w:t>
      </w:r>
      <w:r>
        <w:rPr>
          <w:szCs w:val="32"/>
        </w:rPr>
        <w:t>制定的</w:t>
      </w:r>
      <w:r>
        <w:rPr>
          <w:rFonts w:hint="eastAsia"/>
          <w:szCs w:val="32"/>
        </w:rPr>
        <w:t>开幕式供电保障方案</w:t>
      </w:r>
      <w:r>
        <w:rPr>
          <w:szCs w:val="32"/>
        </w:rPr>
        <w:t>运行方式</w:t>
      </w:r>
      <w:r>
        <w:rPr>
          <w:rFonts w:hint="eastAsia"/>
          <w:szCs w:val="32"/>
        </w:rPr>
        <w:t>、</w:t>
      </w:r>
      <w:r>
        <w:rPr>
          <w:szCs w:val="32"/>
        </w:rPr>
        <w:t>技术规格和要求</w:t>
      </w:r>
      <w:r>
        <w:rPr>
          <w:rFonts w:hint="eastAsia"/>
          <w:szCs w:val="32"/>
        </w:rPr>
        <w:t>，完成</w:t>
      </w:r>
      <w:r>
        <w:rPr>
          <w:szCs w:val="32"/>
        </w:rPr>
        <w:t>自发电机开始至低压馈电箱的发、输、变、配电及辅助系统（包括但不限于视频监控、燃料供应、尾气治理、安保消防（含网络安全）、噪音治理、防汛抗台等系统）的设备及材料供应、安装，土建及电缆管沟、配套新建及改造土建工程的设计及施工（含四通一平、桩基、基础、建筑安装工程等），以及系统调试、运维保障、防汛抗台、安保全过程电力保障服务方案，经</w:t>
      </w:r>
      <w:r>
        <w:rPr>
          <w:rFonts w:hint="eastAsia"/>
          <w:szCs w:val="32"/>
        </w:rPr>
        <w:t>甲方</w:t>
      </w:r>
      <w:r>
        <w:rPr>
          <w:szCs w:val="32"/>
        </w:rPr>
        <w:t>评审同意后执行。</w:t>
      </w:r>
      <w:r>
        <w:rPr>
          <w:rFonts w:hint="eastAsia"/>
          <w:szCs w:val="32"/>
        </w:rPr>
        <w:t>甲方</w:t>
      </w:r>
      <w:r>
        <w:rPr>
          <w:szCs w:val="32"/>
        </w:rPr>
        <w:t>有权依据需要更改电力保障服务方案，如有更改，</w:t>
      </w:r>
      <w:r>
        <w:rPr>
          <w:rFonts w:hint="eastAsia"/>
          <w:szCs w:val="32"/>
        </w:rPr>
        <w:t>乙方</w:t>
      </w:r>
      <w:r>
        <w:rPr>
          <w:szCs w:val="32"/>
        </w:rPr>
        <w:t>必须按新要求配合完成。</w:t>
      </w:r>
      <w:r>
        <w:rPr>
          <w:rFonts w:hint="eastAsia"/>
          <w:szCs w:val="32"/>
        </w:rPr>
        <w:t>乙方</w:t>
      </w:r>
      <w:r>
        <w:rPr>
          <w:szCs w:val="32"/>
        </w:rPr>
        <w:t>应负责办理本项目涉及的包括且不限于审批、报建等相关手续。</w:t>
      </w:r>
      <w:r>
        <w:rPr>
          <w:rFonts w:hint="eastAsia"/>
          <w:szCs w:val="32"/>
        </w:rPr>
        <w:t>最终以供电局审定并经甲方确定的图纸为准。</w:t>
      </w:r>
    </w:p>
    <w:p>
      <w:pPr>
        <w:tabs>
          <w:tab w:val="left" w:pos="851"/>
        </w:tabs>
        <w:spacing w:line="560" w:lineRule="exact"/>
        <w:ind w:firstLine="640" w:firstLineChars="200"/>
        <w:rPr>
          <w:szCs w:val="32"/>
        </w:rPr>
      </w:pPr>
      <w:bookmarkStart w:id="3" w:name="OLE_LINK5"/>
      <w:bookmarkStart w:id="4" w:name="OLE_LINK4"/>
      <w:r>
        <w:rPr>
          <w:rFonts w:hint="eastAsia"/>
          <w:szCs w:val="32"/>
        </w:rPr>
        <w:t>十五运会和残特奥会</w:t>
      </w:r>
      <w:r>
        <w:rPr>
          <w:szCs w:val="32"/>
        </w:rPr>
        <w:t>开幕式</w:t>
      </w:r>
      <w:bookmarkEnd w:id="3"/>
      <w:bookmarkEnd w:id="4"/>
      <w:r>
        <w:rPr>
          <w:szCs w:val="32"/>
        </w:rPr>
        <w:t>特别重要及重要负荷用电负荷需求约17945千瓦</w:t>
      </w:r>
      <w:r>
        <w:rPr>
          <w:rFonts w:hint="eastAsia"/>
          <w:szCs w:val="32"/>
        </w:rPr>
        <w:t>（十五运会开幕式9945千瓦，残特奥会开幕式8000千瓦）</w:t>
      </w:r>
      <w:r>
        <w:rPr>
          <w:szCs w:val="32"/>
        </w:rPr>
        <w:t>，本负荷为暂估，</w:t>
      </w:r>
      <w:r>
        <w:rPr>
          <w:rFonts w:hint="eastAsia"/>
          <w:szCs w:val="32"/>
        </w:rPr>
        <w:t>乙方</w:t>
      </w:r>
      <w:r>
        <w:rPr>
          <w:szCs w:val="32"/>
        </w:rPr>
        <w:t>所供系统应满足最终实际负荷需求而不引起商务变动。</w:t>
      </w:r>
    </w:p>
    <w:p>
      <w:pPr>
        <w:tabs>
          <w:tab w:val="left" w:pos="851"/>
        </w:tabs>
        <w:spacing w:line="560" w:lineRule="exact"/>
        <w:ind w:firstLine="640" w:firstLineChars="200"/>
        <w:rPr>
          <w:szCs w:val="32"/>
        </w:rPr>
      </w:pPr>
      <w:r>
        <w:rPr>
          <w:rFonts w:hint="eastAsia"/>
          <w:szCs w:val="32"/>
        </w:rPr>
        <w:t>2.乙方负责统筹</w:t>
      </w:r>
      <w:bookmarkStart w:id="5" w:name="OLE_LINK1"/>
      <w:r>
        <w:rPr>
          <w:rFonts w:hint="eastAsia"/>
          <w:szCs w:val="32"/>
        </w:rPr>
        <w:t>十五运会和残特奥会</w:t>
      </w:r>
      <w:r>
        <w:rPr>
          <w:szCs w:val="32"/>
        </w:rPr>
        <w:t>开幕式</w:t>
      </w:r>
      <w:bookmarkEnd w:id="5"/>
      <w:r>
        <w:rPr>
          <w:rFonts w:hint="eastAsia"/>
          <w:szCs w:val="32"/>
        </w:rPr>
        <w:t>供电系统整体协调，包括储能供电、新增市电、场馆侧功能用电。</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3.</w:t>
      </w:r>
      <w:r>
        <w:rPr>
          <w:rFonts w:hint="eastAsia"/>
          <w:szCs w:val="32"/>
        </w:rPr>
        <w:t>乙方</w:t>
      </w:r>
      <w:r>
        <w:rPr>
          <w:rFonts w:hint="eastAsia" w:ascii="Times New Roman" w:hAnsi="Times New Roman" w:cs="Times New Roman"/>
          <w:szCs w:val="32"/>
        </w:rPr>
        <w:t>负责赞助约800万元（享受赞助费用同等城市合伙人权益）十五运会和残特奥会开幕式场馆群竞赛期间的电力保障，包括但不限于人员运维值守、发电机和UPS租赁、备品备件、应急抢修及应急隐患整改等（具体清单附后，具体以经市执委会有关部门审核确认的金额为准）。</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4.</w:t>
      </w:r>
      <w:r>
        <w:rPr>
          <w:rFonts w:hint="eastAsia"/>
          <w:szCs w:val="32"/>
        </w:rPr>
        <w:t>乙方</w:t>
      </w:r>
      <w:r>
        <w:rPr>
          <w:rFonts w:hint="eastAsia" w:ascii="Times New Roman" w:hAnsi="Times New Roman" w:cs="Times New Roman"/>
          <w:szCs w:val="32"/>
        </w:rPr>
        <w:t>负责消防、防洪、排涝、防雷、防台风等应急措施。</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5.</w:t>
      </w:r>
      <w:r>
        <w:rPr>
          <w:rFonts w:hint="eastAsia"/>
          <w:szCs w:val="32"/>
        </w:rPr>
        <w:t>乙方</w:t>
      </w:r>
      <w:r>
        <w:rPr>
          <w:rFonts w:hint="eastAsia" w:ascii="Times New Roman" w:hAnsi="Times New Roman" w:cs="Times New Roman"/>
          <w:szCs w:val="32"/>
        </w:rPr>
        <w:t>配合</w:t>
      </w:r>
      <w:r>
        <w:rPr>
          <w:rFonts w:hint="eastAsia" w:ascii="Times New Roman" w:hAnsi="Times New Roman" w:cs="Times New Roman"/>
          <w:szCs w:val="32"/>
          <w:lang w:eastAsia="zh-CN"/>
        </w:rPr>
        <w:t>甲方</w:t>
      </w:r>
      <w:r>
        <w:rPr>
          <w:rFonts w:hint="eastAsia" w:ascii="Times New Roman" w:hAnsi="Times New Roman" w:cs="Times New Roman"/>
          <w:szCs w:val="32"/>
        </w:rPr>
        <w:t>科研项目的数据收集和过程检测。</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6.</w:t>
      </w:r>
      <w:r>
        <w:rPr>
          <w:rFonts w:hint="eastAsia"/>
          <w:szCs w:val="32"/>
        </w:rPr>
        <w:t>乙方</w:t>
      </w:r>
      <w:r>
        <w:rPr>
          <w:rFonts w:hint="eastAsia" w:ascii="Times New Roman" w:hAnsi="Times New Roman" w:cs="Times New Roman"/>
          <w:szCs w:val="32"/>
        </w:rPr>
        <w:t>提供接入电力通信网络的“两遥”及视频监控通信设备（含边缘网关、交换机、网络安全加密模块、本地电力监控系统、站端通信设备等)，并纳入电力通信网管统一管理，同时应满足全量数据上送主站的带宽及可靠性要求。整个系统的调度指挥应满足供电企业统一管控要求。具体通信及自动化设备的配置以施工图为准。</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7.</w:t>
      </w:r>
      <w:r>
        <w:rPr>
          <w:rFonts w:hint="eastAsia"/>
          <w:szCs w:val="32"/>
        </w:rPr>
        <w:t>乙方</w:t>
      </w:r>
      <w:r>
        <w:rPr>
          <w:rFonts w:hint="eastAsia" w:ascii="Times New Roman" w:hAnsi="Times New Roman" w:cs="Times New Roman"/>
          <w:szCs w:val="32"/>
        </w:rPr>
        <w:t>承接的保障设备应建立智慧监测系统并满足甲方的需求。高压及各低压馈线，以及负荷配电箱，应具备“两遥”并安装视频监控设备，可对开关状态、电压、电流及功率、设备温度、环境信息等进行采集和监测。</w:t>
      </w:r>
    </w:p>
    <w:p>
      <w:pPr>
        <w:tabs>
          <w:tab w:val="left" w:pos="851"/>
        </w:tabs>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具体内容详见《</w:t>
      </w:r>
      <w:r>
        <w:rPr>
          <w:rFonts w:hint="eastAsia" w:ascii="Times New Roman" w:hAnsi="Times New Roman" w:cs="Times New Roman"/>
          <w:szCs w:val="32"/>
        </w:rPr>
        <w:t>十五运会和残特奥会开幕式供电保障服务项目技术规范书</w:t>
      </w:r>
      <w:r>
        <w:rPr>
          <w:rFonts w:hint="eastAsia" w:ascii="Times New Roman" w:hAnsi="Times New Roman" w:cs="Times New Roman"/>
          <w:szCs w:val="32"/>
          <w:lang w:val="en-US" w:eastAsia="zh-CN"/>
        </w:rPr>
        <w:t>》</w:t>
      </w:r>
      <w:r>
        <w:rPr>
          <w:rFonts w:hint="eastAsia" w:ascii="Times New Roman" w:hAnsi="Times New Roman" w:cs="Times New Roman"/>
          <w:szCs w:val="32"/>
        </w:rPr>
        <w:t xml:space="preserve"> </w:t>
      </w:r>
      <w:r>
        <w:rPr>
          <w:rFonts w:hint="eastAsia" w:ascii="Times New Roman" w:hAnsi="Times New Roman" w:cs="Times New Roman"/>
          <w:szCs w:val="32"/>
          <w:lang w:val="en-US" w:eastAsia="zh-CN"/>
        </w:rPr>
        <w:t>和图纸。</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（三）项目期限</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rFonts w:hint="eastAsia"/>
          <w:szCs w:val="32"/>
        </w:rPr>
        <w:t>自合同签订之日起至</w:t>
      </w:r>
      <w:r>
        <w:rPr>
          <w:szCs w:val="32"/>
        </w:rPr>
        <w:t>2025</w:t>
      </w:r>
      <w:r>
        <w:rPr>
          <w:rFonts w:hint="eastAsia"/>
          <w:szCs w:val="32"/>
        </w:rPr>
        <w:t>年</w:t>
      </w:r>
      <w:r>
        <w:rPr>
          <w:szCs w:val="32"/>
        </w:rPr>
        <w:t>12</w:t>
      </w:r>
      <w:r>
        <w:rPr>
          <w:rFonts w:hint="eastAsia"/>
          <w:szCs w:val="32"/>
        </w:rPr>
        <w:t>月</w:t>
      </w:r>
      <w:r>
        <w:rPr>
          <w:szCs w:val="32"/>
        </w:rPr>
        <w:t>31</w:t>
      </w:r>
      <w:r>
        <w:rPr>
          <w:rFonts w:hint="eastAsia"/>
          <w:szCs w:val="32"/>
        </w:rPr>
        <w:t>日止。</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（四）项目地点</w:t>
      </w:r>
      <w:r>
        <w:rPr>
          <w:rFonts w:hint="eastAsia" w:ascii="楷体_GB2312" w:hAnsi="楷体_GB2312" w:eastAsia="楷体_GB2312" w:cs="楷体_GB2312"/>
          <w:szCs w:val="32"/>
        </w:rPr>
        <w:t>。</w:t>
      </w:r>
    </w:p>
    <w:p>
      <w:pPr>
        <w:spacing w:line="560" w:lineRule="exact"/>
        <w:ind w:firstLine="640" w:firstLineChars="200"/>
        <w:rPr>
          <w:szCs w:val="32"/>
        </w:rPr>
      </w:pPr>
      <w:r>
        <w:rPr>
          <w:szCs w:val="32"/>
        </w:rPr>
        <w:t>合同履行地点为</w:t>
      </w:r>
      <w:r>
        <w:rPr>
          <w:rFonts w:hint="eastAsia"/>
          <w:szCs w:val="32"/>
        </w:rPr>
        <w:t>广州</w:t>
      </w:r>
      <w:r>
        <w:rPr>
          <w:szCs w:val="32"/>
        </w:rPr>
        <w:t>。</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二、服务要求</w:t>
      </w:r>
    </w:p>
    <w:p>
      <w:pPr>
        <w:spacing w:line="560" w:lineRule="exact"/>
        <w:ind w:firstLine="640" w:firstLineChars="200"/>
        <w:rPr>
          <w:szCs w:val="32"/>
        </w:rPr>
      </w:pPr>
      <w:r>
        <w:rPr>
          <w:szCs w:val="32"/>
        </w:rPr>
        <w:t>（一）乙方应按照</w:t>
      </w:r>
      <w:r>
        <w:rPr>
          <w:rFonts w:hint="eastAsia"/>
          <w:szCs w:val="32"/>
        </w:rPr>
        <w:t>资格预审公告、资格预审文件、资格预审申请文件、招标文件、投标文件的</w:t>
      </w:r>
      <w:r>
        <w:rPr>
          <w:szCs w:val="32"/>
        </w:rPr>
        <w:t>要求提供服务；</w:t>
      </w:r>
    </w:p>
    <w:p>
      <w:pPr>
        <w:tabs>
          <w:tab w:val="left" w:pos="851"/>
        </w:tabs>
        <w:spacing w:line="560" w:lineRule="exact"/>
        <w:ind w:firstLine="640" w:firstLineChars="200"/>
        <w:rPr>
          <w:szCs w:val="32"/>
        </w:rPr>
      </w:pPr>
      <w:r>
        <w:rPr>
          <w:szCs w:val="32"/>
        </w:rPr>
        <w:t>（二）进度和质量要求：</w:t>
      </w:r>
    </w:p>
    <w:p>
      <w:pPr>
        <w:spacing w:line="560" w:lineRule="exact"/>
        <w:ind w:firstLine="640" w:firstLineChars="200"/>
        <w:rPr>
          <w:szCs w:val="32"/>
        </w:rPr>
      </w:pPr>
      <w:bookmarkStart w:id="6" w:name="OLE_LINK2"/>
      <w:r>
        <w:rPr>
          <w:szCs w:val="32"/>
        </w:rPr>
        <w:t>1.</w:t>
      </w:r>
      <w:r>
        <w:rPr>
          <w:rFonts w:hint="eastAsia"/>
          <w:szCs w:val="32"/>
        </w:rPr>
        <w:t>十五运会</w:t>
      </w:r>
      <w:bookmarkEnd w:id="6"/>
      <w:r>
        <w:rPr>
          <w:rFonts w:hint="eastAsia"/>
          <w:szCs w:val="32"/>
        </w:rPr>
        <w:t>：</w:t>
      </w:r>
    </w:p>
    <w:p>
      <w:pPr>
        <w:spacing w:line="560" w:lineRule="exact"/>
        <w:ind w:firstLine="640" w:firstLineChars="200"/>
        <w:rPr>
          <w:szCs w:val="32"/>
        </w:rPr>
      </w:pPr>
      <w:bookmarkStart w:id="7" w:name="OLE_LINK3"/>
      <w:r>
        <w:rPr>
          <w:rFonts w:hint="eastAsia"/>
          <w:szCs w:val="32"/>
        </w:rPr>
        <w:t>2025年6月1日至2025年12月31日（具体开工日期以监理发出的开工令为准）：</w:t>
      </w:r>
    </w:p>
    <w:p>
      <w:pPr>
        <w:spacing w:line="560" w:lineRule="exact"/>
        <w:ind w:firstLine="640" w:firstLineChars="200"/>
        <w:rPr>
          <w:rFonts w:hint="eastAsia"/>
          <w:szCs w:val="32"/>
        </w:rPr>
      </w:pPr>
      <w:r>
        <w:rPr>
          <w:rFonts w:hint="eastAsia"/>
          <w:szCs w:val="32"/>
        </w:rPr>
        <w:t>第一阶段：</w:t>
      </w:r>
      <w:bookmarkEnd w:id="7"/>
      <w:r>
        <w:rPr>
          <w:rFonts w:hint="eastAsia"/>
          <w:szCs w:val="32"/>
        </w:rPr>
        <w:t>第一阶段：2025年7月31日前完成发电机及所有配电设施建设，全部设备调试完成，2025年8月31日前完成验收。</w:t>
      </w:r>
    </w:p>
    <w:p>
      <w:pPr>
        <w:spacing w:line="560" w:lineRule="exact"/>
        <w:ind w:firstLine="640" w:firstLineChars="200"/>
        <w:rPr>
          <w:rFonts w:hint="eastAsia"/>
          <w:szCs w:val="32"/>
        </w:rPr>
      </w:pPr>
      <w:r>
        <w:rPr>
          <w:rFonts w:hint="eastAsia"/>
          <w:szCs w:val="32"/>
        </w:rPr>
        <w:t>第二阶段：2025年9月1日至十五运会开幕式结束，保障十五运会开幕式演练及正式演出全过程等用电，达到“设备零故障、客户零闪动、工作零差错、服务零投诉”要求。</w:t>
      </w:r>
    </w:p>
    <w:p>
      <w:pPr>
        <w:spacing w:line="560" w:lineRule="exact"/>
        <w:ind w:firstLine="640" w:firstLineChars="200"/>
        <w:rPr>
          <w:rFonts w:hint="eastAsia"/>
          <w:szCs w:val="32"/>
        </w:rPr>
      </w:pPr>
      <w:r>
        <w:rPr>
          <w:rFonts w:hint="eastAsia"/>
          <w:szCs w:val="32"/>
        </w:rPr>
        <w:t>第三阶段：2025年11月11日起撤离所有设备并完成绿化等原有设施恢复。</w:t>
      </w:r>
    </w:p>
    <w:p>
      <w:pPr>
        <w:spacing w:line="560" w:lineRule="exact"/>
        <w:ind w:firstLine="640" w:firstLineChars="200"/>
        <w:rPr>
          <w:rFonts w:hint="eastAsia"/>
          <w:szCs w:val="32"/>
        </w:rPr>
      </w:pPr>
      <w:r>
        <w:rPr>
          <w:rFonts w:hint="eastAsia"/>
          <w:szCs w:val="32"/>
        </w:rPr>
        <w:t>（2）残特奥会：</w:t>
      </w:r>
    </w:p>
    <w:p>
      <w:pPr>
        <w:spacing w:line="560" w:lineRule="exact"/>
        <w:ind w:firstLine="640" w:firstLineChars="200"/>
        <w:rPr>
          <w:rFonts w:hint="eastAsia"/>
          <w:szCs w:val="32"/>
        </w:rPr>
      </w:pPr>
      <w:r>
        <w:rPr>
          <w:rFonts w:hint="eastAsia"/>
          <w:szCs w:val="32"/>
        </w:rPr>
        <w:t>2025年7月1日至2025年12月31日（具体开工日期以监理发出的开工令为准）：</w:t>
      </w:r>
    </w:p>
    <w:p>
      <w:pPr>
        <w:spacing w:line="560" w:lineRule="exact"/>
        <w:ind w:firstLine="640" w:firstLineChars="200"/>
        <w:rPr>
          <w:rFonts w:hint="eastAsia"/>
          <w:szCs w:val="32"/>
        </w:rPr>
      </w:pPr>
      <w:r>
        <w:rPr>
          <w:rFonts w:hint="eastAsia"/>
          <w:szCs w:val="32"/>
        </w:rPr>
        <w:t>第一阶段：2025年8月30日前完成发电机及所有配电设施建设，全部设备调试完成，2025年9月30日前完成验收。</w:t>
      </w:r>
    </w:p>
    <w:p>
      <w:pPr>
        <w:spacing w:line="560" w:lineRule="exact"/>
        <w:ind w:firstLine="640" w:firstLineChars="200"/>
        <w:rPr>
          <w:szCs w:val="32"/>
        </w:rPr>
      </w:pPr>
      <w:r>
        <w:rPr>
          <w:rFonts w:hint="eastAsia"/>
          <w:szCs w:val="32"/>
        </w:rPr>
        <w:t>第二阶段：2025年10月1日至残特奥会开幕式结束，保障残特奥会开幕式演练及正式演出全过程等用电，达到“设备零故障、客户零闪动、工作零差错、服务零投诉”要求。</w:t>
      </w:r>
    </w:p>
    <w:p>
      <w:pPr>
        <w:spacing w:line="560" w:lineRule="exact"/>
        <w:ind w:firstLine="640" w:firstLineChars="200"/>
        <w:rPr>
          <w:szCs w:val="32"/>
        </w:rPr>
      </w:pPr>
      <w:r>
        <w:rPr>
          <w:rFonts w:hint="eastAsia"/>
          <w:szCs w:val="32"/>
        </w:rPr>
        <w:t>第三阶段：202</w:t>
      </w:r>
      <w:r>
        <w:rPr>
          <w:szCs w:val="32"/>
        </w:rPr>
        <w:t>5</w:t>
      </w:r>
      <w:r>
        <w:rPr>
          <w:rFonts w:hint="eastAsia"/>
          <w:szCs w:val="32"/>
        </w:rPr>
        <w:t>年12月11日起撤离所有设备并完成绿化等原有设施恢复。</w:t>
      </w:r>
    </w:p>
    <w:p>
      <w:pPr>
        <w:spacing w:line="560" w:lineRule="exact"/>
        <w:ind w:firstLine="640" w:firstLineChars="200"/>
        <w:rPr>
          <w:szCs w:val="32"/>
        </w:rPr>
      </w:pPr>
      <w:r>
        <w:rPr>
          <w:rFonts w:hint="eastAsia"/>
          <w:szCs w:val="32"/>
        </w:rPr>
        <w:t>3.竞赛场馆群供电保障须按赛程安排提前一个月（</w:t>
      </w:r>
      <w:r>
        <w:rPr>
          <w:rFonts w:hint="eastAsia"/>
        </w:rPr>
        <w:t>以正式提供的赛程为准</w:t>
      </w:r>
      <w:r>
        <w:rPr>
          <w:rFonts w:hint="eastAsia"/>
          <w:szCs w:val="32"/>
        </w:rPr>
        <w:t>）。</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三、合同价款</w:t>
      </w:r>
    </w:p>
    <w:p>
      <w:pPr>
        <w:spacing w:line="560" w:lineRule="exact"/>
        <w:ind w:firstLine="640" w:firstLineChars="200"/>
        <w:rPr>
          <w:szCs w:val="32"/>
        </w:rPr>
      </w:pPr>
      <w:r>
        <w:rPr>
          <w:szCs w:val="32"/>
        </w:rPr>
        <w:t>本合同服务费总额为：￥XX（大写：人民币XX元整）</w:t>
      </w:r>
      <w:r>
        <w:rPr>
          <w:rFonts w:hint="eastAsia"/>
          <w:szCs w:val="32"/>
        </w:rPr>
        <w:t>，</w:t>
      </w:r>
      <w:r>
        <w:rPr>
          <w:szCs w:val="32"/>
        </w:rPr>
        <w:t>以经</w:t>
      </w:r>
      <w:r>
        <w:rPr>
          <w:rFonts w:hint="eastAsia"/>
          <w:szCs w:val="32"/>
        </w:rPr>
        <w:t>广州市财政局</w:t>
      </w:r>
      <w:r>
        <w:rPr>
          <w:szCs w:val="32"/>
        </w:rPr>
        <w:t>评审结算总价为准</w:t>
      </w:r>
      <w:r>
        <w:rPr>
          <w:rFonts w:hint="eastAsia"/>
          <w:szCs w:val="32"/>
        </w:rPr>
        <w:t>。</w:t>
      </w:r>
    </w:p>
    <w:p>
      <w:pPr>
        <w:spacing w:line="560" w:lineRule="exact"/>
        <w:ind w:firstLine="640" w:firstLineChars="200"/>
        <w:rPr>
          <w:szCs w:val="32"/>
        </w:rPr>
      </w:pPr>
      <w:r>
        <w:rPr>
          <w:szCs w:val="32"/>
        </w:rPr>
        <w:t>此价款为含税价，包括了乙方为履行本合同义务所需的全部费用，除此之外甲方无须向乙方支付其他任何费用。</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四、价款支付</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（一）付款方式</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rFonts w:hint="eastAsia"/>
          <w:szCs w:val="32"/>
        </w:rPr>
        <w:t>甲方按照以下时间向乙方支付服务费用：</w:t>
      </w:r>
    </w:p>
    <w:p>
      <w:pPr>
        <w:tabs>
          <w:tab w:val="left" w:pos="851"/>
        </w:tabs>
        <w:spacing w:line="560" w:lineRule="exact"/>
        <w:ind w:firstLine="640" w:firstLineChars="200"/>
        <w:rPr>
          <w:szCs w:val="32"/>
        </w:rPr>
      </w:pPr>
      <w:r>
        <w:rPr>
          <w:rFonts w:hint="eastAsia"/>
          <w:szCs w:val="32"/>
        </w:rPr>
        <w:t>1.合同生效后</w:t>
      </w:r>
      <w:bookmarkStart w:id="8" w:name="_Hlk9796201"/>
      <w:r>
        <w:rPr>
          <w:rFonts w:hint="eastAsia"/>
          <w:szCs w:val="32"/>
        </w:rPr>
        <w:t>，</w:t>
      </w:r>
      <w:r>
        <w:rPr>
          <w:szCs w:val="32"/>
        </w:rPr>
        <w:t>乙方按约定提交的等额发票</w:t>
      </w:r>
      <w:r>
        <w:rPr>
          <w:rFonts w:hint="eastAsia"/>
          <w:szCs w:val="32"/>
        </w:rPr>
        <w:t>，待甲方完成财政资金审批手续后【</w:t>
      </w:r>
      <w:r>
        <w:rPr>
          <w:szCs w:val="32"/>
        </w:rPr>
        <w:t>5</w:t>
      </w:r>
      <w:r>
        <w:rPr>
          <w:rFonts w:hint="eastAsia"/>
          <w:szCs w:val="32"/>
        </w:rPr>
        <w:t>个工作】日内</w:t>
      </w:r>
      <w:bookmarkEnd w:id="8"/>
      <w:r>
        <w:rPr>
          <w:rFonts w:hint="eastAsia"/>
          <w:szCs w:val="32"/>
        </w:rPr>
        <w:t>，支付合同总价款的【</w:t>
      </w:r>
      <w:r>
        <w:rPr>
          <w:szCs w:val="32"/>
        </w:rPr>
        <w:t>30</w:t>
      </w:r>
      <w:r>
        <w:rPr>
          <w:rFonts w:hint="eastAsia"/>
          <w:szCs w:val="32"/>
        </w:rPr>
        <w:t>%】，即【    】元（大写：【    】元整）；</w:t>
      </w:r>
    </w:p>
    <w:p>
      <w:pPr>
        <w:tabs>
          <w:tab w:val="left" w:pos="851"/>
        </w:tabs>
        <w:spacing w:line="560" w:lineRule="exact"/>
        <w:ind w:firstLine="640" w:firstLineChars="200"/>
        <w:rPr>
          <w:szCs w:val="32"/>
        </w:rPr>
      </w:pPr>
      <w:r>
        <w:rPr>
          <w:rFonts w:hint="eastAsia"/>
          <w:szCs w:val="32"/>
        </w:rPr>
        <w:t>2.乙方完成发电机及所有配电设施建设，验收合格后，</w:t>
      </w:r>
      <w:r>
        <w:rPr>
          <w:szCs w:val="32"/>
        </w:rPr>
        <w:t>乙方按约定提交的等额发票</w:t>
      </w:r>
      <w:r>
        <w:rPr>
          <w:rFonts w:hint="eastAsia"/>
          <w:szCs w:val="32"/>
        </w:rPr>
        <w:t>，待甲方完成财政资金审批手续后</w:t>
      </w:r>
      <w:r>
        <w:rPr>
          <w:szCs w:val="32"/>
        </w:rPr>
        <w:t>5个工作日内转账支付</w:t>
      </w:r>
      <w:r>
        <w:rPr>
          <w:rFonts w:hint="eastAsia"/>
          <w:szCs w:val="32"/>
        </w:rPr>
        <w:t>，支付合同总价款的【</w:t>
      </w:r>
      <w:r>
        <w:rPr>
          <w:szCs w:val="32"/>
        </w:rPr>
        <w:t>40</w:t>
      </w:r>
      <w:r>
        <w:rPr>
          <w:rFonts w:hint="eastAsia"/>
          <w:szCs w:val="32"/>
        </w:rPr>
        <w:t>%】，即【    】元（大写：【    】元整）；</w:t>
      </w:r>
    </w:p>
    <w:p>
      <w:pPr>
        <w:tabs>
          <w:tab w:val="left" w:pos="851"/>
        </w:tabs>
        <w:spacing w:line="560" w:lineRule="exact"/>
        <w:ind w:firstLine="640" w:firstLineChars="200"/>
        <w:rPr>
          <w:szCs w:val="32"/>
        </w:rPr>
      </w:pPr>
      <w:r>
        <w:rPr>
          <w:rFonts w:hint="eastAsia"/>
          <w:szCs w:val="32"/>
        </w:rPr>
        <w:t>3.乙方服务经甲方验收合格，乙方撤离所有设备并完成绿化等原有设施恢复，验收合格且</w:t>
      </w:r>
      <w:r>
        <w:rPr>
          <w:szCs w:val="32"/>
        </w:rPr>
        <w:t>配合甲方完成归档工作后，乙方按约定提交的等额发票，</w:t>
      </w:r>
      <w:r>
        <w:rPr>
          <w:rFonts w:hint="eastAsia"/>
          <w:szCs w:val="32"/>
        </w:rPr>
        <w:t>待甲方完成财政资金审批手续后</w:t>
      </w:r>
      <w:r>
        <w:rPr>
          <w:szCs w:val="32"/>
        </w:rPr>
        <w:t>5个工作日内转账支付</w:t>
      </w:r>
      <w:r>
        <w:rPr>
          <w:rFonts w:hint="eastAsia"/>
          <w:szCs w:val="32"/>
        </w:rPr>
        <w:t>，支付合同总价款的【20%】，即【    】元（大写：【    】元整）</w:t>
      </w:r>
      <w:r>
        <w:rPr>
          <w:szCs w:val="32"/>
        </w:rPr>
        <w:t>；</w:t>
      </w:r>
    </w:p>
    <w:p>
      <w:pPr>
        <w:tabs>
          <w:tab w:val="left" w:pos="851"/>
        </w:tabs>
        <w:spacing w:line="560" w:lineRule="exact"/>
        <w:ind w:firstLine="640" w:firstLineChars="200"/>
        <w:rPr>
          <w:szCs w:val="32"/>
        </w:rPr>
      </w:pPr>
      <w:r>
        <w:rPr>
          <w:rFonts w:hint="eastAsia"/>
          <w:szCs w:val="32"/>
        </w:rPr>
        <w:t>4.乙方配合甲方完成结算评审后，按照最终评审价格</w:t>
      </w:r>
      <w:r>
        <w:rPr>
          <w:szCs w:val="32"/>
        </w:rPr>
        <w:t>向甲方提交</w:t>
      </w:r>
      <w:r>
        <w:rPr>
          <w:rFonts w:hint="eastAsia"/>
          <w:szCs w:val="32"/>
        </w:rPr>
        <w:t>合同余款</w:t>
      </w:r>
      <w:r>
        <w:rPr>
          <w:szCs w:val="32"/>
        </w:rPr>
        <w:t>等额发票，</w:t>
      </w:r>
      <w:r>
        <w:rPr>
          <w:rFonts w:hint="eastAsia"/>
          <w:szCs w:val="32"/>
        </w:rPr>
        <w:t>待甲方完成财政资金审批手续后</w:t>
      </w:r>
      <w:r>
        <w:rPr>
          <w:szCs w:val="32"/>
        </w:rPr>
        <w:t>5个工作日内转账支付</w:t>
      </w:r>
      <w:r>
        <w:rPr>
          <w:rFonts w:hint="eastAsia"/>
          <w:szCs w:val="32"/>
        </w:rPr>
        <w:t>，即【    】元（大写：【    】元整）。</w:t>
      </w:r>
    </w:p>
    <w:p>
      <w:pPr>
        <w:tabs>
          <w:tab w:val="left" w:pos="851"/>
        </w:tabs>
        <w:spacing w:line="560" w:lineRule="exact"/>
        <w:ind w:firstLine="640" w:firstLineChars="200"/>
      </w:pPr>
      <w:r>
        <w:rPr>
          <w:rFonts w:hint="eastAsia"/>
          <w:szCs w:val="32"/>
        </w:rPr>
        <w:t>5.</w:t>
      </w:r>
      <w:r>
        <w:rPr>
          <w:szCs w:val="32"/>
        </w:rPr>
        <w:t>乙方未按约定向甲方提供上述发票的，甲方有权不予支付货款，并不承担拒绝或逾期支付货款的违约责任。</w:t>
      </w:r>
    </w:p>
    <w:p>
      <w:pPr>
        <w:tabs>
          <w:tab w:val="left" w:pos="851"/>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（二）结算凭证。</w:t>
      </w:r>
    </w:p>
    <w:p>
      <w:pPr>
        <w:tabs>
          <w:tab w:val="left" w:pos="851"/>
        </w:tabs>
        <w:spacing w:line="560" w:lineRule="exact"/>
        <w:ind w:firstLine="640" w:firstLineChars="200"/>
        <w:rPr>
          <w:szCs w:val="32"/>
        </w:rPr>
      </w:pPr>
      <w:r>
        <w:rPr>
          <w:szCs w:val="32"/>
        </w:rPr>
        <w:t>乙方凭以下有效文件与甲方结算：</w:t>
      </w:r>
    </w:p>
    <w:p>
      <w:pPr>
        <w:tabs>
          <w:tab w:val="left" w:pos="851"/>
        </w:tabs>
        <w:spacing w:line="560" w:lineRule="exact"/>
        <w:ind w:firstLine="640" w:firstLineChars="200"/>
        <w:rPr>
          <w:szCs w:val="32"/>
        </w:rPr>
      </w:pPr>
      <w:r>
        <w:rPr>
          <w:szCs w:val="32"/>
        </w:rPr>
        <w:t>1.合同及补充协议（如有）。</w:t>
      </w:r>
    </w:p>
    <w:p>
      <w:pPr>
        <w:tabs>
          <w:tab w:val="left" w:pos="851"/>
        </w:tabs>
        <w:spacing w:line="560" w:lineRule="exact"/>
        <w:ind w:firstLine="640" w:firstLineChars="200"/>
        <w:rPr>
          <w:szCs w:val="32"/>
        </w:rPr>
      </w:pPr>
      <w:r>
        <w:rPr>
          <w:szCs w:val="32"/>
        </w:rPr>
        <w:t>2.乙方开具对应金额的、合法有效的发票。</w:t>
      </w:r>
    </w:p>
    <w:p>
      <w:pPr>
        <w:tabs>
          <w:tab w:val="left" w:pos="851"/>
        </w:tabs>
        <w:spacing w:line="560" w:lineRule="exact"/>
        <w:ind w:firstLine="640" w:firstLineChars="200"/>
        <w:rPr>
          <w:szCs w:val="32"/>
        </w:rPr>
      </w:pPr>
      <w:r>
        <w:rPr>
          <w:szCs w:val="32"/>
        </w:rPr>
        <w:t>3.阶段性或全部服务验收通过证明文件。</w:t>
      </w:r>
    </w:p>
    <w:p>
      <w:pPr>
        <w:tabs>
          <w:tab w:val="left" w:pos="851"/>
        </w:tabs>
        <w:spacing w:line="560" w:lineRule="exact"/>
        <w:ind w:firstLine="640" w:firstLineChars="200"/>
        <w:rPr>
          <w:szCs w:val="32"/>
        </w:rPr>
      </w:pPr>
      <w:r>
        <w:rPr>
          <w:szCs w:val="32"/>
        </w:rPr>
        <w:t>4.中标/成交通知书。</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（三）财政支付免责条款</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szCs w:val="32"/>
        </w:rPr>
        <w:t>因甲方使用的是财政资金，乙方应向甲方提供符合本合同约定的结算凭证供甲方请款，甲方在合同约定期限内提交支付申请即视为甲方已按期履行付款义务。若因财政原因造成支付迟缓及偏差或因乙方原因导致支付迟延的，甲方不承担任何责任。</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（四）双方发票、账户信息</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szCs w:val="32"/>
        </w:rPr>
        <w:t>1.甲方发票信息：</w:t>
      </w:r>
    </w:p>
    <w:p>
      <w:pPr>
        <w:tabs>
          <w:tab w:val="left" w:pos="851"/>
        </w:tabs>
        <w:spacing w:line="560" w:lineRule="exact"/>
        <w:ind w:firstLine="640" w:firstLineChars="200"/>
        <w:rPr>
          <w:szCs w:val="32"/>
        </w:rPr>
      </w:pPr>
      <w:r>
        <w:rPr>
          <w:szCs w:val="32"/>
        </w:rPr>
        <w:t>纳税人名称：第十五届全国运动会和全国第十二届残疾人运动会暨第九届特殊奥林匹克运动会广州赛区执行委员会</w:t>
      </w:r>
    </w:p>
    <w:p>
      <w:pPr>
        <w:tabs>
          <w:tab w:val="left" w:pos="851"/>
        </w:tabs>
        <w:spacing w:line="560" w:lineRule="exact"/>
        <w:ind w:firstLine="640" w:firstLineChars="200"/>
        <w:rPr>
          <w:szCs w:val="32"/>
        </w:rPr>
      </w:pPr>
      <w:r>
        <w:rPr>
          <w:szCs w:val="32"/>
        </w:rPr>
        <w:t>纳税人识别号：12440100MB2E42418W</w:t>
      </w:r>
    </w:p>
    <w:p>
      <w:pPr>
        <w:tabs>
          <w:tab w:val="left" w:pos="851"/>
        </w:tabs>
        <w:spacing w:line="560" w:lineRule="exact"/>
        <w:ind w:firstLine="640" w:firstLineChars="200"/>
        <w:rPr>
          <w:szCs w:val="32"/>
        </w:rPr>
      </w:pPr>
      <w:r>
        <w:rPr>
          <w:szCs w:val="32"/>
        </w:rPr>
        <w:t>2.乙方账户信息：</w:t>
      </w:r>
    </w:p>
    <w:p>
      <w:pPr>
        <w:tabs>
          <w:tab w:val="left" w:pos="851"/>
        </w:tabs>
        <w:spacing w:line="560" w:lineRule="exact"/>
        <w:ind w:firstLine="640" w:firstLineChars="200"/>
        <w:rPr>
          <w:szCs w:val="32"/>
        </w:rPr>
      </w:pPr>
      <w:r>
        <w:rPr>
          <w:szCs w:val="32"/>
        </w:rPr>
        <w:t>开户名称：</w:t>
      </w:r>
    </w:p>
    <w:p>
      <w:pPr>
        <w:tabs>
          <w:tab w:val="left" w:pos="851"/>
        </w:tabs>
        <w:spacing w:line="560" w:lineRule="exact"/>
        <w:ind w:firstLine="640" w:firstLineChars="200"/>
        <w:rPr>
          <w:szCs w:val="32"/>
        </w:rPr>
      </w:pPr>
      <w:r>
        <w:rPr>
          <w:szCs w:val="32"/>
        </w:rPr>
        <w:t>开户银行：</w:t>
      </w:r>
    </w:p>
    <w:p>
      <w:pPr>
        <w:tabs>
          <w:tab w:val="left" w:pos="851"/>
        </w:tabs>
        <w:spacing w:line="560" w:lineRule="exact"/>
        <w:ind w:firstLine="640" w:firstLineChars="200"/>
        <w:rPr>
          <w:szCs w:val="32"/>
        </w:rPr>
      </w:pPr>
      <w:r>
        <w:rPr>
          <w:szCs w:val="32"/>
        </w:rPr>
        <w:t>银行账号：</w:t>
      </w:r>
    </w:p>
    <w:p>
      <w:pPr>
        <w:numPr>
          <w:ilvl w:val="0"/>
          <w:numId w:val="1"/>
        </w:numPr>
        <w:tabs>
          <w:tab w:val="left" w:pos="851"/>
          <w:tab w:val="clear" w:pos="312"/>
        </w:tabs>
        <w:spacing w:line="560" w:lineRule="exact"/>
        <w:ind w:firstLine="640" w:firstLineChars="200"/>
        <w:rPr>
          <w:szCs w:val="32"/>
        </w:rPr>
      </w:pPr>
      <w:r>
        <w:rPr>
          <w:szCs w:val="32"/>
        </w:rPr>
        <w:t>乙方变更收款银行账户信息的，应提前XX日向甲方出具书面通知。乙方未及时通知，甲方按照前述银行账户付款并支付成功的，视为甲方已依约支付款项；甲方按照前述银行账户付款但支付异常的，不视为甲方付款迟延，因重复支付而产生的银行手续费等其他费用，由乙方承担，甲方有权在向乙方支付款项时直接扣除。</w:t>
      </w:r>
    </w:p>
    <w:p>
      <w:pPr>
        <w:tabs>
          <w:tab w:val="left" w:pos="851"/>
        </w:tabs>
        <w:spacing w:line="560" w:lineRule="exact"/>
        <w:ind w:firstLine="640" w:firstLineChars="200"/>
        <w:rPr>
          <w:rFonts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rPr>
        <w:t>）结算规则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9" w:name="_Hlk193574018"/>
      <w:r>
        <w:rPr>
          <w:rFonts w:hint="eastAsia" w:ascii="Times New Roman" w:hAnsi="Times New Roman" w:eastAsia="仿宋_GB2312" w:cs="Times New Roman"/>
          <w:sz w:val="32"/>
          <w:szCs w:val="32"/>
        </w:rPr>
        <w:t>遵照本合同、计量计价说明、招标文件要求，按照乙方所报综合单价（详见附件《</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rPr>
        <w:t>清单》）、根据乙方实际服务内容和数量据实结算。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bookmarkEnd w:id="9"/>
      <w:r>
        <w:rPr>
          <w:rFonts w:hint="eastAsia" w:ascii="Times New Roman" w:hAnsi="Times New Roman" w:eastAsia="仿宋_GB2312" w:cs="Times New Roman"/>
          <w:sz w:val="32"/>
          <w:szCs w:val="32"/>
        </w:rPr>
        <w:t>实施过程中，因发生设计变更、签证等需求调整或新增项目，需经甲方书面确认，且最终结算金额不得超过合同总额的110%【</w:t>
      </w:r>
      <w:r>
        <w:rPr>
          <w:rFonts w:hint="eastAsia" w:ascii="仿宋_GB2312" w:hAnsi="仿宋_GB2312" w:eastAsia="仿宋_GB2312" w:cs="仿宋_GB2312"/>
          <w:sz w:val="32"/>
          <w:szCs w:val="32"/>
        </w:rPr>
        <w:t>若</w:t>
      </w:r>
      <w:r>
        <w:rPr>
          <w:rFonts w:hint="eastAsia" w:ascii="Times New Roman" w:hAnsi="Times New Roman" w:eastAsia="仿宋_GB2312" w:cs="Times New Roman"/>
          <w:sz w:val="32"/>
          <w:szCs w:val="32"/>
        </w:rPr>
        <w:t>本合同存在赞助或捐赠的情形，则计算最高限额时应减去本标段赞助或捐赠的相关服务对应的合同金额】，</w:t>
      </w:r>
      <w:r>
        <w:rPr>
          <w:rFonts w:hint="eastAsia" w:ascii="仿宋_GB2312" w:hAnsi="仿宋_GB2312" w:eastAsia="仿宋_GB2312" w:cs="仿宋_GB2312"/>
          <w:sz w:val="32"/>
          <w:szCs w:val="32"/>
        </w:rPr>
        <w:t>且不超过招标文件中本标段的采购最高限价，</w:t>
      </w:r>
      <w:r>
        <w:rPr>
          <w:rFonts w:hint="eastAsia" w:ascii="Times New Roman" w:hAnsi="Times New Roman" w:eastAsia="仿宋_GB2312" w:cs="Times New Roman"/>
          <w:sz w:val="32"/>
          <w:szCs w:val="32"/>
        </w:rPr>
        <w:t>超出部分由乙方自行承担。</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3.发生经甲方或甲方指定第三方确认的设计变更、签证及</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清单》</w:t>
      </w:r>
      <w:r>
        <w:rPr>
          <w:rFonts w:hint="eastAsia" w:ascii="Times New Roman" w:hAnsi="Times New Roman" w:eastAsia="仿宋_GB2312" w:cs="Times New Roman"/>
          <w:sz w:val="32"/>
          <w:szCs w:val="32"/>
        </w:rPr>
        <w:t>中漏列的实体项目，按以下原则计价：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清单》</w:t>
      </w:r>
      <w:r>
        <w:rPr>
          <w:rFonts w:hint="eastAsia" w:ascii="Times New Roman" w:hAnsi="Times New Roman" w:eastAsia="仿宋_GB2312" w:cs="Times New Roman"/>
          <w:sz w:val="32"/>
          <w:szCs w:val="32"/>
        </w:rPr>
        <w:t>中已有相同项目综合单价的，按</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清单》</w:t>
      </w:r>
      <w:r>
        <w:rPr>
          <w:rFonts w:hint="eastAsia" w:ascii="Times New Roman" w:hAnsi="Times New Roman" w:eastAsia="仿宋_GB2312" w:cs="Times New Roman"/>
          <w:sz w:val="32"/>
          <w:szCs w:val="32"/>
        </w:rPr>
        <w:t>己有的综合单价计算相应价款。</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清单》</w:t>
      </w:r>
      <w:r>
        <w:rPr>
          <w:rFonts w:hint="eastAsia" w:ascii="Times New Roman" w:hAnsi="Times New Roman" w:eastAsia="仿宋_GB2312" w:cs="Times New Roman"/>
          <w:sz w:val="32"/>
          <w:szCs w:val="32"/>
        </w:rPr>
        <w:t>中只有类似项目综合单价的，参照</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租赁清单》</w:t>
      </w:r>
      <w:r>
        <w:rPr>
          <w:rFonts w:hint="eastAsia" w:ascii="Times New Roman" w:hAnsi="Times New Roman" w:eastAsia="仿宋_GB2312" w:cs="Times New Roman"/>
          <w:sz w:val="32"/>
          <w:szCs w:val="32"/>
        </w:rPr>
        <w:t>中与之最接近的类似项目的综合单价计算新的实体项目的综合单价。</w:t>
      </w:r>
    </w:p>
    <w:p>
      <w:pPr>
        <w:ind w:firstLine="640" w:firstLineChars="200"/>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清单》</w:t>
      </w:r>
      <w:r>
        <w:rPr>
          <w:rFonts w:hint="eastAsia" w:ascii="Times New Roman" w:hAnsi="Times New Roman" w:eastAsia="仿宋_GB2312" w:cs="Times New Roman"/>
          <w:sz w:val="32"/>
          <w:szCs w:val="32"/>
        </w:rPr>
        <w:t>中没有相同或类似于新的实体项目综合单价的，参考市场价，甲、乙双方协商确定。</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五、甲方权利义务</w:t>
      </w:r>
    </w:p>
    <w:p>
      <w:pPr>
        <w:tabs>
          <w:tab w:val="left" w:pos="851"/>
        </w:tabs>
        <w:spacing w:line="560" w:lineRule="exact"/>
        <w:ind w:firstLine="640" w:firstLineChars="200"/>
        <w:rPr>
          <w:szCs w:val="32"/>
        </w:rPr>
      </w:pPr>
      <w:r>
        <w:rPr>
          <w:rFonts w:hint="eastAsia"/>
          <w:szCs w:val="32"/>
        </w:rPr>
        <w:t>（一）甲方应当为乙方工作提供良好的外部条件，并按照合同约定支付款项。</w:t>
      </w:r>
    </w:p>
    <w:p>
      <w:pPr>
        <w:tabs>
          <w:tab w:val="left" w:pos="851"/>
        </w:tabs>
        <w:spacing w:line="560" w:lineRule="exact"/>
        <w:ind w:firstLine="640" w:firstLineChars="200"/>
        <w:rPr>
          <w:szCs w:val="32"/>
        </w:rPr>
      </w:pPr>
      <w:r>
        <w:rPr>
          <w:rFonts w:hint="eastAsia"/>
          <w:szCs w:val="32"/>
        </w:rPr>
        <w:t>（二）甲方应当按双方约定的内容和时间，向乙方提供与项目有关的资料。</w:t>
      </w:r>
    </w:p>
    <w:p>
      <w:pPr>
        <w:tabs>
          <w:tab w:val="left" w:pos="851"/>
        </w:tabs>
        <w:spacing w:line="560" w:lineRule="exact"/>
        <w:ind w:firstLine="640" w:firstLineChars="200"/>
        <w:rPr>
          <w:szCs w:val="32"/>
        </w:rPr>
      </w:pPr>
      <w:r>
        <w:rPr>
          <w:rFonts w:hint="eastAsia"/>
          <w:szCs w:val="32"/>
        </w:rPr>
        <w:t>（三）甲方应授权一名熟悉本项目情况的项目代表</w:t>
      </w:r>
      <w:r>
        <w:rPr>
          <w:szCs w:val="32"/>
        </w:rPr>
        <w:t>【</w:t>
      </w:r>
      <w:r>
        <w:rPr>
          <w:rFonts w:hint="eastAsia"/>
          <w:szCs w:val="32"/>
        </w:rPr>
        <w:t xml:space="preserve">  </w:t>
      </w:r>
      <w:r>
        <w:rPr>
          <w:szCs w:val="32"/>
        </w:rPr>
        <w:t>】</w:t>
      </w:r>
      <w:r>
        <w:rPr>
          <w:rFonts w:hint="eastAsia"/>
          <w:szCs w:val="32"/>
        </w:rPr>
        <w:t>，负责与乙方联系。更换代表，要提前通知乙方。</w:t>
      </w:r>
    </w:p>
    <w:p>
      <w:pPr>
        <w:tabs>
          <w:tab w:val="left" w:pos="851"/>
        </w:tabs>
        <w:spacing w:line="560" w:lineRule="exact"/>
        <w:ind w:firstLine="640" w:firstLineChars="200"/>
        <w:rPr>
          <w:szCs w:val="32"/>
        </w:rPr>
      </w:pPr>
      <w:r>
        <w:rPr>
          <w:rFonts w:hint="eastAsia"/>
          <w:szCs w:val="32"/>
        </w:rPr>
        <w:t>（四）甲方对乙方提供的服务方案具有审定权、修改权，并有权在不超过本协议约定服务内容的前提下要求乙方按甲方要求修改服务方案及内容。</w:t>
      </w:r>
    </w:p>
    <w:p>
      <w:pPr>
        <w:tabs>
          <w:tab w:val="left" w:pos="851"/>
        </w:tabs>
        <w:spacing w:line="560" w:lineRule="exact"/>
        <w:ind w:firstLine="640" w:firstLineChars="200"/>
        <w:rPr>
          <w:szCs w:val="32"/>
        </w:rPr>
      </w:pPr>
      <w:bookmarkStart w:id="10" w:name="OLE_LINK12"/>
      <w:r>
        <w:rPr>
          <w:rFonts w:hint="eastAsia"/>
          <w:szCs w:val="32"/>
        </w:rPr>
        <w:t>（五）甲方有权随时对乙方服务情况进行监督、检查。</w:t>
      </w:r>
    </w:p>
    <w:bookmarkEnd w:id="10"/>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六、乙方权利义务</w:t>
      </w:r>
    </w:p>
    <w:p>
      <w:pPr>
        <w:tabs>
          <w:tab w:val="left" w:pos="851"/>
        </w:tabs>
        <w:spacing w:line="560" w:lineRule="exact"/>
        <w:ind w:firstLine="640" w:firstLineChars="200"/>
        <w:rPr>
          <w:szCs w:val="32"/>
        </w:rPr>
      </w:pPr>
      <w:r>
        <w:rPr>
          <w:rFonts w:hint="eastAsia"/>
          <w:szCs w:val="32"/>
        </w:rPr>
        <w:t>（一）乙方应指派一名授权项目代表【  】，负责与甲方的联络。更换代表应至少提前两天书面通知甲方。</w:t>
      </w:r>
    </w:p>
    <w:p>
      <w:pPr>
        <w:tabs>
          <w:tab w:val="left" w:pos="851"/>
        </w:tabs>
        <w:spacing w:line="560" w:lineRule="exact"/>
        <w:ind w:firstLine="640" w:firstLineChars="200"/>
        <w:rPr>
          <w:szCs w:val="32"/>
        </w:rPr>
      </w:pPr>
      <w:r>
        <w:rPr>
          <w:rFonts w:hint="eastAsia"/>
          <w:szCs w:val="32"/>
        </w:rPr>
        <w:t>（二）乙方向甲方委派项目组人员为：【  】，项目组人员应当固定，乙方保证项目组人员具备完成此次服务的相关资质、经验、技术等条件，乙方更换人员必须经甲方书面同意，否则甲方有权解除合同。</w:t>
      </w:r>
    </w:p>
    <w:p>
      <w:pPr>
        <w:tabs>
          <w:tab w:val="left" w:pos="851"/>
        </w:tabs>
        <w:spacing w:line="560" w:lineRule="exact"/>
        <w:ind w:firstLine="640" w:firstLineChars="200"/>
        <w:rPr>
          <w:szCs w:val="32"/>
        </w:rPr>
      </w:pPr>
      <w:r>
        <w:rPr>
          <w:rFonts w:hint="eastAsia"/>
          <w:szCs w:val="32"/>
        </w:rPr>
        <w:t>（三）乙方在履行本合同义务的期间，应运用合理的技能，认真、勤奋地工作，按照合同约定的内容及时间完成服务。</w:t>
      </w:r>
    </w:p>
    <w:p>
      <w:pPr>
        <w:tabs>
          <w:tab w:val="left" w:pos="851"/>
        </w:tabs>
        <w:spacing w:line="560" w:lineRule="exact"/>
        <w:ind w:firstLine="640" w:firstLineChars="200"/>
        <w:rPr>
          <w:szCs w:val="32"/>
        </w:rPr>
      </w:pPr>
      <w:r>
        <w:rPr>
          <w:rFonts w:hint="eastAsia"/>
          <w:szCs w:val="32"/>
        </w:rPr>
        <w:t>（四）乙方须负责本合同服务所需的一切政府相关部门报批工作，承担全部费用，如有必要甲方应予以积极配合。</w:t>
      </w:r>
    </w:p>
    <w:p>
      <w:pPr>
        <w:tabs>
          <w:tab w:val="left" w:pos="851"/>
        </w:tabs>
        <w:spacing w:line="560" w:lineRule="exact"/>
        <w:ind w:firstLine="640" w:firstLineChars="200"/>
        <w:rPr>
          <w:szCs w:val="32"/>
        </w:rPr>
      </w:pPr>
      <w:r>
        <w:rPr>
          <w:rFonts w:hint="eastAsia"/>
          <w:szCs w:val="32"/>
        </w:rPr>
        <w:t>（五）乙方负责服务期间的安全工作，应提出应急预案及安保方案（包括但不限于交通、火灾等），并在服务正式开始前【7】日交甲方备案；该方案由乙方执行，如因乙方原因导致人身、财产损害或消防事故等，乙方应承担全部责任。</w:t>
      </w:r>
    </w:p>
    <w:p>
      <w:pPr>
        <w:tabs>
          <w:tab w:val="left" w:pos="851"/>
        </w:tabs>
        <w:spacing w:line="560" w:lineRule="exact"/>
        <w:ind w:firstLine="640" w:firstLineChars="200"/>
        <w:rPr>
          <w:szCs w:val="32"/>
        </w:rPr>
      </w:pPr>
      <w:r>
        <w:rPr>
          <w:rFonts w:hint="eastAsia"/>
          <w:szCs w:val="32"/>
        </w:rPr>
        <w:t>（六）乙方在工作准备及实施过程中，应接受甲方任何形式的了解、询问、检查，及时与甲方沟通工作完成情况。</w:t>
      </w:r>
    </w:p>
    <w:p>
      <w:pPr>
        <w:tabs>
          <w:tab w:val="left" w:pos="851"/>
        </w:tabs>
        <w:spacing w:line="560" w:lineRule="exact"/>
        <w:ind w:firstLine="640" w:firstLineChars="200"/>
        <w:rPr>
          <w:szCs w:val="32"/>
        </w:rPr>
      </w:pPr>
      <w:r>
        <w:rPr>
          <w:rFonts w:hint="eastAsia"/>
          <w:szCs w:val="32"/>
        </w:rPr>
        <w:t>（七）乙方需配合项目实施过程中可能产生的投诉、纠纷等事项。</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七、验收条款</w:t>
      </w:r>
    </w:p>
    <w:p>
      <w:pPr>
        <w:tabs>
          <w:tab w:val="left" w:pos="851"/>
        </w:tabs>
        <w:spacing w:line="560" w:lineRule="exact"/>
        <w:ind w:firstLine="640" w:firstLineChars="200"/>
        <w:rPr>
          <w:szCs w:val="32"/>
        </w:rPr>
      </w:pPr>
      <w:r>
        <w:rPr>
          <w:rFonts w:hint="eastAsia"/>
          <w:szCs w:val="32"/>
        </w:rPr>
        <w:t>（一）乙方按照付款进度安排验收时间，须向甲方发出验收申请，申请包括书面验收申请、相关说明、报告等，甲方收到乙方申请后组织进行验收。该验收的结果为本合同付款依据。</w:t>
      </w:r>
    </w:p>
    <w:p>
      <w:pPr>
        <w:tabs>
          <w:tab w:val="left" w:pos="851"/>
        </w:tabs>
        <w:spacing w:line="560" w:lineRule="exact"/>
        <w:ind w:firstLine="640" w:firstLineChars="200"/>
        <w:rPr>
          <w:szCs w:val="32"/>
        </w:rPr>
      </w:pPr>
      <w:r>
        <w:rPr>
          <w:rFonts w:hint="eastAsia"/>
          <w:szCs w:val="32"/>
        </w:rPr>
        <w:t>（二）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tabs>
          <w:tab w:val="left" w:pos="851"/>
        </w:tabs>
        <w:spacing w:line="560" w:lineRule="exact"/>
        <w:ind w:firstLine="640" w:firstLineChars="200"/>
        <w:rPr>
          <w:szCs w:val="32"/>
        </w:rPr>
      </w:pPr>
      <w:r>
        <w:rPr>
          <w:rFonts w:hint="eastAsia"/>
          <w:szCs w:val="32"/>
        </w:rPr>
        <w:t>（三）乙方服务成果未通过甲方验收，甲方有权要求乙方进行整改，相关费用（包括但不限于重新组织验收等费用）由乙方承担；如乙方未在甲方要求期限内整改完成或整改后仍不合格或已经无法整改的，甲方有权要求乙方承担相应的违约责任。</w:t>
      </w:r>
    </w:p>
    <w:p>
      <w:pPr>
        <w:tabs>
          <w:tab w:val="left" w:pos="851"/>
        </w:tabs>
        <w:spacing w:line="560" w:lineRule="exact"/>
        <w:ind w:firstLine="640" w:firstLineChars="200"/>
        <w:rPr>
          <w:szCs w:val="32"/>
        </w:rPr>
      </w:pPr>
      <w:r>
        <w:rPr>
          <w:rFonts w:hint="eastAsia"/>
          <w:szCs w:val="32"/>
        </w:rPr>
        <w:t>（四）</w:t>
      </w:r>
      <w:r>
        <w:rPr>
          <w:szCs w:val="32"/>
        </w:rPr>
        <w:t>甲方收到验收申请材料后，根据合同约定对该阶段服务或全部服务工作进行验收，验收通过的，甲方出具验收合格文件。</w:t>
      </w:r>
    </w:p>
    <w:p>
      <w:pPr>
        <w:tabs>
          <w:tab w:val="left" w:pos="851"/>
        </w:tabs>
        <w:spacing w:line="360" w:lineRule="auto"/>
        <w:ind w:firstLine="640" w:firstLineChars="200"/>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验收分为阶段验收和终验，具体包括：</w:t>
      </w:r>
    </w:p>
    <w:p>
      <w:pPr>
        <w:pStyle w:val="38"/>
        <w:ind w:left="6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阶段验收</w:t>
      </w:r>
    </w:p>
    <w:p>
      <w:pPr>
        <w:pStyle w:val="38"/>
        <w:ind w:left="64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1.验收流程</w:t>
      </w:r>
    </w:p>
    <w:p>
      <w:pPr>
        <w:pStyle w:val="38"/>
        <w:ind w:firstLine="640" w:firstLineChars="0"/>
        <w:jc w:val="left"/>
        <w:rPr>
          <w:rFonts w:ascii="仿宋_GB2312" w:hAnsi="仿宋_GB2312" w:eastAsia="仿宋_GB2312" w:cs="仿宋_GB2312"/>
          <w:sz w:val="32"/>
          <w:szCs w:val="32"/>
        </w:rPr>
      </w:pPr>
      <w:r>
        <w:rPr>
          <w:rFonts w:hint="eastAsia" w:ascii="仿宋_GB2312" w:hAnsi="仿宋_GB2312" w:cs="仿宋_GB2312"/>
          <w:sz w:val="32"/>
          <w:szCs w:val="32"/>
          <w:lang w:val="en-US" w:eastAsia="zh-CN"/>
        </w:rPr>
        <w:t>乙方应在</w:t>
      </w:r>
      <w:r>
        <w:rPr>
          <w:rFonts w:hint="eastAsia"/>
          <w:szCs w:val="32"/>
        </w:rPr>
        <w:t>发电机及所有配电设施建设，全部设备调试完成</w:t>
      </w:r>
      <w:r>
        <w:rPr>
          <w:rFonts w:hint="eastAsia"/>
          <w:szCs w:val="32"/>
          <w:lang w:val="en-US" w:eastAsia="zh-CN"/>
        </w:rPr>
        <w:t>后</w:t>
      </w:r>
      <w:r>
        <w:rPr>
          <w:rFonts w:hint="eastAsia" w:ascii="仿宋_GB2312" w:hAnsi="仿宋_GB2312" w:eastAsia="仿宋_GB2312" w:cs="仿宋_GB2312"/>
          <w:sz w:val="32"/>
          <w:szCs w:val="32"/>
        </w:rPr>
        <w:t>向甲方或甲方指定第三方提交该场馆相应阶段验收申请材料，向</w:t>
      </w:r>
      <w:r>
        <w:rPr>
          <w:rFonts w:hint="eastAsia" w:ascii="仿宋" w:hAnsi="仿宋" w:eastAsia="仿宋" w:cs="方正仿宋_GB2312"/>
          <w:sz w:val="32"/>
          <w:szCs w:val="32"/>
        </w:rPr>
        <w:t>甲方或甲方指定第三方</w:t>
      </w:r>
      <w:r>
        <w:rPr>
          <w:rFonts w:hint="eastAsia" w:ascii="仿宋_GB2312" w:hAnsi="仿宋_GB2312" w:eastAsia="仿宋_GB2312" w:cs="仿宋_GB2312"/>
          <w:sz w:val="32"/>
          <w:szCs w:val="32"/>
        </w:rPr>
        <w:t>申请验收。</w:t>
      </w:r>
    </w:p>
    <w:p>
      <w:pPr>
        <w:pStyle w:val="38"/>
        <w:ind w:firstLine="64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2.申请验收材料</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乙方应按照相关法律规定、本合同要求以及甲方要求，提供该阶段服务工作成果文件。</w:t>
      </w:r>
    </w:p>
    <w:p>
      <w:pPr>
        <w:pStyle w:val="38"/>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终验</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1.验收流程</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 w:hAnsi="仿宋" w:eastAsia="仿宋" w:cs="方正仿宋_GB2312"/>
          <w:sz w:val="32"/>
          <w:szCs w:val="32"/>
        </w:rPr>
        <w:t>完成本项目全部服务工作，且本项目结算通过</w:t>
      </w:r>
      <w:r>
        <w:rPr>
          <w:rFonts w:hint="eastAsia" w:ascii="仿宋" w:hAnsi="仿宋" w:eastAsia="仿宋" w:cs="方正仿宋_GB2312"/>
          <w:sz w:val="32"/>
          <w:szCs w:val="32"/>
          <w:lang w:eastAsia="zh-CN"/>
        </w:rPr>
        <w:t>甲方（或甲方指定的第三方）</w:t>
      </w:r>
      <w:r>
        <w:rPr>
          <w:rFonts w:hint="eastAsia" w:ascii="仿宋" w:hAnsi="仿宋" w:eastAsia="仿宋" w:cs="方正仿宋_GB2312"/>
          <w:sz w:val="32"/>
          <w:szCs w:val="32"/>
        </w:rPr>
        <w:t>审定后10个工作日内，向甲方或甲方指定第三方</w:t>
      </w:r>
      <w:r>
        <w:rPr>
          <w:rFonts w:hint="eastAsia" w:ascii="仿宋_GB2312" w:hAnsi="仿宋_GB2312" w:eastAsia="仿宋_GB2312" w:cs="仿宋_GB2312"/>
          <w:sz w:val="32"/>
          <w:szCs w:val="32"/>
        </w:rPr>
        <w:t>提交终验申请材料。</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2.申请终验材料</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全部阶段验收合格文件、项目总结报告、结算定审文件及甲方要求的其他文件。</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（三）验收标准</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本项目的验收依据为采购文件、乙方投标文件、项目合同、经甲方确认的服务方案、甲方要求等，具体如下：</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（1）项目合同签订后，乙方根据甲方要求完善服务方案，确认后作为项目验收的依据和标准之一；</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（2）各类临时设施及时安装搭建完成，满足赛事要求；</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（3）乙方按采购文件要求及合同约定的服务内容完成了各项服务工作；</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（4）项目负责人、项目服务团队成员与合同约定的人员一致；</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（5）乙方</w:t>
      </w:r>
      <w:r>
        <w:rPr>
          <w:rFonts w:hint="eastAsia" w:ascii="仿宋_GB2312" w:hAnsi="仿宋_GB2312" w:eastAsia="仿宋_GB2312" w:cs="仿宋_GB2312"/>
          <w:sz w:val="32"/>
          <w:szCs w:val="32"/>
          <w:lang w:eastAsia="zh-CN"/>
        </w:rPr>
        <w:t>根据甲方要求</w:t>
      </w:r>
      <w:r>
        <w:rPr>
          <w:rFonts w:hint="eastAsia" w:ascii="仿宋_GB2312" w:hAnsi="仿宋_GB2312" w:eastAsia="仿宋_GB2312" w:cs="仿宋_GB2312"/>
          <w:sz w:val="32"/>
          <w:szCs w:val="32"/>
        </w:rPr>
        <w:t>按时向甲方递交现场照片、物料清单等工作成果资料。</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rPr>
        <w:t>）验收流程</w:t>
      </w:r>
    </w:p>
    <w:p>
      <w:pPr>
        <w:pStyle w:val="38"/>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甲方收到验收申请材料后，根据合同约定对该阶段服务或全部服务工作进行验收，验收通过的，甲方出具验收合格文件。</w:t>
      </w:r>
    </w:p>
    <w:p>
      <w:pPr>
        <w:pStyle w:val="38"/>
        <w:ind w:firstLine="640"/>
        <w:jc w:val="left"/>
        <w:rPr>
          <w:rFonts w:ascii="黑体" w:hAnsi="黑体" w:eastAsia="黑体" w:cs="黑体"/>
          <w:bCs/>
          <w:sz w:val="32"/>
          <w:szCs w:val="32"/>
        </w:rPr>
      </w:pPr>
      <w:r>
        <w:rPr>
          <w:rFonts w:ascii="Times New Roman" w:hAnsi="Times New Roman" w:eastAsia="仿宋_GB2312" w:cs="Times New Roman"/>
          <w:sz w:val="32"/>
          <w:szCs w:val="32"/>
        </w:rPr>
        <w:t>验收未通过的，</w:t>
      </w:r>
      <w:r>
        <w:rPr>
          <w:rFonts w:hint="eastAsia" w:ascii="Times New Roman" w:hAnsi="Times New Roman" w:eastAsia="仿宋_GB2312" w:cs="Times New Roman"/>
          <w:sz w:val="32"/>
          <w:szCs w:val="32"/>
        </w:rPr>
        <w:t>甲方</w:t>
      </w:r>
      <w:r>
        <w:rPr>
          <w:rFonts w:ascii="Times New Roman" w:hAnsi="Times New Roman" w:eastAsia="仿宋_GB2312" w:cs="Times New Roman"/>
          <w:sz w:val="32"/>
          <w:szCs w:val="32"/>
        </w:rPr>
        <w:t>有权要求</w:t>
      </w:r>
      <w:r>
        <w:rPr>
          <w:rFonts w:hint="eastAsia" w:ascii="仿宋" w:hAnsi="仿宋" w:eastAsia="仿宋" w:cs="方正仿宋_GB2312"/>
          <w:sz w:val="32"/>
          <w:szCs w:val="32"/>
        </w:rPr>
        <w:t>乙方</w:t>
      </w:r>
      <w:r>
        <w:rPr>
          <w:rFonts w:ascii="Times New Roman" w:hAnsi="Times New Roman" w:eastAsia="仿宋_GB2312" w:cs="Times New Roman"/>
          <w:sz w:val="32"/>
          <w:szCs w:val="32"/>
        </w:rPr>
        <w:t>进行整改，相关费用由</w:t>
      </w:r>
      <w:r>
        <w:rPr>
          <w:rFonts w:hint="eastAsia" w:ascii="仿宋_GB2312" w:hAnsi="仿宋_GB2312" w:eastAsia="仿宋_GB2312" w:cs="仿宋_GB2312"/>
          <w:sz w:val="32"/>
          <w:szCs w:val="32"/>
        </w:rPr>
        <w:t>乙方</w:t>
      </w:r>
      <w:r>
        <w:rPr>
          <w:rFonts w:ascii="Times New Roman" w:hAnsi="Times New Roman" w:eastAsia="仿宋_GB2312" w:cs="Times New Roman"/>
          <w:sz w:val="32"/>
          <w:szCs w:val="32"/>
        </w:rPr>
        <w:t>承担。如</w:t>
      </w:r>
      <w:r>
        <w:rPr>
          <w:rFonts w:hint="eastAsia" w:ascii="仿宋_GB2312" w:hAnsi="仿宋_GB2312" w:eastAsia="仿宋_GB2312" w:cs="仿宋_GB2312"/>
          <w:sz w:val="32"/>
          <w:szCs w:val="32"/>
        </w:rPr>
        <w:t>乙方</w:t>
      </w:r>
      <w:r>
        <w:rPr>
          <w:rFonts w:ascii="Times New Roman" w:hAnsi="Times New Roman" w:eastAsia="仿宋_GB2312" w:cs="Times New Roman"/>
          <w:sz w:val="32"/>
          <w:szCs w:val="32"/>
        </w:rPr>
        <w:t>整改后仍不合格或已经无法整改的，</w:t>
      </w:r>
      <w:r>
        <w:rPr>
          <w:rFonts w:hint="eastAsia" w:ascii="Times New Roman" w:hAnsi="Times New Roman" w:eastAsia="仿宋_GB2312" w:cs="Times New Roman"/>
          <w:sz w:val="32"/>
          <w:szCs w:val="32"/>
        </w:rPr>
        <w:t>甲方</w:t>
      </w:r>
      <w:r>
        <w:rPr>
          <w:rFonts w:ascii="Times New Roman" w:hAnsi="Times New Roman" w:eastAsia="仿宋_GB2312" w:cs="Times New Roman"/>
          <w:sz w:val="32"/>
          <w:szCs w:val="32"/>
        </w:rPr>
        <w:t>除有权要求</w:t>
      </w:r>
      <w:r>
        <w:rPr>
          <w:rFonts w:hint="eastAsia" w:ascii="仿宋_GB2312" w:hAnsi="仿宋_GB2312" w:eastAsia="仿宋_GB2312" w:cs="仿宋_GB2312"/>
          <w:sz w:val="32"/>
          <w:szCs w:val="32"/>
        </w:rPr>
        <w:t>乙方</w:t>
      </w:r>
      <w:r>
        <w:rPr>
          <w:rFonts w:ascii="Times New Roman" w:hAnsi="Times New Roman" w:eastAsia="仿宋_GB2312" w:cs="Times New Roman"/>
          <w:sz w:val="32"/>
          <w:szCs w:val="32"/>
        </w:rPr>
        <w:t>承担本合同相应的违约责任外，还有权解除合同，不予支付合同未付价款，并要求</w:t>
      </w:r>
      <w:r>
        <w:rPr>
          <w:rFonts w:hint="eastAsia" w:ascii="仿宋_GB2312" w:hAnsi="仿宋_GB2312" w:eastAsia="仿宋_GB2312" w:cs="仿宋_GB2312"/>
          <w:sz w:val="32"/>
          <w:szCs w:val="32"/>
        </w:rPr>
        <w:t>乙方</w:t>
      </w:r>
      <w:r>
        <w:rPr>
          <w:rFonts w:ascii="Times New Roman" w:hAnsi="Times New Roman" w:eastAsia="仿宋_GB2312" w:cs="Times New Roman"/>
          <w:sz w:val="32"/>
          <w:szCs w:val="32"/>
        </w:rPr>
        <w:t>返还已支付的全部或部分价款。</w:t>
      </w:r>
      <w:bookmarkStart w:id="11" w:name="_GoBack"/>
      <w:bookmarkEnd w:id="11"/>
    </w:p>
    <w:p>
      <w:pPr>
        <w:pStyle w:val="2"/>
      </w:pP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八、保密要求</w:t>
      </w:r>
    </w:p>
    <w:p>
      <w:pPr>
        <w:tabs>
          <w:tab w:val="left" w:pos="851"/>
        </w:tabs>
        <w:spacing w:line="560" w:lineRule="exact"/>
        <w:ind w:firstLine="640" w:firstLineChars="200"/>
        <w:rPr>
          <w:szCs w:val="32"/>
        </w:rPr>
      </w:pPr>
      <w:r>
        <w:rPr>
          <w:szCs w:val="32"/>
        </w:rPr>
        <w:t>（一）乙方承认并同意，乙方因双方签署及正在磋商的包括但不限于本合同、其他协议、文件而获得的，或乙方因履行本合同所接触的或知晓的甲方工作内容（包括但不限于甲方在筹办十五运会和残特奥会过程中处理的有关国家、省、市各类信息，各类技术性资料，以及甲方为完成本项目提供的任何其他信息资料并且在提供时未说明是公开信息的）均为本合同约定保密信息。</w:t>
      </w:r>
    </w:p>
    <w:p>
      <w:pPr>
        <w:tabs>
          <w:tab w:val="left" w:pos="851"/>
        </w:tabs>
        <w:spacing w:line="560" w:lineRule="exact"/>
        <w:ind w:firstLine="640" w:firstLineChars="200"/>
        <w:rPr>
          <w:szCs w:val="32"/>
        </w:rPr>
      </w:pPr>
      <w:r>
        <w:rPr>
          <w:szCs w:val="32"/>
        </w:rPr>
        <w:t>（二）未经甲方书面同意，乙方不得以任何方式公布、发表、公开、披露、散播、复制此种保密信息的任何部分，或对其加以任何形式的利用或使用。乙方保证采取有效的保密措施以避免泄露给任何第三方。</w:t>
      </w:r>
    </w:p>
    <w:p>
      <w:pPr>
        <w:tabs>
          <w:tab w:val="left" w:pos="851"/>
        </w:tabs>
        <w:spacing w:line="560" w:lineRule="exact"/>
        <w:ind w:firstLine="640" w:firstLineChars="200"/>
        <w:rPr>
          <w:szCs w:val="32"/>
        </w:rPr>
      </w:pPr>
      <w:r>
        <w:rPr>
          <w:szCs w:val="32"/>
        </w:rPr>
        <w:t>（三）本项目履行完毕后，乙方须归还甲方提供的本项目相关的所有数据和文件（含电子文档），不得擅自备份。</w:t>
      </w:r>
    </w:p>
    <w:p>
      <w:pPr>
        <w:tabs>
          <w:tab w:val="left" w:pos="851"/>
        </w:tabs>
        <w:spacing w:line="560" w:lineRule="exact"/>
        <w:ind w:firstLine="640" w:firstLineChars="200"/>
        <w:rPr>
          <w:szCs w:val="32"/>
        </w:rPr>
      </w:pPr>
      <w:r>
        <w:rPr>
          <w:szCs w:val="32"/>
        </w:rPr>
        <w:t>（四）乙方履行保密义务的期限为长期，不因本合同的解除、终止、部分无效而消灭。</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九、权利归属及保证责任</w:t>
      </w:r>
    </w:p>
    <w:p>
      <w:pPr>
        <w:tabs>
          <w:tab w:val="left" w:pos="851"/>
        </w:tabs>
        <w:spacing w:line="560" w:lineRule="exact"/>
        <w:ind w:firstLine="640" w:firstLineChars="200"/>
        <w:rPr>
          <w:szCs w:val="32"/>
        </w:rPr>
      </w:pPr>
      <w:r>
        <w:rPr>
          <w:szCs w:val="32"/>
        </w:rPr>
        <w:t>（一）乙方为履行本合同项下义务所形成的全部成果（包括但不限于具备知识产权形态的各类权利、权益），均归属于甲方。</w:t>
      </w:r>
    </w:p>
    <w:p>
      <w:pPr>
        <w:tabs>
          <w:tab w:val="left" w:pos="851"/>
        </w:tabs>
        <w:spacing w:line="560" w:lineRule="exact"/>
        <w:ind w:firstLine="640" w:firstLineChars="200"/>
        <w:rPr>
          <w:szCs w:val="32"/>
        </w:rPr>
      </w:pPr>
      <w:r>
        <w:rPr>
          <w:szCs w:val="32"/>
        </w:rPr>
        <w:t>（二）乙方应当保证为甲方所提供的服务中所包含任何知识产权均为乙方合法拥有或经第三方同意合法使用并可被甲方合法使用，不存在任何知识产权纠纷，否则，甲方除有权解除合同并保留追索违约责任等权利外，因第三人主张甲方侵权、提出异议或主张权利的，乙方向甲方赔偿甲方因应诉等行为及承担不利后果而支付的一切费用。</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十、反隐性营销条款</w:t>
      </w:r>
    </w:p>
    <w:p>
      <w:pPr>
        <w:tabs>
          <w:tab w:val="left" w:pos="851"/>
        </w:tabs>
        <w:spacing w:line="560" w:lineRule="exact"/>
        <w:ind w:firstLine="640" w:firstLineChars="200"/>
        <w:rPr>
          <w:szCs w:val="32"/>
        </w:rPr>
      </w:pPr>
      <w:r>
        <w:rPr>
          <w:szCs w:val="32"/>
        </w:rPr>
        <w:t>未经甲方书面同意，乙方及其关联方不得从事下列行为：</w:t>
      </w:r>
    </w:p>
    <w:p>
      <w:pPr>
        <w:tabs>
          <w:tab w:val="left" w:pos="851"/>
        </w:tabs>
        <w:spacing w:line="560" w:lineRule="exact"/>
        <w:ind w:firstLine="640" w:firstLineChars="200"/>
        <w:rPr>
          <w:szCs w:val="32"/>
        </w:rPr>
      </w:pPr>
      <w:r>
        <w:rPr>
          <w:szCs w:val="32"/>
        </w:rPr>
        <w:t>（一）通过任何媒体（包括但不限于报纸、期刊、电视、网络、宣传品等，下同）以任何方式对外宣传本项目；</w:t>
      </w:r>
    </w:p>
    <w:p>
      <w:pPr>
        <w:tabs>
          <w:tab w:val="left" w:pos="851"/>
        </w:tabs>
        <w:spacing w:line="560" w:lineRule="exact"/>
        <w:ind w:firstLine="640" w:firstLineChars="200"/>
        <w:rPr>
          <w:szCs w:val="32"/>
        </w:rPr>
      </w:pPr>
      <w:r>
        <w:rPr>
          <w:szCs w:val="32"/>
        </w:rPr>
        <w:t>（二）通过任何媒体以任何方式宣传乙方或者其关联方是甲方的代理商、服务商、供应商、赞助商等；</w:t>
      </w:r>
    </w:p>
    <w:p>
      <w:pPr>
        <w:tabs>
          <w:tab w:val="left" w:pos="851"/>
        </w:tabs>
        <w:spacing w:line="560" w:lineRule="exact"/>
        <w:ind w:firstLine="640" w:firstLineChars="200"/>
        <w:rPr>
          <w:szCs w:val="32"/>
        </w:rPr>
      </w:pPr>
      <w:r>
        <w:rPr>
          <w:szCs w:val="32"/>
        </w:rPr>
        <w:t>（三）通过任何媒体以任何方式宣传乙方或者其关联方与甲方、十五运会和残特奥会等存在委托、代理、供货、服务、赞助、合作、伙伴等任何关系；</w:t>
      </w:r>
    </w:p>
    <w:p>
      <w:pPr>
        <w:tabs>
          <w:tab w:val="left" w:pos="851"/>
        </w:tabs>
        <w:spacing w:line="560" w:lineRule="exact"/>
        <w:ind w:firstLine="640" w:firstLineChars="200"/>
        <w:rPr>
          <w:szCs w:val="32"/>
        </w:rPr>
      </w:pPr>
      <w:r>
        <w:rPr>
          <w:szCs w:val="32"/>
        </w:rPr>
        <w:t>（四）以任何方式使用甲方、十五运会和残特奥会的名称、会徽、徽记、标识、吉祥物、理念等标志。</w:t>
      </w:r>
    </w:p>
    <w:p>
      <w:pPr>
        <w:tabs>
          <w:tab w:val="left" w:pos="851"/>
        </w:tabs>
        <w:spacing w:line="560" w:lineRule="exact"/>
        <w:ind w:firstLine="640" w:firstLineChars="200"/>
        <w:rPr>
          <w:szCs w:val="32"/>
        </w:rPr>
      </w:pPr>
      <w:r>
        <w:rPr>
          <w:szCs w:val="32"/>
        </w:rPr>
        <w:t>乙方及其关联方的工作人员、雇员等有上述行为的，视为乙方及其关联方的行为，甲方有权直接要求乙方承担责任。</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十一、违约责任</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（一）甲方违约责任</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szCs w:val="32"/>
        </w:rPr>
        <w:t>甲方无正当理由未按照合同约定如期支付相应费用的，每逾期一天，向乙方支付应付未付金额0.5%的违约金，累计违约金不超过应付未付金额的5%。</w:t>
      </w:r>
    </w:p>
    <w:p>
      <w:pPr>
        <w:tabs>
          <w:tab w:val="left" w:pos="851"/>
        </w:tabs>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（二）乙方违约责任</w:t>
      </w:r>
      <w:r>
        <w:rPr>
          <w:rFonts w:hint="eastAsia" w:ascii="楷体_GB2312" w:hAnsi="楷体_GB2312" w:eastAsia="楷体_GB2312" w:cs="楷体_GB2312"/>
          <w:szCs w:val="32"/>
        </w:rPr>
        <w:t>。</w:t>
      </w:r>
    </w:p>
    <w:p>
      <w:pPr>
        <w:tabs>
          <w:tab w:val="left" w:pos="851"/>
        </w:tabs>
        <w:spacing w:line="560" w:lineRule="exact"/>
        <w:ind w:firstLine="640" w:firstLineChars="200"/>
        <w:rPr>
          <w:szCs w:val="32"/>
        </w:rPr>
      </w:pPr>
      <w:r>
        <w:rPr>
          <w:szCs w:val="32"/>
        </w:rPr>
        <w:t>1.乙方逾期完成（含因服务不合格被甲方要求整改导致的逾期）本合同项下工作的，每逾期一天，按合同总金额的0.5%向甲方支付违约金，逾期超过</w:t>
      </w:r>
      <w:r>
        <w:rPr>
          <w:rFonts w:hint="eastAsia"/>
          <w:szCs w:val="32"/>
        </w:rPr>
        <w:t>30</w:t>
      </w:r>
      <w:r>
        <w:rPr>
          <w:szCs w:val="32"/>
        </w:rPr>
        <w:t>天，甲方有权解除合同，要求乙方返还已支付的全部或部分价款，并要求乙方按照合同总金额的20%支付违约金，违约金不足以赔偿甲方损失的，甲方有权要求乙方全部赔偿。</w:t>
      </w:r>
    </w:p>
    <w:p>
      <w:pPr>
        <w:tabs>
          <w:tab w:val="left" w:pos="851"/>
        </w:tabs>
        <w:spacing w:line="560" w:lineRule="exact"/>
        <w:ind w:firstLine="640" w:firstLineChars="200"/>
        <w:rPr>
          <w:szCs w:val="32"/>
        </w:rPr>
      </w:pPr>
      <w:r>
        <w:rPr>
          <w:szCs w:val="32"/>
        </w:rPr>
        <w:t>2.乙方未按照合同约定标准提供服务被甲方要求整改超过两次，或拒绝整改的，甲方有权解除合同，并要求乙方按照合同总金额的20%支付违约金，违约金不足以赔偿甲方损失的，甲方有权要求乙方全部赔偿。</w:t>
      </w:r>
    </w:p>
    <w:p>
      <w:pPr>
        <w:tabs>
          <w:tab w:val="left" w:pos="851"/>
        </w:tabs>
        <w:spacing w:line="560" w:lineRule="exact"/>
        <w:ind w:firstLine="640" w:firstLineChars="200"/>
        <w:rPr>
          <w:szCs w:val="32"/>
        </w:rPr>
      </w:pPr>
      <w:r>
        <w:rPr>
          <w:szCs w:val="32"/>
        </w:rPr>
        <w:t>3.乙方违反保密要求、权利归属及保证责任、反隐性营销条款的，甲方有权解除合同，并要求乙方按照合同总金额的20%支付违约金，违约金不足以赔偿甲方损失的，甲方有权要求乙方全部赔偿。</w:t>
      </w:r>
    </w:p>
    <w:p>
      <w:pPr>
        <w:tabs>
          <w:tab w:val="left" w:pos="851"/>
        </w:tabs>
        <w:spacing w:line="560" w:lineRule="exact"/>
        <w:ind w:firstLine="640" w:firstLineChars="200"/>
        <w:rPr>
          <w:szCs w:val="32"/>
        </w:rPr>
      </w:pPr>
      <w:r>
        <w:rPr>
          <w:szCs w:val="32"/>
        </w:rPr>
        <w:t>4.乙方如有违反合同其他约定及甲方要求的，或在履约过程中，给甲方造成损失的，甲方有权要求乙方采取补救措施或要求解除合同。甲方因此解除合同的，有权不予支付合同未付价款，并要求乙方返还已支付的全部或部分价款，同时有权要求乙方按照合同总金额的20%支付违约金，违约金不足以赔偿甲方损失的，甲方有权要求乙方全部赔偿。</w:t>
      </w:r>
    </w:p>
    <w:p>
      <w:pPr>
        <w:tabs>
          <w:tab w:val="left" w:pos="851"/>
        </w:tabs>
        <w:spacing w:line="560" w:lineRule="exact"/>
        <w:ind w:firstLine="640" w:firstLineChars="200"/>
        <w:rPr>
          <w:szCs w:val="32"/>
        </w:rPr>
      </w:pPr>
      <w:r>
        <w:rPr>
          <w:szCs w:val="32"/>
        </w:rPr>
        <w:t>5.乙方因违约等情形应当向甲方支付的违约金、赔偿金等，甲方有权从对乙方的任意一笔应付款中扣除，乙方对此表示充分了解并完全认可。</w:t>
      </w:r>
    </w:p>
    <w:p>
      <w:pPr>
        <w:tabs>
          <w:tab w:val="left" w:pos="851"/>
        </w:tabs>
        <w:spacing w:line="560" w:lineRule="exact"/>
        <w:ind w:firstLine="640" w:firstLineChars="200"/>
        <w:rPr>
          <w:szCs w:val="32"/>
        </w:rPr>
      </w:pPr>
      <w:r>
        <w:rPr>
          <w:szCs w:val="32"/>
        </w:rPr>
        <w:t>6.乙方违约时，甲方为实现本合同约定的权利而产生的费用由乙方承担，包括不限于律师费、诉讼费、担保费、保全费、差旅费、调查费用、鉴定评估费用等。</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十二、不可抗力</w:t>
      </w:r>
    </w:p>
    <w:p>
      <w:pPr>
        <w:tabs>
          <w:tab w:val="left" w:pos="851"/>
        </w:tabs>
        <w:spacing w:line="560" w:lineRule="exact"/>
        <w:ind w:firstLine="640" w:firstLineChars="200"/>
        <w:rPr>
          <w:szCs w:val="32"/>
        </w:rPr>
      </w:pPr>
      <w:r>
        <w:rPr>
          <w:szCs w:val="32"/>
        </w:rPr>
        <w:t>不可抗力指战争、严重火灾、洪水、台风、地震等不能预见、不能避免且不能克服的客观情况，甲乙双方的任何一方由于不可抗力的原因不能履行或不能完全履行合同时，应于发现之时起24小时内向对方通报理由，在提供相应有效证明后，可协商延期履行、部分履行或不履行，并可根据不可抗力的影响情况部分或全部免于承担违约责任。</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十三、争议解决</w:t>
      </w:r>
    </w:p>
    <w:p>
      <w:pPr>
        <w:tabs>
          <w:tab w:val="left" w:pos="851"/>
        </w:tabs>
        <w:spacing w:line="530" w:lineRule="exact"/>
        <w:ind w:firstLine="640" w:firstLineChars="200"/>
        <w:rPr>
          <w:szCs w:val="32"/>
        </w:rPr>
      </w:pPr>
      <w:r>
        <w:rPr>
          <w:szCs w:val="32"/>
        </w:rPr>
        <w:t>与本合同有关的一切争议，由双方友好协商解决，协商不成时，任何一方有权向甲方所在地有管辖权的人民法院提起诉讼。</w:t>
      </w:r>
    </w:p>
    <w:p>
      <w:pPr>
        <w:tabs>
          <w:tab w:val="left" w:pos="851"/>
        </w:tabs>
        <w:spacing w:line="560" w:lineRule="exact"/>
        <w:ind w:firstLine="640" w:firstLineChars="200"/>
        <w:rPr>
          <w:rFonts w:ascii="黑体" w:hAnsi="黑体" w:eastAsia="黑体" w:cs="黑体"/>
          <w:szCs w:val="32"/>
        </w:rPr>
      </w:pPr>
      <w:r>
        <w:rPr>
          <w:rFonts w:ascii="黑体" w:hAnsi="黑体" w:eastAsia="黑体" w:cs="黑体"/>
          <w:szCs w:val="32"/>
        </w:rPr>
        <w:t>十四、其他</w:t>
      </w:r>
    </w:p>
    <w:p>
      <w:pPr>
        <w:tabs>
          <w:tab w:val="left" w:pos="851"/>
        </w:tabs>
        <w:spacing w:line="530" w:lineRule="exact"/>
        <w:ind w:firstLine="640" w:firstLineChars="200"/>
        <w:rPr>
          <w:szCs w:val="32"/>
        </w:rPr>
      </w:pPr>
      <w:r>
        <w:rPr>
          <w:szCs w:val="32"/>
        </w:rPr>
        <w:t>（一）本合同附件以及本项目招标文件/采购文件、投标文件/报价响应文件、成交通知书等（如有）均为本合同不可分割的组成部分，优先解释顺序如下：</w:t>
      </w:r>
    </w:p>
    <w:p>
      <w:pPr>
        <w:tabs>
          <w:tab w:val="left" w:pos="851"/>
        </w:tabs>
        <w:spacing w:line="530" w:lineRule="exact"/>
        <w:ind w:firstLine="640" w:firstLineChars="200"/>
        <w:rPr>
          <w:szCs w:val="32"/>
        </w:rPr>
      </w:pPr>
      <w:r>
        <w:rPr>
          <w:szCs w:val="32"/>
        </w:rPr>
        <w:t>1.本合同及附件；</w:t>
      </w:r>
    </w:p>
    <w:p>
      <w:pPr>
        <w:tabs>
          <w:tab w:val="left" w:pos="851"/>
        </w:tabs>
        <w:spacing w:line="530" w:lineRule="exact"/>
        <w:ind w:firstLine="640" w:firstLineChars="200"/>
        <w:rPr>
          <w:szCs w:val="32"/>
        </w:rPr>
      </w:pPr>
      <w:r>
        <w:rPr>
          <w:szCs w:val="32"/>
        </w:rPr>
        <w:t>2.中标/成交通知书；</w:t>
      </w:r>
    </w:p>
    <w:p>
      <w:pPr>
        <w:tabs>
          <w:tab w:val="left" w:pos="851"/>
        </w:tabs>
        <w:spacing w:line="530" w:lineRule="exact"/>
        <w:ind w:firstLine="640" w:firstLineChars="200"/>
        <w:rPr>
          <w:szCs w:val="32"/>
        </w:rPr>
      </w:pPr>
      <w:r>
        <w:rPr>
          <w:szCs w:val="32"/>
        </w:rPr>
        <w:t>3.甲方的招标文件/</w:t>
      </w:r>
      <w:r>
        <w:rPr>
          <w:rFonts w:hint="eastAsia"/>
          <w:szCs w:val="32"/>
        </w:rPr>
        <w:t>采购</w:t>
      </w:r>
      <w:r>
        <w:rPr>
          <w:szCs w:val="32"/>
        </w:rPr>
        <w:t>文件和乙方成交的投标/</w:t>
      </w:r>
      <w:r>
        <w:rPr>
          <w:rFonts w:hint="eastAsia"/>
          <w:szCs w:val="32"/>
        </w:rPr>
        <w:t>报价</w:t>
      </w:r>
      <w:r>
        <w:rPr>
          <w:szCs w:val="32"/>
        </w:rPr>
        <w:t>响应文件及其附录（含澄清文件）；</w:t>
      </w:r>
    </w:p>
    <w:p>
      <w:pPr>
        <w:tabs>
          <w:tab w:val="left" w:pos="851"/>
        </w:tabs>
        <w:spacing w:line="530" w:lineRule="exact"/>
        <w:ind w:firstLine="640" w:firstLineChars="200"/>
        <w:rPr>
          <w:szCs w:val="32"/>
        </w:rPr>
      </w:pPr>
      <w:r>
        <w:rPr>
          <w:szCs w:val="32"/>
        </w:rPr>
        <w:t>上述各项合同文件包括合同当事人就该项合同文件所作出的补充和修改，属于同一类内容的文件，应以最新签署的为准。</w:t>
      </w:r>
    </w:p>
    <w:p>
      <w:pPr>
        <w:tabs>
          <w:tab w:val="left" w:pos="851"/>
        </w:tabs>
        <w:spacing w:line="530" w:lineRule="exact"/>
        <w:ind w:firstLine="640" w:firstLineChars="200"/>
        <w:rPr>
          <w:szCs w:val="32"/>
        </w:rPr>
      </w:pPr>
      <w:r>
        <w:rPr>
          <w:szCs w:val="32"/>
        </w:rPr>
        <w:t>（二）双方对本合同的条款进行补充，需以书面形式签订补充协议。补充协议与本合同具有同等法律效力，补充协议与本合同不一致的，以补充协议为准。</w:t>
      </w:r>
    </w:p>
    <w:p>
      <w:pPr>
        <w:tabs>
          <w:tab w:val="left" w:pos="851"/>
        </w:tabs>
        <w:spacing w:line="530" w:lineRule="exact"/>
        <w:ind w:firstLine="640" w:firstLineChars="200"/>
        <w:rPr>
          <w:szCs w:val="32"/>
        </w:rPr>
      </w:pPr>
      <w:r>
        <w:rPr>
          <w:szCs w:val="32"/>
        </w:rPr>
        <w:t>（三）甲、乙双方因履行本合同而相互发出或者提供的所有通知、文件，均以本款所列的联系方式送达。任何一方变更联系方式的，应当及时告知另一方，如未及时告知变更联系方式，另一方根据原联系方式进行送达的，视为有效送达。以邮寄方式送达的，以回执上注明的收件日期为送达日。一方向对方指定邮箱发送电子邮件或者向指定手机发送短信的，自该电子邮件和短信成功发送至指定邮箱和指定手机时即视为有效送达。</w:t>
      </w:r>
    </w:p>
    <w:p>
      <w:pPr>
        <w:tabs>
          <w:tab w:val="left" w:pos="851"/>
        </w:tabs>
        <w:spacing w:line="530" w:lineRule="exact"/>
        <w:ind w:firstLine="640" w:firstLineChars="200"/>
        <w:rPr>
          <w:szCs w:val="32"/>
        </w:rPr>
      </w:pPr>
      <w:r>
        <w:rPr>
          <w:szCs w:val="32"/>
        </w:rPr>
        <w:t>甲方联系人：</w:t>
      </w:r>
    </w:p>
    <w:p>
      <w:pPr>
        <w:tabs>
          <w:tab w:val="left" w:pos="851"/>
        </w:tabs>
        <w:spacing w:line="530" w:lineRule="exact"/>
        <w:ind w:firstLine="640" w:firstLineChars="200"/>
        <w:rPr>
          <w:szCs w:val="32"/>
        </w:rPr>
      </w:pPr>
      <w:r>
        <w:rPr>
          <w:szCs w:val="32"/>
        </w:rPr>
        <w:t>联系电话：</w:t>
      </w:r>
    </w:p>
    <w:p>
      <w:pPr>
        <w:tabs>
          <w:tab w:val="left" w:pos="851"/>
        </w:tabs>
        <w:spacing w:line="540" w:lineRule="exact"/>
        <w:ind w:firstLine="640" w:firstLineChars="200"/>
        <w:rPr>
          <w:szCs w:val="32"/>
        </w:rPr>
      </w:pPr>
      <w:r>
        <w:rPr>
          <w:szCs w:val="32"/>
        </w:rPr>
        <w:t>邮箱：</w:t>
      </w:r>
    </w:p>
    <w:p>
      <w:pPr>
        <w:tabs>
          <w:tab w:val="left" w:pos="851"/>
        </w:tabs>
        <w:spacing w:line="540" w:lineRule="exact"/>
        <w:ind w:firstLine="640" w:firstLineChars="200"/>
        <w:rPr>
          <w:szCs w:val="32"/>
        </w:rPr>
      </w:pPr>
      <w:r>
        <w:rPr>
          <w:szCs w:val="32"/>
        </w:rPr>
        <w:t>地址：</w:t>
      </w:r>
    </w:p>
    <w:p>
      <w:pPr>
        <w:tabs>
          <w:tab w:val="left" w:pos="851"/>
        </w:tabs>
        <w:spacing w:line="540" w:lineRule="exact"/>
        <w:ind w:firstLine="640" w:firstLineChars="200"/>
        <w:rPr>
          <w:szCs w:val="32"/>
        </w:rPr>
      </w:pPr>
      <w:r>
        <w:rPr>
          <w:szCs w:val="32"/>
        </w:rPr>
        <w:t>乙方联系人：</w:t>
      </w:r>
    </w:p>
    <w:p>
      <w:pPr>
        <w:tabs>
          <w:tab w:val="left" w:pos="851"/>
        </w:tabs>
        <w:spacing w:line="540" w:lineRule="exact"/>
        <w:ind w:firstLine="640" w:firstLineChars="200"/>
        <w:rPr>
          <w:szCs w:val="32"/>
        </w:rPr>
      </w:pPr>
      <w:r>
        <w:rPr>
          <w:szCs w:val="32"/>
        </w:rPr>
        <w:t>联系电话：</w:t>
      </w:r>
    </w:p>
    <w:p>
      <w:pPr>
        <w:tabs>
          <w:tab w:val="left" w:pos="851"/>
        </w:tabs>
        <w:spacing w:line="540" w:lineRule="exact"/>
        <w:ind w:firstLine="640" w:firstLineChars="200"/>
        <w:rPr>
          <w:szCs w:val="32"/>
        </w:rPr>
      </w:pPr>
      <w:r>
        <w:rPr>
          <w:szCs w:val="32"/>
        </w:rPr>
        <w:t>邮箱：</w:t>
      </w:r>
    </w:p>
    <w:p>
      <w:pPr>
        <w:tabs>
          <w:tab w:val="left" w:pos="851"/>
        </w:tabs>
        <w:spacing w:line="540" w:lineRule="exact"/>
        <w:ind w:firstLine="640" w:firstLineChars="200"/>
        <w:rPr>
          <w:szCs w:val="32"/>
        </w:rPr>
      </w:pPr>
      <w:r>
        <w:rPr>
          <w:szCs w:val="32"/>
        </w:rPr>
        <w:t>地址：</w:t>
      </w:r>
    </w:p>
    <w:p>
      <w:pPr>
        <w:tabs>
          <w:tab w:val="left" w:pos="851"/>
        </w:tabs>
        <w:spacing w:line="540" w:lineRule="exact"/>
        <w:ind w:firstLine="640" w:firstLineChars="200"/>
        <w:rPr>
          <w:szCs w:val="32"/>
        </w:rPr>
      </w:pPr>
      <w:r>
        <w:rPr>
          <w:szCs w:val="32"/>
        </w:rPr>
        <w:t>（四）甲、乙双方保证其授权签约代表已获得充分且完整授权可代表其法人签署本协议。</w:t>
      </w:r>
    </w:p>
    <w:p>
      <w:pPr>
        <w:tabs>
          <w:tab w:val="left" w:pos="851"/>
        </w:tabs>
        <w:spacing w:line="540" w:lineRule="exact"/>
        <w:ind w:firstLine="640" w:firstLineChars="200"/>
        <w:rPr>
          <w:szCs w:val="32"/>
        </w:rPr>
      </w:pPr>
      <w:r>
        <w:rPr>
          <w:szCs w:val="32"/>
        </w:rPr>
        <w:t>（五）本合同一式XX份，具有同等法律效力，甲方执伍份，乙方执XX份，合同自双方法定代表人或者授权签约代表签字并加盖公章或合同专用章之日起生效。</w:t>
      </w:r>
    </w:p>
    <w:p>
      <w:pPr>
        <w:tabs>
          <w:tab w:val="left" w:pos="851"/>
        </w:tabs>
        <w:spacing w:line="540" w:lineRule="exact"/>
        <w:ind w:firstLine="640" w:firstLineChars="200"/>
        <w:rPr>
          <w:szCs w:val="32"/>
        </w:rPr>
      </w:pPr>
      <w:r>
        <w:rPr>
          <w:szCs w:val="32"/>
        </w:rPr>
        <w:t>（六）合同附件：</w:t>
      </w:r>
    </w:p>
    <w:p>
      <w:pPr>
        <w:tabs>
          <w:tab w:val="left" w:pos="851"/>
        </w:tabs>
        <w:spacing w:line="540" w:lineRule="exact"/>
        <w:ind w:firstLine="640" w:firstLineChars="200"/>
        <w:rPr>
          <w:szCs w:val="32"/>
        </w:rPr>
      </w:pPr>
      <w:r>
        <w:rPr>
          <w:szCs w:val="32"/>
        </w:rPr>
        <w:t>1.</w:t>
      </w:r>
      <w:r>
        <w:rPr>
          <w:szCs w:val="32"/>
          <w:u w:val="single"/>
        </w:rPr>
        <w:t xml:space="preserve">              </w:t>
      </w:r>
      <w:r>
        <w:rPr>
          <w:szCs w:val="32"/>
        </w:rPr>
        <w:t>；</w:t>
      </w:r>
    </w:p>
    <w:p>
      <w:pPr>
        <w:tabs>
          <w:tab w:val="left" w:pos="851"/>
        </w:tabs>
        <w:spacing w:line="540" w:lineRule="exact"/>
        <w:ind w:firstLine="640" w:firstLineChars="200"/>
        <w:rPr>
          <w:szCs w:val="32"/>
        </w:rPr>
      </w:pPr>
      <w:r>
        <w:rPr>
          <w:szCs w:val="32"/>
        </w:rPr>
        <w:t>2.</w:t>
      </w:r>
      <w:r>
        <w:rPr>
          <w:szCs w:val="32"/>
          <w:u w:val="single"/>
        </w:rPr>
        <w:t xml:space="preserve">              </w:t>
      </w:r>
      <w:r>
        <w:rPr>
          <w:szCs w:val="32"/>
        </w:rPr>
        <w:t>。</w:t>
      </w:r>
    </w:p>
    <w:p>
      <w:pPr>
        <w:tabs>
          <w:tab w:val="left" w:pos="851"/>
        </w:tabs>
        <w:spacing w:line="540" w:lineRule="exact"/>
        <w:ind w:firstLine="640" w:firstLineChars="200"/>
        <w:rPr>
          <w:szCs w:val="32"/>
        </w:rPr>
      </w:pPr>
      <w:r>
        <w:rPr>
          <w:szCs w:val="32"/>
        </w:rPr>
        <w:t>（以下无正文）</w:t>
      </w:r>
    </w:p>
    <w:p>
      <w:pPr>
        <w:tabs>
          <w:tab w:val="left" w:pos="851"/>
        </w:tabs>
        <w:spacing w:line="540" w:lineRule="exact"/>
        <w:ind w:firstLine="640" w:firstLineChars="200"/>
        <w:rPr>
          <w:szCs w:val="32"/>
        </w:rPr>
      </w:pPr>
    </w:p>
    <w:p>
      <w:pPr>
        <w:tabs>
          <w:tab w:val="left" w:pos="851"/>
        </w:tabs>
        <w:spacing w:line="540" w:lineRule="exact"/>
        <w:ind w:firstLine="640" w:firstLineChars="200"/>
        <w:rPr>
          <w:szCs w:val="32"/>
        </w:rPr>
      </w:pPr>
      <w:r>
        <w:rPr>
          <w:szCs w:val="32"/>
        </w:rPr>
        <w:t>甲方（公章或合同专用章）：</w:t>
      </w:r>
    </w:p>
    <w:p>
      <w:pPr>
        <w:tabs>
          <w:tab w:val="left" w:pos="851"/>
        </w:tabs>
        <w:spacing w:line="540" w:lineRule="exact"/>
        <w:ind w:firstLine="640" w:firstLineChars="200"/>
        <w:rPr>
          <w:szCs w:val="32"/>
        </w:rPr>
      </w:pPr>
      <w:r>
        <w:rPr>
          <w:szCs w:val="32"/>
        </w:rPr>
        <w:t>法定代表人或授权签约代表（签名）：</w:t>
      </w:r>
    </w:p>
    <w:p>
      <w:pPr>
        <w:tabs>
          <w:tab w:val="left" w:pos="851"/>
        </w:tabs>
        <w:spacing w:line="540" w:lineRule="exact"/>
        <w:ind w:firstLine="640" w:firstLineChars="200"/>
        <w:rPr>
          <w:szCs w:val="32"/>
        </w:rPr>
      </w:pPr>
      <w:r>
        <w:rPr>
          <w:szCs w:val="32"/>
        </w:rPr>
        <w:t>签约日期：</w:t>
      </w:r>
    </w:p>
    <w:p>
      <w:pPr>
        <w:tabs>
          <w:tab w:val="left" w:pos="851"/>
        </w:tabs>
        <w:spacing w:line="540" w:lineRule="exact"/>
        <w:ind w:firstLine="640" w:firstLineChars="200"/>
        <w:rPr>
          <w:szCs w:val="32"/>
        </w:rPr>
      </w:pPr>
    </w:p>
    <w:p>
      <w:pPr>
        <w:tabs>
          <w:tab w:val="left" w:pos="851"/>
        </w:tabs>
        <w:spacing w:line="540" w:lineRule="exact"/>
        <w:ind w:firstLine="640" w:firstLineChars="200"/>
        <w:rPr>
          <w:szCs w:val="32"/>
        </w:rPr>
      </w:pPr>
      <w:r>
        <w:rPr>
          <w:szCs w:val="32"/>
        </w:rPr>
        <w:t>乙方（公章或合同专用章）：</w:t>
      </w:r>
    </w:p>
    <w:p>
      <w:pPr>
        <w:tabs>
          <w:tab w:val="left" w:pos="851"/>
        </w:tabs>
        <w:spacing w:line="540" w:lineRule="exact"/>
        <w:ind w:firstLine="640" w:firstLineChars="200"/>
        <w:rPr>
          <w:szCs w:val="32"/>
        </w:rPr>
      </w:pPr>
      <w:r>
        <w:rPr>
          <w:szCs w:val="32"/>
        </w:rPr>
        <w:t>法定代表人或授权签约代表（签名）：</w:t>
      </w:r>
    </w:p>
    <w:p>
      <w:pPr>
        <w:tabs>
          <w:tab w:val="left" w:pos="851"/>
        </w:tabs>
        <w:spacing w:line="540" w:lineRule="exact"/>
        <w:ind w:firstLine="640" w:firstLineChars="200"/>
        <w:rPr>
          <w:szCs w:val="32"/>
        </w:rPr>
      </w:pPr>
      <w:r>
        <w:rPr>
          <w:szCs w:val="32"/>
        </w:rPr>
        <w:t>签约日期：</w:t>
      </w:r>
    </w:p>
    <w:sectPr>
      <w:footerReference r:id="rId3" w:type="default"/>
      <w:pgSz w:w="11905" w:h="16838"/>
      <w:pgMar w:top="2098" w:right="1474" w:bottom="1134" w:left="1587" w:header="85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华文楷体">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left="320" w:leftChars="100" w:right="320" w:rightChars="10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4"/>
                      <w:ind w:left="320" w:leftChars="100" w:right="320" w:rightChars="10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69215"/>
    <w:multiLevelType w:val="singleLevel"/>
    <w:tmpl w:val="C206921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HorizontalSpacing w:val="32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00573EBA"/>
    <w:rsid w:val="00164426"/>
    <w:rsid w:val="001F0A9E"/>
    <w:rsid w:val="0021578D"/>
    <w:rsid w:val="0026116C"/>
    <w:rsid w:val="00266F98"/>
    <w:rsid w:val="00271FB5"/>
    <w:rsid w:val="002A776F"/>
    <w:rsid w:val="002B276A"/>
    <w:rsid w:val="003F7EC3"/>
    <w:rsid w:val="00471F79"/>
    <w:rsid w:val="00505B50"/>
    <w:rsid w:val="00573EBA"/>
    <w:rsid w:val="005C059E"/>
    <w:rsid w:val="00636BCD"/>
    <w:rsid w:val="00666E97"/>
    <w:rsid w:val="006A20EB"/>
    <w:rsid w:val="0077656B"/>
    <w:rsid w:val="007F72B3"/>
    <w:rsid w:val="00887F27"/>
    <w:rsid w:val="00893B45"/>
    <w:rsid w:val="00900012"/>
    <w:rsid w:val="00997BCE"/>
    <w:rsid w:val="00A132D4"/>
    <w:rsid w:val="00AC5FD5"/>
    <w:rsid w:val="00C74054"/>
    <w:rsid w:val="00C745FB"/>
    <w:rsid w:val="00DC3708"/>
    <w:rsid w:val="00DC4EDF"/>
    <w:rsid w:val="00E74727"/>
    <w:rsid w:val="00EC6C94"/>
    <w:rsid w:val="00ED79FE"/>
    <w:rsid w:val="00EE5327"/>
    <w:rsid w:val="03B947ED"/>
    <w:rsid w:val="08C6543B"/>
    <w:rsid w:val="10463B78"/>
    <w:rsid w:val="11F33019"/>
    <w:rsid w:val="18821AB6"/>
    <w:rsid w:val="24187666"/>
    <w:rsid w:val="2D8103EC"/>
    <w:rsid w:val="2FA064BC"/>
    <w:rsid w:val="305D704C"/>
    <w:rsid w:val="31A54099"/>
    <w:rsid w:val="3B291CEF"/>
    <w:rsid w:val="3BEB24E7"/>
    <w:rsid w:val="3CF5220E"/>
    <w:rsid w:val="489C5573"/>
    <w:rsid w:val="4B9D66D1"/>
    <w:rsid w:val="508B13F1"/>
    <w:rsid w:val="5705494D"/>
    <w:rsid w:val="57F821BE"/>
    <w:rsid w:val="5B50184A"/>
    <w:rsid w:val="616D6B23"/>
    <w:rsid w:val="683727C9"/>
    <w:rsid w:val="6EB160D2"/>
    <w:rsid w:val="736475BA"/>
    <w:rsid w:val="769C21A9"/>
    <w:rsid w:val="777A7A51"/>
    <w:rsid w:val="83E2DF00"/>
    <w:rsid w:val="B35B0F9B"/>
    <w:rsid w:val="DFBF435F"/>
    <w:rsid w:val="DFFB496B"/>
    <w:rsid w:val="E1F4B880"/>
    <w:rsid w:val="E7CD7A41"/>
    <w:rsid w:val="EFB8936C"/>
    <w:rsid w:val="EFE7EBD2"/>
    <w:rsid w:val="F79ED49F"/>
    <w:rsid w:val="F7E7A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3"/>
    <w:pPr>
      <w:adjustRightInd w:val="0"/>
      <w:spacing w:before="320" w:line="300" w:lineRule="auto"/>
      <w:outlineLvl w:val="0"/>
    </w:pPr>
    <w:rPr>
      <w:rFonts w:eastAsia="黑体"/>
      <w:color w:val="000000"/>
      <w:kern w:val="44"/>
      <w:szCs w:val="44"/>
    </w:rPr>
  </w:style>
  <w:style w:type="paragraph" w:styleId="6">
    <w:name w:val="heading 2"/>
    <w:basedOn w:val="1"/>
    <w:next w:val="1"/>
    <w:link w:val="25"/>
    <w:qFormat/>
    <w:uiPriority w:val="0"/>
    <w:pPr>
      <w:keepNext/>
      <w:keepLines/>
      <w:spacing w:line="360" w:lineRule="auto"/>
      <w:outlineLvl w:val="1"/>
    </w:pPr>
    <w:rPr>
      <w:rFonts w:ascii="Arial" w:hAnsi="Arial" w:eastAsia="宋体"/>
      <w:b/>
      <w:bCs/>
      <w:sz w:val="24"/>
      <w:szCs w:val="32"/>
    </w:rPr>
  </w:style>
  <w:style w:type="paragraph" w:styleId="7">
    <w:name w:val="heading 3"/>
    <w:basedOn w:val="1"/>
    <w:next w:val="1"/>
    <w:link w:val="26"/>
    <w:unhideWhenUsed/>
    <w:qFormat/>
    <w:uiPriority w:val="0"/>
    <w:pPr>
      <w:keepNext/>
      <w:keepLines/>
      <w:spacing w:before="260" w:after="260" w:line="413" w:lineRule="auto"/>
      <w:outlineLvl w:val="2"/>
    </w:pPr>
    <w:rPr>
      <w:rFonts w:ascii="Calibri" w:hAnsi="Calibri" w:eastAsia="宋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24"/>
      <w:lang w:val="zh-CN" w:bidi="zh-CN"/>
    </w:rPr>
  </w:style>
  <w:style w:type="paragraph" w:customStyle="1" w:styleId="3">
    <w:name w:val="RFI Heading 2nd Level Char"/>
    <w:basedOn w:val="1"/>
    <w:next w:val="4"/>
    <w:qFormat/>
    <w:uiPriority w:val="0"/>
    <w:pPr>
      <w:widowControl/>
      <w:spacing w:before="240" w:after="240"/>
      <w:ind w:left="1152" w:hanging="1152"/>
      <w:outlineLvl w:val="1"/>
    </w:pPr>
    <w:rPr>
      <w:rFonts w:ascii="Arial (W1)" w:hAnsi="Times New Roman" w:eastAsia="Times New Roman"/>
      <w:b/>
      <w:color w:val="3366FF"/>
      <w:sz w:val="24"/>
    </w:rPr>
  </w:style>
  <w:style w:type="paragraph" w:customStyle="1" w:styleId="4">
    <w:name w:val="Normal 0.51"/>
    <w:basedOn w:val="1"/>
    <w:next w:val="1"/>
    <w:qFormat/>
    <w:uiPriority w:val="0"/>
    <w:pPr>
      <w:widowControl/>
      <w:spacing w:before="180" w:after="120"/>
      <w:ind w:left="720"/>
    </w:pPr>
    <w:rPr>
      <w:rFonts w:ascii="Times New Roman" w:hAnsi="Times New Roman"/>
      <w:sz w:val="24"/>
    </w:rPr>
  </w:style>
  <w:style w:type="paragraph" w:styleId="8">
    <w:name w:val="Normal Indent"/>
    <w:basedOn w:val="1"/>
    <w:next w:val="1"/>
    <w:qFormat/>
    <w:uiPriority w:val="0"/>
    <w:pPr>
      <w:ind w:firstLine="420" w:firstLineChars="200"/>
    </w:pPr>
    <w:rPr>
      <w:rFonts w:ascii="Calibri" w:hAnsi="Calibri"/>
    </w:rPr>
  </w:style>
  <w:style w:type="paragraph" w:styleId="9">
    <w:name w:val="annotation text"/>
    <w:basedOn w:val="1"/>
    <w:link w:val="27"/>
    <w:qFormat/>
    <w:uiPriority w:val="0"/>
    <w:pPr>
      <w:jc w:val="left"/>
    </w:pPr>
    <w:rPr>
      <w:rFonts w:ascii="Calibri" w:hAnsi="Calibri" w:eastAsia="宋体"/>
      <w:sz w:val="21"/>
    </w:rPr>
  </w:style>
  <w:style w:type="paragraph" w:styleId="10">
    <w:name w:val="Body Text Indent"/>
    <w:basedOn w:val="1"/>
    <w:qFormat/>
    <w:uiPriority w:val="0"/>
    <w:pPr>
      <w:spacing w:after="120"/>
      <w:ind w:left="420" w:leftChars="200"/>
    </w:pPr>
    <w:rPr>
      <w:rFonts w:ascii="Calibri" w:hAnsi="Calibri" w:eastAsia="宋体"/>
      <w:sz w:val="21"/>
    </w:rPr>
  </w:style>
  <w:style w:type="paragraph" w:styleId="11">
    <w:name w:val="Plain Text"/>
    <w:basedOn w:val="1"/>
    <w:qFormat/>
    <w:uiPriority w:val="0"/>
    <w:pPr>
      <w:spacing w:line="360" w:lineRule="auto"/>
    </w:pPr>
    <w:rPr>
      <w:rFonts w:ascii="宋体" w:hAnsi="Courier New" w:eastAsia="宋体"/>
      <w:sz w:val="24"/>
      <w:szCs w:val="21"/>
    </w:rPr>
  </w:style>
  <w:style w:type="paragraph" w:styleId="12">
    <w:name w:val="Date"/>
    <w:basedOn w:val="1"/>
    <w:next w:val="1"/>
    <w:qFormat/>
    <w:uiPriority w:val="0"/>
  </w:style>
  <w:style w:type="paragraph" w:styleId="13">
    <w:name w:val="Balloon Text"/>
    <w:basedOn w:val="1"/>
    <w:link w:val="37"/>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spacing w:before="90"/>
    </w:pPr>
    <w:rPr>
      <w:rFonts w:ascii="Calibri" w:hAnsi="Calibri" w:eastAsia="宋体"/>
      <w:sz w:val="21"/>
    </w:rPr>
  </w:style>
  <w:style w:type="paragraph" w:styleId="19">
    <w:name w:val="Title"/>
    <w:next w:val="1"/>
    <w:qFormat/>
    <w:uiPriority w:val="0"/>
    <w:pPr>
      <w:widowControl w:val="0"/>
      <w:adjustRightInd w:val="0"/>
      <w:spacing w:before="100" w:after="100"/>
      <w:jc w:val="center"/>
    </w:pPr>
    <w:rPr>
      <w:rFonts w:ascii="Times New Roman" w:hAnsi="Times New Roman" w:eastAsia="黑体" w:cs="Times New Roman"/>
      <w:kern w:val="2"/>
      <w:sz w:val="36"/>
      <w:szCs w:val="24"/>
      <w:lang w:val="en-US" w:eastAsia="zh-CN" w:bidi="ar-SA"/>
    </w:rPr>
  </w:style>
  <w:style w:type="paragraph" w:styleId="20">
    <w:name w:val="annotation subject"/>
    <w:basedOn w:val="9"/>
    <w:next w:val="9"/>
    <w:link w:val="28"/>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rFonts w:ascii="Times New Roman" w:hAnsi="Times New Roman" w:eastAsia="宋体" w:cs="Times New Roman"/>
      <w:sz w:val="21"/>
      <w:szCs w:val="21"/>
    </w:rPr>
  </w:style>
  <w:style w:type="character" w:customStyle="1" w:styleId="25">
    <w:name w:val="标题 2 Char"/>
    <w:link w:val="6"/>
    <w:qFormat/>
    <w:uiPriority w:val="0"/>
    <w:rPr>
      <w:rFonts w:ascii="Arial" w:hAnsi="Arial" w:eastAsia="宋体" w:cs="Times New Roman"/>
      <w:b/>
      <w:bCs/>
      <w:sz w:val="24"/>
      <w:szCs w:val="32"/>
    </w:rPr>
  </w:style>
  <w:style w:type="character" w:customStyle="1" w:styleId="26">
    <w:name w:val="标题 3 Char"/>
    <w:link w:val="7"/>
    <w:qFormat/>
    <w:uiPriority w:val="0"/>
    <w:rPr>
      <w:rFonts w:ascii="Times New Roman" w:hAnsi="Times New Roman" w:eastAsia="宋体" w:cs="Times New Roman"/>
      <w:b/>
      <w:sz w:val="32"/>
    </w:rPr>
  </w:style>
  <w:style w:type="character" w:customStyle="1" w:styleId="27">
    <w:name w:val="批注文字 Char"/>
    <w:basedOn w:val="23"/>
    <w:link w:val="9"/>
    <w:qFormat/>
    <w:uiPriority w:val="0"/>
    <w:rPr>
      <w:rFonts w:ascii="Times New Roman" w:hAnsi="Times New Roman" w:eastAsia="宋体" w:cs="Times New Roman"/>
    </w:rPr>
  </w:style>
  <w:style w:type="character" w:customStyle="1" w:styleId="28">
    <w:name w:val="批注主题 Char"/>
    <w:basedOn w:val="27"/>
    <w:link w:val="20"/>
    <w:qFormat/>
    <w:uiPriority w:val="0"/>
    <w:rPr>
      <w:rFonts w:ascii="Times New Roman" w:hAnsi="Times New Roman" w:eastAsia="宋体" w:cs="Times New Roman"/>
      <w:b/>
      <w:bCs/>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null3"/>
    <w:qFormat/>
    <w:uiPriority w:val="0"/>
    <w:rPr>
      <w:rFonts w:hint="eastAsia" w:ascii="Calibri" w:hAnsi="Calibri" w:eastAsia="宋体" w:cs="Times New Roman"/>
      <w:lang w:val="en-US" w:eastAsia="zh-Hans" w:bidi="ar-SA"/>
    </w:rPr>
  </w:style>
  <w:style w:type="paragraph" w:customStyle="1" w:styleId="31">
    <w:name w:val="Table Text"/>
    <w:basedOn w:val="1"/>
    <w:semiHidden/>
    <w:qFormat/>
    <w:uiPriority w:val="0"/>
    <w:rPr>
      <w:rFonts w:ascii="宋体" w:hAnsi="宋体" w:eastAsia="宋体" w:cs="宋体"/>
      <w:sz w:val="20"/>
      <w:szCs w:val="20"/>
      <w:lang w:eastAsia="en-US"/>
    </w:rPr>
  </w:style>
  <w:style w:type="paragraph" w:styleId="32">
    <w:name w:val="List Paragraph"/>
    <w:basedOn w:val="1"/>
    <w:qFormat/>
    <w:uiPriority w:val="99"/>
    <w:pPr>
      <w:ind w:firstLine="420" w:firstLineChars="200"/>
    </w:pPr>
    <w:rPr>
      <w:rFonts w:ascii="Calibri" w:hAnsi="Calibri" w:eastAsia="宋体"/>
      <w:sz w:val="21"/>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修订1"/>
    <w:unhideWhenUsed/>
    <w:qFormat/>
    <w:uiPriority w:val="99"/>
    <w:rPr>
      <w:rFonts w:ascii="Calibri" w:hAnsi="Calibri" w:eastAsia="宋体" w:cs="Times New Roman"/>
      <w:kern w:val="2"/>
      <w:sz w:val="21"/>
      <w:szCs w:val="24"/>
      <w:lang w:val="en-US" w:eastAsia="zh-CN" w:bidi="ar-SA"/>
    </w:rPr>
  </w:style>
  <w:style w:type="paragraph" w:customStyle="1" w:styleId="36">
    <w:name w:val="列出段落1"/>
    <w:basedOn w:val="1"/>
    <w:qFormat/>
    <w:uiPriority w:val="0"/>
    <w:pPr>
      <w:ind w:firstLine="420" w:firstLineChars="200"/>
    </w:pPr>
    <w:rPr>
      <w:rFonts w:ascii="Calibri" w:hAnsi="Calibri" w:eastAsia="宋体"/>
      <w:sz w:val="21"/>
      <w:szCs w:val="21"/>
    </w:rPr>
  </w:style>
  <w:style w:type="character" w:customStyle="1" w:styleId="37">
    <w:name w:val="批注框文本 Char"/>
    <w:basedOn w:val="23"/>
    <w:link w:val="13"/>
    <w:qFormat/>
    <w:uiPriority w:val="0"/>
    <w:rPr>
      <w:rFonts w:ascii="Times New Roman" w:hAnsi="Times New Roman" w:eastAsia="仿宋_GB2312"/>
      <w:kern w:val="2"/>
      <w:sz w:val="18"/>
      <w:szCs w:val="18"/>
    </w:rPr>
  </w:style>
  <w:style w:type="paragraph" w:customStyle="1" w:styleId="38">
    <w:name w:val="列表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3084</Words>
  <Characters>3147</Characters>
  <Lines>165</Lines>
  <Paragraphs>148</Paragraphs>
  <TotalTime>4</TotalTime>
  <ScaleCrop>false</ScaleCrop>
  <LinksUpToDate>false</LinksUpToDate>
  <CharactersWithSpaces>6083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2024-10-26T00:48:00Z</dcterms:created>
  <dc:creator>胡诗蕙</dc:creator>
  <cp:lastModifiedBy>Misaki</cp:lastModifiedBy>
  <cp:lastPrinted>2024-12-06T11:38:00Z</cp:lastPrinted>
  <dcterms:modified xsi:type="dcterms:W3CDTF">2025-04-30T12:08:57Z</dcterms:modified>
  <dc:title>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06D42F4388F68B74C259FC67A1DF3FD9</vt:lpwstr>
  </property>
</Properties>
</file>