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utoSpaceDE w:val="0"/>
        <w:autoSpaceDN w:val="0"/>
        <w:adjustRightInd w:val="0"/>
        <w:snapToGrid w:val="0"/>
        <w:spacing w:line="291" w:lineRule="auto"/>
        <w:jc w:val="left"/>
        <w:textAlignment w:val="baseline"/>
        <w:rPr>
          <w:rFonts w:ascii="Arial" w:hAnsi="Arial" w:eastAsia="Arial" w:cs="Arial"/>
          <w:snapToGrid w:val="0"/>
          <w:color w:val="auto"/>
          <w:kern w:val="0"/>
          <w:sz w:val="21"/>
          <w:szCs w:val="21"/>
          <w:highlight w:val="none"/>
          <w:lang w:val="en-US" w:eastAsia="en-US" w:bidi="ar-SA"/>
        </w:rPr>
      </w:pPr>
    </w:p>
    <w:p>
      <w:pPr>
        <w:kinsoku w:val="0"/>
        <w:autoSpaceDE w:val="0"/>
        <w:autoSpaceDN w:val="0"/>
        <w:adjustRightInd w:val="0"/>
        <w:snapToGrid w:val="0"/>
        <w:spacing w:line="291" w:lineRule="auto"/>
        <w:jc w:val="left"/>
        <w:textAlignment w:val="baseline"/>
        <w:rPr>
          <w:rFonts w:ascii="Arial" w:hAnsi="Arial" w:eastAsia="Arial" w:cs="Arial"/>
          <w:snapToGrid w:val="0"/>
          <w:color w:val="auto"/>
          <w:kern w:val="0"/>
          <w:sz w:val="21"/>
          <w:szCs w:val="21"/>
          <w:highlight w:val="none"/>
          <w:lang w:val="en-US" w:eastAsia="en-US" w:bidi="ar-SA"/>
        </w:rPr>
      </w:pPr>
    </w:p>
    <w:p>
      <w:pPr>
        <w:kinsoku w:val="0"/>
        <w:autoSpaceDE w:val="0"/>
        <w:autoSpaceDN w:val="0"/>
        <w:adjustRightInd w:val="0"/>
        <w:snapToGrid w:val="0"/>
        <w:spacing w:line="291" w:lineRule="auto"/>
        <w:jc w:val="left"/>
        <w:textAlignment w:val="baseline"/>
        <w:rPr>
          <w:rFonts w:ascii="Arial" w:hAnsi="Arial" w:eastAsia="Arial" w:cs="Arial"/>
          <w:snapToGrid w:val="0"/>
          <w:color w:val="auto"/>
          <w:kern w:val="0"/>
          <w:sz w:val="21"/>
          <w:szCs w:val="21"/>
          <w:highlight w:val="none"/>
          <w:lang w:val="en-US" w:eastAsia="en-US" w:bidi="ar-SA"/>
        </w:rPr>
      </w:pPr>
    </w:p>
    <w:p>
      <w:pPr>
        <w:kinsoku w:val="0"/>
        <w:autoSpaceDE w:val="0"/>
        <w:autoSpaceDN w:val="0"/>
        <w:adjustRightInd w:val="0"/>
        <w:snapToGrid w:val="0"/>
        <w:spacing w:line="292" w:lineRule="auto"/>
        <w:jc w:val="left"/>
        <w:textAlignment w:val="baseline"/>
        <w:rPr>
          <w:rFonts w:ascii="Arial" w:hAnsi="Arial" w:eastAsia="Arial" w:cs="Arial"/>
          <w:snapToGrid w:val="0"/>
          <w:color w:val="auto"/>
          <w:kern w:val="0"/>
          <w:sz w:val="21"/>
          <w:szCs w:val="21"/>
          <w:highlight w:val="none"/>
          <w:lang w:val="en-US" w:eastAsia="en-US" w:bidi="ar-SA"/>
        </w:rPr>
      </w:pPr>
    </w:p>
    <w:p>
      <w:pPr>
        <w:spacing w:before="153" w:line="297" w:lineRule="auto"/>
        <w:ind w:left="0" w:right="796" w:firstLine="0"/>
        <w:jc w:val="center"/>
        <w:outlineLvl w:val="0"/>
        <w:rPr>
          <w:rFonts w:hint="eastAsia" w:ascii="仿宋" w:hAnsi="仿宋" w:eastAsia="仿宋" w:cs="仿宋"/>
          <w:b/>
          <w:bCs/>
          <w:snapToGrid w:val="0"/>
          <w:color w:val="auto"/>
          <w:spacing w:val="4"/>
          <w:kern w:val="0"/>
          <w:sz w:val="47"/>
          <w:szCs w:val="47"/>
          <w:highlight w:val="none"/>
          <w:lang w:val="en-US" w:eastAsia="zh-CN" w:bidi="ar-SA"/>
        </w:rPr>
      </w:pPr>
      <w:bookmarkStart w:id="0" w:name="_Toc14419"/>
      <w:bookmarkStart w:id="64" w:name="_GoBack"/>
      <w:r>
        <w:rPr>
          <w:rFonts w:hint="eastAsia" w:ascii="仿宋" w:hAnsi="仿宋" w:eastAsia="仿宋" w:cs="仿宋"/>
          <w:b/>
          <w:bCs/>
          <w:snapToGrid w:val="0"/>
          <w:color w:val="auto"/>
          <w:spacing w:val="4"/>
          <w:kern w:val="0"/>
          <w:sz w:val="47"/>
          <w:szCs w:val="47"/>
          <w:highlight w:val="none"/>
          <w:lang w:val="en-US" w:eastAsia="zh-CN" w:bidi="ar-SA"/>
        </w:rPr>
        <w:t>茂名滨海新区自来水投资有限公司可控分布式光伏资源项目</w:t>
      </w:r>
      <w:bookmarkEnd w:id="0"/>
      <w:bookmarkEnd w:id="64"/>
    </w:p>
    <w:p>
      <w:pPr>
        <w:spacing w:before="153" w:line="297" w:lineRule="auto"/>
        <w:ind w:left="0" w:right="796" w:firstLine="0"/>
        <w:jc w:val="center"/>
        <w:outlineLvl w:val="0"/>
        <w:rPr>
          <w:rFonts w:ascii="仿宋" w:hAnsi="仿宋" w:eastAsia="仿宋" w:cs="仿宋"/>
          <w:snapToGrid w:val="0"/>
          <w:color w:val="auto"/>
          <w:kern w:val="0"/>
          <w:sz w:val="47"/>
          <w:szCs w:val="47"/>
          <w:highlight w:val="none"/>
          <w:lang w:val="en-US" w:eastAsia="en-US" w:bidi="ar-SA"/>
        </w:rPr>
      </w:pPr>
      <w:bookmarkStart w:id="1" w:name="_Toc8481"/>
      <w:r>
        <w:rPr>
          <w:rFonts w:ascii="仿宋" w:hAnsi="仿宋" w:eastAsia="仿宋" w:cs="仿宋"/>
          <w:b/>
          <w:bCs/>
          <w:snapToGrid w:val="0"/>
          <w:color w:val="auto"/>
          <w:spacing w:val="4"/>
          <w:kern w:val="0"/>
          <w:sz w:val="47"/>
          <w:szCs w:val="47"/>
          <w:highlight w:val="none"/>
          <w:lang w:val="en-US" w:eastAsia="en-US" w:bidi="ar-SA"/>
        </w:rPr>
        <w:t>有偿使用协议</w:t>
      </w:r>
      <w:bookmarkEnd w:id="1"/>
    </w:p>
    <w:p>
      <w:pPr>
        <w:kinsoku w:val="0"/>
        <w:autoSpaceDE w:val="0"/>
        <w:autoSpaceDN w:val="0"/>
        <w:adjustRightInd w:val="0"/>
        <w:snapToGrid w:val="0"/>
        <w:spacing w:line="247" w:lineRule="auto"/>
        <w:jc w:val="left"/>
        <w:textAlignment w:val="baseline"/>
        <w:rPr>
          <w:rFonts w:ascii="Arial" w:hAnsi="Arial" w:eastAsia="Arial" w:cs="Arial"/>
          <w:snapToGrid w:val="0"/>
          <w:color w:val="auto"/>
          <w:kern w:val="0"/>
          <w:sz w:val="21"/>
          <w:szCs w:val="21"/>
          <w:highlight w:val="none"/>
          <w:lang w:val="en-US" w:eastAsia="en-US" w:bidi="ar-SA"/>
        </w:rPr>
      </w:pPr>
    </w:p>
    <w:p>
      <w:pPr>
        <w:kinsoku w:val="0"/>
        <w:autoSpaceDE w:val="0"/>
        <w:autoSpaceDN w:val="0"/>
        <w:adjustRightInd w:val="0"/>
        <w:snapToGrid w:val="0"/>
        <w:spacing w:line="247" w:lineRule="auto"/>
        <w:jc w:val="left"/>
        <w:textAlignment w:val="baseline"/>
        <w:rPr>
          <w:rFonts w:ascii="Arial" w:hAnsi="Arial" w:eastAsia="Arial" w:cs="Arial"/>
          <w:snapToGrid w:val="0"/>
          <w:color w:val="auto"/>
          <w:kern w:val="0"/>
          <w:sz w:val="21"/>
          <w:szCs w:val="21"/>
          <w:highlight w:val="none"/>
          <w:lang w:val="en-US" w:eastAsia="en-US" w:bidi="ar-SA"/>
        </w:rPr>
      </w:pPr>
    </w:p>
    <w:p>
      <w:pPr>
        <w:kinsoku w:val="0"/>
        <w:autoSpaceDE w:val="0"/>
        <w:autoSpaceDN w:val="0"/>
        <w:adjustRightInd w:val="0"/>
        <w:snapToGrid w:val="0"/>
        <w:spacing w:line="247" w:lineRule="auto"/>
        <w:jc w:val="left"/>
        <w:textAlignment w:val="baseline"/>
        <w:rPr>
          <w:rFonts w:ascii="Arial" w:hAnsi="Arial" w:eastAsia="Arial" w:cs="Arial"/>
          <w:snapToGrid w:val="0"/>
          <w:color w:val="auto"/>
          <w:kern w:val="0"/>
          <w:sz w:val="21"/>
          <w:szCs w:val="21"/>
          <w:highlight w:val="none"/>
          <w:lang w:val="en-US" w:eastAsia="en-US" w:bidi="ar-SA"/>
        </w:rPr>
      </w:pPr>
    </w:p>
    <w:p>
      <w:pPr>
        <w:kinsoku w:val="0"/>
        <w:autoSpaceDE w:val="0"/>
        <w:autoSpaceDN w:val="0"/>
        <w:adjustRightInd w:val="0"/>
        <w:snapToGrid w:val="0"/>
        <w:spacing w:line="247" w:lineRule="auto"/>
        <w:jc w:val="left"/>
        <w:textAlignment w:val="baseline"/>
        <w:rPr>
          <w:rFonts w:ascii="Arial" w:hAnsi="Arial" w:eastAsia="Arial" w:cs="Arial"/>
          <w:snapToGrid w:val="0"/>
          <w:color w:val="auto"/>
          <w:kern w:val="0"/>
          <w:sz w:val="21"/>
          <w:szCs w:val="21"/>
          <w:highlight w:val="none"/>
          <w:lang w:val="en-US" w:eastAsia="en-US" w:bidi="ar-SA"/>
        </w:rPr>
      </w:pPr>
    </w:p>
    <w:p>
      <w:pPr>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highlight w:val="none"/>
          <w:lang w:val="en-US" w:eastAsia="en-US" w:bidi="ar-SA"/>
        </w:rPr>
      </w:pPr>
    </w:p>
    <w:p>
      <w:pPr>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highlight w:val="none"/>
          <w:lang w:val="en-US" w:eastAsia="en-US" w:bidi="ar-SA"/>
        </w:rPr>
      </w:pPr>
    </w:p>
    <w:p>
      <w:pPr>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highlight w:val="none"/>
          <w:lang w:val="en-US" w:eastAsia="en-US" w:bidi="ar-SA"/>
        </w:rPr>
      </w:pPr>
    </w:p>
    <w:p>
      <w:pPr>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highlight w:val="none"/>
          <w:lang w:val="en-US" w:eastAsia="en-US" w:bidi="ar-SA"/>
        </w:rPr>
      </w:pPr>
    </w:p>
    <w:p>
      <w:pPr>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highlight w:val="none"/>
          <w:lang w:val="en-US" w:eastAsia="en-US" w:bidi="ar-SA"/>
        </w:rPr>
      </w:pPr>
    </w:p>
    <w:p>
      <w:pPr>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highlight w:val="none"/>
          <w:lang w:val="en-US" w:eastAsia="en-US" w:bidi="ar-SA"/>
        </w:rPr>
      </w:pPr>
    </w:p>
    <w:p>
      <w:pPr>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highlight w:val="none"/>
          <w:lang w:val="en-US" w:eastAsia="en-US" w:bidi="ar-SA"/>
        </w:rPr>
      </w:pPr>
    </w:p>
    <w:p>
      <w:pPr>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highlight w:val="none"/>
          <w:lang w:val="en-US" w:eastAsia="en-US" w:bidi="ar-SA"/>
        </w:rPr>
      </w:pPr>
    </w:p>
    <w:p>
      <w:pPr>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highlight w:val="none"/>
          <w:lang w:val="en-US" w:eastAsia="en-US" w:bidi="ar-SA"/>
        </w:rPr>
      </w:pPr>
    </w:p>
    <w:p>
      <w:pPr>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highlight w:val="none"/>
          <w:lang w:val="en-US" w:eastAsia="en-US" w:bidi="ar-SA"/>
        </w:rPr>
      </w:pPr>
    </w:p>
    <w:p>
      <w:pPr>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highlight w:val="none"/>
          <w:lang w:val="en-US" w:eastAsia="en-US" w:bidi="ar-SA"/>
        </w:rPr>
      </w:pPr>
    </w:p>
    <w:p>
      <w:pPr>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highlight w:val="none"/>
          <w:lang w:val="en-US" w:eastAsia="en-US" w:bidi="ar-SA"/>
        </w:rPr>
      </w:pPr>
    </w:p>
    <w:p>
      <w:pPr>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highlight w:val="none"/>
          <w:lang w:val="en-US" w:eastAsia="en-US" w:bidi="ar-SA"/>
        </w:rPr>
      </w:pPr>
    </w:p>
    <w:p>
      <w:pPr>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highlight w:val="none"/>
          <w:lang w:val="en-US" w:eastAsia="en-US" w:bidi="ar-SA"/>
        </w:rPr>
      </w:pPr>
    </w:p>
    <w:p>
      <w:pPr>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highlight w:val="none"/>
          <w:lang w:val="en-US" w:eastAsia="en-US" w:bidi="ar-SA"/>
        </w:rPr>
      </w:pPr>
    </w:p>
    <w:p>
      <w:pPr>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highlight w:val="none"/>
          <w:lang w:val="en-US" w:eastAsia="en-US" w:bidi="ar-SA"/>
        </w:rPr>
      </w:pPr>
    </w:p>
    <w:p>
      <w:pPr>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highlight w:val="none"/>
          <w:lang w:val="en-US" w:eastAsia="en-US" w:bidi="ar-SA"/>
        </w:rPr>
      </w:pPr>
    </w:p>
    <w:p>
      <w:pPr>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highlight w:val="none"/>
          <w:lang w:val="en-US" w:eastAsia="en-US" w:bidi="ar-SA"/>
        </w:rPr>
      </w:pPr>
    </w:p>
    <w:p>
      <w:pPr>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highlight w:val="none"/>
          <w:lang w:val="en-US" w:eastAsia="en-US" w:bidi="ar-SA"/>
        </w:rPr>
      </w:pPr>
    </w:p>
    <w:p>
      <w:pPr>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highlight w:val="none"/>
          <w:lang w:val="en-US" w:eastAsia="en-US" w:bidi="ar-SA"/>
        </w:rPr>
      </w:pPr>
    </w:p>
    <w:p>
      <w:pPr>
        <w:tabs>
          <w:tab w:val="left" w:pos="6457"/>
          <w:tab w:val="left" w:pos="6470"/>
        </w:tabs>
        <w:kinsoku w:val="0"/>
        <w:autoSpaceDE w:val="0"/>
        <w:autoSpaceDN w:val="0"/>
        <w:adjustRightInd w:val="0"/>
        <w:snapToGrid w:val="0"/>
        <w:spacing w:before="91" w:line="404" w:lineRule="auto"/>
        <w:ind w:left="598" w:right="1864" w:firstLine="30"/>
        <w:jc w:val="both"/>
        <w:textAlignment w:val="baseline"/>
        <w:rPr>
          <w:rFonts w:ascii="仿宋" w:hAnsi="仿宋" w:eastAsia="仿宋" w:cs="仿宋"/>
          <w:snapToGrid w:val="0"/>
          <w:color w:val="auto"/>
          <w:kern w:val="0"/>
          <w:sz w:val="28"/>
          <w:szCs w:val="28"/>
          <w:highlight w:val="none"/>
          <w:u w:val="single" w:color="auto"/>
          <w:lang w:val="en-US" w:eastAsia="en-US" w:bidi="ar-SA"/>
        </w:rPr>
      </w:pPr>
      <w:r>
        <w:rPr>
          <w:rFonts w:ascii="仿宋" w:hAnsi="仿宋" w:eastAsia="仿宋" w:cs="仿宋"/>
          <w:b/>
          <w:bCs/>
          <w:snapToGrid w:val="0"/>
          <w:color w:val="auto"/>
          <w:spacing w:val="-4"/>
          <w:kern w:val="0"/>
          <w:sz w:val="28"/>
          <w:szCs w:val="28"/>
          <w:highlight w:val="none"/>
          <w:lang w:val="en-US" w:eastAsia="en-US" w:bidi="ar-SA"/>
        </w:rPr>
        <w:t>甲方：</w:t>
      </w:r>
      <w:r>
        <w:rPr>
          <w:rFonts w:hint="eastAsia" w:ascii="仿宋" w:hAnsi="仿宋" w:eastAsia="仿宋" w:cs="仿宋"/>
          <w:b/>
          <w:bCs/>
          <w:snapToGrid w:val="0"/>
          <w:color w:val="auto"/>
          <w:spacing w:val="-4"/>
          <w:kern w:val="0"/>
          <w:sz w:val="28"/>
          <w:szCs w:val="28"/>
          <w:highlight w:val="none"/>
          <w:lang w:val="en-US" w:eastAsia="zh-CN" w:bidi="ar-SA"/>
        </w:rPr>
        <w:t xml:space="preserve">   </w:t>
      </w:r>
      <w:r>
        <w:rPr>
          <w:rFonts w:hint="eastAsia" w:ascii="仿宋" w:hAnsi="仿宋" w:eastAsia="仿宋" w:cs="仿宋"/>
          <w:b/>
          <w:bCs/>
          <w:snapToGrid w:val="0"/>
          <w:color w:val="auto"/>
          <w:spacing w:val="-4"/>
          <w:kern w:val="0"/>
          <w:sz w:val="28"/>
          <w:szCs w:val="28"/>
          <w:highlight w:val="none"/>
          <w:u w:val="single" w:color="auto"/>
          <w:lang w:val="en-US" w:eastAsia="zh-CN" w:bidi="ar-SA"/>
        </w:rPr>
        <w:t>茂名滨海新区自来水投资有限公司</w:t>
      </w:r>
      <w:r>
        <w:rPr>
          <w:rFonts w:ascii="仿宋" w:hAnsi="仿宋" w:eastAsia="仿宋" w:cs="仿宋"/>
          <w:snapToGrid w:val="0"/>
          <w:color w:val="auto"/>
          <w:kern w:val="0"/>
          <w:sz w:val="28"/>
          <w:szCs w:val="28"/>
          <w:highlight w:val="none"/>
          <w:u w:val="single" w:color="auto"/>
          <w:lang w:val="en-US" w:eastAsia="en-US" w:bidi="ar-SA"/>
        </w:rPr>
        <w:tab/>
      </w:r>
      <w:r>
        <w:rPr>
          <w:rFonts w:ascii="仿宋" w:hAnsi="仿宋" w:eastAsia="仿宋" w:cs="仿宋"/>
          <w:snapToGrid w:val="0"/>
          <w:color w:val="auto"/>
          <w:kern w:val="0"/>
          <w:sz w:val="28"/>
          <w:szCs w:val="28"/>
          <w:highlight w:val="none"/>
          <w:u w:val="single" w:color="auto"/>
          <w:lang w:val="en-US" w:eastAsia="en-US" w:bidi="ar-SA"/>
        </w:rPr>
        <w:tab/>
      </w:r>
      <w:r>
        <w:rPr>
          <w:rFonts w:ascii="仿宋" w:hAnsi="仿宋" w:eastAsia="仿宋" w:cs="仿宋"/>
          <w:snapToGrid w:val="0"/>
          <w:color w:val="auto"/>
          <w:kern w:val="0"/>
          <w:sz w:val="28"/>
          <w:szCs w:val="28"/>
          <w:highlight w:val="none"/>
          <w:lang w:val="en-US" w:eastAsia="en-US" w:bidi="ar-SA"/>
        </w:rPr>
        <w:t xml:space="preserve"> </w:t>
      </w:r>
      <w:r>
        <w:rPr>
          <w:rFonts w:ascii="仿宋" w:hAnsi="仿宋" w:eastAsia="仿宋" w:cs="仿宋"/>
          <w:b/>
          <w:bCs/>
          <w:snapToGrid w:val="0"/>
          <w:color w:val="auto"/>
          <w:spacing w:val="-10"/>
          <w:kern w:val="0"/>
          <w:sz w:val="28"/>
          <w:szCs w:val="28"/>
          <w:highlight w:val="none"/>
          <w:lang w:val="en-US" w:eastAsia="en-US" w:bidi="ar-SA"/>
        </w:rPr>
        <w:t>乙方：</w:t>
      </w:r>
      <w:r>
        <w:rPr>
          <w:rFonts w:ascii="仿宋" w:hAnsi="仿宋" w:eastAsia="仿宋" w:cs="仿宋"/>
          <w:snapToGrid w:val="0"/>
          <w:color w:val="auto"/>
          <w:kern w:val="0"/>
          <w:sz w:val="28"/>
          <w:szCs w:val="28"/>
          <w:highlight w:val="none"/>
          <w:u w:val="single" w:color="auto"/>
          <w:lang w:val="en-US" w:eastAsia="en-US" w:bidi="ar-SA"/>
        </w:rPr>
        <w:tab/>
      </w:r>
      <w:r>
        <w:rPr>
          <w:rFonts w:ascii="仿宋" w:hAnsi="仿宋" w:eastAsia="仿宋" w:cs="仿宋"/>
          <w:snapToGrid w:val="0"/>
          <w:color w:val="auto"/>
          <w:kern w:val="0"/>
          <w:sz w:val="28"/>
          <w:szCs w:val="28"/>
          <w:highlight w:val="none"/>
          <w:lang w:val="en-US" w:eastAsia="en-US" w:bidi="ar-SA"/>
        </w:rPr>
        <w:t xml:space="preserve"> </w:t>
      </w:r>
      <w:r>
        <w:rPr>
          <w:rFonts w:ascii="仿宋" w:hAnsi="仿宋" w:eastAsia="仿宋" w:cs="仿宋"/>
          <w:b/>
          <w:bCs/>
          <w:snapToGrid w:val="0"/>
          <w:color w:val="auto"/>
          <w:spacing w:val="-7"/>
          <w:kern w:val="0"/>
          <w:sz w:val="28"/>
          <w:szCs w:val="28"/>
          <w:highlight w:val="none"/>
          <w:lang w:val="en-US" w:eastAsia="en-US" w:bidi="ar-SA"/>
        </w:rPr>
        <w:t>签约地点：</w:t>
      </w:r>
      <w:r>
        <w:rPr>
          <w:rFonts w:ascii="仿宋" w:hAnsi="仿宋" w:eastAsia="仿宋" w:cs="仿宋"/>
          <w:snapToGrid w:val="0"/>
          <w:color w:val="auto"/>
          <w:kern w:val="0"/>
          <w:sz w:val="28"/>
          <w:szCs w:val="28"/>
          <w:highlight w:val="none"/>
          <w:u w:val="single" w:color="auto"/>
          <w:lang w:val="en-US" w:eastAsia="en-US" w:bidi="ar-SA"/>
        </w:rPr>
        <w:tab/>
      </w:r>
      <w:r>
        <w:rPr>
          <w:rFonts w:ascii="仿宋" w:hAnsi="仿宋" w:eastAsia="仿宋" w:cs="仿宋"/>
          <w:snapToGrid w:val="0"/>
          <w:color w:val="auto"/>
          <w:kern w:val="0"/>
          <w:sz w:val="28"/>
          <w:szCs w:val="28"/>
          <w:highlight w:val="none"/>
          <w:lang w:val="en-US" w:eastAsia="en-US" w:bidi="ar-SA"/>
        </w:rPr>
        <w:t xml:space="preserve"> </w:t>
      </w:r>
      <w:r>
        <w:rPr>
          <w:rFonts w:ascii="仿宋" w:hAnsi="仿宋" w:eastAsia="仿宋" w:cs="仿宋"/>
          <w:b/>
          <w:bCs/>
          <w:snapToGrid w:val="0"/>
          <w:color w:val="auto"/>
          <w:spacing w:val="-7"/>
          <w:kern w:val="0"/>
          <w:sz w:val="28"/>
          <w:szCs w:val="28"/>
          <w:highlight w:val="none"/>
          <w:lang w:val="en-US" w:eastAsia="en-US" w:bidi="ar-SA"/>
        </w:rPr>
        <w:t>签约日期：</w:t>
      </w:r>
      <w:r>
        <w:rPr>
          <w:rFonts w:ascii="仿宋" w:hAnsi="仿宋" w:eastAsia="仿宋" w:cs="仿宋"/>
          <w:snapToGrid w:val="0"/>
          <w:color w:val="auto"/>
          <w:kern w:val="0"/>
          <w:sz w:val="28"/>
          <w:szCs w:val="28"/>
          <w:highlight w:val="none"/>
          <w:u w:val="single" w:color="auto"/>
          <w:lang w:val="en-US" w:eastAsia="en-US" w:bidi="ar-SA"/>
        </w:rPr>
        <w:t xml:space="preserve">                                </w:t>
      </w:r>
    </w:p>
    <w:p>
      <w:pPr>
        <w:rPr>
          <w:rFonts w:ascii="仿宋" w:hAnsi="仿宋" w:eastAsia="仿宋" w:cs="仿宋"/>
          <w:snapToGrid w:val="0"/>
          <w:color w:val="auto"/>
          <w:kern w:val="0"/>
          <w:sz w:val="28"/>
          <w:szCs w:val="28"/>
          <w:highlight w:val="none"/>
          <w:u w:val="single" w:color="auto"/>
          <w:lang w:val="en-US" w:eastAsia="en-US" w:bidi="ar-SA"/>
        </w:rPr>
      </w:pPr>
      <w:r>
        <w:rPr>
          <w:rFonts w:ascii="仿宋" w:hAnsi="仿宋" w:eastAsia="仿宋" w:cs="仿宋"/>
          <w:snapToGrid w:val="0"/>
          <w:color w:val="auto"/>
          <w:kern w:val="0"/>
          <w:sz w:val="28"/>
          <w:szCs w:val="28"/>
          <w:highlight w:val="none"/>
          <w:u w:val="single" w:color="auto"/>
          <w:lang w:val="en-US" w:eastAsia="en-US" w:bidi="ar-SA"/>
        </w:rPr>
        <w:br w:type="page"/>
      </w:r>
    </w:p>
    <w:p>
      <w:pPr>
        <w:tabs>
          <w:tab w:val="left" w:pos="6457"/>
          <w:tab w:val="left" w:pos="6470"/>
        </w:tabs>
        <w:kinsoku w:val="0"/>
        <w:autoSpaceDE w:val="0"/>
        <w:autoSpaceDN w:val="0"/>
        <w:adjustRightInd w:val="0"/>
        <w:snapToGrid w:val="0"/>
        <w:spacing w:before="91" w:line="404" w:lineRule="auto"/>
        <w:ind w:left="598" w:right="1864" w:firstLine="30"/>
        <w:jc w:val="both"/>
        <w:textAlignment w:val="baseline"/>
        <w:rPr>
          <w:rFonts w:ascii="仿宋" w:hAnsi="仿宋" w:eastAsia="仿宋" w:cs="仿宋"/>
          <w:snapToGrid w:val="0"/>
          <w:color w:val="auto"/>
          <w:kern w:val="0"/>
          <w:sz w:val="28"/>
          <w:szCs w:val="28"/>
          <w:highlight w:val="none"/>
          <w:u w:val="single" w:color="auto"/>
          <w:lang w:val="en-US" w:eastAsia="en-US" w:bidi="ar-SA"/>
        </w:rPr>
      </w:pPr>
    </w:p>
    <w:sdt>
      <w:sdtPr>
        <w:rPr>
          <w:rFonts w:ascii="宋体" w:hAnsi="宋体" w:eastAsia="宋体" w:cs="Arial"/>
          <w:snapToGrid w:val="0"/>
          <w:color w:val="auto"/>
          <w:kern w:val="0"/>
          <w:sz w:val="60"/>
          <w:szCs w:val="60"/>
          <w:highlight w:val="none"/>
          <w:lang w:val="en-US" w:eastAsia="en-US" w:bidi="ar-SA"/>
        </w:rPr>
        <w:id w:val="147453577"/>
        <w15:color w:val="DBDBDB"/>
        <w:docPartObj>
          <w:docPartGallery w:val="Table of Contents"/>
          <w:docPartUnique/>
        </w:docPartObj>
      </w:sdtPr>
      <w:sdtEndPr>
        <w:rPr>
          <w:rFonts w:ascii="宋体" w:hAnsi="宋体" w:eastAsia="宋体" w:cs="Arial"/>
          <w:snapToGrid w:val="0"/>
          <w:color w:val="auto"/>
          <w:kern w:val="0"/>
          <w:sz w:val="60"/>
          <w:szCs w:val="60"/>
          <w:highlight w:val="none"/>
          <w:lang w:val="en-US" w:eastAsia="en-US" w:bidi="ar-SA"/>
        </w:rPr>
      </w:sdtEndPr>
      <w:sdtContent>
        <w:p>
          <w:pPr>
            <w:spacing w:before="0" w:beforeLines="0" w:after="0" w:afterLines="0" w:line="240" w:lineRule="auto"/>
            <w:ind w:left="0" w:leftChars="0" w:right="0" w:rightChars="0" w:firstLine="0" w:firstLineChars="0"/>
            <w:jc w:val="center"/>
            <w:rPr>
              <w:color w:val="auto"/>
              <w:sz w:val="60"/>
              <w:szCs w:val="60"/>
              <w:highlight w:val="none"/>
            </w:rPr>
          </w:pPr>
          <w:r>
            <w:rPr>
              <w:rFonts w:ascii="宋体" w:hAnsi="宋体" w:eastAsia="宋体"/>
              <w:color w:val="auto"/>
              <w:sz w:val="60"/>
              <w:szCs w:val="60"/>
              <w:highlight w:val="none"/>
            </w:rPr>
            <w:t>目录</w:t>
          </w:r>
        </w:p>
        <w:p>
          <w:pPr>
            <w:pStyle w:val="27"/>
            <w:tabs>
              <w:tab w:val="right" w:leader="dot" w:pos="8336"/>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pPr>
            <w:pStyle w:val="27"/>
            <w:tabs>
              <w:tab w:val="right" w:leader="dot" w:pos="833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_Toc11639 </w:instrText>
          </w:r>
          <w:r>
            <w:rPr>
              <w:color w:val="auto"/>
              <w:sz w:val="28"/>
              <w:szCs w:val="28"/>
              <w:highlight w:val="none"/>
            </w:rPr>
            <w:fldChar w:fldCharType="separate"/>
          </w:r>
          <w:r>
            <w:rPr>
              <w:rFonts w:hint="default"/>
              <w:color w:val="auto"/>
              <w:sz w:val="28"/>
              <w:szCs w:val="28"/>
              <w:highlight w:val="none"/>
            </w:rPr>
            <w:t xml:space="preserve">第1条 </w:t>
          </w:r>
          <w:r>
            <w:rPr>
              <w:color w:val="auto"/>
              <w:sz w:val="28"/>
              <w:szCs w:val="28"/>
              <w:highlight w:val="none"/>
            </w:rPr>
            <w:t>定义与解释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_Toc11639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pPr>
            <w:pStyle w:val="27"/>
            <w:tabs>
              <w:tab w:val="right" w:leader="dot" w:pos="833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_Toc24040 </w:instrText>
          </w:r>
          <w:r>
            <w:rPr>
              <w:color w:val="auto"/>
              <w:sz w:val="28"/>
              <w:szCs w:val="28"/>
              <w:highlight w:val="none"/>
            </w:rPr>
            <w:fldChar w:fldCharType="separate"/>
          </w:r>
          <w:r>
            <w:rPr>
              <w:rFonts w:hint="default"/>
              <w:color w:val="auto"/>
              <w:sz w:val="28"/>
              <w:szCs w:val="28"/>
              <w:highlight w:val="none"/>
            </w:rPr>
            <w:t xml:space="preserve">第2条 </w:t>
          </w:r>
          <w:r>
            <w:rPr>
              <w:color w:val="auto"/>
              <w:sz w:val="28"/>
              <w:szCs w:val="28"/>
              <w:highlight w:val="none"/>
            </w:rPr>
            <w:t>声明与保证</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_Toc24040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pPr>
            <w:pStyle w:val="27"/>
            <w:tabs>
              <w:tab w:val="right" w:leader="dot" w:pos="833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_Toc3882 </w:instrText>
          </w:r>
          <w:r>
            <w:rPr>
              <w:color w:val="auto"/>
              <w:sz w:val="28"/>
              <w:szCs w:val="28"/>
              <w:highlight w:val="none"/>
            </w:rPr>
            <w:fldChar w:fldCharType="separate"/>
          </w:r>
          <w:r>
            <w:rPr>
              <w:rFonts w:hint="default"/>
              <w:color w:val="auto"/>
              <w:sz w:val="28"/>
              <w:szCs w:val="28"/>
              <w:highlight w:val="none"/>
            </w:rPr>
            <w:t xml:space="preserve">第3条 </w:t>
          </w:r>
          <w:r>
            <w:rPr>
              <w:color w:val="auto"/>
              <w:sz w:val="28"/>
              <w:szCs w:val="28"/>
              <w:highlight w:val="none"/>
            </w:rPr>
            <w:t>协议主体</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_Toc3882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pPr>
            <w:pStyle w:val="27"/>
            <w:tabs>
              <w:tab w:val="right" w:leader="dot" w:pos="833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_Toc10967 </w:instrText>
          </w:r>
          <w:r>
            <w:rPr>
              <w:color w:val="auto"/>
              <w:sz w:val="28"/>
              <w:szCs w:val="28"/>
              <w:highlight w:val="none"/>
            </w:rPr>
            <w:fldChar w:fldCharType="separate"/>
          </w:r>
          <w:r>
            <w:rPr>
              <w:rFonts w:hint="default"/>
              <w:color w:val="auto"/>
              <w:sz w:val="28"/>
              <w:szCs w:val="28"/>
              <w:highlight w:val="none"/>
            </w:rPr>
            <w:t xml:space="preserve">第4条 </w:t>
          </w:r>
          <w:r>
            <w:rPr>
              <w:color w:val="auto"/>
              <w:sz w:val="28"/>
              <w:szCs w:val="28"/>
              <w:highlight w:val="none"/>
            </w:rPr>
            <w:t>有偿使用权</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_Toc10967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color w:val="auto"/>
              <w:sz w:val="28"/>
              <w:szCs w:val="28"/>
              <w:highlight w:val="none"/>
            </w:rPr>
            <w:fldChar w:fldCharType="end"/>
          </w:r>
        </w:p>
        <w:p>
          <w:pPr>
            <w:pStyle w:val="27"/>
            <w:tabs>
              <w:tab w:val="right" w:leader="dot" w:pos="833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_Toc9188 </w:instrText>
          </w:r>
          <w:r>
            <w:rPr>
              <w:color w:val="auto"/>
              <w:sz w:val="28"/>
              <w:szCs w:val="28"/>
              <w:highlight w:val="none"/>
            </w:rPr>
            <w:fldChar w:fldCharType="separate"/>
          </w:r>
          <w:r>
            <w:rPr>
              <w:rFonts w:hint="default"/>
              <w:color w:val="auto"/>
              <w:sz w:val="28"/>
              <w:szCs w:val="28"/>
              <w:highlight w:val="none"/>
            </w:rPr>
            <w:t xml:space="preserve">第5条 </w:t>
          </w:r>
          <w:r>
            <w:rPr>
              <w:color w:val="auto"/>
              <w:sz w:val="28"/>
              <w:szCs w:val="28"/>
              <w:highlight w:val="none"/>
            </w:rPr>
            <w:t>项目概况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_Toc9188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color w:val="auto"/>
              <w:sz w:val="28"/>
              <w:szCs w:val="28"/>
              <w:highlight w:val="none"/>
            </w:rPr>
            <w:fldChar w:fldCharType="end"/>
          </w:r>
        </w:p>
        <w:p>
          <w:pPr>
            <w:pStyle w:val="27"/>
            <w:tabs>
              <w:tab w:val="right" w:leader="dot" w:pos="833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_Toc1329 </w:instrText>
          </w:r>
          <w:r>
            <w:rPr>
              <w:color w:val="auto"/>
              <w:sz w:val="28"/>
              <w:szCs w:val="28"/>
              <w:highlight w:val="none"/>
            </w:rPr>
            <w:fldChar w:fldCharType="separate"/>
          </w:r>
          <w:r>
            <w:rPr>
              <w:rFonts w:hint="default"/>
              <w:color w:val="auto"/>
              <w:sz w:val="28"/>
              <w:szCs w:val="28"/>
              <w:highlight w:val="none"/>
            </w:rPr>
            <w:t xml:space="preserve">第6条 </w:t>
          </w:r>
          <w:r>
            <w:rPr>
              <w:color w:val="auto"/>
              <w:sz w:val="28"/>
              <w:szCs w:val="28"/>
              <w:highlight w:val="none"/>
            </w:rPr>
            <w:t>有偿使用方式、区域、范围和期限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_Toc1329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color w:val="auto"/>
              <w:sz w:val="28"/>
              <w:szCs w:val="28"/>
              <w:highlight w:val="none"/>
            </w:rPr>
            <w:fldChar w:fldCharType="end"/>
          </w:r>
        </w:p>
        <w:p>
          <w:pPr>
            <w:pStyle w:val="27"/>
            <w:tabs>
              <w:tab w:val="right" w:leader="dot" w:pos="833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_Toc10722 </w:instrText>
          </w:r>
          <w:r>
            <w:rPr>
              <w:color w:val="auto"/>
              <w:sz w:val="28"/>
              <w:szCs w:val="28"/>
              <w:highlight w:val="none"/>
            </w:rPr>
            <w:fldChar w:fldCharType="separate"/>
          </w:r>
          <w:r>
            <w:rPr>
              <w:rFonts w:hint="default" w:eastAsia="宋体"/>
              <w:color w:val="auto"/>
              <w:sz w:val="28"/>
              <w:szCs w:val="28"/>
              <w:highlight w:val="none"/>
              <w:lang w:eastAsia="zh-CN"/>
            </w:rPr>
            <w:t xml:space="preserve">第7条 </w:t>
          </w:r>
          <w:r>
            <w:rPr>
              <w:color w:val="auto"/>
              <w:sz w:val="28"/>
              <w:szCs w:val="28"/>
              <w:highlight w:val="none"/>
            </w:rPr>
            <w:t>项目建设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_Toc10722 \h </w:instrText>
          </w:r>
          <w:r>
            <w:rPr>
              <w:color w:val="auto"/>
              <w:sz w:val="28"/>
              <w:szCs w:val="28"/>
              <w:highlight w:val="none"/>
            </w:rPr>
            <w:fldChar w:fldCharType="separate"/>
          </w:r>
          <w:r>
            <w:rPr>
              <w:color w:val="auto"/>
              <w:sz w:val="28"/>
              <w:szCs w:val="28"/>
              <w:highlight w:val="none"/>
            </w:rPr>
            <w:t>8</w:t>
          </w:r>
          <w:r>
            <w:rPr>
              <w:color w:val="auto"/>
              <w:sz w:val="28"/>
              <w:szCs w:val="28"/>
              <w:highlight w:val="none"/>
            </w:rPr>
            <w:fldChar w:fldCharType="end"/>
          </w:r>
          <w:r>
            <w:rPr>
              <w:color w:val="auto"/>
              <w:sz w:val="28"/>
              <w:szCs w:val="28"/>
              <w:highlight w:val="none"/>
            </w:rPr>
            <w:fldChar w:fldCharType="end"/>
          </w:r>
        </w:p>
        <w:p>
          <w:pPr>
            <w:pStyle w:val="27"/>
            <w:tabs>
              <w:tab w:val="right" w:leader="dot" w:pos="833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_Toc6198 </w:instrText>
          </w:r>
          <w:r>
            <w:rPr>
              <w:color w:val="auto"/>
              <w:sz w:val="28"/>
              <w:szCs w:val="28"/>
              <w:highlight w:val="none"/>
            </w:rPr>
            <w:fldChar w:fldCharType="separate"/>
          </w:r>
          <w:r>
            <w:rPr>
              <w:rFonts w:hint="default"/>
              <w:color w:val="auto"/>
              <w:sz w:val="28"/>
              <w:szCs w:val="28"/>
              <w:highlight w:val="none"/>
            </w:rPr>
            <w:t xml:space="preserve">第8条 </w:t>
          </w:r>
          <w:r>
            <w:rPr>
              <w:color w:val="auto"/>
              <w:sz w:val="28"/>
              <w:szCs w:val="28"/>
              <w:highlight w:val="none"/>
            </w:rPr>
            <w:t>运营维护</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_Toc6198 \h </w:instrText>
          </w:r>
          <w:r>
            <w:rPr>
              <w:color w:val="auto"/>
              <w:sz w:val="28"/>
              <w:szCs w:val="28"/>
              <w:highlight w:val="none"/>
            </w:rPr>
            <w:fldChar w:fldCharType="separate"/>
          </w:r>
          <w:r>
            <w:rPr>
              <w:color w:val="auto"/>
              <w:sz w:val="28"/>
              <w:szCs w:val="28"/>
              <w:highlight w:val="none"/>
            </w:rPr>
            <w:t>13</w:t>
          </w:r>
          <w:r>
            <w:rPr>
              <w:color w:val="auto"/>
              <w:sz w:val="28"/>
              <w:szCs w:val="28"/>
              <w:highlight w:val="none"/>
            </w:rPr>
            <w:fldChar w:fldCharType="end"/>
          </w:r>
          <w:r>
            <w:rPr>
              <w:color w:val="auto"/>
              <w:sz w:val="28"/>
              <w:szCs w:val="28"/>
              <w:highlight w:val="none"/>
            </w:rPr>
            <w:fldChar w:fldCharType="end"/>
          </w:r>
        </w:p>
        <w:p>
          <w:pPr>
            <w:pStyle w:val="27"/>
            <w:tabs>
              <w:tab w:val="right" w:leader="dot" w:pos="833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_Toc21871 </w:instrText>
          </w:r>
          <w:r>
            <w:rPr>
              <w:color w:val="auto"/>
              <w:sz w:val="28"/>
              <w:szCs w:val="28"/>
              <w:highlight w:val="none"/>
            </w:rPr>
            <w:fldChar w:fldCharType="separate"/>
          </w:r>
          <w:r>
            <w:rPr>
              <w:rFonts w:hint="default"/>
              <w:color w:val="auto"/>
              <w:sz w:val="28"/>
              <w:szCs w:val="28"/>
              <w:highlight w:val="none"/>
            </w:rPr>
            <w:t xml:space="preserve">第9条 </w:t>
          </w:r>
          <w:r>
            <w:rPr>
              <w:color w:val="auto"/>
              <w:sz w:val="28"/>
              <w:szCs w:val="28"/>
              <w:highlight w:val="none"/>
            </w:rPr>
            <w:t>履约担保</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_Toc21871 \h </w:instrText>
          </w:r>
          <w:r>
            <w:rPr>
              <w:color w:val="auto"/>
              <w:sz w:val="28"/>
              <w:szCs w:val="28"/>
              <w:highlight w:val="none"/>
            </w:rPr>
            <w:fldChar w:fldCharType="separate"/>
          </w:r>
          <w:r>
            <w:rPr>
              <w:color w:val="auto"/>
              <w:sz w:val="28"/>
              <w:szCs w:val="28"/>
              <w:highlight w:val="none"/>
            </w:rPr>
            <w:t>15</w:t>
          </w:r>
          <w:r>
            <w:rPr>
              <w:color w:val="auto"/>
              <w:sz w:val="28"/>
              <w:szCs w:val="28"/>
              <w:highlight w:val="none"/>
            </w:rPr>
            <w:fldChar w:fldCharType="end"/>
          </w:r>
          <w:r>
            <w:rPr>
              <w:color w:val="auto"/>
              <w:sz w:val="28"/>
              <w:szCs w:val="28"/>
              <w:highlight w:val="none"/>
            </w:rPr>
            <w:fldChar w:fldCharType="end"/>
          </w:r>
        </w:p>
        <w:p>
          <w:pPr>
            <w:pStyle w:val="27"/>
            <w:tabs>
              <w:tab w:val="right" w:leader="dot" w:pos="833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_Toc27858 </w:instrText>
          </w:r>
          <w:r>
            <w:rPr>
              <w:color w:val="auto"/>
              <w:sz w:val="28"/>
              <w:szCs w:val="28"/>
              <w:highlight w:val="none"/>
            </w:rPr>
            <w:fldChar w:fldCharType="separate"/>
          </w:r>
          <w:r>
            <w:rPr>
              <w:rFonts w:hint="default"/>
              <w:color w:val="auto"/>
              <w:sz w:val="28"/>
              <w:szCs w:val="28"/>
              <w:highlight w:val="none"/>
            </w:rPr>
            <w:t xml:space="preserve">第10条 </w:t>
          </w:r>
          <w:r>
            <w:rPr>
              <w:color w:val="auto"/>
              <w:sz w:val="28"/>
              <w:szCs w:val="28"/>
              <w:highlight w:val="none"/>
            </w:rPr>
            <w:t>风险</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_Toc27858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color w:val="auto"/>
              <w:sz w:val="28"/>
              <w:szCs w:val="28"/>
              <w:highlight w:val="none"/>
            </w:rPr>
            <w:fldChar w:fldCharType="end"/>
          </w:r>
        </w:p>
        <w:p>
          <w:pPr>
            <w:pStyle w:val="27"/>
            <w:tabs>
              <w:tab w:val="right" w:leader="dot" w:pos="833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_Toc17010 </w:instrText>
          </w:r>
          <w:r>
            <w:rPr>
              <w:color w:val="auto"/>
              <w:sz w:val="28"/>
              <w:szCs w:val="28"/>
              <w:highlight w:val="none"/>
            </w:rPr>
            <w:fldChar w:fldCharType="separate"/>
          </w:r>
          <w:r>
            <w:rPr>
              <w:rFonts w:hint="default"/>
              <w:color w:val="auto"/>
              <w:sz w:val="28"/>
              <w:szCs w:val="28"/>
              <w:highlight w:val="none"/>
            </w:rPr>
            <w:t xml:space="preserve">第11条 </w:t>
          </w:r>
          <w:r>
            <w:rPr>
              <w:color w:val="auto"/>
              <w:sz w:val="28"/>
              <w:szCs w:val="28"/>
              <w:highlight w:val="none"/>
            </w:rPr>
            <w:t>项目移交</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_Toc17010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color w:val="auto"/>
              <w:sz w:val="28"/>
              <w:szCs w:val="28"/>
              <w:highlight w:val="none"/>
            </w:rPr>
            <w:fldChar w:fldCharType="end"/>
          </w:r>
        </w:p>
        <w:p>
          <w:pPr>
            <w:pStyle w:val="27"/>
            <w:tabs>
              <w:tab w:val="right" w:leader="dot" w:pos="833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_Toc4970 </w:instrText>
          </w:r>
          <w:r>
            <w:rPr>
              <w:color w:val="auto"/>
              <w:sz w:val="28"/>
              <w:szCs w:val="28"/>
              <w:highlight w:val="none"/>
            </w:rPr>
            <w:fldChar w:fldCharType="separate"/>
          </w:r>
          <w:r>
            <w:rPr>
              <w:rFonts w:hint="default"/>
              <w:color w:val="auto"/>
              <w:sz w:val="28"/>
              <w:szCs w:val="28"/>
              <w:highlight w:val="none"/>
            </w:rPr>
            <w:t xml:space="preserve">第12条 </w:t>
          </w:r>
          <w:r>
            <w:rPr>
              <w:color w:val="auto"/>
              <w:sz w:val="28"/>
              <w:szCs w:val="28"/>
              <w:highlight w:val="none"/>
            </w:rPr>
            <w:t>协议终止及补偿</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_Toc4970 \h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color w:val="auto"/>
              <w:sz w:val="28"/>
              <w:szCs w:val="28"/>
              <w:highlight w:val="none"/>
            </w:rPr>
            <w:fldChar w:fldCharType="end"/>
          </w:r>
        </w:p>
        <w:p>
          <w:pPr>
            <w:pStyle w:val="27"/>
            <w:tabs>
              <w:tab w:val="right" w:leader="dot" w:pos="833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_Toc31591 </w:instrText>
          </w:r>
          <w:r>
            <w:rPr>
              <w:color w:val="auto"/>
              <w:sz w:val="28"/>
              <w:szCs w:val="28"/>
              <w:highlight w:val="none"/>
            </w:rPr>
            <w:fldChar w:fldCharType="separate"/>
          </w:r>
          <w:r>
            <w:rPr>
              <w:rFonts w:hint="default"/>
              <w:color w:val="auto"/>
              <w:sz w:val="28"/>
              <w:szCs w:val="28"/>
              <w:highlight w:val="none"/>
            </w:rPr>
            <w:t xml:space="preserve">第13条 </w:t>
          </w:r>
          <w:r>
            <w:rPr>
              <w:color w:val="auto"/>
              <w:sz w:val="28"/>
              <w:szCs w:val="28"/>
              <w:highlight w:val="none"/>
            </w:rPr>
            <w:t>争议解决</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_Toc31591 \h </w:instrText>
          </w:r>
          <w:r>
            <w:rPr>
              <w:color w:val="auto"/>
              <w:sz w:val="28"/>
              <w:szCs w:val="28"/>
              <w:highlight w:val="none"/>
            </w:rPr>
            <w:fldChar w:fldCharType="separate"/>
          </w:r>
          <w:r>
            <w:rPr>
              <w:color w:val="auto"/>
              <w:sz w:val="28"/>
              <w:szCs w:val="28"/>
              <w:highlight w:val="none"/>
            </w:rPr>
            <w:t>22</w:t>
          </w:r>
          <w:r>
            <w:rPr>
              <w:color w:val="auto"/>
              <w:sz w:val="28"/>
              <w:szCs w:val="28"/>
              <w:highlight w:val="none"/>
            </w:rPr>
            <w:fldChar w:fldCharType="end"/>
          </w:r>
          <w:r>
            <w:rPr>
              <w:color w:val="auto"/>
              <w:sz w:val="28"/>
              <w:szCs w:val="28"/>
              <w:highlight w:val="none"/>
            </w:rPr>
            <w:fldChar w:fldCharType="end"/>
          </w:r>
        </w:p>
        <w:p>
          <w:pPr>
            <w:pStyle w:val="27"/>
            <w:tabs>
              <w:tab w:val="right" w:leader="dot" w:pos="833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_Toc372 </w:instrText>
          </w:r>
          <w:r>
            <w:rPr>
              <w:color w:val="auto"/>
              <w:sz w:val="28"/>
              <w:szCs w:val="28"/>
              <w:highlight w:val="none"/>
            </w:rPr>
            <w:fldChar w:fldCharType="separate"/>
          </w:r>
          <w:r>
            <w:rPr>
              <w:rFonts w:hint="default"/>
              <w:color w:val="auto"/>
              <w:sz w:val="28"/>
              <w:szCs w:val="28"/>
              <w:highlight w:val="none"/>
            </w:rPr>
            <w:t xml:space="preserve">第14条 </w:t>
          </w:r>
          <w:r>
            <w:rPr>
              <w:color w:val="auto"/>
              <w:sz w:val="28"/>
              <w:szCs w:val="28"/>
              <w:highlight w:val="none"/>
            </w:rPr>
            <w:t>法律或政策的变动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_Toc372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color w:val="auto"/>
              <w:sz w:val="28"/>
              <w:szCs w:val="28"/>
              <w:highlight w:val="none"/>
            </w:rPr>
            <w:fldChar w:fldCharType="end"/>
          </w:r>
        </w:p>
        <w:p>
          <w:pPr>
            <w:pStyle w:val="27"/>
            <w:tabs>
              <w:tab w:val="right" w:leader="dot" w:pos="833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_Toc2351 </w:instrText>
          </w:r>
          <w:r>
            <w:rPr>
              <w:color w:val="auto"/>
              <w:sz w:val="28"/>
              <w:szCs w:val="28"/>
              <w:highlight w:val="none"/>
            </w:rPr>
            <w:fldChar w:fldCharType="separate"/>
          </w:r>
          <w:r>
            <w:rPr>
              <w:rFonts w:hint="default"/>
              <w:color w:val="auto"/>
              <w:sz w:val="28"/>
              <w:szCs w:val="28"/>
              <w:highlight w:val="none"/>
            </w:rPr>
            <w:t xml:space="preserve">第15条 </w:t>
          </w:r>
          <w:r>
            <w:rPr>
              <w:color w:val="auto"/>
              <w:sz w:val="28"/>
              <w:szCs w:val="28"/>
              <w:highlight w:val="none"/>
            </w:rPr>
            <w:t>不可抗力</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_Toc2351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color w:val="auto"/>
              <w:sz w:val="28"/>
              <w:szCs w:val="28"/>
              <w:highlight w:val="none"/>
            </w:rPr>
            <w:fldChar w:fldCharType="end"/>
          </w:r>
        </w:p>
        <w:p>
          <w:pPr>
            <w:pStyle w:val="27"/>
            <w:tabs>
              <w:tab w:val="right" w:leader="dot" w:pos="833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_Toc26758 </w:instrText>
          </w:r>
          <w:r>
            <w:rPr>
              <w:color w:val="auto"/>
              <w:sz w:val="28"/>
              <w:szCs w:val="28"/>
              <w:highlight w:val="none"/>
            </w:rPr>
            <w:fldChar w:fldCharType="separate"/>
          </w:r>
          <w:r>
            <w:rPr>
              <w:rFonts w:hint="default"/>
              <w:color w:val="auto"/>
              <w:sz w:val="28"/>
              <w:szCs w:val="28"/>
              <w:highlight w:val="none"/>
            </w:rPr>
            <w:t xml:space="preserve">第16条 </w:t>
          </w:r>
          <w:r>
            <w:rPr>
              <w:color w:val="auto"/>
              <w:sz w:val="28"/>
              <w:szCs w:val="28"/>
              <w:highlight w:val="none"/>
            </w:rPr>
            <w:t>其他</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_Toc26758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color w:val="auto"/>
              <w:sz w:val="28"/>
              <w:szCs w:val="28"/>
              <w:highlight w:val="none"/>
            </w:rPr>
            <w:fldChar w:fldCharType="end"/>
          </w:r>
        </w:p>
        <w:p>
          <w:pPr>
            <w:rPr>
              <w:color w:val="auto"/>
              <w:highlight w:val="none"/>
            </w:rPr>
            <w:sectPr>
              <w:footerReference r:id="rId5" w:type="default"/>
              <w:pgSz w:w="11906" w:h="16839"/>
              <w:pgMar w:top="1431" w:right="1785" w:bottom="0" w:left="1785" w:header="0" w:footer="567" w:gutter="0"/>
              <w:cols w:space="720" w:num="1"/>
            </w:sectPr>
          </w:pPr>
          <w:r>
            <w:rPr>
              <w:color w:val="auto"/>
              <w:highlight w:val="none"/>
            </w:rPr>
            <w:fldChar w:fldCharType="end"/>
          </w:r>
        </w:p>
      </w:sdtContent>
    </w:sdt>
    <w:p>
      <w:pPr>
        <w:rPr>
          <w:rFonts w:ascii="仿宋" w:hAnsi="仿宋" w:eastAsia="仿宋" w:cs="仿宋"/>
          <w:snapToGrid w:val="0"/>
          <w:color w:val="auto"/>
          <w:kern w:val="0"/>
          <w:sz w:val="28"/>
          <w:szCs w:val="28"/>
          <w:highlight w:val="none"/>
          <w:lang w:val="en-US" w:eastAsia="en-US" w:bidi="ar-SA"/>
        </w:rPr>
      </w:pPr>
    </w:p>
    <w:p>
      <w:pPr>
        <w:pStyle w:val="11"/>
        <w:widowControl/>
        <w:ind w:left="0" w:leftChars="0" w:firstLine="480" w:firstLineChars="200"/>
        <w:rPr>
          <w:color w:val="auto"/>
          <w:highlight w:val="none"/>
        </w:rPr>
      </w:pPr>
      <w:r>
        <w:rPr>
          <w:color w:val="auto"/>
          <w:highlight w:val="none"/>
        </w:rPr>
        <w:t>为贯彻落实《广东省推进分布式光伏高质量发展行动方案》工作要求，积极响应国家</w:t>
      </w:r>
      <w:r>
        <w:rPr>
          <w:rFonts w:hint="eastAsia"/>
          <w:color w:val="auto"/>
          <w:highlight w:val="none"/>
          <w:lang w:eastAsia="zh-CN"/>
        </w:rPr>
        <w:t>“双碳”</w:t>
      </w:r>
      <w:r>
        <w:rPr>
          <w:color w:val="auto"/>
          <w:highlight w:val="none"/>
        </w:rPr>
        <w:t>战略目标，推动绿色能源转型，同时盘活企业闲置资产、优化资源配置，甲方作为项目实施单位，已通过公开招标选定</w:t>
      </w:r>
      <w:r>
        <w:rPr>
          <w:color w:val="auto"/>
          <w:highlight w:val="none"/>
          <w:u w:val="none" w:color="auto"/>
        </w:rPr>
        <w:t xml:space="preserve">             </w:t>
      </w:r>
      <w:r>
        <w:rPr>
          <w:color w:val="auto"/>
          <w:highlight w:val="none"/>
        </w:rPr>
        <w:t xml:space="preserve"> 为本项目的中选投资人，并已于</w:t>
      </w:r>
      <w:r>
        <w:rPr>
          <w:color w:val="auto"/>
          <w:highlight w:val="none"/>
          <w:u w:val="none" w:color="auto"/>
        </w:rPr>
        <w:t xml:space="preserve">   </w:t>
      </w:r>
      <w:r>
        <w:rPr>
          <w:color w:val="auto"/>
          <w:highlight w:val="none"/>
        </w:rPr>
        <w:t xml:space="preserve"> 年</w:t>
      </w:r>
      <w:r>
        <w:rPr>
          <w:color w:val="auto"/>
          <w:highlight w:val="none"/>
          <w:u w:val="none" w:color="auto"/>
        </w:rPr>
        <w:t xml:space="preserve">   </w:t>
      </w:r>
      <w:r>
        <w:rPr>
          <w:color w:val="auto"/>
          <w:highlight w:val="none"/>
        </w:rPr>
        <w:t xml:space="preserve"> 月</w:t>
      </w:r>
      <w:r>
        <w:rPr>
          <w:color w:val="auto"/>
          <w:highlight w:val="none"/>
          <w:u w:val="none" w:color="auto"/>
        </w:rPr>
        <w:t xml:space="preserve">   </w:t>
      </w:r>
      <w:r>
        <w:rPr>
          <w:color w:val="auto"/>
          <w:highlight w:val="none"/>
        </w:rPr>
        <w:t xml:space="preserve"> 日发出中标通知书。</w:t>
      </w:r>
    </w:p>
    <w:p>
      <w:pPr>
        <w:pStyle w:val="11"/>
        <w:widowControl/>
        <w:ind w:left="0" w:leftChars="0" w:firstLine="480" w:firstLineChars="200"/>
        <w:rPr>
          <w:color w:val="auto"/>
          <w:highlight w:val="none"/>
        </w:rPr>
      </w:pPr>
      <w:r>
        <w:rPr>
          <w:rFonts w:hint="eastAsia"/>
          <w:color w:val="auto"/>
          <w:highlight w:val="none"/>
          <w:lang w:val="en-US" w:eastAsia="zh-CN"/>
        </w:rPr>
        <w:t>为</w:t>
      </w:r>
      <w:r>
        <w:rPr>
          <w:color w:val="auto"/>
          <w:highlight w:val="none"/>
        </w:rPr>
        <w:t>明确本项目中各方的权利、义务和责任，确保本项目的顺利开发建设，依照《中华人民共和国民法典》</w:t>
      </w:r>
      <w:r>
        <w:rPr>
          <w:rFonts w:hint="eastAsia"/>
          <w:color w:val="auto"/>
          <w:highlight w:val="none"/>
          <w:lang w:eastAsia="zh-CN"/>
        </w:rPr>
        <w:t>及其他</w:t>
      </w:r>
      <w:r>
        <w:rPr>
          <w:color w:val="auto"/>
          <w:highlight w:val="none"/>
        </w:rPr>
        <w:t>相关法律法规，遵循诚实信用的原则，协议各方就本项目投融资、建设和运营管理的相关事宜达成一致，订立本协议。</w:t>
      </w:r>
    </w:p>
    <w:p>
      <w:pPr>
        <w:pStyle w:val="23"/>
        <w:widowControl/>
        <w:numPr>
          <w:ilvl w:val="0"/>
          <w:numId w:val="1"/>
        </w:numPr>
        <w:tabs>
          <w:tab w:val="left" w:pos="1731"/>
          <w:tab w:val="clear" w:pos="210"/>
        </w:tabs>
        <w:ind w:left="0" w:leftChars="0" w:firstLine="600" w:firstLineChars="200"/>
        <w:outlineLvl w:val="0"/>
        <w:rPr>
          <w:b w:val="0"/>
          <w:color w:val="auto"/>
          <w:highlight w:val="none"/>
        </w:rPr>
      </w:pPr>
      <w:bookmarkStart w:id="2" w:name="bookmark3"/>
      <w:bookmarkEnd w:id="2"/>
      <w:bookmarkStart w:id="3" w:name="bookmark2"/>
      <w:bookmarkEnd w:id="3"/>
      <w:bookmarkStart w:id="4" w:name="_Toc11639"/>
      <w:r>
        <w:rPr>
          <w:color w:val="auto"/>
          <w:highlight w:val="none"/>
        </w:rPr>
        <w:t>定义与解释</w:t>
      </w:r>
      <w:bookmarkEnd w:id="4"/>
    </w:p>
    <w:p>
      <w:pPr>
        <w:pStyle w:val="2"/>
        <w:widowControl/>
        <w:numPr>
          <w:ilvl w:val="0"/>
          <w:numId w:val="2"/>
        </w:numPr>
        <w:tabs>
          <w:tab w:val="left" w:pos="1023"/>
          <w:tab w:val="clear" w:pos="210"/>
        </w:tabs>
        <w:ind w:left="0" w:leftChars="0" w:firstLine="482" w:firstLineChars="200"/>
        <w:outlineLvl w:val="1"/>
        <w:rPr>
          <w:b/>
          <w:color w:val="auto"/>
          <w:highlight w:val="none"/>
        </w:rPr>
      </w:pPr>
      <w:r>
        <w:rPr>
          <w:color w:val="auto"/>
          <w:highlight w:val="none"/>
        </w:rPr>
        <w:t>定义：</w:t>
      </w:r>
    </w:p>
    <w:p>
      <w:pPr>
        <w:pStyle w:val="11"/>
        <w:widowControl/>
        <w:numPr>
          <w:ilvl w:val="0"/>
          <w:numId w:val="3"/>
        </w:numPr>
        <w:tabs>
          <w:tab w:val="left" w:pos="1080"/>
        </w:tabs>
        <w:topLinePunct w:val="0"/>
        <w:ind w:left="0" w:leftChars="0" w:firstLine="480" w:firstLineChars="200"/>
        <w:outlineLvl w:val="2"/>
        <w:rPr>
          <w:b w:val="0"/>
          <w:color w:val="auto"/>
          <w:highlight w:val="none"/>
        </w:rPr>
      </w:pPr>
      <w:r>
        <w:rPr>
          <w:color w:val="auto"/>
          <w:highlight w:val="none"/>
        </w:rPr>
        <w:t>“甲方”：指茂名滨海新区自来水投资有限公司。</w:t>
      </w:r>
    </w:p>
    <w:p>
      <w:pPr>
        <w:pStyle w:val="11"/>
        <w:widowControl/>
        <w:numPr>
          <w:ilvl w:val="0"/>
          <w:numId w:val="3"/>
        </w:numPr>
        <w:tabs>
          <w:tab w:val="left" w:pos="1080"/>
        </w:tabs>
        <w:topLinePunct w:val="0"/>
        <w:ind w:left="0" w:leftChars="0" w:firstLine="480" w:firstLineChars="200"/>
        <w:rPr>
          <w:b w:val="0"/>
          <w:color w:val="auto"/>
          <w:highlight w:val="none"/>
        </w:rPr>
      </w:pPr>
      <w:r>
        <w:rPr>
          <w:color w:val="auto"/>
          <w:highlight w:val="none"/>
        </w:rPr>
        <w:t>“乙方”：系指甲方通过公开招标方式选定的本项目投资人，系本项目有偿使用者。就本合同而言，特指【</w:t>
      </w:r>
      <w:r>
        <w:rPr>
          <w:color w:val="auto"/>
          <w:highlight w:val="none"/>
          <w:u w:val="none" w:color="auto"/>
        </w:rPr>
        <w:t xml:space="preserve">          </w:t>
      </w:r>
      <w:r>
        <w:rPr>
          <w:color w:val="auto"/>
          <w:highlight w:val="none"/>
        </w:rPr>
        <w:t>】公司，负责根据本协议约定完成项目投融资、建设和运营管理及移交等事宜。</w:t>
      </w:r>
    </w:p>
    <w:p>
      <w:pPr>
        <w:pStyle w:val="11"/>
        <w:widowControl/>
        <w:numPr>
          <w:ilvl w:val="0"/>
          <w:numId w:val="3"/>
        </w:numPr>
        <w:tabs>
          <w:tab w:val="left" w:pos="1080"/>
        </w:tabs>
        <w:topLinePunct w:val="0"/>
        <w:ind w:left="0" w:leftChars="0" w:firstLine="480" w:firstLineChars="200"/>
        <w:rPr>
          <w:b w:val="0"/>
          <w:color w:val="auto"/>
          <w:highlight w:val="none"/>
        </w:rPr>
      </w:pPr>
      <w:r>
        <w:rPr>
          <w:color w:val="auto"/>
          <w:highlight w:val="none"/>
        </w:rPr>
        <w:t>“协议”：指甲乙双方签订的茂名滨海新区自来水投资有限公司可控分布式光伏资源项目有偿使用协议，包括列举的和作为附件的协议以及为履行本协议而签订的补充协议。</w:t>
      </w:r>
    </w:p>
    <w:p>
      <w:pPr>
        <w:pStyle w:val="11"/>
        <w:widowControl/>
        <w:numPr>
          <w:ilvl w:val="0"/>
          <w:numId w:val="3"/>
        </w:numPr>
        <w:tabs>
          <w:tab w:val="left" w:pos="1080"/>
        </w:tabs>
        <w:topLinePunct w:val="0"/>
        <w:ind w:left="0" w:leftChars="0" w:firstLine="480" w:firstLineChars="200"/>
        <w:rPr>
          <w:b w:val="0"/>
          <w:color w:val="auto"/>
          <w:highlight w:val="none"/>
        </w:rPr>
      </w:pPr>
      <w:r>
        <w:rPr>
          <w:color w:val="auto"/>
          <w:highlight w:val="none"/>
        </w:rPr>
        <w:t>“项目”或“本项目”：指茂名滨海新区自来水投资有限公司可控分布式光伏资源项目。</w:t>
      </w:r>
    </w:p>
    <w:p>
      <w:pPr>
        <w:pStyle w:val="11"/>
        <w:widowControl/>
        <w:numPr>
          <w:ilvl w:val="0"/>
          <w:numId w:val="3"/>
        </w:numPr>
        <w:tabs>
          <w:tab w:val="left" w:pos="1080"/>
        </w:tabs>
        <w:topLinePunct w:val="0"/>
        <w:ind w:left="0" w:leftChars="0" w:firstLine="480" w:firstLineChars="200"/>
        <w:rPr>
          <w:b w:val="0"/>
          <w:color w:val="auto"/>
          <w:highlight w:val="none"/>
        </w:rPr>
      </w:pPr>
      <w:r>
        <w:rPr>
          <w:color w:val="auto"/>
          <w:highlight w:val="none"/>
        </w:rPr>
        <w:t>“生效日”或“生效之日”：指按照本协议的约定，甲乙双方法定代表人或授权代表签字并加盖公章之日。</w:t>
      </w:r>
    </w:p>
    <w:p>
      <w:pPr>
        <w:pStyle w:val="11"/>
        <w:widowControl/>
        <w:numPr>
          <w:ilvl w:val="0"/>
          <w:numId w:val="3"/>
        </w:numPr>
        <w:tabs>
          <w:tab w:val="left" w:pos="1080"/>
        </w:tabs>
        <w:topLinePunct w:val="0"/>
        <w:ind w:left="0" w:leftChars="0" w:firstLine="480" w:firstLineChars="200"/>
        <w:rPr>
          <w:b w:val="0"/>
          <w:color w:val="auto"/>
          <w:highlight w:val="none"/>
        </w:rPr>
      </w:pPr>
      <w:r>
        <w:rPr>
          <w:color w:val="auto"/>
          <w:highlight w:val="none"/>
        </w:rPr>
        <w:t>“合作期”或“有偿使用期”：指从监理工程师签署首批光伏开工令之日起至甲、乙双方全部履行完本协议项下的权利和义务之日止，本项目有偿使用期限共计为30年。</w:t>
      </w:r>
    </w:p>
    <w:p>
      <w:pPr>
        <w:pStyle w:val="11"/>
        <w:widowControl/>
        <w:numPr>
          <w:ilvl w:val="0"/>
          <w:numId w:val="3"/>
        </w:numPr>
        <w:tabs>
          <w:tab w:val="left" w:pos="1080"/>
        </w:tabs>
        <w:topLinePunct w:val="0"/>
        <w:ind w:left="0" w:leftChars="0" w:firstLine="480" w:firstLineChars="200"/>
        <w:rPr>
          <w:b w:val="0"/>
          <w:color w:val="auto"/>
          <w:highlight w:val="none"/>
        </w:rPr>
      </w:pPr>
      <w:r>
        <w:rPr>
          <w:color w:val="auto"/>
          <w:highlight w:val="none"/>
        </w:rPr>
        <w:t>“建设期”：指从监理工程师签署首批光伏开工令之日起，至全部屋顶光伏项目竣工验收合格之日止（建设期为</w:t>
      </w:r>
      <w:r>
        <w:rPr>
          <w:rFonts w:hint="eastAsia"/>
          <w:color w:val="auto"/>
          <w:highlight w:val="none"/>
          <w:lang w:val="en-US" w:eastAsia="zh-CN"/>
        </w:rPr>
        <w:t>2</w:t>
      </w:r>
      <w:r>
        <w:rPr>
          <w:color w:val="auto"/>
          <w:highlight w:val="none"/>
        </w:rPr>
        <w:t>年）</w:t>
      </w:r>
    </w:p>
    <w:p>
      <w:pPr>
        <w:pStyle w:val="11"/>
        <w:widowControl/>
        <w:numPr>
          <w:ilvl w:val="0"/>
          <w:numId w:val="3"/>
        </w:numPr>
        <w:tabs>
          <w:tab w:val="left" w:pos="1080"/>
        </w:tabs>
        <w:topLinePunct w:val="0"/>
        <w:ind w:left="0" w:leftChars="0" w:firstLine="480" w:firstLineChars="200"/>
        <w:rPr>
          <w:b w:val="0"/>
          <w:color w:val="auto"/>
          <w:highlight w:val="none"/>
        </w:rPr>
      </w:pPr>
      <w:r>
        <w:rPr>
          <w:color w:val="auto"/>
          <w:highlight w:val="none"/>
        </w:rPr>
        <w:t>“运营期”：指自正式运营开始之日起至有偿使用合作期结束之日止。</w:t>
      </w:r>
    </w:p>
    <w:p>
      <w:pPr>
        <w:pStyle w:val="11"/>
        <w:widowControl/>
        <w:numPr>
          <w:ilvl w:val="0"/>
          <w:numId w:val="3"/>
        </w:numPr>
        <w:tabs>
          <w:tab w:val="left" w:pos="1080"/>
        </w:tabs>
        <w:topLinePunct w:val="0"/>
        <w:ind w:left="0" w:leftChars="0" w:firstLine="480" w:firstLineChars="200"/>
        <w:rPr>
          <w:b w:val="0"/>
          <w:color w:val="auto"/>
          <w:highlight w:val="none"/>
        </w:rPr>
      </w:pPr>
      <w:r>
        <w:rPr>
          <w:color w:val="auto"/>
          <w:highlight w:val="none"/>
        </w:rPr>
        <w:t>“不可抗力”：是指不能预见、不能避免并不能克服的客观情 况。</w:t>
      </w:r>
    </w:p>
    <w:p>
      <w:pPr>
        <w:pStyle w:val="11"/>
        <w:widowControl/>
        <w:numPr>
          <w:ilvl w:val="0"/>
          <w:numId w:val="3"/>
        </w:numPr>
        <w:tabs>
          <w:tab w:val="left" w:pos="1080"/>
        </w:tabs>
        <w:topLinePunct w:val="0"/>
        <w:ind w:left="0" w:leftChars="0" w:firstLine="480" w:firstLineChars="200"/>
        <w:rPr>
          <w:b w:val="0"/>
          <w:color w:val="auto"/>
          <w:highlight w:val="none"/>
        </w:rPr>
      </w:pPr>
      <w:r>
        <w:rPr>
          <w:color w:val="auto"/>
          <w:highlight w:val="none"/>
        </w:rPr>
        <w:t>“法律法规”：指本协议订立及项目实施期间所有适用的中国法律、法规、规章、地方性法规、司法解释及/或行业协会颁布的标准、规范、规程或其他适用的强制性要求、有法律约束力的规范性文件等。</w:t>
      </w:r>
    </w:p>
    <w:p>
      <w:pPr>
        <w:pStyle w:val="2"/>
        <w:widowControl/>
        <w:numPr>
          <w:ilvl w:val="0"/>
          <w:numId w:val="2"/>
        </w:numPr>
        <w:tabs>
          <w:tab w:val="left" w:pos="1023"/>
          <w:tab w:val="clear" w:pos="210"/>
        </w:tabs>
        <w:ind w:left="0" w:leftChars="0" w:firstLine="482" w:firstLineChars="200"/>
        <w:outlineLvl w:val="1"/>
        <w:rPr>
          <w:b/>
          <w:color w:val="auto"/>
          <w:highlight w:val="none"/>
        </w:rPr>
      </w:pPr>
      <w:r>
        <w:rPr>
          <w:color w:val="auto"/>
          <w:highlight w:val="none"/>
        </w:rPr>
        <w:t>本协议的常见解释</w:t>
      </w:r>
    </w:p>
    <w:p>
      <w:pPr>
        <w:pStyle w:val="11"/>
        <w:widowControl/>
        <w:numPr>
          <w:ilvl w:val="0"/>
          <w:numId w:val="4"/>
        </w:numPr>
        <w:tabs>
          <w:tab w:val="left" w:pos="840"/>
        </w:tabs>
        <w:topLinePunct w:val="0"/>
        <w:ind w:left="0" w:leftChars="0" w:firstLine="480" w:firstLineChars="200"/>
        <w:rPr>
          <w:b w:val="0"/>
          <w:color w:val="auto"/>
          <w:highlight w:val="none"/>
        </w:rPr>
      </w:pPr>
      <w:r>
        <w:rPr>
          <w:color w:val="auto"/>
          <w:highlight w:val="none"/>
        </w:rPr>
        <w:t>本协议中的标题仅为阅读方便所设，不应影响条文的解释。以下的规定同样适用于对本协议进行解释，除非其上下文明确显示其不适用，在本协议中：</w:t>
      </w:r>
    </w:p>
    <w:p>
      <w:pPr>
        <w:pStyle w:val="11"/>
        <w:widowControl/>
        <w:numPr>
          <w:ilvl w:val="0"/>
          <w:numId w:val="5"/>
        </w:numPr>
        <w:tabs>
          <w:tab w:val="left" w:pos="1080"/>
        </w:tabs>
        <w:topLinePunct w:val="0"/>
        <w:ind w:left="0" w:leftChars="0" w:firstLine="480" w:firstLineChars="200"/>
        <w:rPr>
          <w:b w:val="0"/>
          <w:color w:val="auto"/>
          <w:highlight w:val="none"/>
        </w:rPr>
      </w:pPr>
      <w:r>
        <w:rPr>
          <w:color w:val="auto"/>
          <w:highlight w:val="none"/>
        </w:rPr>
        <w:t>协议或文件包括经修订、更新、补充或替代后的该协议或文件；</w:t>
      </w:r>
    </w:p>
    <w:p>
      <w:pPr>
        <w:pStyle w:val="11"/>
        <w:widowControl/>
        <w:numPr>
          <w:ilvl w:val="0"/>
          <w:numId w:val="5"/>
        </w:numPr>
        <w:tabs>
          <w:tab w:val="left" w:pos="1080"/>
        </w:tabs>
        <w:topLinePunct w:val="0"/>
        <w:ind w:left="0" w:leftChars="0" w:firstLine="480" w:firstLineChars="200"/>
        <w:rPr>
          <w:b w:val="0"/>
          <w:color w:val="auto"/>
          <w:highlight w:val="none"/>
        </w:rPr>
      </w:pPr>
      <w:r>
        <w:rPr>
          <w:color w:val="auto"/>
          <w:highlight w:val="none"/>
        </w:rPr>
        <w:t>“元”指人民币元；</w:t>
      </w:r>
    </w:p>
    <w:p>
      <w:pPr>
        <w:pStyle w:val="11"/>
        <w:widowControl/>
        <w:numPr>
          <w:ilvl w:val="0"/>
          <w:numId w:val="5"/>
        </w:numPr>
        <w:tabs>
          <w:tab w:val="left" w:pos="1080"/>
        </w:tabs>
        <w:topLinePunct w:val="0"/>
        <w:ind w:left="0" w:leftChars="0" w:firstLine="480" w:firstLineChars="200"/>
        <w:rPr>
          <w:b w:val="0"/>
          <w:color w:val="auto"/>
          <w:highlight w:val="none"/>
        </w:rPr>
      </w:pPr>
      <w:r>
        <w:rPr>
          <w:color w:val="auto"/>
          <w:highlight w:val="none"/>
        </w:rPr>
        <w:t>条款或附件指本协议的条款或附件；</w:t>
      </w:r>
    </w:p>
    <w:p>
      <w:pPr>
        <w:pStyle w:val="11"/>
        <w:widowControl/>
        <w:numPr>
          <w:ilvl w:val="0"/>
          <w:numId w:val="5"/>
        </w:numPr>
        <w:tabs>
          <w:tab w:val="left" w:pos="1080"/>
        </w:tabs>
        <w:topLinePunct w:val="0"/>
        <w:ind w:left="0" w:leftChars="0" w:firstLine="480" w:firstLineChars="200"/>
        <w:rPr>
          <w:b w:val="0"/>
          <w:color w:val="auto"/>
          <w:highlight w:val="none"/>
        </w:rPr>
      </w:pPr>
      <w:r>
        <w:rPr>
          <w:color w:val="auto"/>
          <w:highlight w:val="none"/>
        </w:rPr>
        <w:t>除非本协议另有明确约定，“包括 ”指包括但不限于，除本协议另有明确约定外，“以上</w:t>
      </w:r>
      <w:r>
        <w:rPr>
          <w:rFonts w:hint="eastAsia"/>
          <w:color w:val="auto"/>
          <w:highlight w:val="none"/>
          <w:lang w:eastAsia="zh-CN"/>
        </w:rPr>
        <w:t>”“</w:t>
      </w:r>
      <w:r>
        <w:rPr>
          <w:color w:val="auto"/>
          <w:highlight w:val="none"/>
        </w:rPr>
        <w:t>以下</w:t>
      </w:r>
      <w:r>
        <w:rPr>
          <w:rFonts w:hint="eastAsia"/>
          <w:color w:val="auto"/>
          <w:highlight w:val="none"/>
          <w:lang w:eastAsia="zh-CN"/>
        </w:rPr>
        <w:t>”“</w:t>
      </w:r>
      <w:r>
        <w:rPr>
          <w:color w:val="auto"/>
          <w:highlight w:val="none"/>
        </w:rPr>
        <w:t>届满</w:t>
      </w:r>
      <w:r>
        <w:rPr>
          <w:rFonts w:hint="eastAsia"/>
          <w:color w:val="auto"/>
          <w:highlight w:val="none"/>
          <w:lang w:eastAsia="zh-CN"/>
        </w:rPr>
        <w:t>”“</w:t>
      </w:r>
      <w:r>
        <w:rPr>
          <w:color w:val="auto"/>
          <w:highlight w:val="none"/>
        </w:rPr>
        <w:t>以内”或“内”均包括本数，“不满</w:t>
      </w:r>
      <w:r>
        <w:rPr>
          <w:rFonts w:hint="eastAsia"/>
          <w:color w:val="auto"/>
          <w:highlight w:val="none"/>
          <w:lang w:eastAsia="zh-CN"/>
        </w:rPr>
        <w:t>”“</w:t>
      </w:r>
      <w:r>
        <w:rPr>
          <w:color w:val="auto"/>
          <w:highlight w:val="none"/>
        </w:rPr>
        <w:t xml:space="preserve">超过 </w:t>
      </w:r>
      <w:r>
        <w:rPr>
          <w:rFonts w:hint="eastAsia"/>
          <w:color w:val="auto"/>
          <w:highlight w:val="none"/>
          <w:lang w:eastAsia="zh-CN"/>
        </w:rPr>
        <w:t>”“</w:t>
      </w:r>
      <w:r>
        <w:rPr>
          <w:color w:val="auto"/>
          <w:highlight w:val="none"/>
        </w:rPr>
        <w:t>以外”不包括本数；</w:t>
      </w:r>
    </w:p>
    <w:p>
      <w:pPr>
        <w:pStyle w:val="11"/>
        <w:widowControl/>
        <w:numPr>
          <w:ilvl w:val="0"/>
          <w:numId w:val="5"/>
        </w:numPr>
        <w:tabs>
          <w:tab w:val="left" w:pos="1080"/>
        </w:tabs>
        <w:topLinePunct w:val="0"/>
        <w:ind w:left="0" w:leftChars="0" w:firstLine="480" w:firstLineChars="200"/>
        <w:rPr>
          <w:b w:val="0"/>
          <w:color w:val="auto"/>
          <w:highlight w:val="none"/>
        </w:rPr>
      </w:pPr>
      <w:r>
        <w:rPr>
          <w:color w:val="auto"/>
          <w:highlight w:val="none"/>
        </w:rPr>
        <w:t>除非本协议另有约定，提及的一方或双方或各方均为本协议的 一方或双方或各方，并包括其各自合法的继任者或受让人；</w:t>
      </w:r>
    </w:p>
    <w:p>
      <w:pPr>
        <w:pStyle w:val="11"/>
        <w:widowControl/>
        <w:numPr>
          <w:ilvl w:val="0"/>
          <w:numId w:val="5"/>
        </w:numPr>
        <w:tabs>
          <w:tab w:val="left" w:pos="1080"/>
        </w:tabs>
        <w:topLinePunct w:val="0"/>
        <w:ind w:left="0" w:leftChars="0" w:firstLine="480" w:firstLineChars="200"/>
        <w:outlineLvl w:val="2"/>
        <w:rPr>
          <w:b w:val="0"/>
          <w:color w:val="auto"/>
          <w:highlight w:val="none"/>
        </w:rPr>
      </w:pPr>
      <w:r>
        <w:rPr>
          <w:color w:val="auto"/>
          <w:highlight w:val="none"/>
        </w:rPr>
        <w:t>所指的日、月和年均指公历的日、月和年；</w:t>
      </w:r>
    </w:p>
    <w:p>
      <w:pPr>
        <w:pStyle w:val="11"/>
        <w:widowControl/>
        <w:numPr>
          <w:ilvl w:val="0"/>
          <w:numId w:val="5"/>
        </w:numPr>
        <w:tabs>
          <w:tab w:val="left" w:pos="1080"/>
        </w:tabs>
        <w:topLinePunct w:val="0"/>
        <w:ind w:left="0" w:leftChars="0" w:firstLine="480" w:firstLineChars="200"/>
        <w:rPr>
          <w:b w:val="0"/>
          <w:color w:val="auto"/>
          <w:highlight w:val="none"/>
        </w:rPr>
      </w:pPr>
      <w:r>
        <w:rPr>
          <w:color w:val="auto"/>
          <w:highlight w:val="none"/>
        </w:rPr>
        <w:t>本协议中的标题不应视为对本协议的当然解释，本协议的各个组成部分都具有同样的法律效力及同等的重要性。</w:t>
      </w:r>
    </w:p>
    <w:p>
      <w:pPr>
        <w:pStyle w:val="11"/>
        <w:widowControl/>
        <w:numPr>
          <w:ilvl w:val="0"/>
          <w:numId w:val="4"/>
        </w:numPr>
        <w:tabs>
          <w:tab w:val="left" w:pos="840"/>
        </w:tabs>
        <w:topLinePunct w:val="0"/>
        <w:ind w:left="0" w:leftChars="0" w:firstLine="480" w:firstLineChars="200"/>
        <w:outlineLvl w:val="3"/>
        <w:rPr>
          <w:b w:val="0"/>
          <w:color w:val="auto"/>
          <w:highlight w:val="none"/>
        </w:rPr>
      </w:pPr>
      <w:r>
        <w:rPr>
          <w:color w:val="auto"/>
          <w:highlight w:val="none"/>
        </w:rPr>
        <w:t>解释原则</w:t>
      </w:r>
    </w:p>
    <w:p>
      <w:pPr>
        <w:pStyle w:val="11"/>
        <w:widowControl/>
        <w:numPr>
          <w:ilvl w:val="0"/>
          <w:numId w:val="6"/>
        </w:numPr>
        <w:tabs>
          <w:tab w:val="left" w:pos="1080"/>
        </w:tabs>
        <w:topLinePunct w:val="0"/>
        <w:ind w:left="0" w:leftChars="0" w:firstLine="480" w:firstLineChars="200"/>
        <w:rPr>
          <w:b w:val="0"/>
          <w:color w:val="auto"/>
          <w:highlight w:val="none"/>
        </w:rPr>
      </w:pPr>
      <w:r>
        <w:rPr>
          <w:color w:val="auto"/>
          <w:highlight w:val="none"/>
        </w:rPr>
        <w:t>本协议条款若出现歧义，应首先采用文义解释方法，采用文义方法时，按以下方法解释：</w:t>
      </w:r>
    </w:p>
    <w:p>
      <w:pPr>
        <w:pStyle w:val="11"/>
        <w:widowControl/>
        <w:numPr>
          <w:ilvl w:val="0"/>
          <w:numId w:val="7"/>
        </w:numPr>
        <w:tabs>
          <w:tab w:val="left" w:pos="893"/>
        </w:tabs>
        <w:topLinePunct w:val="0"/>
        <w:ind w:left="0" w:leftChars="0" w:firstLine="480" w:firstLineChars="200"/>
        <w:rPr>
          <w:b w:val="0"/>
          <w:color w:val="auto"/>
          <w:highlight w:val="none"/>
        </w:rPr>
      </w:pPr>
      <w:r>
        <w:rPr>
          <w:color w:val="auto"/>
          <w:highlight w:val="none"/>
        </w:rPr>
        <w:t>协议正式文本优先于辅助资料。在协议订立至履行完毕过程中，当事人之间可能存在多种与协议有关的交流文件，如电报、信函、协议 草案、通知书等，所以解释协议原则上应以正式文本为基础，辅助资料只起证明正式文本内容的作用，一般不得以辅助资料否定正式文本的内容；</w:t>
      </w:r>
    </w:p>
    <w:p>
      <w:pPr>
        <w:pStyle w:val="11"/>
        <w:widowControl/>
        <w:numPr>
          <w:ilvl w:val="0"/>
          <w:numId w:val="7"/>
        </w:numPr>
        <w:tabs>
          <w:tab w:val="left" w:pos="893"/>
        </w:tabs>
        <w:topLinePunct w:val="0"/>
        <w:ind w:left="0" w:leftChars="0" w:firstLine="480" w:firstLineChars="200"/>
        <w:rPr>
          <w:b w:val="0"/>
          <w:color w:val="auto"/>
          <w:highlight w:val="none"/>
        </w:rPr>
      </w:pPr>
      <w:r>
        <w:rPr>
          <w:color w:val="auto"/>
          <w:highlight w:val="none"/>
        </w:rPr>
        <w:t>补充协议及变更协议优先于原协议，但相关协议、协议中已明确 的冲突规则除外。补充或变更协议作为协议履行过程不可避免的修改，是当事人依共同意愿改变原协议的重要依据；</w:t>
      </w:r>
    </w:p>
    <w:p>
      <w:pPr>
        <w:pStyle w:val="11"/>
        <w:numPr>
          <w:ilvl w:val="0"/>
          <w:numId w:val="7"/>
        </w:numPr>
        <w:tabs>
          <w:tab w:val="left" w:pos="893"/>
        </w:tabs>
        <w:ind w:left="0" w:firstLine="480" w:firstLineChars="200"/>
        <w:rPr>
          <w:rFonts w:ascii="Times New Roman" w:hAnsi="Times New Roman" w:eastAsia="宋体" w:cs="Times New Roman"/>
          <w:color w:val="auto"/>
          <w:sz w:val="24"/>
          <w:szCs w:val="20"/>
          <w:highlight w:val="none"/>
        </w:rPr>
      </w:pPr>
      <w:r>
        <w:rPr>
          <w:color w:val="auto"/>
          <w:highlight w:val="none"/>
        </w:rPr>
        <w:t>对列举事项的解释</w:t>
      </w:r>
      <w:r>
        <w:rPr>
          <w:rFonts w:hint="eastAsia"/>
          <w:color w:val="auto"/>
          <w:highlight w:val="none"/>
          <w:lang w:eastAsia="zh-CN"/>
        </w:rPr>
        <w:t>（</w:t>
      </w:r>
      <w:r>
        <w:rPr>
          <w:color w:val="auto"/>
          <w:highlight w:val="none"/>
        </w:rPr>
        <w:t>包括但不限于条款）除非当事人明示排除其他可能时，否则不得作为限制概括规定的理解；</w:t>
      </w:r>
      <w:r>
        <w:rPr>
          <w:rFonts w:ascii="Times New Roman" w:hAnsi="Times New Roman" w:eastAsia="宋体" w:cs="Times New Roman"/>
          <w:color w:val="auto"/>
          <w:spacing w:val="0"/>
          <w:sz w:val="24"/>
          <w:szCs w:val="20"/>
          <w:highlight w:val="none"/>
        </w:rPr>
        <w:t>文义解释必须合乎当事人的缔约目的，否则不予适用。</w:t>
      </w:r>
    </w:p>
    <w:p>
      <w:pPr>
        <w:pStyle w:val="11"/>
        <w:numPr>
          <w:ilvl w:val="0"/>
          <w:numId w:val="7"/>
        </w:numPr>
        <w:tabs>
          <w:tab w:val="left" w:pos="893"/>
        </w:tabs>
        <w:ind w:left="0" w:firstLine="480" w:firstLineChars="200"/>
        <w:rPr>
          <w:rFonts w:ascii="Times New Roman" w:hAnsi="Times New Roman" w:eastAsia="宋体" w:cs="Times New Roman"/>
          <w:color w:val="auto"/>
          <w:sz w:val="24"/>
          <w:szCs w:val="20"/>
          <w:highlight w:val="none"/>
        </w:rPr>
      </w:pPr>
      <w:r>
        <w:rPr>
          <w:rFonts w:ascii="Times New Roman" w:hAnsi="Times New Roman" w:eastAsia="宋体" w:cs="Times New Roman"/>
          <w:color w:val="auto"/>
          <w:spacing w:val="0"/>
          <w:sz w:val="24"/>
          <w:szCs w:val="20"/>
          <w:highlight w:val="none"/>
        </w:rPr>
        <w:t>若文义解释方法仍不能解决歧义，则应采用公平合理的方法。公平合理的解释方法如下：</w:t>
      </w:r>
    </w:p>
    <w:p>
      <w:pPr>
        <w:pStyle w:val="11"/>
        <w:numPr>
          <w:ilvl w:val="0"/>
          <w:numId w:val="7"/>
        </w:numPr>
        <w:tabs>
          <w:tab w:val="left" w:pos="893"/>
        </w:tabs>
        <w:ind w:firstLine="480" w:firstLineChars="200"/>
        <w:rPr>
          <w:rFonts w:ascii="Times New Roman" w:hAnsi="Times New Roman" w:eastAsia="宋体" w:cs="Times New Roman"/>
          <w:color w:val="auto"/>
          <w:sz w:val="24"/>
          <w:szCs w:val="20"/>
          <w:highlight w:val="none"/>
        </w:rPr>
      </w:pPr>
      <w:r>
        <w:rPr>
          <w:rFonts w:ascii="Times New Roman" w:hAnsi="Times New Roman" w:eastAsia="宋体" w:cs="Times New Roman"/>
          <w:color w:val="auto"/>
          <w:spacing w:val="0"/>
          <w:sz w:val="24"/>
          <w:szCs w:val="20"/>
          <w:highlight w:val="none"/>
        </w:rPr>
        <w:t>解释协议时应综合所有资料予以判断，以尽可能准确地确定当事</w:t>
      </w:r>
      <w:r>
        <w:rPr>
          <w:rFonts w:ascii="Times New Roman" w:hAnsi="Times New Roman" w:eastAsia="宋体" w:cs="Times New Roman"/>
          <w:color w:val="auto"/>
          <w:sz w:val="24"/>
          <w:szCs w:val="20"/>
          <w:highlight w:val="none"/>
        </w:rPr>
        <w:t>人真意。这些情况包括：当事人之间最初接触情况，已确定的习惯性做</w:t>
      </w:r>
      <w:r>
        <w:rPr>
          <w:rFonts w:ascii="Times New Roman" w:hAnsi="Times New Roman" w:eastAsia="宋体" w:cs="Times New Roman"/>
          <w:color w:val="auto"/>
          <w:spacing w:val="0"/>
          <w:sz w:val="24"/>
          <w:szCs w:val="20"/>
          <w:highlight w:val="none"/>
        </w:rPr>
        <w:t>法、订约后当事人的行为、协议性质和目的、通常所赋予协议条款或陈述的含义，交易惯例等；</w:t>
      </w:r>
    </w:p>
    <w:p>
      <w:pPr>
        <w:pStyle w:val="11"/>
        <w:numPr>
          <w:ilvl w:val="0"/>
          <w:numId w:val="7"/>
        </w:numPr>
        <w:tabs>
          <w:tab w:val="left" w:pos="893"/>
        </w:tabs>
        <w:ind w:left="0" w:firstLine="480" w:firstLineChars="200"/>
        <w:rPr>
          <w:rFonts w:ascii="Times New Roman" w:hAnsi="Times New Roman" w:eastAsia="宋体" w:cs="Times New Roman"/>
          <w:color w:val="auto"/>
          <w:sz w:val="24"/>
          <w:szCs w:val="20"/>
          <w:highlight w:val="none"/>
        </w:rPr>
      </w:pPr>
      <w:r>
        <w:rPr>
          <w:rFonts w:ascii="Times New Roman" w:hAnsi="Times New Roman" w:eastAsia="宋体" w:cs="Times New Roman"/>
          <w:color w:val="auto"/>
          <w:spacing w:val="0"/>
          <w:sz w:val="24"/>
          <w:szCs w:val="20"/>
          <w:highlight w:val="none"/>
        </w:rPr>
        <w:t>解释协议时应符合社会经验。社会经验是为大多数人所肯定或视为当然的事项，解释协议也必须符合社会经验，凡与社会经验不相符合的判断不能成立；</w:t>
      </w:r>
    </w:p>
    <w:p>
      <w:pPr>
        <w:pStyle w:val="11"/>
        <w:numPr>
          <w:ilvl w:val="0"/>
          <w:numId w:val="7"/>
        </w:numPr>
        <w:tabs>
          <w:tab w:val="left" w:pos="893"/>
        </w:tabs>
        <w:ind w:left="0" w:firstLine="480" w:firstLineChars="200"/>
        <w:rPr>
          <w:rFonts w:ascii="Times New Roman" w:hAnsi="Times New Roman" w:eastAsia="宋体" w:cs="Times New Roman"/>
          <w:color w:val="auto"/>
          <w:sz w:val="24"/>
          <w:szCs w:val="20"/>
          <w:highlight w:val="none"/>
        </w:rPr>
      </w:pPr>
      <w:r>
        <w:rPr>
          <w:rFonts w:ascii="Times New Roman" w:hAnsi="Times New Roman" w:eastAsia="宋体" w:cs="Times New Roman"/>
          <w:color w:val="auto"/>
          <w:spacing w:val="0"/>
          <w:sz w:val="24"/>
          <w:szCs w:val="20"/>
          <w:highlight w:val="none"/>
        </w:rPr>
        <w:t>解释协议时应依公平合理的要求。协议条款有两种或两种以上含义时，应取对双方均有利的解释；可</w:t>
      </w:r>
      <w:r>
        <w:rPr>
          <w:rFonts w:hint="eastAsia" w:eastAsia="宋体" w:cs="Times New Roman"/>
          <w:color w:val="auto"/>
          <w:spacing w:val="0"/>
          <w:sz w:val="24"/>
          <w:szCs w:val="20"/>
          <w:highlight w:val="none"/>
          <w:lang w:eastAsia="zh-CN"/>
        </w:rPr>
        <w:t>作</w:t>
      </w:r>
      <w:r>
        <w:rPr>
          <w:rFonts w:ascii="Times New Roman" w:hAnsi="Times New Roman" w:eastAsia="宋体" w:cs="Times New Roman"/>
          <w:color w:val="auto"/>
          <w:spacing w:val="0"/>
          <w:sz w:val="24"/>
          <w:szCs w:val="20"/>
          <w:highlight w:val="none"/>
        </w:rPr>
        <w:t>有效解释也可作无效解释时，应取有效解释；条款含义不明时，应作不利于条款提出者的解释。</w:t>
      </w:r>
    </w:p>
    <w:p>
      <w:pPr>
        <w:pStyle w:val="11"/>
        <w:spacing w:line="289" w:lineRule="auto"/>
        <w:rPr>
          <w:color w:val="auto"/>
          <w:highlight w:val="none"/>
        </w:rPr>
      </w:pPr>
    </w:p>
    <w:p>
      <w:pPr>
        <w:pStyle w:val="23"/>
        <w:widowControl/>
        <w:numPr>
          <w:ilvl w:val="0"/>
          <w:numId w:val="1"/>
        </w:numPr>
        <w:tabs>
          <w:tab w:val="left" w:pos="1731"/>
          <w:tab w:val="clear" w:pos="210"/>
        </w:tabs>
        <w:ind w:left="0" w:leftChars="0" w:firstLine="600" w:firstLineChars="200"/>
        <w:outlineLvl w:val="0"/>
        <w:rPr>
          <w:b w:val="0"/>
          <w:color w:val="auto"/>
          <w:highlight w:val="none"/>
        </w:rPr>
      </w:pPr>
      <w:bookmarkStart w:id="5" w:name="bookmark4"/>
      <w:bookmarkEnd w:id="5"/>
      <w:bookmarkStart w:id="6" w:name="bookmark5"/>
      <w:bookmarkEnd w:id="6"/>
      <w:bookmarkStart w:id="7" w:name="_Toc24040"/>
      <w:r>
        <w:rPr>
          <w:color w:val="auto"/>
          <w:highlight w:val="none"/>
        </w:rPr>
        <w:t>声明与保证</w:t>
      </w:r>
      <w:bookmarkEnd w:id="7"/>
    </w:p>
    <w:p>
      <w:pPr>
        <w:pStyle w:val="2"/>
        <w:widowControl/>
        <w:numPr>
          <w:ilvl w:val="0"/>
          <w:numId w:val="8"/>
        </w:numPr>
        <w:tabs>
          <w:tab w:val="left" w:pos="1133"/>
          <w:tab w:val="clear" w:pos="210"/>
        </w:tabs>
        <w:ind w:left="0" w:leftChars="0" w:firstLine="482" w:firstLineChars="200"/>
        <w:outlineLvl w:val="1"/>
        <w:rPr>
          <w:b/>
          <w:color w:val="auto"/>
          <w:highlight w:val="none"/>
        </w:rPr>
      </w:pPr>
      <w:r>
        <w:rPr>
          <w:color w:val="auto"/>
          <w:highlight w:val="none"/>
        </w:rPr>
        <w:t>甲方的声明与保证</w:t>
      </w:r>
    </w:p>
    <w:p>
      <w:pPr>
        <w:pStyle w:val="11"/>
        <w:widowControl/>
        <w:numPr>
          <w:ilvl w:val="0"/>
          <w:numId w:val="9"/>
        </w:numPr>
        <w:tabs>
          <w:tab w:val="left" w:pos="1140"/>
          <w:tab w:val="clear" w:pos="210"/>
        </w:tabs>
        <w:ind w:left="0" w:leftChars="0" w:firstLine="480" w:firstLineChars="200"/>
        <w:rPr>
          <w:color w:val="auto"/>
          <w:highlight w:val="none"/>
        </w:rPr>
      </w:pPr>
      <w:r>
        <w:rPr>
          <w:color w:val="auto"/>
          <w:highlight w:val="none"/>
        </w:rPr>
        <w:t>甲方已获得签订本协议所必需的授权及批准，有权签署本协议；</w:t>
      </w:r>
    </w:p>
    <w:p>
      <w:pPr>
        <w:pStyle w:val="2"/>
        <w:widowControl/>
        <w:numPr>
          <w:ilvl w:val="0"/>
          <w:numId w:val="8"/>
        </w:numPr>
        <w:tabs>
          <w:tab w:val="left" w:pos="1133"/>
          <w:tab w:val="clear" w:pos="210"/>
        </w:tabs>
        <w:ind w:left="0" w:leftChars="0" w:firstLine="482" w:firstLineChars="200"/>
        <w:outlineLvl w:val="1"/>
        <w:rPr>
          <w:b/>
          <w:color w:val="auto"/>
          <w:highlight w:val="none"/>
        </w:rPr>
      </w:pPr>
      <w:r>
        <w:rPr>
          <w:color w:val="auto"/>
          <w:highlight w:val="none"/>
        </w:rPr>
        <w:t>乙方的声明与保证</w:t>
      </w:r>
    </w:p>
    <w:p>
      <w:pPr>
        <w:pStyle w:val="11"/>
        <w:widowControl/>
        <w:numPr>
          <w:ilvl w:val="0"/>
          <w:numId w:val="10"/>
        </w:numPr>
        <w:tabs>
          <w:tab w:val="left" w:pos="1140"/>
          <w:tab w:val="clear" w:pos="210"/>
        </w:tabs>
        <w:ind w:left="0" w:leftChars="0" w:firstLine="480" w:firstLineChars="200"/>
        <w:rPr>
          <w:color w:val="auto"/>
          <w:highlight w:val="none"/>
        </w:rPr>
      </w:pPr>
      <w:r>
        <w:rPr>
          <w:color w:val="auto"/>
          <w:highlight w:val="none"/>
        </w:rPr>
        <w:t>乙方是依法正式成立的企业法人，具有签署和履行本协议条款和条件的法人资格、权利和能力；</w:t>
      </w:r>
    </w:p>
    <w:p>
      <w:pPr>
        <w:pStyle w:val="11"/>
        <w:widowControl/>
        <w:numPr>
          <w:ilvl w:val="0"/>
          <w:numId w:val="10"/>
        </w:numPr>
        <w:tabs>
          <w:tab w:val="left" w:pos="1140"/>
          <w:tab w:val="clear" w:pos="210"/>
        </w:tabs>
        <w:ind w:left="0" w:leftChars="0" w:firstLine="480" w:firstLineChars="200"/>
        <w:rPr>
          <w:color w:val="auto"/>
          <w:highlight w:val="none"/>
        </w:rPr>
      </w:pPr>
      <w:r>
        <w:rPr>
          <w:color w:val="auto"/>
          <w:highlight w:val="none"/>
        </w:rPr>
        <w:t>签署本协议之前，乙方已为自身的利益进行了必要的调查及检查，包括但不限于对项目场地进行细致而全面的检查、评估，充分知悉项目的现状和风险；</w:t>
      </w:r>
    </w:p>
    <w:p>
      <w:pPr>
        <w:pStyle w:val="11"/>
        <w:spacing w:line="272" w:lineRule="auto"/>
        <w:rPr>
          <w:color w:val="auto"/>
          <w:highlight w:val="none"/>
        </w:rPr>
      </w:pPr>
    </w:p>
    <w:p>
      <w:pPr>
        <w:pStyle w:val="23"/>
        <w:widowControl/>
        <w:numPr>
          <w:ilvl w:val="0"/>
          <w:numId w:val="1"/>
        </w:numPr>
        <w:tabs>
          <w:tab w:val="left" w:pos="1731"/>
          <w:tab w:val="clear" w:pos="210"/>
        </w:tabs>
        <w:ind w:left="0" w:leftChars="0" w:firstLine="600" w:firstLineChars="200"/>
        <w:outlineLvl w:val="0"/>
        <w:rPr>
          <w:b w:val="0"/>
          <w:color w:val="auto"/>
          <w:highlight w:val="none"/>
        </w:rPr>
      </w:pPr>
      <w:bookmarkStart w:id="8" w:name="bookmark6"/>
      <w:bookmarkEnd w:id="8"/>
      <w:bookmarkStart w:id="9" w:name="bookmark7"/>
      <w:bookmarkEnd w:id="9"/>
      <w:bookmarkStart w:id="10" w:name="_Toc3882"/>
      <w:r>
        <w:rPr>
          <w:color w:val="auto"/>
          <w:highlight w:val="none"/>
        </w:rPr>
        <w:t>协议主体</w:t>
      </w:r>
      <w:bookmarkEnd w:id="10"/>
    </w:p>
    <w:p>
      <w:pPr>
        <w:pStyle w:val="2"/>
        <w:widowControl/>
        <w:ind w:left="0" w:leftChars="0" w:firstLine="482" w:firstLineChars="200"/>
        <w:outlineLvl w:val="1"/>
        <w:rPr>
          <w:color w:val="auto"/>
          <w:highlight w:val="none"/>
        </w:rPr>
      </w:pPr>
      <w:r>
        <w:rPr>
          <w:color w:val="auto"/>
          <w:highlight w:val="none"/>
        </w:rPr>
        <w:t>3.1. 甲方主体信息</w:t>
      </w:r>
    </w:p>
    <w:p>
      <w:pPr>
        <w:pStyle w:val="11"/>
        <w:widowControl/>
        <w:ind w:left="0" w:leftChars="0" w:firstLine="480" w:firstLineChars="200"/>
        <w:rPr>
          <w:color w:val="auto"/>
          <w:highlight w:val="none"/>
        </w:rPr>
      </w:pPr>
      <w:r>
        <w:rPr>
          <w:color w:val="auto"/>
          <w:highlight w:val="none"/>
        </w:rPr>
        <w:t>甲方名称：</w:t>
      </w:r>
      <w:r>
        <w:rPr>
          <w:color w:val="auto"/>
          <w:highlight w:val="none"/>
          <w:u w:val="single" w:color="auto"/>
        </w:rPr>
        <w:t>茂名滨海新区自来水投资有限公司</w:t>
      </w:r>
      <w:r>
        <w:rPr>
          <w:color w:val="auto"/>
          <w:highlight w:val="none"/>
        </w:rPr>
        <w:t>（以下简称“ 甲方 ”或“实施机构 ”）</w:t>
      </w:r>
    </w:p>
    <w:p>
      <w:pPr>
        <w:pStyle w:val="11"/>
        <w:widowControl/>
        <w:ind w:left="0" w:leftChars="0" w:firstLine="480" w:firstLineChars="200"/>
        <w:rPr>
          <w:color w:val="auto"/>
          <w:highlight w:val="none"/>
        </w:rPr>
      </w:pPr>
      <w:r>
        <w:rPr>
          <w:color w:val="auto"/>
          <w:highlight w:val="none"/>
        </w:rPr>
        <w:t>权责：</w:t>
      </w:r>
      <w:r>
        <w:rPr>
          <w:color w:val="auto"/>
          <w:highlight w:val="none"/>
          <w:u w:val="single" w:color="auto"/>
        </w:rPr>
        <w:t>负责本项目有偿使用实施方案</w:t>
      </w:r>
      <w:r>
        <w:rPr>
          <w:rFonts w:hint="eastAsia"/>
          <w:color w:val="auto"/>
          <w:highlight w:val="none"/>
          <w:u w:val="single" w:color="auto"/>
          <w:lang w:eastAsia="zh-CN"/>
        </w:rPr>
        <w:t>及</w:t>
      </w:r>
      <w:r>
        <w:rPr>
          <w:color w:val="auto"/>
          <w:highlight w:val="none"/>
          <w:u w:val="single" w:color="auto"/>
        </w:rPr>
        <w:t>有偿使用者招标、签订有偿使用协议等工作。</w:t>
      </w:r>
    </w:p>
    <w:p>
      <w:pPr>
        <w:pStyle w:val="2"/>
        <w:widowControl/>
        <w:ind w:left="0" w:leftChars="0" w:firstLine="482" w:firstLineChars="200"/>
        <w:outlineLvl w:val="1"/>
        <w:rPr>
          <w:color w:val="auto"/>
          <w:highlight w:val="none"/>
        </w:rPr>
      </w:pPr>
      <w:r>
        <w:rPr>
          <w:color w:val="auto"/>
          <w:highlight w:val="none"/>
        </w:rPr>
        <w:t>3.</w:t>
      </w:r>
      <w:r>
        <w:rPr>
          <w:rFonts w:hint="eastAsia"/>
          <w:color w:val="auto"/>
          <w:highlight w:val="none"/>
          <w:lang w:val="en-US" w:eastAsia="zh-CN"/>
        </w:rPr>
        <w:t>2</w:t>
      </w:r>
      <w:r>
        <w:rPr>
          <w:color w:val="auto"/>
          <w:highlight w:val="none"/>
        </w:rPr>
        <w:t xml:space="preserve">. </w:t>
      </w:r>
      <w:r>
        <w:rPr>
          <w:rFonts w:hint="eastAsia"/>
          <w:color w:val="auto"/>
          <w:highlight w:val="none"/>
          <w:lang w:val="en-US" w:eastAsia="zh-CN"/>
        </w:rPr>
        <w:t>乙</w:t>
      </w:r>
      <w:r>
        <w:rPr>
          <w:color w:val="auto"/>
          <w:highlight w:val="none"/>
        </w:rPr>
        <w:t>方主体信息</w:t>
      </w:r>
    </w:p>
    <w:p>
      <w:pPr>
        <w:pStyle w:val="11"/>
        <w:widowControl/>
        <w:ind w:left="0" w:leftChars="0" w:firstLine="480" w:firstLineChars="200"/>
        <w:rPr>
          <w:color w:val="auto"/>
          <w:highlight w:val="none"/>
        </w:rPr>
      </w:pPr>
      <w:r>
        <w:rPr>
          <w:rFonts w:hint="eastAsia"/>
          <w:color w:val="auto"/>
          <w:highlight w:val="none"/>
          <w:lang w:val="en-US" w:eastAsia="zh-CN"/>
        </w:rPr>
        <w:t>乙</w:t>
      </w:r>
      <w:r>
        <w:rPr>
          <w:color w:val="auto"/>
          <w:highlight w:val="none"/>
        </w:rPr>
        <w:t>方名称：</w:t>
      </w:r>
      <w:r>
        <w:rPr>
          <w:rFonts w:hint="eastAsia"/>
          <w:color w:val="auto"/>
          <w:highlight w:val="none"/>
          <w:lang w:val="en-US" w:eastAsia="zh-CN"/>
        </w:rPr>
        <w:t xml:space="preserve">                 </w:t>
      </w:r>
      <w:r>
        <w:rPr>
          <w:color w:val="auto"/>
          <w:highlight w:val="none"/>
        </w:rPr>
        <w:t xml:space="preserve">（以下简称“ </w:t>
      </w:r>
      <w:r>
        <w:rPr>
          <w:rFonts w:hint="eastAsia"/>
          <w:color w:val="auto"/>
          <w:highlight w:val="none"/>
          <w:lang w:val="en-US" w:eastAsia="zh-CN"/>
        </w:rPr>
        <w:t>乙方</w:t>
      </w:r>
      <w:r>
        <w:rPr>
          <w:color w:val="auto"/>
          <w:highlight w:val="none"/>
        </w:rPr>
        <w:t xml:space="preserve"> ”或“</w:t>
      </w:r>
      <w:r>
        <w:rPr>
          <w:rFonts w:hint="eastAsia"/>
          <w:color w:val="auto"/>
          <w:highlight w:val="none"/>
        </w:rPr>
        <w:t>有偿使用者</w:t>
      </w:r>
      <w:r>
        <w:rPr>
          <w:color w:val="auto"/>
          <w:highlight w:val="none"/>
        </w:rPr>
        <w:t>”）</w:t>
      </w:r>
    </w:p>
    <w:p>
      <w:pPr>
        <w:pStyle w:val="11"/>
        <w:widowControl/>
        <w:ind w:left="0" w:leftChars="0" w:firstLine="480" w:firstLineChars="200"/>
        <w:rPr>
          <w:color w:val="auto"/>
          <w:highlight w:val="none"/>
        </w:rPr>
      </w:pPr>
      <w:r>
        <w:rPr>
          <w:color w:val="auto"/>
          <w:highlight w:val="none"/>
        </w:rPr>
        <w:t>权责：</w:t>
      </w:r>
      <w:r>
        <w:rPr>
          <w:rFonts w:hint="eastAsia"/>
          <w:color w:val="auto"/>
          <w:highlight w:val="none"/>
        </w:rPr>
        <w:t>负责项目投融资、建设、运营维护及移交</w:t>
      </w:r>
      <w:r>
        <w:rPr>
          <w:color w:val="auto"/>
          <w:highlight w:val="none"/>
          <w:u w:val="single" w:color="auto"/>
        </w:rPr>
        <w:t>。</w:t>
      </w:r>
    </w:p>
    <w:p>
      <w:pPr>
        <w:pStyle w:val="11"/>
        <w:widowControl/>
        <w:ind w:left="0" w:leftChars="0" w:firstLine="480" w:firstLineChars="200"/>
        <w:rPr>
          <w:color w:val="auto"/>
          <w:highlight w:val="none"/>
        </w:rPr>
      </w:pPr>
      <w:r>
        <w:rPr>
          <w:color w:val="auto"/>
          <w:highlight w:val="none"/>
        </w:rPr>
        <w:t>有偿使用权转让限制：运营期间有偿使用权不得转让。</w:t>
      </w:r>
    </w:p>
    <w:p>
      <w:pPr>
        <w:pStyle w:val="11"/>
        <w:spacing w:line="287" w:lineRule="auto"/>
        <w:rPr>
          <w:color w:val="auto"/>
          <w:highlight w:val="none"/>
        </w:rPr>
      </w:pPr>
    </w:p>
    <w:p>
      <w:pPr>
        <w:pStyle w:val="23"/>
        <w:widowControl/>
        <w:numPr>
          <w:ilvl w:val="0"/>
          <w:numId w:val="1"/>
        </w:numPr>
        <w:tabs>
          <w:tab w:val="left" w:pos="1731"/>
          <w:tab w:val="clear" w:pos="210"/>
        </w:tabs>
        <w:ind w:left="0" w:leftChars="0" w:firstLine="600" w:firstLineChars="200"/>
        <w:outlineLvl w:val="0"/>
        <w:rPr>
          <w:b w:val="0"/>
          <w:color w:val="auto"/>
          <w:highlight w:val="none"/>
        </w:rPr>
      </w:pPr>
      <w:bookmarkStart w:id="11" w:name="bookmark9"/>
      <w:bookmarkEnd w:id="11"/>
      <w:bookmarkStart w:id="12" w:name="bookmark8"/>
      <w:bookmarkEnd w:id="12"/>
      <w:bookmarkStart w:id="13" w:name="_Toc10967"/>
      <w:r>
        <w:rPr>
          <w:color w:val="auto"/>
          <w:highlight w:val="none"/>
        </w:rPr>
        <w:t>有偿使用权</w:t>
      </w:r>
      <w:bookmarkEnd w:id="13"/>
    </w:p>
    <w:p>
      <w:pPr>
        <w:pStyle w:val="2"/>
        <w:widowControl/>
        <w:numPr>
          <w:ilvl w:val="0"/>
          <w:numId w:val="11"/>
        </w:numPr>
        <w:tabs>
          <w:tab w:val="left" w:pos="1153"/>
          <w:tab w:val="clear" w:pos="210"/>
        </w:tabs>
        <w:ind w:left="0" w:leftChars="0" w:firstLine="482" w:firstLineChars="200"/>
        <w:outlineLvl w:val="1"/>
        <w:rPr>
          <w:b/>
          <w:color w:val="auto"/>
          <w:highlight w:val="none"/>
        </w:rPr>
      </w:pPr>
      <w:r>
        <w:rPr>
          <w:color w:val="auto"/>
          <w:highlight w:val="none"/>
        </w:rPr>
        <w:t>本协议授权标的为项目有偿使用权：</w:t>
      </w:r>
    </w:p>
    <w:p>
      <w:pPr>
        <w:pStyle w:val="11"/>
        <w:widowControl/>
        <w:ind w:left="0" w:leftChars="0" w:firstLine="480" w:firstLineChars="200"/>
        <w:rPr>
          <w:color w:val="auto"/>
          <w:highlight w:val="none"/>
        </w:rPr>
      </w:pPr>
      <w:r>
        <w:rPr>
          <w:color w:val="auto"/>
          <w:highlight w:val="none"/>
        </w:rPr>
        <w:t>甲方通过公开招标的方式，将本项目的有偿使用权授予乙方，并与乙方签订本协议，即由乙方负责</w:t>
      </w:r>
      <w:r>
        <w:rPr>
          <w:rFonts w:hint="eastAsia"/>
          <w:color w:val="auto"/>
          <w:highlight w:val="none"/>
        </w:rPr>
        <w:t>茂名滨海新区自来水投资有限公司</w:t>
      </w:r>
      <w:r>
        <w:rPr>
          <w:color w:val="auto"/>
          <w:highlight w:val="none"/>
        </w:rPr>
        <w:t>控制的</w:t>
      </w:r>
      <w:r>
        <w:rPr>
          <w:rFonts w:hint="eastAsia"/>
          <w:color w:val="auto"/>
          <w:highlight w:val="none"/>
        </w:rPr>
        <w:t>优质屋顶及闲置土地（含水投本部、一级泵站、二级泵站、电城水质净化厂、博贺水质净化厂等）</w:t>
      </w:r>
      <w:r>
        <w:rPr>
          <w:color w:val="auto"/>
          <w:highlight w:val="none"/>
        </w:rPr>
        <w:t>【☑投融资；☑建设与改造；☑运营维护； ☑移交】，并享有获取收益的权利。</w:t>
      </w:r>
    </w:p>
    <w:p>
      <w:pPr>
        <w:pStyle w:val="2"/>
        <w:widowControl/>
        <w:numPr>
          <w:ilvl w:val="0"/>
          <w:numId w:val="11"/>
        </w:numPr>
        <w:tabs>
          <w:tab w:val="left" w:pos="1153"/>
          <w:tab w:val="clear" w:pos="210"/>
        </w:tabs>
        <w:ind w:left="0" w:leftChars="0" w:firstLine="482" w:firstLineChars="200"/>
        <w:outlineLvl w:val="1"/>
        <w:rPr>
          <w:b/>
          <w:bCs/>
          <w:color w:val="auto"/>
          <w:sz w:val="24"/>
          <w:szCs w:val="28"/>
          <w:highlight w:val="none"/>
        </w:rPr>
      </w:pPr>
      <w:r>
        <w:rPr>
          <w:b/>
          <w:bCs/>
          <w:color w:val="auto"/>
          <w:sz w:val="24"/>
          <w:szCs w:val="28"/>
          <w:highlight w:val="none"/>
        </w:rPr>
        <w:t>有偿使用权费用</w:t>
      </w:r>
    </w:p>
    <w:p>
      <w:pPr>
        <w:pStyle w:val="11"/>
        <w:widowControl/>
        <w:ind w:left="0" w:leftChars="0" w:firstLine="482" w:firstLineChars="200"/>
        <w:rPr>
          <w:b/>
          <w:bCs/>
          <w:color w:val="auto"/>
          <w:sz w:val="24"/>
          <w:szCs w:val="20"/>
          <w:highlight w:val="none"/>
        </w:rPr>
      </w:pPr>
      <w:r>
        <w:rPr>
          <w:b/>
          <w:bCs/>
          <w:color w:val="auto"/>
          <w:sz w:val="24"/>
          <w:szCs w:val="20"/>
          <w:highlight w:val="none"/>
        </w:rPr>
        <w:t>有偿使用权费用</w:t>
      </w:r>
      <w:r>
        <w:rPr>
          <w:rFonts w:hint="eastAsia"/>
          <w:b/>
          <w:bCs/>
          <w:color w:val="auto"/>
          <w:sz w:val="24"/>
          <w:szCs w:val="20"/>
          <w:highlight w:val="none"/>
          <w:lang w:val="en-US" w:eastAsia="zh-CN"/>
        </w:rPr>
        <w:t>单价</w:t>
      </w:r>
      <w:r>
        <w:rPr>
          <w:b/>
          <w:bCs/>
          <w:color w:val="auto"/>
          <w:sz w:val="24"/>
          <w:szCs w:val="20"/>
          <w:highlight w:val="none"/>
        </w:rPr>
        <w:t>：</w:t>
      </w:r>
      <w:r>
        <w:rPr>
          <w:rFonts w:hint="eastAsia"/>
          <w:b/>
          <w:bCs/>
          <w:color w:val="auto"/>
          <w:sz w:val="24"/>
          <w:szCs w:val="20"/>
          <w:highlight w:val="none"/>
          <w:lang w:val="en-US" w:eastAsia="zh-CN"/>
        </w:rPr>
        <w:t xml:space="preserve">      </w:t>
      </w:r>
      <w:r>
        <w:rPr>
          <w:rFonts w:hint="eastAsia"/>
          <w:b/>
          <w:bCs/>
          <w:color w:val="auto"/>
          <w:sz w:val="24"/>
          <w:szCs w:val="20"/>
          <w:highlight w:val="none"/>
        </w:rPr>
        <w:t>元/平方米/年（按光伏板铺设面积计算）</w:t>
      </w:r>
    </w:p>
    <w:p>
      <w:pPr>
        <w:pStyle w:val="11"/>
        <w:widowControl/>
        <w:ind w:left="0" w:leftChars="0" w:firstLine="482" w:firstLineChars="200"/>
        <w:rPr>
          <w:b/>
          <w:bCs/>
          <w:color w:val="auto"/>
          <w:sz w:val="24"/>
          <w:szCs w:val="20"/>
          <w:highlight w:val="none"/>
        </w:rPr>
      </w:pPr>
      <w:r>
        <w:rPr>
          <w:rFonts w:hint="eastAsia"/>
          <w:b/>
          <w:bCs/>
          <w:color w:val="auto"/>
          <w:sz w:val="24"/>
          <w:szCs w:val="20"/>
          <w:highlight w:val="none"/>
        </w:rPr>
        <w:t>每年有偿使用费用=实际光伏铺设面积*中标单价，各分布式电站建设完工后首年一次性支付5年费用，后续每5年分别支付一次费用。</w:t>
      </w:r>
    </w:p>
    <w:p>
      <w:pPr>
        <w:pStyle w:val="2"/>
        <w:widowControl/>
        <w:numPr>
          <w:ilvl w:val="0"/>
          <w:numId w:val="11"/>
        </w:numPr>
        <w:tabs>
          <w:tab w:val="left" w:pos="1153"/>
          <w:tab w:val="clear" w:pos="210"/>
        </w:tabs>
        <w:ind w:left="0" w:leftChars="0" w:firstLine="482" w:firstLineChars="200"/>
        <w:outlineLvl w:val="1"/>
        <w:rPr>
          <w:b/>
          <w:color w:val="auto"/>
          <w:highlight w:val="none"/>
        </w:rPr>
      </w:pPr>
      <w:r>
        <w:rPr>
          <w:color w:val="auto"/>
          <w:highlight w:val="none"/>
        </w:rPr>
        <w:t>有偿使用权价格支付</w:t>
      </w:r>
    </w:p>
    <w:p>
      <w:pPr>
        <w:pStyle w:val="11"/>
        <w:widowControl/>
        <w:ind w:left="0" w:leftChars="0" w:firstLine="480" w:firstLineChars="200"/>
        <w:rPr>
          <w:color w:val="auto"/>
          <w:highlight w:val="none"/>
        </w:rPr>
      </w:pPr>
      <w:r>
        <w:rPr>
          <w:rFonts w:hint="eastAsia"/>
          <w:color w:val="auto"/>
          <w:highlight w:val="none"/>
        </w:rPr>
        <w:t>每年有偿使用费用=实际光伏铺设面积*中标单价，</w:t>
      </w:r>
      <w:r>
        <w:rPr>
          <w:rFonts w:hint="eastAsia"/>
          <w:color w:val="auto"/>
          <w:highlight w:val="none"/>
          <w:lang w:val="en-US" w:eastAsia="zh-CN"/>
        </w:rPr>
        <w:t>乙方于</w:t>
      </w:r>
      <w:r>
        <w:rPr>
          <w:rFonts w:hint="eastAsia"/>
          <w:color w:val="auto"/>
          <w:highlight w:val="none"/>
        </w:rPr>
        <w:t>各分布式电站建设完工后首年一次性支付5年费用，后续每5年分别支付一次费用。</w:t>
      </w:r>
    </w:p>
    <w:p>
      <w:pPr>
        <w:pStyle w:val="2"/>
        <w:widowControl/>
        <w:numPr>
          <w:ilvl w:val="0"/>
          <w:numId w:val="11"/>
        </w:numPr>
        <w:tabs>
          <w:tab w:val="left" w:pos="1153"/>
          <w:tab w:val="clear" w:pos="210"/>
        </w:tabs>
        <w:ind w:left="0" w:leftChars="0" w:firstLine="482" w:firstLineChars="200"/>
        <w:outlineLvl w:val="1"/>
        <w:rPr>
          <w:b/>
          <w:color w:val="auto"/>
          <w:highlight w:val="none"/>
        </w:rPr>
      </w:pPr>
      <w:r>
        <w:rPr>
          <w:color w:val="auto"/>
          <w:highlight w:val="none"/>
        </w:rPr>
        <w:t>经营权的排他性及其处分限制</w:t>
      </w:r>
    </w:p>
    <w:p>
      <w:pPr>
        <w:pStyle w:val="11"/>
        <w:widowControl/>
        <w:numPr>
          <w:ilvl w:val="0"/>
          <w:numId w:val="12"/>
        </w:numPr>
        <w:tabs>
          <w:tab w:val="left" w:pos="1140"/>
          <w:tab w:val="clear" w:pos="210"/>
        </w:tabs>
        <w:ind w:left="0" w:leftChars="0" w:firstLine="480" w:firstLineChars="200"/>
        <w:rPr>
          <w:color w:val="auto"/>
          <w:highlight w:val="none"/>
        </w:rPr>
      </w:pPr>
      <w:r>
        <w:rPr>
          <w:color w:val="auto"/>
          <w:highlight w:val="none"/>
        </w:rPr>
        <w:t>甲方承诺，除本协议另有约定外，在本项目合作期限及合作范围内，甲方授予乙方对合作区域的经营权系排他性的权利。除非依照本协议约定提前终止或政策调整的，甲方承诺不擅自收回经营权、不减少经营权的内容、不再将经营权授予任何第三方。</w:t>
      </w:r>
    </w:p>
    <w:p>
      <w:pPr>
        <w:pStyle w:val="11"/>
        <w:widowControl/>
        <w:numPr>
          <w:ilvl w:val="0"/>
          <w:numId w:val="12"/>
        </w:numPr>
        <w:tabs>
          <w:tab w:val="left" w:pos="1140"/>
          <w:tab w:val="clear" w:pos="210"/>
        </w:tabs>
        <w:ind w:left="0" w:leftChars="0" w:firstLine="480" w:firstLineChars="200"/>
        <w:rPr>
          <w:color w:val="auto"/>
          <w:highlight w:val="none"/>
        </w:rPr>
      </w:pPr>
      <w:r>
        <w:rPr>
          <w:color w:val="auto"/>
          <w:highlight w:val="none"/>
        </w:rPr>
        <w:t>除本协议另有约定外，未经甲方事先书面同意，乙方在项目合作期内不得将有偿使用权的相关内容以任何形式出租、转让、承包给第三方。</w:t>
      </w:r>
    </w:p>
    <w:p>
      <w:pPr>
        <w:pStyle w:val="11"/>
        <w:spacing w:line="271" w:lineRule="auto"/>
        <w:rPr>
          <w:color w:val="auto"/>
          <w:highlight w:val="none"/>
        </w:rPr>
      </w:pPr>
    </w:p>
    <w:p>
      <w:pPr>
        <w:pStyle w:val="11"/>
        <w:spacing w:line="272" w:lineRule="auto"/>
        <w:rPr>
          <w:color w:val="auto"/>
          <w:highlight w:val="none"/>
        </w:rPr>
      </w:pPr>
    </w:p>
    <w:p>
      <w:pPr>
        <w:pStyle w:val="23"/>
        <w:widowControl/>
        <w:numPr>
          <w:ilvl w:val="0"/>
          <w:numId w:val="1"/>
        </w:numPr>
        <w:tabs>
          <w:tab w:val="left" w:pos="1731"/>
          <w:tab w:val="clear" w:pos="210"/>
        </w:tabs>
        <w:ind w:left="0" w:leftChars="0" w:firstLine="600" w:firstLineChars="200"/>
        <w:outlineLvl w:val="0"/>
        <w:rPr>
          <w:b w:val="0"/>
          <w:color w:val="auto"/>
          <w:highlight w:val="none"/>
        </w:rPr>
      </w:pPr>
      <w:bookmarkStart w:id="14" w:name="bookmark10"/>
      <w:bookmarkEnd w:id="14"/>
      <w:bookmarkStart w:id="15" w:name="bookmark11"/>
      <w:bookmarkEnd w:id="15"/>
      <w:bookmarkStart w:id="16" w:name="_Toc9188"/>
      <w:r>
        <w:rPr>
          <w:color w:val="auto"/>
          <w:highlight w:val="none"/>
        </w:rPr>
        <w:t>项目概况</w:t>
      </w:r>
      <w:bookmarkEnd w:id="16"/>
    </w:p>
    <w:p>
      <w:pPr>
        <w:pStyle w:val="2"/>
        <w:widowControl/>
        <w:numPr>
          <w:ilvl w:val="0"/>
          <w:numId w:val="13"/>
        </w:numPr>
        <w:tabs>
          <w:tab w:val="left" w:pos="1146"/>
          <w:tab w:val="clear" w:pos="210"/>
        </w:tabs>
        <w:ind w:left="0" w:leftChars="0" w:firstLine="482" w:firstLineChars="200"/>
        <w:outlineLvl w:val="1"/>
        <w:rPr>
          <w:b/>
          <w:color w:val="auto"/>
          <w:highlight w:val="none"/>
        </w:rPr>
      </w:pPr>
      <w:r>
        <w:rPr>
          <w:color w:val="auto"/>
          <w:highlight w:val="none"/>
        </w:rPr>
        <w:t>项目名称：</w:t>
      </w:r>
    </w:p>
    <w:p>
      <w:pPr>
        <w:pStyle w:val="11"/>
        <w:widowControl/>
        <w:ind w:left="0" w:leftChars="0" w:firstLine="480" w:firstLineChars="200"/>
        <w:rPr>
          <w:color w:val="auto"/>
          <w:highlight w:val="none"/>
        </w:rPr>
      </w:pPr>
      <w:r>
        <w:rPr>
          <w:color w:val="auto"/>
          <w:highlight w:val="none"/>
        </w:rPr>
        <w:t>茂名滨海新区自来水投资有限公司可控分布式光伏资源项目</w:t>
      </w:r>
    </w:p>
    <w:p>
      <w:pPr>
        <w:pStyle w:val="2"/>
        <w:widowControl/>
        <w:numPr>
          <w:ilvl w:val="0"/>
          <w:numId w:val="13"/>
        </w:numPr>
        <w:tabs>
          <w:tab w:val="left" w:pos="1146"/>
          <w:tab w:val="clear" w:pos="210"/>
        </w:tabs>
        <w:ind w:left="0" w:leftChars="0" w:firstLine="482" w:firstLineChars="200"/>
        <w:outlineLvl w:val="1"/>
        <w:rPr>
          <w:b/>
          <w:color w:val="auto"/>
          <w:highlight w:val="none"/>
        </w:rPr>
      </w:pPr>
      <w:r>
        <w:rPr>
          <w:color w:val="auto"/>
          <w:highlight w:val="none"/>
        </w:rPr>
        <w:t>项目建设内容及规模：</w:t>
      </w:r>
    </w:p>
    <w:p>
      <w:pPr>
        <w:pStyle w:val="11"/>
        <w:widowControl/>
        <w:ind w:left="0" w:leftChars="0" w:firstLine="480" w:firstLineChars="200"/>
        <w:rPr>
          <w:color w:val="auto"/>
          <w:highlight w:val="none"/>
        </w:rPr>
      </w:pPr>
      <w:r>
        <w:rPr>
          <w:color w:val="auto"/>
          <w:highlight w:val="none"/>
        </w:rPr>
        <w:t>具体项目设施包括：本项目建设内容主要为分布式光伏电站，</w:t>
      </w:r>
      <w:r>
        <w:rPr>
          <w:rFonts w:hint="eastAsia"/>
          <w:color w:val="auto"/>
          <w:highlight w:val="none"/>
        </w:rPr>
        <w:t>优先采用BIPV（建筑光伏一体化）技术，确保符合当地风貌要求。方案需通过第三方机构结构安全评估，并保障水务设施正常运营。</w:t>
      </w:r>
      <w:r>
        <w:rPr>
          <w:color w:val="auto"/>
          <w:highlight w:val="none"/>
        </w:rPr>
        <w:t>同时建设相应的防护、监控、维护等配套设施。</w:t>
      </w:r>
    </w:p>
    <w:p>
      <w:pPr>
        <w:pStyle w:val="2"/>
        <w:widowControl/>
        <w:numPr>
          <w:ilvl w:val="0"/>
          <w:numId w:val="13"/>
        </w:numPr>
        <w:tabs>
          <w:tab w:val="left" w:pos="1146"/>
          <w:tab w:val="clear" w:pos="210"/>
        </w:tabs>
        <w:ind w:left="0" w:leftChars="0" w:firstLine="482" w:firstLineChars="200"/>
        <w:outlineLvl w:val="1"/>
        <w:rPr>
          <w:color w:val="auto"/>
          <w:highlight w:val="none"/>
        </w:rPr>
      </w:pPr>
      <w:r>
        <w:rPr>
          <w:color w:val="auto"/>
          <w:highlight w:val="none"/>
        </w:rPr>
        <w:t>项目分步实施原则</w:t>
      </w:r>
    </w:p>
    <w:p>
      <w:pPr>
        <w:pStyle w:val="23"/>
        <w:widowControl/>
        <w:numPr>
          <w:ilvl w:val="0"/>
          <w:numId w:val="1"/>
        </w:numPr>
        <w:tabs>
          <w:tab w:val="left" w:pos="1731"/>
          <w:tab w:val="clear" w:pos="210"/>
        </w:tabs>
        <w:ind w:left="0" w:leftChars="0" w:firstLine="600" w:firstLineChars="200"/>
        <w:outlineLvl w:val="0"/>
        <w:rPr>
          <w:b w:val="0"/>
          <w:color w:val="auto"/>
          <w:highlight w:val="none"/>
        </w:rPr>
      </w:pPr>
      <w:bookmarkStart w:id="17" w:name="bookmark13"/>
      <w:bookmarkEnd w:id="17"/>
      <w:bookmarkStart w:id="18" w:name="bookmark12"/>
      <w:bookmarkEnd w:id="18"/>
      <w:bookmarkStart w:id="19" w:name="_Toc1329"/>
      <w:r>
        <w:rPr>
          <w:color w:val="auto"/>
          <w:highlight w:val="none"/>
        </w:rPr>
        <w:t>有偿使用方式、区域、范围和期限</w:t>
      </w:r>
      <w:bookmarkEnd w:id="19"/>
    </w:p>
    <w:p>
      <w:pPr>
        <w:pStyle w:val="2"/>
        <w:widowControl/>
        <w:numPr>
          <w:ilvl w:val="0"/>
          <w:numId w:val="14"/>
        </w:numPr>
        <w:tabs>
          <w:tab w:val="left" w:pos="1149"/>
          <w:tab w:val="clear" w:pos="210"/>
        </w:tabs>
        <w:ind w:left="0" w:leftChars="0" w:firstLine="482" w:firstLineChars="200"/>
        <w:outlineLvl w:val="1"/>
        <w:rPr>
          <w:b/>
          <w:color w:val="auto"/>
          <w:highlight w:val="none"/>
        </w:rPr>
      </w:pPr>
      <w:r>
        <w:rPr>
          <w:color w:val="auto"/>
          <w:highlight w:val="none"/>
        </w:rPr>
        <w:t>运作模式</w:t>
      </w:r>
    </w:p>
    <w:p>
      <w:pPr>
        <w:pStyle w:val="11"/>
        <w:widowControl/>
        <w:ind w:left="0" w:leftChars="0" w:firstLine="480" w:firstLineChars="200"/>
        <w:rPr>
          <w:color w:val="auto"/>
          <w:highlight w:val="none"/>
        </w:rPr>
      </w:pPr>
      <w:r>
        <w:rPr>
          <w:color w:val="auto"/>
          <w:highlight w:val="none"/>
        </w:rPr>
        <w:t>本项目采用有偿使用模式运作。</w:t>
      </w:r>
    </w:p>
    <w:p>
      <w:pPr>
        <w:pStyle w:val="2"/>
        <w:widowControl/>
        <w:numPr>
          <w:ilvl w:val="0"/>
          <w:numId w:val="14"/>
        </w:numPr>
        <w:tabs>
          <w:tab w:val="left" w:pos="1149"/>
          <w:tab w:val="clear" w:pos="210"/>
        </w:tabs>
        <w:ind w:left="0" w:leftChars="0" w:firstLine="482" w:firstLineChars="200"/>
        <w:outlineLvl w:val="1"/>
        <w:rPr>
          <w:b/>
          <w:color w:val="auto"/>
          <w:highlight w:val="none"/>
        </w:rPr>
      </w:pPr>
      <w:r>
        <w:rPr>
          <w:color w:val="auto"/>
          <w:highlight w:val="none"/>
        </w:rPr>
        <w:t>经营区域与范围：</w:t>
      </w:r>
    </w:p>
    <w:p>
      <w:pPr>
        <w:pStyle w:val="11"/>
        <w:widowControl/>
        <w:ind w:left="0" w:leftChars="0" w:firstLine="480" w:firstLineChars="200"/>
        <w:rPr>
          <w:color w:val="auto"/>
          <w:highlight w:val="none"/>
        </w:rPr>
      </w:pPr>
      <w:r>
        <w:rPr>
          <w:color w:val="auto"/>
          <w:highlight w:val="none"/>
        </w:rPr>
        <w:t>项目经营区域位于：建设范围覆盖</w:t>
      </w:r>
      <w:r>
        <w:rPr>
          <w:rFonts w:hint="eastAsia"/>
          <w:color w:val="auto"/>
          <w:highlight w:val="none"/>
        </w:rPr>
        <w:t>水投本部、一级泵站、二级泵站、电城水质净化厂、博贺水质净化厂等</w:t>
      </w:r>
      <w:r>
        <w:rPr>
          <w:color w:val="auto"/>
          <w:highlight w:val="none"/>
        </w:rPr>
        <w:t>可安装光伏设备的建筑屋顶</w:t>
      </w:r>
      <w:r>
        <w:rPr>
          <w:rFonts w:hint="eastAsia"/>
          <w:color w:val="auto"/>
          <w:highlight w:val="none"/>
          <w:lang w:val="en-US" w:eastAsia="zh-CN"/>
        </w:rPr>
        <w:t>或闲置土地</w:t>
      </w:r>
      <w:r>
        <w:rPr>
          <w:color w:val="auto"/>
          <w:highlight w:val="none"/>
        </w:rPr>
        <w:t>。</w:t>
      </w:r>
    </w:p>
    <w:p>
      <w:pPr>
        <w:pStyle w:val="11"/>
        <w:widowControl/>
        <w:numPr>
          <w:ilvl w:val="0"/>
          <w:numId w:val="15"/>
        </w:numPr>
        <w:tabs>
          <w:tab w:val="left" w:pos="1140"/>
          <w:tab w:val="clear" w:pos="210"/>
        </w:tabs>
        <w:ind w:left="0" w:leftChars="0" w:firstLine="480" w:firstLineChars="200"/>
        <w:rPr>
          <w:color w:val="auto"/>
          <w:highlight w:val="none"/>
        </w:rPr>
      </w:pPr>
      <w:r>
        <w:rPr>
          <w:color w:val="auto"/>
          <w:highlight w:val="none"/>
        </w:rPr>
        <w:t>项目有偿使用范围为：在项目有偿使用期内对项目范围内的屋顶资源及分布式光伏发电和配套设施实施运营维护管理，提供发电管理、收费管理、客服管理、检修维护和其他相应的服务等。</w:t>
      </w:r>
    </w:p>
    <w:p>
      <w:pPr>
        <w:pStyle w:val="2"/>
        <w:widowControl/>
        <w:numPr>
          <w:ilvl w:val="0"/>
          <w:numId w:val="14"/>
        </w:numPr>
        <w:tabs>
          <w:tab w:val="left" w:pos="1149"/>
          <w:tab w:val="clear" w:pos="210"/>
        </w:tabs>
        <w:ind w:left="0" w:leftChars="0" w:firstLine="482" w:firstLineChars="200"/>
        <w:outlineLvl w:val="1"/>
        <w:rPr>
          <w:b/>
          <w:color w:val="auto"/>
          <w:highlight w:val="none"/>
        </w:rPr>
      </w:pPr>
      <w:r>
        <w:rPr>
          <w:color w:val="auto"/>
          <w:highlight w:val="none"/>
        </w:rPr>
        <w:t>有偿使用期限</w:t>
      </w:r>
    </w:p>
    <w:p>
      <w:pPr>
        <w:pStyle w:val="3"/>
        <w:widowControl/>
        <w:numPr>
          <w:ilvl w:val="0"/>
          <w:numId w:val="16"/>
        </w:numPr>
        <w:tabs>
          <w:tab w:val="left" w:pos="1191"/>
          <w:tab w:val="clear" w:pos="210"/>
        </w:tabs>
        <w:ind w:left="0" w:leftChars="0" w:firstLine="482" w:firstLineChars="200"/>
        <w:rPr>
          <w:color w:val="auto"/>
          <w:highlight w:val="none"/>
        </w:rPr>
      </w:pPr>
      <w:r>
        <w:rPr>
          <w:color w:val="auto"/>
          <w:highlight w:val="none"/>
        </w:rPr>
        <w:t>本项目合作期限</w:t>
      </w:r>
      <w:r>
        <w:rPr>
          <w:color w:val="auto"/>
          <w:highlight w:val="none"/>
          <w:u w:val="single" w:color="auto"/>
        </w:rPr>
        <w:t>共 30  年</w:t>
      </w:r>
      <w:r>
        <w:rPr>
          <w:color w:val="auto"/>
          <w:highlight w:val="none"/>
        </w:rPr>
        <w:t>， 自</w:t>
      </w:r>
      <w:r>
        <w:rPr>
          <w:color w:val="auto"/>
          <w:highlight w:val="none"/>
          <w:u w:val="single" w:color="auto"/>
        </w:rPr>
        <w:t xml:space="preserve">   年   月    日   </w:t>
      </w:r>
      <w:r>
        <w:rPr>
          <w:color w:val="auto"/>
          <w:highlight w:val="none"/>
        </w:rPr>
        <w:t xml:space="preserve"> 时起至</w:t>
      </w:r>
      <w:r>
        <w:rPr>
          <w:rFonts w:hint="eastAsia"/>
          <w:color w:val="auto"/>
          <w:highlight w:val="none"/>
          <w:lang w:val="en-US" w:eastAsia="zh-CN"/>
        </w:rPr>
        <w:t xml:space="preserve">    </w:t>
      </w:r>
      <w:r>
        <w:rPr>
          <w:color w:val="auto"/>
          <w:highlight w:val="none"/>
          <w:u w:val="single" w:color="auto"/>
        </w:rPr>
        <w:t>年   月   日   时</w:t>
      </w:r>
      <w:r>
        <w:rPr>
          <w:color w:val="auto"/>
          <w:highlight w:val="none"/>
        </w:rPr>
        <w:t>止，包括项目建设期和运营期。（从本协议生效之日 起至有偿使用期结束之日止；因乙方原因导致建设期延期的，不影响本协议有偿使用期的总期限。因甲方原因导致建设期延期的，有偿使用总期限相应顺延）；</w:t>
      </w:r>
    </w:p>
    <w:p>
      <w:pPr>
        <w:pStyle w:val="11"/>
        <w:widowControl/>
        <w:ind w:left="0" w:leftChars="0" w:firstLine="480" w:firstLineChars="200"/>
        <w:rPr>
          <w:color w:val="auto"/>
          <w:highlight w:val="none"/>
        </w:rPr>
      </w:pPr>
      <w:r>
        <w:rPr>
          <w:color w:val="auto"/>
          <w:highlight w:val="none"/>
        </w:rPr>
        <w:t>建设期</w:t>
      </w:r>
      <w:r>
        <w:rPr>
          <w:color w:val="auto"/>
          <w:highlight w:val="none"/>
          <w:u w:val="single" w:color="auto"/>
        </w:rPr>
        <w:t>共</w:t>
      </w:r>
      <w:r>
        <w:rPr>
          <w:rFonts w:hint="eastAsia"/>
          <w:color w:val="auto"/>
          <w:highlight w:val="none"/>
          <w:u w:val="single" w:color="auto"/>
          <w:lang w:val="en-US" w:eastAsia="zh-CN"/>
        </w:rPr>
        <w:t>2</w:t>
      </w:r>
      <w:r>
        <w:rPr>
          <w:color w:val="auto"/>
          <w:highlight w:val="none"/>
          <w:u w:val="single" w:color="auto"/>
        </w:rPr>
        <w:t>年</w:t>
      </w:r>
      <w:r>
        <w:rPr>
          <w:color w:val="auto"/>
          <w:highlight w:val="none"/>
        </w:rPr>
        <w:t>， 自</w:t>
      </w:r>
      <w:r>
        <w:rPr>
          <w:color w:val="auto"/>
          <w:highlight w:val="none"/>
          <w:u w:val="single" w:color="auto"/>
        </w:rPr>
        <w:t xml:space="preserve">    年    月     日    时</w:t>
      </w:r>
      <w:r>
        <w:rPr>
          <w:color w:val="auto"/>
          <w:highlight w:val="none"/>
        </w:rPr>
        <w:t xml:space="preserve">起至 </w:t>
      </w:r>
      <w:r>
        <w:rPr>
          <w:color w:val="auto"/>
          <w:highlight w:val="none"/>
          <w:u w:val="single" w:color="auto"/>
        </w:rPr>
        <w:t xml:space="preserve">    年     月</w:t>
      </w:r>
      <w:r>
        <w:rPr>
          <w:color w:val="auto"/>
          <w:highlight w:val="none"/>
        </w:rPr>
        <w:t xml:space="preserve"> </w:t>
      </w:r>
      <w:r>
        <w:rPr>
          <w:color w:val="auto"/>
          <w:highlight w:val="none"/>
          <w:u w:val="single" w:color="auto"/>
        </w:rPr>
        <w:t>日    时</w:t>
      </w:r>
      <w:r>
        <w:rPr>
          <w:color w:val="auto"/>
          <w:highlight w:val="none"/>
        </w:rPr>
        <w:t>止（从本协议生效之日起两年内，乙方应完成本项目全部建设工作并竣工验收合格）；</w:t>
      </w:r>
    </w:p>
    <w:p>
      <w:pPr>
        <w:pStyle w:val="11"/>
        <w:widowControl/>
        <w:ind w:left="0" w:leftChars="0" w:firstLine="480" w:firstLineChars="200"/>
        <w:rPr>
          <w:color w:val="auto"/>
          <w:highlight w:val="none"/>
        </w:rPr>
      </w:pPr>
      <w:r>
        <w:rPr>
          <w:color w:val="auto"/>
          <w:highlight w:val="none"/>
        </w:rPr>
        <w:t>正式运营期</w:t>
      </w:r>
      <w:r>
        <w:rPr>
          <w:color w:val="auto"/>
          <w:highlight w:val="none"/>
          <w:u w:val="single" w:color="auto"/>
        </w:rPr>
        <w:t>共</w:t>
      </w:r>
      <w:r>
        <w:rPr>
          <w:rFonts w:hint="eastAsia"/>
          <w:color w:val="auto"/>
          <w:highlight w:val="none"/>
          <w:u w:val="single" w:color="auto"/>
          <w:lang w:val="en-US" w:eastAsia="zh-CN"/>
        </w:rPr>
        <w:t>28</w:t>
      </w:r>
      <w:r>
        <w:rPr>
          <w:color w:val="auto"/>
          <w:highlight w:val="none"/>
          <w:u w:val="single" w:color="auto"/>
        </w:rPr>
        <w:t xml:space="preserve"> 年</w:t>
      </w:r>
      <w:r>
        <w:rPr>
          <w:color w:val="auto"/>
          <w:highlight w:val="none"/>
        </w:rPr>
        <w:t xml:space="preserve">， 自 </w:t>
      </w:r>
      <w:r>
        <w:rPr>
          <w:color w:val="auto"/>
          <w:highlight w:val="none"/>
          <w:u w:val="single" w:color="auto"/>
        </w:rPr>
        <w:t xml:space="preserve">    年    月     日     时</w:t>
      </w:r>
      <w:r>
        <w:rPr>
          <w:color w:val="auto"/>
          <w:highlight w:val="none"/>
        </w:rPr>
        <w:t xml:space="preserve">起至 </w:t>
      </w:r>
      <w:r>
        <w:rPr>
          <w:color w:val="auto"/>
          <w:highlight w:val="none"/>
          <w:u w:val="single" w:color="auto"/>
        </w:rPr>
        <w:t xml:space="preserve">    年</w:t>
      </w:r>
      <w:r>
        <w:rPr>
          <w:color w:val="auto"/>
          <w:highlight w:val="none"/>
        </w:rPr>
        <w:t xml:space="preserve"> </w:t>
      </w:r>
      <w:r>
        <w:rPr>
          <w:color w:val="auto"/>
          <w:highlight w:val="none"/>
          <w:u w:val="single" w:color="auto"/>
        </w:rPr>
        <w:t>月    日    时</w:t>
      </w:r>
      <w:r>
        <w:rPr>
          <w:color w:val="auto"/>
          <w:highlight w:val="none"/>
        </w:rPr>
        <w:t>止（自首批屋顶光伏项目竣工验收合格并投入使用，经</w:t>
      </w:r>
      <w:r>
        <w:rPr>
          <w:rFonts w:hint="eastAsia"/>
          <w:color w:val="auto"/>
          <w:highlight w:val="none"/>
          <w:lang w:val="en-US" w:eastAsia="zh-CN"/>
        </w:rPr>
        <w:t>甲方</w:t>
      </w:r>
      <w:r>
        <w:rPr>
          <w:color w:val="auto"/>
          <w:highlight w:val="none"/>
        </w:rPr>
        <w:t>确认之日起至有偿使用期结束之日止）。</w:t>
      </w:r>
    </w:p>
    <w:p>
      <w:pPr>
        <w:pStyle w:val="11"/>
        <w:widowControl/>
        <w:ind w:left="0" w:leftChars="0" w:firstLine="480" w:firstLineChars="200"/>
        <w:rPr>
          <w:color w:val="auto"/>
          <w:highlight w:val="none"/>
        </w:rPr>
      </w:pPr>
      <w:r>
        <w:rPr>
          <w:color w:val="auto"/>
          <w:highlight w:val="none"/>
        </w:rPr>
        <w:t>合作期限的其他约定：</w:t>
      </w:r>
    </w:p>
    <w:p>
      <w:pPr>
        <w:pStyle w:val="11"/>
        <w:widowControl/>
        <w:numPr>
          <w:ilvl w:val="0"/>
          <w:numId w:val="17"/>
        </w:numPr>
        <w:tabs>
          <w:tab w:val="left" w:pos="879"/>
          <w:tab w:val="clear" w:pos="210"/>
        </w:tabs>
        <w:ind w:left="0" w:leftChars="0" w:firstLine="480" w:firstLineChars="200"/>
        <w:rPr>
          <w:b w:val="0"/>
          <w:color w:val="auto"/>
          <w:highlight w:val="none"/>
        </w:rPr>
      </w:pPr>
      <w:r>
        <w:rPr>
          <w:color w:val="auto"/>
          <w:highlight w:val="none"/>
        </w:rPr>
        <w:t>项目共分</w:t>
      </w:r>
      <w:r>
        <w:rPr>
          <w:rFonts w:hint="eastAsia"/>
          <w:color w:val="auto"/>
          <w:highlight w:val="none"/>
          <w:lang w:val="en-US" w:eastAsia="zh-CN"/>
        </w:rPr>
        <w:t>2</w:t>
      </w:r>
      <w:r>
        <w:rPr>
          <w:color w:val="auto"/>
          <w:highlight w:val="none"/>
        </w:rPr>
        <w:t>年完成建设，在项目建设期内，若因建筑屋顶占用、</w:t>
      </w:r>
      <w:r>
        <w:rPr>
          <w:rFonts w:hint="eastAsia"/>
          <w:color w:val="auto"/>
          <w:highlight w:val="none"/>
          <w:lang w:val="en-US" w:eastAsia="zh-CN"/>
        </w:rPr>
        <w:t>产权</w:t>
      </w:r>
      <w:r>
        <w:rPr>
          <w:color w:val="auto"/>
          <w:highlight w:val="none"/>
        </w:rPr>
        <w:t>等原因且不可协调时，导致本项目有偿使用范围内有效屋顶面积减少的，</w:t>
      </w:r>
      <w:r>
        <w:rPr>
          <w:rFonts w:hint="eastAsia"/>
          <w:color w:val="auto"/>
          <w:highlight w:val="none"/>
          <w:lang w:val="en-US" w:eastAsia="zh-CN"/>
        </w:rPr>
        <w:t>乙方没有异议</w:t>
      </w:r>
      <w:r>
        <w:rPr>
          <w:color w:val="auto"/>
          <w:highlight w:val="none"/>
        </w:rPr>
        <w:t>。</w:t>
      </w:r>
    </w:p>
    <w:p>
      <w:pPr>
        <w:pStyle w:val="11"/>
        <w:widowControl/>
        <w:numPr>
          <w:ilvl w:val="0"/>
          <w:numId w:val="17"/>
        </w:numPr>
        <w:tabs>
          <w:tab w:val="left" w:pos="879"/>
          <w:tab w:val="clear" w:pos="210"/>
        </w:tabs>
        <w:ind w:left="0" w:leftChars="0" w:firstLine="480" w:firstLineChars="200"/>
        <w:rPr>
          <w:b w:val="0"/>
          <w:color w:val="auto"/>
          <w:highlight w:val="none"/>
        </w:rPr>
      </w:pPr>
      <w:r>
        <w:rPr>
          <w:color w:val="auto"/>
          <w:highlight w:val="none"/>
        </w:rPr>
        <w:t>乙方向实际使用者收取电费。本项目在建设及运营阶段由乙方负责项目的运营收费，按照“ 自发自用，余额上网 ”的模式，向用户和电网公司收取电费以获得项目运营收入，用户电价具体由有偿使用者和用户协商，最终电价按照签订的协议执行。</w:t>
      </w:r>
    </w:p>
    <w:p>
      <w:pPr>
        <w:pStyle w:val="11"/>
        <w:widowControl/>
        <w:numPr>
          <w:ilvl w:val="0"/>
          <w:numId w:val="17"/>
        </w:numPr>
        <w:tabs>
          <w:tab w:val="left" w:pos="879"/>
          <w:tab w:val="clear" w:pos="210"/>
        </w:tabs>
        <w:ind w:left="0" w:leftChars="0" w:firstLine="480" w:firstLineChars="200"/>
        <w:rPr>
          <w:b w:val="0"/>
          <w:color w:val="auto"/>
          <w:highlight w:val="none"/>
        </w:rPr>
      </w:pPr>
      <w:r>
        <w:rPr>
          <w:rFonts w:hint="eastAsia"/>
          <w:color w:val="auto"/>
          <w:highlight w:val="none"/>
          <w:lang w:val="en-US" w:eastAsia="zh-CN"/>
        </w:rPr>
        <w:t>甲方</w:t>
      </w:r>
      <w:r>
        <w:rPr>
          <w:rFonts w:hint="eastAsia"/>
          <w:color w:val="auto"/>
          <w:highlight w:val="none"/>
        </w:rPr>
        <w:t>按照相关政策规定或者主管部门批复的消耗比使用光伏所发电力，用电折扣价由</w:t>
      </w:r>
      <w:r>
        <w:rPr>
          <w:rFonts w:hint="eastAsia"/>
          <w:color w:val="auto"/>
          <w:highlight w:val="none"/>
          <w:lang w:val="en-US" w:eastAsia="zh-CN"/>
        </w:rPr>
        <w:t>甲方</w:t>
      </w:r>
      <w:r>
        <w:rPr>
          <w:rFonts w:hint="eastAsia"/>
          <w:color w:val="auto"/>
          <w:highlight w:val="none"/>
        </w:rPr>
        <w:t>及</w:t>
      </w:r>
      <w:r>
        <w:rPr>
          <w:rFonts w:hint="eastAsia"/>
          <w:color w:val="auto"/>
          <w:highlight w:val="none"/>
          <w:lang w:val="en-US" w:eastAsia="zh-CN"/>
        </w:rPr>
        <w:t>乙方</w:t>
      </w:r>
      <w:r>
        <w:rPr>
          <w:rFonts w:hint="eastAsia"/>
          <w:color w:val="auto"/>
          <w:highlight w:val="none"/>
        </w:rPr>
        <w:t>双方协商（价格应低于目前</w:t>
      </w:r>
      <w:r>
        <w:rPr>
          <w:rFonts w:hint="eastAsia"/>
          <w:color w:val="auto"/>
          <w:highlight w:val="none"/>
          <w:lang w:val="en-US" w:eastAsia="zh-CN"/>
        </w:rPr>
        <w:t>甲方</w:t>
      </w:r>
      <w:r>
        <w:rPr>
          <w:rFonts w:hint="eastAsia"/>
          <w:color w:val="auto"/>
          <w:highlight w:val="none"/>
        </w:rPr>
        <w:t>用电价格</w:t>
      </w:r>
      <w:r>
        <w:rPr>
          <w:rFonts w:hint="eastAsia"/>
          <w:color w:val="auto"/>
          <w:highlight w:val="none"/>
          <w:lang w:val="en-US" w:eastAsia="zh-CN"/>
        </w:rPr>
        <w:t xml:space="preserve">    元/度</w:t>
      </w:r>
      <w:r>
        <w:rPr>
          <w:rFonts w:hint="eastAsia"/>
          <w:color w:val="auto"/>
          <w:highlight w:val="none"/>
        </w:rPr>
        <w:t>）</w:t>
      </w:r>
    </w:p>
    <w:p>
      <w:pPr>
        <w:pStyle w:val="3"/>
        <w:widowControl/>
        <w:numPr>
          <w:ilvl w:val="0"/>
          <w:numId w:val="16"/>
        </w:numPr>
        <w:tabs>
          <w:tab w:val="left" w:pos="1191"/>
          <w:tab w:val="clear" w:pos="210"/>
        </w:tabs>
        <w:ind w:left="0" w:leftChars="0" w:firstLine="482" w:firstLineChars="200"/>
        <w:outlineLvl w:val="2"/>
        <w:rPr>
          <w:b/>
          <w:color w:val="auto"/>
          <w:highlight w:val="none"/>
        </w:rPr>
      </w:pPr>
      <w:r>
        <w:rPr>
          <w:color w:val="auto"/>
          <w:highlight w:val="none"/>
        </w:rPr>
        <w:t>合作期满的处理</w:t>
      </w:r>
    </w:p>
    <w:p>
      <w:pPr>
        <w:pStyle w:val="11"/>
        <w:widowControl/>
        <w:ind w:left="0" w:leftChars="0" w:firstLine="480" w:firstLineChars="200"/>
        <w:rPr>
          <w:color w:val="auto"/>
          <w:highlight w:val="none"/>
        </w:rPr>
      </w:pPr>
      <w:r>
        <w:rPr>
          <w:color w:val="auto"/>
          <w:highlight w:val="none"/>
        </w:rPr>
        <w:t>本项目合作期限届满时，乙方应向甲方无偿移交所有项目设施及相关权利。甲方有权依照届时适用法律规定选择新的有偿使用者，如乙方在上述合作期限内履约记录良好，则在同等条件下可享有优先权。</w:t>
      </w:r>
    </w:p>
    <w:p>
      <w:pPr>
        <w:pStyle w:val="11"/>
        <w:widowControl/>
        <w:ind w:left="0" w:leftChars="0" w:firstLine="480" w:firstLineChars="200"/>
        <w:rPr>
          <w:color w:val="auto"/>
          <w:highlight w:val="none"/>
        </w:rPr>
      </w:pPr>
      <w:r>
        <w:rPr>
          <w:color w:val="auto"/>
          <w:highlight w:val="none"/>
        </w:rPr>
        <w:t>乙方应保证在合作期满前清偿其所有债务，解除在项目设施及相关权益上设置的任何权利负担。在合作期满后不论是否继续经营本项目，其债权债务均由乙方享有和承担，与甲方无关。</w:t>
      </w:r>
    </w:p>
    <w:p>
      <w:pPr>
        <w:pStyle w:val="11"/>
        <w:widowControl/>
        <w:ind w:left="0" w:leftChars="0" w:firstLine="0" w:firstLineChars="0"/>
        <w:rPr>
          <w:color w:val="auto"/>
          <w:highlight w:val="none"/>
        </w:rPr>
      </w:pPr>
      <w:bookmarkStart w:id="20" w:name="bookmark15"/>
      <w:bookmarkEnd w:id="20"/>
      <w:bookmarkStart w:id="21" w:name="bookmark14"/>
      <w:bookmarkEnd w:id="21"/>
    </w:p>
    <w:p>
      <w:pPr>
        <w:pStyle w:val="23"/>
        <w:widowControl/>
        <w:numPr>
          <w:ilvl w:val="0"/>
          <w:numId w:val="1"/>
        </w:numPr>
        <w:tabs>
          <w:tab w:val="left" w:pos="1731"/>
          <w:tab w:val="clear" w:pos="210"/>
        </w:tabs>
        <w:ind w:left="0" w:leftChars="0" w:firstLine="600" w:firstLineChars="200"/>
        <w:outlineLvl w:val="0"/>
        <w:rPr>
          <w:rFonts w:hint="eastAsia" w:eastAsia="宋体"/>
          <w:b/>
          <w:color w:val="auto"/>
          <w:highlight w:val="none"/>
          <w:lang w:eastAsia="zh-CN"/>
        </w:rPr>
      </w:pPr>
      <w:bookmarkStart w:id="22" w:name="bookmark16"/>
      <w:bookmarkEnd w:id="22"/>
      <w:bookmarkStart w:id="23" w:name="bookmark17"/>
      <w:bookmarkEnd w:id="23"/>
      <w:bookmarkStart w:id="24" w:name="_Toc10722"/>
      <w:r>
        <w:rPr>
          <w:color w:val="auto"/>
          <w:highlight w:val="none"/>
        </w:rPr>
        <w:t>项目建设</w:t>
      </w:r>
      <w:bookmarkEnd w:id="24"/>
      <w:bookmarkStart w:id="25" w:name="bookmark18"/>
      <w:bookmarkEnd w:id="25"/>
      <w:bookmarkStart w:id="26" w:name="bookmark19"/>
      <w:bookmarkEnd w:id="26"/>
    </w:p>
    <w:p>
      <w:pPr>
        <w:pStyle w:val="2"/>
        <w:widowControl/>
        <w:numPr>
          <w:ilvl w:val="0"/>
          <w:numId w:val="0"/>
        </w:numPr>
        <w:tabs>
          <w:tab w:val="left" w:pos="1149"/>
        </w:tabs>
        <w:ind w:left="0" w:leftChars="0" w:firstLine="482" w:firstLineChars="200"/>
        <w:outlineLvl w:val="1"/>
        <w:rPr>
          <w:b/>
          <w:color w:val="auto"/>
          <w:highlight w:val="none"/>
        </w:rPr>
      </w:pPr>
      <w:r>
        <w:rPr>
          <w:rFonts w:hint="eastAsia" w:cs="宋体"/>
          <w:b/>
          <w:bCs/>
          <w:snapToGrid w:val="0"/>
          <w:color w:val="auto"/>
          <w:kern w:val="44"/>
          <w:sz w:val="24"/>
          <w:szCs w:val="30"/>
          <w:highlight w:val="none"/>
          <w:lang w:val="en-US" w:eastAsia="zh-CN" w:bidi="ar-SA"/>
        </w:rPr>
        <w:t>7</w:t>
      </w:r>
      <w:r>
        <w:rPr>
          <w:rFonts w:hint="default" w:ascii="宋体" w:hAnsi="宋体" w:eastAsia="宋体" w:cs="宋体"/>
          <w:b/>
          <w:bCs/>
          <w:snapToGrid w:val="0"/>
          <w:color w:val="auto"/>
          <w:kern w:val="44"/>
          <w:sz w:val="24"/>
          <w:szCs w:val="30"/>
          <w:highlight w:val="none"/>
          <w:lang w:val="en-US" w:eastAsia="en-US" w:bidi="ar-SA"/>
        </w:rPr>
        <w:t>.</w:t>
      </w:r>
      <w:r>
        <w:rPr>
          <w:rFonts w:hint="eastAsia" w:cs="宋体"/>
          <w:b/>
          <w:bCs/>
          <w:snapToGrid w:val="0"/>
          <w:color w:val="auto"/>
          <w:kern w:val="44"/>
          <w:sz w:val="24"/>
          <w:szCs w:val="30"/>
          <w:highlight w:val="none"/>
          <w:lang w:val="en-US" w:eastAsia="zh-CN" w:bidi="ar-SA"/>
        </w:rPr>
        <w:t>1</w:t>
      </w:r>
      <w:r>
        <w:rPr>
          <w:rFonts w:hint="default" w:ascii="宋体" w:hAnsi="宋体" w:eastAsia="宋体" w:cs="宋体"/>
          <w:b/>
          <w:bCs/>
          <w:snapToGrid w:val="0"/>
          <w:color w:val="auto"/>
          <w:kern w:val="44"/>
          <w:sz w:val="24"/>
          <w:szCs w:val="30"/>
          <w:highlight w:val="none"/>
          <w:lang w:val="en-US" w:eastAsia="en-US" w:bidi="ar-SA"/>
        </w:rPr>
        <w:t>.</w:t>
      </w:r>
      <w:r>
        <w:rPr>
          <w:color w:val="auto"/>
          <w:highlight w:val="none"/>
        </w:rPr>
        <w:t>项目设计</w:t>
      </w:r>
    </w:p>
    <w:p>
      <w:pPr>
        <w:pStyle w:val="3"/>
        <w:widowControl/>
        <w:numPr>
          <w:ilvl w:val="0"/>
          <w:numId w:val="0"/>
        </w:numPr>
        <w:tabs>
          <w:tab w:val="left" w:pos="1211"/>
        </w:tabs>
        <w:ind w:left="0" w:leftChars="0" w:firstLine="482" w:firstLineChars="200"/>
        <w:outlineLvl w:val="2"/>
        <w:rPr>
          <w:b/>
          <w:color w:val="auto"/>
          <w:highlight w:val="none"/>
        </w:rPr>
      </w:pPr>
      <w:r>
        <w:rPr>
          <w:rFonts w:hint="eastAsia" w:cs="Times New Roman"/>
          <w:b/>
          <w:color w:val="auto"/>
          <w:sz w:val="24"/>
          <w:highlight w:val="none"/>
          <w:lang w:val="en-US" w:eastAsia="zh-CN"/>
        </w:rPr>
        <w:t>7</w:t>
      </w:r>
      <w:r>
        <w:rPr>
          <w:rFonts w:hint="default" w:ascii="Times New Roman" w:hAnsi="Times New Roman" w:eastAsia="宋体" w:cs="Times New Roman"/>
          <w:b/>
          <w:color w:val="auto"/>
          <w:sz w:val="24"/>
          <w:highlight w:val="none"/>
        </w:rPr>
        <w:t>.1.1.</w:t>
      </w:r>
      <w:r>
        <w:rPr>
          <w:color w:val="auto"/>
          <w:highlight w:val="none"/>
        </w:rPr>
        <w:t>设计的范围</w:t>
      </w:r>
    </w:p>
    <w:p>
      <w:pPr>
        <w:pStyle w:val="11"/>
        <w:widowControl/>
        <w:ind w:left="0" w:leftChars="0" w:firstLine="480" w:firstLineChars="200"/>
        <w:rPr>
          <w:color w:val="auto"/>
          <w:highlight w:val="none"/>
        </w:rPr>
      </w:pPr>
      <w:r>
        <w:rPr>
          <w:color w:val="auto"/>
          <w:highlight w:val="none"/>
        </w:rPr>
        <w:t>纳入本项目合作范围的项目设计，包括：【</w:t>
      </w:r>
      <w:r>
        <w:rPr>
          <w:rFonts w:hint="eastAsia"/>
          <w:color w:val="auto"/>
          <w:highlight w:val="none"/>
          <w:lang w:eastAsia="zh-CN"/>
        </w:rPr>
        <w:t>☑</w:t>
      </w:r>
      <w:r>
        <w:rPr>
          <w:color w:val="auto"/>
          <w:highlight w:val="none"/>
        </w:rPr>
        <w:t>初步设计；</w:t>
      </w:r>
      <w:r>
        <w:rPr>
          <w:rFonts w:hint="eastAsia"/>
          <w:color w:val="auto"/>
          <w:highlight w:val="none"/>
          <w:lang w:eastAsia="zh-CN"/>
        </w:rPr>
        <w:t>☑</w:t>
      </w:r>
      <w:r>
        <w:rPr>
          <w:color w:val="auto"/>
          <w:highlight w:val="none"/>
        </w:rPr>
        <w:t>施工图设计】。</w:t>
      </w:r>
    </w:p>
    <w:p>
      <w:pPr>
        <w:pStyle w:val="3"/>
        <w:widowControl/>
        <w:numPr>
          <w:ilvl w:val="0"/>
          <w:numId w:val="0"/>
        </w:numPr>
        <w:tabs>
          <w:tab w:val="left" w:pos="1211"/>
        </w:tabs>
        <w:ind w:left="0" w:leftChars="0" w:firstLine="482" w:firstLineChars="200"/>
        <w:outlineLvl w:val="2"/>
        <w:rPr>
          <w:b/>
          <w:color w:val="auto"/>
          <w:highlight w:val="none"/>
        </w:rPr>
      </w:pPr>
      <w:r>
        <w:rPr>
          <w:rFonts w:hint="eastAsia" w:cs="Times New Roman"/>
          <w:b/>
          <w:color w:val="auto"/>
          <w:sz w:val="24"/>
          <w:highlight w:val="none"/>
          <w:lang w:val="en-US" w:eastAsia="zh-CN"/>
        </w:rPr>
        <w:t>7</w:t>
      </w:r>
      <w:r>
        <w:rPr>
          <w:rFonts w:hint="default" w:ascii="Times New Roman" w:hAnsi="Times New Roman" w:eastAsia="宋体" w:cs="Times New Roman"/>
          <w:b/>
          <w:color w:val="auto"/>
          <w:sz w:val="24"/>
          <w:highlight w:val="none"/>
        </w:rPr>
        <w:t>.1.2.</w:t>
      </w:r>
      <w:r>
        <w:rPr>
          <w:color w:val="auto"/>
          <w:highlight w:val="none"/>
        </w:rPr>
        <w:t>设计单位的选定</w:t>
      </w:r>
    </w:p>
    <w:p>
      <w:pPr>
        <w:pStyle w:val="11"/>
        <w:widowControl/>
        <w:ind w:left="0" w:leftChars="0" w:firstLine="480" w:firstLineChars="200"/>
        <w:rPr>
          <w:color w:val="auto"/>
          <w:highlight w:val="none"/>
        </w:rPr>
      </w:pPr>
      <w:r>
        <w:rPr>
          <w:color w:val="auto"/>
          <w:highlight w:val="none"/>
        </w:rPr>
        <w:t>本项目的设计单位通过以下第【（2）】种方式选定：</w:t>
      </w:r>
    </w:p>
    <w:p>
      <w:pPr>
        <w:pStyle w:val="11"/>
        <w:widowControl/>
        <w:numPr>
          <w:ilvl w:val="0"/>
          <w:numId w:val="18"/>
        </w:numPr>
        <w:tabs>
          <w:tab w:val="left" w:pos="1080"/>
        </w:tabs>
        <w:topLinePunct w:val="0"/>
        <w:ind w:left="0" w:leftChars="0" w:firstLine="480" w:firstLineChars="200"/>
        <w:rPr>
          <w:b w:val="0"/>
          <w:color w:val="auto"/>
          <w:highlight w:val="none"/>
        </w:rPr>
      </w:pPr>
      <w:r>
        <w:rPr>
          <w:color w:val="auto"/>
          <w:highlight w:val="none"/>
        </w:rPr>
        <w:t>由甲方依法选定项目【</w:t>
      </w:r>
      <w:r>
        <w:rPr>
          <w:rFonts w:hint="eastAsia"/>
          <w:color w:val="auto"/>
          <w:highlight w:val="none"/>
          <w:lang w:eastAsia="zh-CN"/>
        </w:rPr>
        <w:t>☑</w:t>
      </w:r>
      <w:r>
        <w:rPr>
          <w:color w:val="auto"/>
          <w:highlight w:val="none"/>
        </w:rPr>
        <w:t>初步设计；</w:t>
      </w:r>
      <w:r>
        <w:rPr>
          <w:rFonts w:hint="eastAsia"/>
          <w:color w:val="auto"/>
          <w:highlight w:val="none"/>
          <w:lang w:eastAsia="zh-CN"/>
        </w:rPr>
        <w:t>☑</w:t>
      </w:r>
      <w:r>
        <w:rPr>
          <w:color w:val="auto"/>
          <w:highlight w:val="none"/>
        </w:rPr>
        <w:t>施工图】设计单位。</w:t>
      </w:r>
    </w:p>
    <w:p>
      <w:pPr>
        <w:pStyle w:val="11"/>
        <w:widowControl/>
        <w:numPr>
          <w:ilvl w:val="0"/>
          <w:numId w:val="18"/>
        </w:numPr>
        <w:tabs>
          <w:tab w:val="left" w:pos="1080"/>
        </w:tabs>
        <w:topLinePunct w:val="0"/>
        <w:ind w:left="0" w:leftChars="0" w:firstLine="480" w:firstLineChars="200"/>
        <w:rPr>
          <w:b w:val="0"/>
          <w:color w:val="auto"/>
          <w:highlight w:val="none"/>
        </w:rPr>
      </w:pPr>
      <w:r>
        <w:rPr>
          <w:color w:val="auto"/>
          <w:highlight w:val="none"/>
        </w:rPr>
        <w:t>由乙方依法选定项目【</w:t>
      </w:r>
      <w:r>
        <w:rPr>
          <w:rFonts w:hint="eastAsia"/>
          <w:color w:val="auto"/>
          <w:highlight w:val="none"/>
          <w:lang w:eastAsia="zh-CN"/>
        </w:rPr>
        <w:t>☑</w:t>
      </w:r>
      <w:r>
        <w:rPr>
          <w:color w:val="auto"/>
          <w:highlight w:val="none"/>
        </w:rPr>
        <w:t>初步设计；</w:t>
      </w:r>
      <w:r>
        <w:rPr>
          <w:rFonts w:hint="eastAsia"/>
          <w:color w:val="auto"/>
          <w:highlight w:val="none"/>
          <w:lang w:eastAsia="zh-CN"/>
        </w:rPr>
        <w:t>☑</w:t>
      </w:r>
      <w:r>
        <w:rPr>
          <w:color w:val="auto"/>
          <w:highlight w:val="none"/>
        </w:rPr>
        <w:t>施工图】设计单位。</w:t>
      </w:r>
    </w:p>
    <w:p>
      <w:pPr>
        <w:pStyle w:val="3"/>
        <w:widowControl/>
        <w:numPr>
          <w:ilvl w:val="0"/>
          <w:numId w:val="0"/>
        </w:numPr>
        <w:tabs>
          <w:tab w:val="left" w:pos="1211"/>
        </w:tabs>
        <w:ind w:left="0" w:leftChars="0" w:firstLine="482" w:firstLineChars="200"/>
        <w:outlineLvl w:val="2"/>
        <w:rPr>
          <w:b/>
          <w:color w:val="auto"/>
          <w:highlight w:val="none"/>
        </w:rPr>
      </w:pPr>
      <w:r>
        <w:rPr>
          <w:rFonts w:hint="eastAsia" w:cs="Times New Roman"/>
          <w:b/>
          <w:color w:val="auto"/>
          <w:sz w:val="24"/>
          <w:highlight w:val="none"/>
          <w:lang w:val="en-US" w:eastAsia="zh-CN"/>
        </w:rPr>
        <w:t>7</w:t>
      </w:r>
      <w:r>
        <w:rPr>
          <w:rFonts w:hint="default" w:ascii="Times New Roman" w:hAnsi="Times New Roman" w:eastAsia="宋体" w:cs="Times New Roman"/>
          <w:b/>
          <w:color w:val="auto"/>
          <w:sz w:val="24"/>
          <w:highlight w:val="none"/>
        </w:rPr>
        <w:t>.1.3.</w:t>
      </w:r>
      <w:r>
        <w:rPr>
          <w:color w:val="auto"/>
          <w:highlight w:val="none"/>
        </w:rPr>
        <w:t>项目设计要求</w:t>
      </w:r>
    </w:p>
    <w:p>
      <w:pPr>
        <w:pStyle w:val="11"/>
        <w:widowControl/>
        <w:ind w:left="0" w:leftChars="0" w:firstLine="480" w:firstLineChars="200"/>
        <w:rPr>
          <w:color w:val="auto"/>
          <w:highlight w:val="none"/>
        </w:rPr>
      </w:pPr>
      <w:r>
        <w:rPr>
          <w:color w:val="auto"/>
          <w:highlight w:val="none"/>
        </w:rPr>
        <w:t>本项目的设计文件应当符合以下要求和标准：</w:t>
      </w:r>
    </w:p>
    <w:p>
      <w:pPr>
        <w:pStyle w:val="11"/>
        <w:widowControl/>
        <w:numPr>
          <w:ilvl w:val="0"/>
          <w:numId w:val="19"/>
        </w:numPr>
        <w:tabs>
          <w:tab w:val="left" w:pos="1080"/>
        </w:tabs>
        <w:topLinePunct w:val="0"/>
        <w:ind w:left="0" w:leftChars="0" w:firstLine="480" w:firstLineChars="200"/>
        <w:rPr>
          <w:b w:val="0"/>
          <w:color w:val="auto"/>
          <w:highlight w:val="none"/>
        </w:rPr>
      </w:pPr>
      <w:r>
        <w:rPr>
          <w:color w:val="auto"/>
          <w:highlight w:val="none"/>
        </w:rPr>
        <w:t>项目所在地区和行业的强制性技术标准；</w:t>
      </w:r>
    </w:p>
    <w:p>
      <w:pPr>
        <w:pStyle w:val="11"/>
        <w:widowControl/>
        <w:numPr>
          <w:ilvl w:val="0"/>
          <w:numId w:val="19"/>
        </w:numPr>
        <w:tabs>
          <w:tab w:val="left" w:pos="1080"/>
        </w:tabs>
        <w:topLinePunct w:val="0"/>
        <w:ind w:left="0" w:leftChars="0" w:firstLine="480" w:firstLineChars="200"/>
        <w:rPr>
          <w:b w:val="0"/>
          <w:color w:val="auto"/>
          <w:highlight w:val="none"/>
        </w:rPr>
      </w:pPr>
      <w:r>
        <w:rPr>
          <w:color w:val="auto"/>
          <w:highlight w:val="none"/>
        </w:rPr>
        <w:t>相关适用法律的规定；</w:t>
      </w:r>
    </w:p>
    <w:p>
      <w:pPr>
        <w:pStyle w:val="11"/>
        <w:widowControl/>
        <w:numPr>
          <w:ilvl w:val="0"/>
          <w:numId w:val="19"/>
        </w:numPr>
        <w:tabs>
          <w:tab w:val="left" w:pos="1080"/>
        </w:tabs>
        <w:topLinePunct w:val="0"/>
        <w:ind w:left="0" w:leftChars="0" w:firstLine="480" w:firstLineChars="200"/>
        <w:rPr>
          <w:b w:val="0"/>
          <w:color w:val="auto"/>
          <w:highlight w:val="none"/>
        </w:rPr>
      </w:pPr>
      <w:r>
        <w:rPr>
          <w:color w:val="auto"/>
          <w:highlight w:val="none"/>
        </w:rPr>
        <w:t>双方约定的其他要求、技术标准、规范。</w:t>
      </w:r>
    </w:p>
    <w:p>
      <w:pPr>
        <w:pStyle w:val="3"/>
        <w:widowControl/>
        <w:numPr>
          <w:ilvl w:val="0"/>
          <w:numId w:val="0"/>
        </w:numPr>
        <w:tabs>
          <w:tab w:val="left" w:pos="1211"/>
        </w:tabs>
        <w:ind w:left="0" w:leftChars="0" w:firstLine="482" w:firstLineChars="200"/>
        <w:outlineLvl w:val="2"/>
        <w:rPr>
          <w:b/>
          <w:color w:val="auto"/>
          <w:highlight w:val="none"/>
        </w:rPr>
      </w:pPr>
      <w:r>
        <w:rPr>
          <w:rFonts w:hint="eastAsia" w:cs="Times New Roman"/>
          <w:b/>
          <w:color w:val="auto"/>
          <w:sz w:val="24"/>
          <w:highlight w:val="none"/>
          <w:lang w:val="en-US" w:eastAsia="zh-CN"/>
        </w:rPr>
        <w:t>7</w:t>
      </w:r>
      <w:r>
        <w:rPr>
          <w:rFonts w:hint="default" w:ascii="Times New Roman" w:hAnsi="Times New Roman" w:eastAsia="宋体" w:cs="Times New Roman"/>
          <w:b/>
          <w:color w:val="auto"/>
          <w:sz w:val="24"/>
          <w:highlight w:val="none"/>
        </w:rPr>
        <w:t>.1.4.</w:t>
      </w:r>
      <w:r>
        <w:rPr>
          <w:color w:val="auto"/>
          <w:highlight w:val="none"/>
        </w:rPr>
        <w:t>设计的审查及设计责任</w:t>
      </w:r>
    </w:p>
    <w:p>
      <w:pPr>
        <w:pStyle w:val="11"/>
        <w:widowControl/>
        <w:numPr>
          <w:ilvl w:val="0"/>
          <w:numId w:val="20"/>
        </w:numPr>
        <w:tabs>
          <w:tab w:val="left" w:pos="1080"/>
        </w:tabs>
        <w:topLinePunct w:val="0"/>
        <w:ind w:left="0" w:leftChars="0" w:firstLine="480" w:firstLineChars="200"/>
        <w:rPr>
          <w:b w:val="0"/>
          <w:color w:val="auto"/>
          <w:highlight w:val="none"/>
        </w:rPr>
      </w:pPr>
      <w:r>
        <w:rPr>
          <w:color w:val="auto"/>
          <w:highlight w:val="none"/>
        </w:rPr>
        <w:t>甲方或相关行政职能部门有权审查设计文件，并提出审查意见。除本协议另有约定外，由乙方组织编制的设计文件，甲方或政府有关部门的审查不免除乙方对本项目设计中出现任何缺陷应负的全部责任，甲方未对设计文件或技术规范或其任何改动提出异议不应视为甲方放弃其本协议项下的权利；甲方不因进行审查与否而对本项目承担任何责任。若乙方未经甲方书面同意而超过本协议约定的设计标准进行设计，导致建设或运营成本增加的，则该等增加的费用由乙方自行承担。</w:t>
      </w:r>
    </w:p>
    <w:p>
      <w:pPr>
        <w:pStyle w:val="11"/>
        <w:widowControl/>
        <w:numPr>
          <w:ilvl w:val="0"/>
          <w:numId w:val="20"/>
        </w:numPr>
        <w:tabs>
          <w:tab w:val="left" w:pos="1080"/>
        </w:tabs>
        <w:topLinePunct w:val="0"/>
        <w:ind w:left="0" w:leftChars="0" w:firstLine="480" w:firstLineChars="200"/>
        <w:outlineLvl w:val="3"/>
        <w:rPr>
          <w:b w:val="0"/>
          <w:color w:val="auto"/>
          <w:highlight w:val="none"/>
        </w:rPr>
      </w:pPr>
      <w:r>
        <w:rPr>
          <w:color w:val="auto"/>
          <w:highlight w:val="none"/>
        </w:rPr>
        <w:t>其他约定：</w:t>
      </w:r>
      <w:r>
        <w:rPr>
          <w:color w:val="auto"/>
          <w:highlight w:val="none"/>
          <w:u w:val="single" w:color="auto"/>
        </w:rPr>
        <w:t xml:space="preserve">  【】    </w:t>
      </w:r>
    </w:p>
    <w:p>
      <w:pPr>
        <w:pStyle w:val="2"/>
        <w:widowControl/>
        <w:numPr>
          <w:ilvl w:val="0"/>
          <w:numId w:val="0"/>
        </w:numPr>
        <w:tabs>
          <w:tab w:val="left" w:pos="1149"/>
        </w:tabs>
        <w:ind w:left="0" w:leftChars="0" w:firstLine="482" w:firstLineChars="200"/>
        <w:outlineLvl w:val="1"/>
        <w:rPr>
          <w:b/>
          <w:color w:val="auto"/>
          <w:highlight w:val="none"/>
        </w:rPr>
      </w:pPr>
      <w:r>
        <w:rPr>
          <w:rFonts w:hint="eastAsia" w:cs="宋体"/>
          <w:b/>
          <w:bCs/>
          <w:snapToGrid w:val="0"/>
          <w:color w:val="auto"/>
          <w:kern w:val="44"/>
          <w:sz w:val="24"/>
          <w:szCs w:val="30"/>
          <w:highlight w:val="none"/>
          <w:lang w:val="en-US" w:eastAsia="zh-CN" w:bidi="ar-SA"/>
        </w:rPr>
        <w:t>7</w:t>
      </w:r>
      <w:r>
        <w:rPr>
          <w:rFonts w:hint="default" w:ascii="宋体" w:hAnsi="宋体" w:eastAsia="宋体" w:cs="宋体"/>
          <w:b/>
          <w:bCs/>
          <w:snapToGrid w:val="0"/>
          <w:color w:val="auto"/>
          <w:kern w:val="44"/>
          <w:sz w:val="24"/>
          <w:szCs w:val="30"/>
          <w:highlight w:val="none"/>
          <w:lang w:val="en-US" w:eastAsia="en-US" w:bidi="ar-SA"/>
        </w:rPr>
        <w:t>.</w:t>
      </w:r>
      <w:r>
        <w:rPr>
          <w:rFonts w:hint="eastAsia" w:cs="宋体"/>
          <w:b/>
          <w:bCs/>
          <w:snapToGrid w:val="0"/>
          <w:color w:val="auto"/>
          <w:kern w:val="44"/>
          <w:sz w:val="24"/>
          <w:szCs w:val="30"/>
          <w:highlight w:val="none"/>
          <w:lang w:val="en-US" w:eastAsia="zh-CN" w:bidi="ar-SA"/>
        </w:rPr>
        <w:t>2</w:t>
      </w:r>
      <w:r>
        <w:rPr>
          <w:rFonts w:hint="default" w:ascii="宋体" w:hAnsi="宋体" w:eastAsia="宋体" w:cs="宋体"/>
          <w:b/>
          <w:bCs/>
          <w:snapToGrid w:val="0"/>
          <w:color w:val="auto"/>
          <w:kern w:val="44"/>
          <w:sz w:val="24"/>
          <w:szCs w:val="30"/>
          <w:highlight w:val="none"/>
          <w:lang w:val="en-US" w:eastAsia="en-US" w:bidi="ar-SA"/>
        </w:rPr>
        <w:t>.</w:t>
      </w:r>
      <w:r>
        <w:rPr>
          <w:color w:val="auto"/>
          <w:highlight w:val="none"/>
        </w:rPr>
        <w:t>项目监理</w:t>
      </w:r>
    </w:p>
    <w:p>
      <w:pPr>
        <w:pStyle w:val="11"/>
        <w:widowControl/>
        <w:ind w:left="0" w:leftChars="0" w:firstLine="480" w:firstLineChars="200"/>
        <w:rPr>
          <w:color w:val="auto"/>
          <w:highlight w:val="none"/>
        </w:rPr>
      </w:pPr>
      <w:r>
        <w:rPr>
          <w:color w:val="auto"/>
          <w:highlight w:val="none"/>
        </w:rPr>
        <w:t>若按规定需要委托项目监理单位的，双方约定如下：</w:t>
      </w:r>
    </w:p>
    <w:p>
      <w:pPr>
        <w:pStyle w:val="11"/>
        <w:widowControl/>
        <w:ind w:left="0" w:leftChars="0" w:firstLine="480" w:firstLineChars="200"/>
        <w:rPr>
          <w:color w:val="auto"/>
          <w:highlight w:val="none"/>
        </w:rPr>
      </w:pPr>
      <w:r>
        <w:rPr>
          <w:color w:val="auto"/>
          <w:highlight w:val="none"/>
        </w:rPr>
        <w:t>本项目监理单位由乙方依法招取并承担监理费用，监理单位应定期向甲方报备项目建设进度。</w:t>
      </w:r>
    </w:p>
    <w:p>
      <w:pPr>
        <w:pStyle w:val="2"/>
        <w:widowControl/>
        <w:numPr>
          <w:ilvl w:val="0"/>
          <w:numId w:val="0"/>
        </w:numPr>
        <w:tabs>
          <w:tab w:val="left" w:pos="1149"/>
        </w:tabs>
        <w:ind w:left="0" w:leftChars="0" w:firstLine="482" w:firstLineChars="200"/>
        <w:outlineLvl w:val="1"/>
        <w:rPr>
          <w:b/>
          <w:color w:val="auto"/>
          <w:highlight w:val="none"/>
        </w:rPr>
      </w:pPr>
      <w:r>
        <w:rPr>
          <w:rFonts w:hint="eastAsia" w:cs="宋体"/>
          <w:b/>
          <w:bCs/>
          <w:snapToGrid w:val="0"/>
          <w:color w:val="auto"/>
          <w:kern w:val="44"/>
          <w:sz w:val="24"/>
          <w:szCs w:val="30"/>
          <w:highlight w:val="none"/>
          <w:lang w:val="en-US" w:eastAsia="zh-CN" w:bidi="ar-SA"/>
        </w:rPr>
        <w:t>7</w:t>
      </w:r>
      <w:r>
        <w:rPr>
          <w:rFonts w:hint="default" w:ascii="宋体" w:hAnsi="宋体" w:eastAsia="宋体" w:cs="宋体"/>
          <w:b/>
          <w:bCs/>
          <w:snapToGrid w:val="0"/>
          <w:color w:val="auto"/>
          <w:kern w:val="44"/>
          <w:sz w:val="24"/>
          <w:szCs w:val="30"/>
          <w:highlight w:val="none"/>
          <w:lang w:val="en-US" w:eastAsia="en-US" w:bidi="ar-SA"/>
        </w:rPr>
        <w:t>.</w:t>
      </w:r>
      <w:r>
        <w:rPr>
          <w:rFonts w:hint="eastAsia" w:cs="宋体"/>
          <w:b/>
          <w:bCs/>
          <w:snapToGrid w:val="0"/>
          <w:color w:val="auto"/>
          <w:kern w:val="44"/>
          <w:sz w:val="24"/>
          <w:szCs w:val="30"/>
          <w:highlight w:val="none"/>
          <w:lang w:val="en-US" w:eastAsia="zh-CN" w:bidi="ar-SA"/>
        </w:rPr>
        <w:t>3</w:t>
      </w:r>
      <w:r>
        <w:rPr>
          <w:rFonts w:hint="default" w:ascii="宋体" w:hAnsi="宋体" w:eastAsia="宋体" w:cs="宋体"/>
          <w:b/>
          <w:bCs/>
          <w:snapToGrid w:val="0"/>
          <w:color w:val="auto"/>
          <w:kern w:val="44"/>
          <w:sz w:val="24"/>
          <w:szCs w:val="30"/>
          <w:highlight w:val="none"/>
          <w:lang w:val="en-US" w:eastAsia="en-US" w:bidi="ar-SA"/>
        </w:rPr>
        <w:t>.</w:t>
      </w:r>
      <w:r>
        <w:rPr>
          <w:color w:val="auto"/>
          <w:highlight w:val="none"/>
        </w:rPr>
        <w:t>项目施工和设备采购</w:t>
      </w:r>
    </w:p>
    <w:p>
      <w:pPr>
        <w:pStyle w:val="3"/>
        <w:widowControl/>
        <w:numPr>
          <w:ilvl w:val="0"/>
          <w:numId w:val="0"/>
        </w:numPr>
        <w:tabs>
          <w:tab w:val="left" w:pos="1215"/>
        </w:tabs>
        <w:ind w:left="0" w:leftChars="0" w:firstLine="482" w:firstLineChars="200"/>
        <w:outlineLvl w:val="2"/>
        <w:rPr>
          <w:b/>
          <w:color w:val="auto"/>
          <w:highlight w:val="none"/>
        </w:rPr>
      </w:pPr>
      <w:r>
        <w:rPr>
          <w:rFonts w:hint="eastAsia" w:cs="Times New Roman"/>
          <w:b/>
          <w:color w:val="auto"/>
          <w:sz w:val="24"/>
          <w:highlight w:val="none"/>
          <w:lang w:val="en-US" w:eastAsia="zh-CN"/>
        </w:rPr>
        <w:t>7</w:t>
      </w:r>
      <w:r>
        <w:rPr>
          <w:rFonts w:hint="default" w:ascii="Times New Roman" w:hAnsi="Times New Roman" w:eastAsia="宋体" w:cs="Times New Roman"/>
          <w:b/>
          <w:color w:val="auto"/>
          <w:sz w:val="24"/>
          <w:highlight w:val="none"/>
        </w:rPr>
        <w:t>.3.1.</w:t>
      </w:r>
      <w:r>
        <w:rPr>
          <w:color w:val="auto"/>
          <w:highlight w:val="none"/>
        </w:rPr>
        <w:t>项目承包商的选择</w:t>
      </w:r>
    </w:p>
    <w:p>
      <w:pPr>
        <w:pStyle w:val="11"/>
        <w:widowControl/>
        <w:ind w:left="0" w:leftChars="0" w:firstLine="480" w:firstLineChars="200"/>
        <w:rPr>
          <w:color w:val="auto"/>
          <w:highlight w:val="none"/>
        </w:rPr>
      </w:pPr>
      <w:r>
        <w:rPr>
          <w:color w:val="auto"/>
          <w:highlight w:val="none"/>
        </w:rPr>
        <w:t>乙方应按照</w:t>
      </w:r>
      <w:r>
        <w:rPr>
          <w:rFonts w:hint="eastAsia"/>
          <w:color w:val="auto"/>
          <w:highlight w:val="none"/>
          <w:lang w:val="en-US" w:eastAsia="zh-CN"/>
        </w:rPr>
        <w:t>法律法规</w:t>
      </w:r>
      <w:r>
        <w:rPr>
          <w:color w:val="auto"/>
          <w:highlight w:val="none"/>
        </w:rPr>
        <w:t>要求的招标方式选择工程承包商。</w:t>
      </w:r>
    </w:p>
    <w:p>
      <w:pPr>
        <w:pStyle w:val="11"/>
        <w:widowControl/>
        <w:ind w:left="0" w:leftChars="0" w:firstLine="480" w:firstLineChars="200"/>
        <w:rPr>
          <w:color w:val="auto"/>
          <w:highlight w:val="none"/>
        </w:rPr>
      </w:pPr>
      <w:r>
        <w:rPr>
          <w:color w:val="auto"/>
          <w:highlight w:val="none"/>
        </w:rPr>
        <w:t>其中，本项目建设过程中所涉及的</w:t>
      </w:r>
      <w:r>
        <w:rPr>
          <w:color w:val="auto"/>
          <w:highlight w:val="none"/>
          <w:u w:val="single" w:color="auto"/>
        </w:rPr>
        <w:t>【</w:t>
      </w:r>
      <w:r>
        <w:rPr>
          <w:rFonts w:hint="eastAsia"/>
          <w:color w:val="auto"/>
          <w:highlight w:val="none"/>
          <w:u w:val="single" w:color="auto"/>
          <w:lang w:eastAsia="zh-CN"/>
        </w:rPr>
        <w:t>☑</w:t>
      </w:r>
      <w:r>
        <w:rPr>
          <w:color w:val="auto"/>
          <w:highlight w:val="none"/>
          <w:u w:val="single" w:color="auto"/>
        </w:rPr>
        <w:t xml:space="preserve">工程建设； </w:t>
      </w:r>
      <w:r>
        <w:rPr>
          <w:rFonts w:hint="eastAsia"/>
          <w:color w:val="auto"/>
          <w:highlight w:val="none"/>
          <w:u w:val="single" w:color="auto"/>
          <w:lang w:eastAsia="zh-CN"/>
        </w:rPr>
        <w:t>☑</w:t>
      </w:r>
      <w:r>
        <w:rPr>
          <w:color w:val="auto"/>
          <w:highlight w:val="none"/>
          <w:u w:val="single" w:color="auto"/>
        </w:rPr>
        <w:t xml:space="preserve">设备采购； </w:t>
      </w:r>
      <w:r>
        <w:rPr>
          <w:rFonts w:hint="eastAsia"/>
          <w:color w:val="auto"/>
          <w:highlight w:val="none"/>
          <w:u w:val="single" w:color="auto"/>
          <w:lang w:eastAsia="zh-CN"/>
        </w:rPr>
        <w:t>☑</w:t>
      </w:r>
      <w:r>
        <w:rPr>
          <w:color w:val="auto"/>
          <w:highlight w:val="none"/>
        </w:rPr>
        <w:t xml:space="preserve"> </w:t>
      </w:r>
      <w:r>
        <w:rPr>
          <w:color w:val="auto"/>
          <w:highlight w:val="none"/>
          <w:u w:val="single" w:color="auto"/>
        </w:rPr>
        <w:t>服务】</w:t>
      </w:r>
      <w:r>
        <w:rPr>
          <w:color w:val="auto"/>
          <w:highlight w:val="none"/>
        </w:rPr>
        <w:t>外包的内容，如符合《</w:t>
      </w:r>
      <w:r>
        <w:rPr>
          <w:rFonts w:hint="eastAsia"/>
          <w:color w:val="auto"/>
          <w:highlight w:val="none"/>
          <w:lang w:eastAsia="zh-CN"/>
        </w:rPr>
        <w:t>中华人民共和国招标投标法实施条例</w:t>
      </w:r>
      <w:r>
        <w:rPr>
          <w:color w:val="auto"/>
          <w:highlight w:val="none"/>
        </w:rPr>
        <w:t>》第九条规定，中选有偿使用者依法能够自行</w:t>
      </w:r>
      <w:r>
        <w:rPr>
          <w:color w:val="auto"/>
          <w:highlight w:val="none"/>
          <w:u w:val="single" w:color="auto"/>
        </w:rPr>
        <w:t>【</w:t>
      </w:r>
      <w:r>
        <w:rPr>
          <w:rFonts w:hint="eastAsia"/>
          <w:color w:val="auto"/>
          <w:highlight w:val="none"/>
          <w:u w:val="single" w:color="auto"/>
          <w:lang w:eastAsia="zh-CN"/>
        </w:rPr>
        <w:t>☑</w:t>
      </w:r>
      <w:r>
        <w:rPr>
          <w:color w:val="auto"/>
          <w:highlight w:val="none"/>
          <w:u w:val="single" w:color="auto"/>
        </w:rPr>
        <w:t xml:space="preserve">建设； </w:t>
      </w:r>
      <w:r>
        <w:rPr>
          <w:rFonts w:hint="eastAsia"/>
          <w:color w:val="auto"/>
          <w:highlight w:val="none"/>
          <w:u w:val="single" w:color="auto"/>
          <w:lang w:eastAsia="zh-CN"/>
        </w:rPr>
        <w:t>☑</w:t>
      </w:r>
      <w:r>
        <w:rPr>
          <w:color w:val="auto"/>
          <w:highlight w:val="none"/>
          <w:u w:val="single" w:color="auto"/>
        </w:rPr>
        <w:t xml:space="preserve">生产； </w:t>
      </w:r>
      <w:r>
        <w:rPr>
          <w:rFonts w:hint="eastAsia"/>
          <w:color w:val="auto"/>
          <w:highlight w:val="none"/>
          <w:u w:val="single" w:color="auto"/>
          <w:lang w:eastAsia="zh-CN"/>
        </w:rPr>
        <w:t>☑</w:t>
      </w:r>
      <w:r>
        <w:rPr>
          <w:color w:val="auto"/>
          <w:highlight w:val="none"/>
          <w:u w:val="single" w:color="auto"/>
        </w:rPr>
        <w:t>提供服务】</w:t>
      </w:r>
      <w:r>
        <w:rPr>
          <w:color w:val="auto"/>
          <w:highlight w:val="none"/>
        </w:rPr>
        <w:t>的，可以不再进行招标。</w:t>
      </w:r>
    </w:p>
    <w:p>
      <w:pPr>
        <w:pStyle w:val="3"/>
        <w:widowControl/>
        <w:numPr>
          <w:ilvl w:val="0"/>
          <w:numId w:val="0"/>
        </w:numPr>
        <w:tabs>
          <w:tab w:val="left" w:pos="1215"/>
        </w:tabs>
        <w:ind w:left="0" w:leftChars="0" w:firstLine="482" w:firstLineChars="200"/>
        <w:outlineLvl w:val="2"/>
        <w:rPr>
          <w:b/>
          <w:color w:val="auto"/>
          <w:highlight w:val="none"/>
        </w:rPr>
      </w:pPr>
      <w:r>
        <w:rPr>
          <w:rFonts w:hint="eastAsia" w:cs="Times New Roman"/>
          <w:b/>
          <w:color w:val="auto"/>
          <w:sz w:val="24"/>
          <w:highlight w:val="none"/>
          <w:lang w:val="en-US" w:eastAsia="zh-CN"/>
        </w:rPr>
        <w:t>7</w:t>
      </w:r>
      <w:r>
        <w:rPr>
          <w:rFonts w:hint="default" w:ascii="Times New Roman" w:hAnsi="Times New Roman" w:eastAsia="宋体" w:cs="Times New Roman"/>
          <w:b/>
          <w:color w:val="auto"/>
          <w:sz w:val="24"/>
          <w:highlight w:val="none"/>
        </w:rPr>
        <w:t>.3.2.</w:t>
      </w:r>
      <w:r>
        <w:rPr>
          <w:color w:val="auto"/>
          <w:highlight w:val="none"/>
        </w:rPr>
        <w:t>项目设施的技术更新、改造或重置费用</w:t>
      </w:r>
    </w:p>
    <w:p>
      <w:pPr>
        <w:pStyle w:val="11"/>
        <w:widowControl/>
        <w:numPr>
          <w:ilvl w:val="0"/>
          <w:numId w:val="21"/>
        </w:numPr>
        <w:tabs>
          <w:tab w:val="left" w:pos="1080"/>
        </w:tabs>
        <w:topLinePunct w:val="0"/>
        <w:ind w:left="0" w:leftChars="0" w:firstLine="480" w:firstLineChars="200"/>
        <w:rPr>
          <w:b w:val="0"/>
          <w:color w:val="auto"/>
          <w:highlight w:val="none"/>
        </w:rPr>
      </w:pPr>
      <w:r>
        <w:rPr>
          <w:color w:val="auto"/>
          <w:highlight w:val="none"/>
        </w:rPr>
        <w:t>由乙方负责项目设施技术更新、改造或重置，乙方应于更新、改造或重置开始前</w:t>
      </w:r>
      <w:r>
        <w:rPr>
          <w:color w:val="auto"/>
          <w:highlight w:val="none"/>
          <w:u w:val="single" w:color="auto"/>
        </w:rPr>
        <w:t xml:space="preserve"> 【三十】</w:t>
      </w:r>
      <w:r>
        <w:rPr>
          <w:color w:val="auto"/>
          <w:highlight w:val="none"/>
        </w:rPr>
        <w:t xml:space="preserve"> 日内提交更新、改造或重置计划，报经甲方书面同意后执行。</w:t>
      </w:r>
    </w:p>
    <w:p>
      <w:pPr>
        <w:pStyle w:val="11"/>
        <w:widowControl/>
        <w:numPr>
          <w:ilvl w:val="0"/>
          <w:numId w:val="21"/>
        </w:numPr>
        <w:tabs>
          <w:tab w:val="left" w:pos="1080"/>
        </w:tabs>
        <w:topLinePunct w:val="0"/>
        <w:ind w:left="0" w:leftChars="0" w:firstLine="480" w:firstLineChars="200"/>
        <w:rPr>
          <w:color w:val="auto"/>
          <w:highlight w:val="none"/>
        </w:rPr>
      </w:pPr>
      <w:r>
        <w:rPr>
          <w:color w:val="auto"/>
          <w:highlight w:val="none"/>
        </w:rPr>
        <w:t>双方对于项目设施的技术更新、改造或重置费用的承担，具体约定如下：项目设施的技术更新、改造或重置费用由乙方承担。</w:t>
      </w:r>
    </w:p>
    <w:p>
      <w:pPr>
        <w:pStyle w:val="3"/>
        <w:widowControl/>
        <w:numPr>
          <w:ilvl w:val="0"/>
          <w:numId w:val="0"/>
        </w:numPr>
        <w:tabs>
          <w:tab w:val="left" w:pos="1215"/>
        </w:tabs>
        <w:ind w:left="0" w:leftChars="0" w:firstLine="482" w:firstLineChars="200"/>
        <w:outlineLvl w:val="2"/>
        <w:rPr>
          <w:b/>
          <w:color w:val="auto"/>
          <w:highlight w:val="none"/>
        </w:rPr>
      </w:pPr>
      <w:r>
        <w:rPr>
          <w:rFonts w:hint="eastAsia" w:cs="Times New Roman"/>
          <w:b/>
          <w:color w:val="auto"/>
          <w:sz w:val="24"/>
          <w:highlight w:val="none"/>
          <w:lang w:val="en-US" w:eastAsia="zh-CN"/>
        </w:rPr>
        <w:t>7</w:t>
      </w:r>
      <w:r>
        <w:rPr>
          <w:rFonts w:hint="default" w:ascii="Times New Roman" w:hAnsi="Times New Roman" w:eastAsia="宋体" w:cs="Times New Roman"/>
          <w:b/>
          <w:color w:val="auto"/>
          <w:sz w:val="24"/>
          <w:highlight w:val="none"/>
        </w:rPr>
        <w:t>.3.</w:t>
      </w:r>
      <w:r>
        <w:rPr>
          <w:rFonts w:hint="eastAsia" w:cs="Times New Roman"/>
          <w:b/>
          <w:color w:val="auto"/>
          <w:sz w:val="24"/>
          <w:highlight w:val="none"/>
          <w:lang w:val="en-US" w:eastAsia="zh-CN"/>
        </w:rPr>
        <w:t>3</w:t>
      </w:r>
      <w:r>
        <w:rPr>
          <w:rFonts w:hint="default" w:ascii="Times New Roman" w:hAnsi="Times New Roman" w:eastAsia="宋体" w:cs="Times New Roman"/>
          <w:b/>
          <w:color w:val="auto"/>
          <w:sz w:val="24"/>
          <w:highlight w:val="none"/>
        </w:rPr>
        <w:t>.</w:t>
      </w:r>
      <w:r>
        <w:rPr>
          <w:color w:val="auto"/>
          <w:highlight w:val="none"/>
        </w:rPr>
        <w:t>建设期限</w:t>
      </w:r>
    </w:p>
    <w:p>
      <w:pPr>
        <w:pStyle w:val="11"/>
        <w:widowControl/>
        <w:numPr>
          <w:ilvl w:val="0"/>
          <w:numId w:val="22"/>
        </w:numPr>
        <w:tabs>
          <w:tab w:val="left" w:pos="1080"/>
        </w:tabs>
        <w:topLinePunct w:val="0"/>
        <w:ind w:left="0" w:leftChars="0" w:firstLine="480" w:firstLineChars="200"/>
        <w:rPr>
          <w:b w:val="0"/>
          <w:color w:val="auto"/>
          <w:highlight w:val="none"/>
        </w:rPr>
      </w:pPr>
      <w:r>
        <w:rPr>
          <w:color w:val="auto"/>
          <w:highlight w:val="none"/>
        </w:rPr>
        <w:t>乙方应严格按照本协议约定的时间计划安排施工，并按甲方要求提交工程进度报告，该报告应合理详细说明已完成的和进行中的工程建设情况以及甲方合理要求的其他相关事项。</w:t>
      </w:r>
    </w:p>
    <w:p>
      <w:pPr>
        <w:pStyle w:val="11"/>
        <w:widowControl/>
        <w:numPr>
          <w:ilvl w:val="0"/>
          <w:numId w:val="22"/>
        </w:numPr>
        <w:tabs>
          <w:tab w:val="left" w:pos="1080"/>
        </w:tabs>
        <w:topLinePunct w:val="0"/>
        <w:ind w:left="0" w:leftChars="0" w:firstLine="480" w:firstLineChars="200"/>
        <w:rPr>
          <w:b w:val="0"/>
          <w:color w:val="auto"/>
          <w:highlight w:val="none"/>
        </w:rPr>
      </w:pPr>
      <w:r>
        <w:rPr>
          <w:color w:val="auto"/>
          <w:highlight w:val="none"/>
        </w:rPr>
        <w:t>工程进度如果因不可归责于乙方的下列情形受阻，建设期可相应顺延：</w:t>
      </w:r>
    </w:p>
    <w:p>
      <w:pPr>
        <w:pStyle w:val="11"/>
        <w:widowControl/>
        <w:numPr>
          <w:ilvl w:val="0"/>
          <w:numId w:val="23"/>
        </w:numPr>
        <w:tabs>
          <w:tab w:val="left" w:pos="826"/>
        </w:tabs>
        <w:topLinePunct w:val="0"/>
        <w:ind w:left="0" w:leftChars="0" w:firstLine="480" w:firstLineChars="200"/>
        <w:rPr>
          <w:b w:val="0"/>
          <w:color w:val="auto"/>
          <w:highlight w:val="none"/>
        </w:rPr>
      </w:pPr>
      <w:r>
        <w:rPr>
          <w:color w:val="auto"/>
          <w:highlight w:val="none"/>
        </w:rPr>
        <w:t>发生不可抗力事件；</w:t>
      </w:r>
    </w:p>
    <w:p>
      <w:pPr>
        <w:pStyle w:val="11"/>
        <w:widowControl/>
        <w:numPr>
          <w:ilvl w:val="0"/>
          <w:numId w:val="23"/>
        </w:numPr>
        <w:tabs>
          <w:tab w:val="left" w:pos="826"/>
        </w:tabs>
        <w:topLinePunct w:val="0"/>
        <w:ind w:left="0" w:leftChars="0" w:firstLine="480" w:firstLineChars="200"/>
        <w:rPr>
          <w:b w:val="0"/>
          <w:color w:val="auto"/>
          <w:highlight w:val="none"/>
        </w:rPr>
      </w:pPr>
      <w:r>
        <w:rPr>
          <w:color w:val="auto"/>
          <w:highlight w:val="none"/>
        </w:rPr>
        <w:t>因甲方原因导致的延期；</w:t>
      </w:r>
    </w:p>
    <w:p>
      <w:pPr>
        <w:pStyle w:val="11"/>
        <w:widowControl/>
        <w:numPr>
          <w:ilvl w:val="0"/>
          <w:numId w:val="23"/>
        </w:numPr>
        <w:tabs>
          <w:tab w:val="left" w:pos="826"/>
        </w:tabs>
        <w:topLinePunct w:val="0"/>
        <w:ind w:left="0" w:leftChars="0" w:firstLine="480" w:firstLineChars="200"/>
        <w:rPr>
          <w:b w:val="0"/>
          <w:color w:val="auto"/>
          <w:highlight w:val="none"/>
        </w:rPr>
      </w:pPr>
      <w:r>
        <w:rPr>
          <w:color w:val="auto"/>
          <w:highlight w:val="none"/>
        </w:rPr>
        <w:t>法律变更或其他政府部门原因导致的延误；</w:t>
      </w:r>
    </w:p>
    <w:p>
      <w:pPr>
        <w:pStyle w:val="11"/>
        <w:widowControl/>
        <w:numPr>
          <w:ilvl w:val="0"/>
          <w:numId w:val="23"/>
        </w:numPr>
        <w:tabs>
          <w:tab w:val="left" w:pos="826"/>
        </w:tabs>
        <w:topLinePunct w:val="0"/>
        <w:ind w:left="0" w:leftChars="0" w:firstLine="480" w:firstLineChars="200"/>
        <w:rPr>
          <w:b w:val="0"/>
          <w:color w:val="auto"/>
          <w:highlight w:val="none"/>
        </w:rPr>
      </w:pPr>
      <w:r>
        <w:rPr>
          <w:color w:val="auto"/>
          <w:highlight w:val="none"/>
        </w:rPr>
        <w:t>双方约定的其他情形：</w:t>
      </w:r>
    </w:p>
    <w:p>
      <w:pPr>
        <w:pStyle w:val="11"/>
        <w:widowControl/>
        <w:numPr>
          <w:ilvl w:val="0"/>
          <w:numId w:val="22"/>
        </w:numPr>
        <w:tabs>
          <w:tab w:val="left" w:pos="1080"/>
        </w:tabs>
        <w:topLinePunct w:val="0"/>
        <w:ind w:left="0" w:leftChars="0" w:firstLine="480" w:firstLineChars="200"/>
        <w:rPr>
          <w:b w:val="0"/>
          <w:color w:val="auto"/>
          <w:highlight w:val="none"/>
        </w:rPr>
      </w:pPr>
      <w:r>
        <w:rPr>
          <w:color w:val="auto"/>
          <w:highlight w:val="none"/>
        </w:rPr>
        <w:t>当本协议第</w:t>
      </w:r>
      <w:r>
        <w:rPr>
          <w:rFonts w:hint="eastAsia"/>
          <w:color w:val="auto"/>
          <w:highlight w:val="none"/>
          <w:lang w:val="en-US" w:eastAsia="zh-CN"/>
        </w:rPr>
        <w:t>7</w:t>
      </w:r>
      <w:r>
        <w:rPr>
          <w:color w:val="auto"/>
          <w:highlight w:val="none"/>
        </w:rPr>
        <w:t>.3.</w:t>
      </w:r>
      <w:r>
        <w:rPr>
          <w:rFonts w:hint="eastAsia"/>
          <w:color w:val="auto"/>
          <w:highlight w:val="none"/>
          <w:lang w:val="en-US" w:eastAsia="zh-CN"/>
        </w:rPr>
        <w:t>3</w:t>
      </w:r>
      <w:r>
        <w:rPr>
          <w:color w:val="auto"/>
          <w:highlight w:val="none"/>
        </w:rPr>
        <w:t>款第（2）项所述的事件发生后，乙方要求延长建设期的，应在前述事件发生后</w:t>
      </w:r>
      <w:r>
        <w:rPr>
          <w:color w:val="auto"/>
          <w:highlight w:val="none"/>
          <w:u w:val="single" w:color="auto"/>
        </w:rPr>
        <w:t xml:space="preserve"> 【三十】 </w:t>
      </w:r>
      <w:r>
        <w:rPr>
          <w:color w:val="auto"/>
          <w:highlight w:val="none"/>
        </w:rPr>
        <w:t xml:space="preserve"> 日内向甲方提出书面报告。书面报告应包括但不限于以下内容：</w:t>
      </w:r>
    </w:p>
    <w:p>
      <w:pPr>
        <w:pStyle w:val="11"/>
        <w:widowControl/>
        <w:numPr>
          <w:ilvl w:val="0"/>
          <w:numId w:val="24"/>
        </w:numPr>
        <w:tabs>
          <w:tab w:val="left" w:pos="826"/>
        </w:tabs>
        <w:topLinePunct w:val="0"/>
        <w:ind w:left="0" w:leftChars="0" w:firstLine="480" w:firstLineChars="200"/>
        <w:rPr>
          <w:b w:val="0"/>
          <w:color w:val="auto"/>
          <w:highlight w:val="none"/>
        </w:rPr>
      </w:pPr>
      <w:r>
        <w:rPr>
          <w:color w:val="auto"/>
          <w:highlight w:val="none"/>
        </w:rPr>
        <w:t>事件的种类及合理有效的证明；</w:t>
      </w:r>
    </w:p>
    <w:p>
      <w:pPr>
        <w:pStyle w:val="11"/>
        <w:widowControl/>
        <w:numPr>
          <w:ilvl w:val="0"/>
          <w:numId w:val="24"/>
        </w:numPr>
        <w:tabs>
          <w:tab w:val="left" w:pos="826"/>
        </w:tabs>
        <w:topLinePunct w:val="0"/>
        <w:ind w:left="0" w:leftChars="0" w:firstLine="480" w:firstLineChars="200"/>
        <w:rPr>
          <w:b w:val="0"/>
          <w:color w:val="auto"/>
          <w:highlight w:val="none"/>
        </w:rPr>
      </w:pPr>
      <w:r>
        <w:rPr>
          <w:color w:val="auto"/>
          <w:highlight w:val="none"/>
        </w:rPr>
        <w:t>预计延误的日期；</w:t>
      </w:r>
    </w:p>
    <w:p>
      <w:pPr>
        <w:pStyle w:val="11"/>
        <w:widowControl/>
        <w:numPr>
          <w:ilvl w:val="0"/>
          <w:numId w:val="24"/>
        </w:numPr>
        <w:tabs>
          <w:tab w:val="left" w:pos="826"/>
        </w:tabs>
        <w:topLinePunct w:val="0"/>
        <w:ind w:left="0" w:leftChars="0" w:firstLine="480" w:firstLineChars="200"/>
        <w:rPr>
          <w:b w:val="0"/>
          <w:color w:val="auto"/>
          <w:highlight w:val="none"/>
        </w:rPr>
      </w:pPr>
      <w:r>
        <w:rPr>
          <w:color w:val="auto"/>
          <w:highlight w:val="none"/>
        </w:rPr>
        <w:t>乙方采取的减少延误的合理措施；</w:t>
      </w:r>
    </w:p>
    <w:p>
      <w:pPr>
        <w:pStyle w:val="11"/>
        <w:widowControl/>
        <w:numPr>
          <w:ilvl w:val="0"/>
          <w:numId w:val="24"/>
        </w:numPr>
        <w:tabs>
          <w:tab w:val="left" w:pos="826"/>
        </w:tabs>
        <w:topLinePunct w:val="0"/>
        <w:ind w:left="0" w:leftChars="0" w:firstLine="480" w:firstLineChars="200"/>
        <w:rPr>
          <w:b w:val="0"/>
          <w:color w:val="auto"/>
          <w:highlight w:val="none"/>
        </w:rPr>
      </w:pPr>
      <w:r>
        <w:rPr>
          <w:color w:val="auto"/>
          <w:highlight w:val="none"/>
        </w:rPr>
        <w:t>乙方要求延长的天数；</w:t>
      </w:r>
    </w:p>
    <w:p>
      <w:pPr>
        <w:pStyle w:val="11"/>
        <w:widowControl/>
        <w:numPr>
          <w:ilvl w:val="0"/>
          <w:numId w:val="24"/>
        </w:numPr>
        <w:tabs>
          <w:tab w:val="left" w:pos="826"/>
        </w:tabs>
        <w:topLinePunct w:val="0"/>
        <w:ind w:left="0" w:leftChars="0" w:firstLine="480" w:firstLineChars="200"/>
        <w:rPr>
          <w:b w:val="0"/>
          <w:color w:val="auto"/>
          <w:highlight w:val="none"/>
        </w:rPr>
      </w:pPr>
      <w:r>
        <w:rPr>
          <w:color w:val="auto"/>
          <w:highlight w:val="none"/>
        </w:rPr>
        <w:t>延期导致的经济损失（如有）。</w:t>
      </w:r>
    </w:p>
    <w:p>
      <w:pPr>
        <w:pStyle w:val="11"/>
        <w:widowControl/>
        <w:ind w:left="0" w:leftChars="0" w:firstLine="480" w:firstLineChars="200"/>
        <w:rPr>
          <w:color w:val="auto"/>
          <w:highlight w:val="none"/>
        </w:rPr>
      </w:pPr>
      <w:r>
        <w:rPr>
          <w:color w:val="auto"/>
          <w:highlight w:val="none"/>
        </w:rPr>
        <w:t>甲方应在收到乙方书面报告后</w:t>
      </w:r>
      <w:r>
        <w:rPr>
          <w:color w:val="auto"/>
          <w:highlight w:val="none"/>
          <w:u w:val="single" w:color="auto"/>
        </w:rPr>
        <w:t xml:space="preserve"> 【六十】</w:t>
      </w:r>
      <w:r>
        <w:rPr>
          <w:color w:val="auto"/>
          <w:highlight w:val="none"/>
        </w:rPr>
        <w:t xml:space="preserve"> 日内予以书面回复，同意延期的，则应回复批准的延期期限；不同意延期的，则应说明理由。如甲方逾期未提出书面意见的，视为同意乙方的延期要求。</w:t>
      </w:r>
    </w:p>
    <w:p>
      <w:pPr>
        <w:pStyle w:val="2"/>
        <w:widowControl/>
        <w:numPr>
          <w:ilvl w:val="0"/>
          <w:numId w:val="0"/>
        </w:numPr>
        <w:tabs>
          <w:tab w:val="left" w:pos="1149"/>
        </w:tabs>
        <w:ind w:left="0" w:leftChars="0" w:firstLine="482" w:firstLineChars="200"/>
        <w:outlineLvl w:val="1"/>
        <w:rPr>
          <w:b/>
          <w:color w:val="auto"/>
          <w:highlight w:val="none"/>
        </w:rPr>
      </w:pPr>
      <w:r>
        <w:rPr>
          <w:rFonts w:hint="eastAsia" w:cs="宋体"/>
          <w:b/>
          <w:bCs/>
          <w:snapToGrid w:val="0"/>
          <w:color w:val="auto"/>
          <w:kern w:val="44"/>
          <w:sz w:val="24"/>
          <w:szCs w:val="30"/>
          <w:highlight w:val="none"/>
          <w:lang w:val="en-US" w:eastAsia="zh-CN" w:bidi="ar-SA"/>
        </w:rPr>
        <w:t>7</w:t>
      </w:r>
      <w:r>
        <w:rPr>
          <w:rFonts w:hint="default" w:ascii="宋体" w:hAnsi="宋体" w:eastAsia="宋体" w:cs="宋体"/>
          <w:b/>
          <w:bCs/>
          <w:snapToGrid w:val="0"/>
          <w:color w:val="auto"/>
          <w:kern w:val="44"/>
          <w:sz w:val="24"/>
          <w:szCs w:val="30"/>
          <w:highlight w:val="none"/>
          <w:lang w:val="en-US" w:eastAsia="en-US" w:bidi="ar-SA"/>
        </w:rPr>
        <w:t>.</w:t>
      </w:r>
      <w:r>
        <w:rPr>
          <w:rFonts w:hint="eastAsia" w:cs="宋体"/>
          <w:b/>
          <w:bCs/>
          <w:snapToGrid w:val="0"/>
          <w:color w:val="auto"/>
          <w:kern w:val="44"/>
          <w:sz w:val="24"/>
          <w:szCs w:val="30"/>
          <w:highlight w:val="none"/>
          <w:lang w:val="en-US" w:eastAsia="zh-CN" w:bidi="ar-SA"/>
        </w:rPr>
        <w:t>4</w:t>
      </w:r>
      <w:r>
        <w:rPr>
          <w:rFonts w:hint="default" w:ascii="宋体" w:hAnsi="宋体" w:eastAsia="宋体" w:cs="宋体"/>
          <w:b/>
          <w:bCs/>
          <w:snapToGrid w:val="0"/>
          <w:color w:val="auto"/>
          <w:kern w:val="44"/>
          <w:sz w:val="24"/>
          <w:szCs w:val="30"/>
          <w:highlight w:val="none"/>
          <w:lang w:val="en-US" w:eastAsia="en-US" w:bidi="ar-SA"/>
        </w:rPr>
        <w:t>.</w:t>
      </w:r>
      <w:r>
        <w:rPr>
          <w:color w:val="auto"/>
          <w:highlight w:val="none"/>
        </w:rPr>
        <w:t>甲方要求的变更</w:t>
      </w:r>
    </w:p>
    <w:p>
      <w:pPr>
        <w:pStyle w:val="3"/>
        <w:widowControl/>
        <w:numPr>
          <w:ilvl w:val="0"/>
          <w:numId w:val="0"/>
        </w:numPr>
        <w:tabs>
          <w:tab w:val="left" w:pos="1199"/>
        </w:tabs>
        <w:ind w:left="0" w:leftChars="0" w:firstLine="482" w:firstLineChars="200"/>
        <w:outlineLvl w:val="2"/>
        <w:rPr>
          <w:b/>
          <w:color w:val="auto"/>
          <w:highlight w:val="none"/>
        </w:rPr>
      </w:pPr>
      <w:r>
        <w:rPr>
          <w:rFonts w:hint="eastAsia" w:cs="Times New Roman"/>
          <w:b/>
          <w:color w:val="auto"/>
          <w:sz w:val="24"/>
          <w:highlight w:val="none"/>
          <w:lang w:val="en-US" w:eastAsia="zh-CN"/>
        </w:rPr>
        <w:t>7</w:t>
      </w:r>
      <w:r>
        <w:rPr>
          <w:rFonts w:hint="default" w:ascii="Times New Roman" w:hAnsi="Times New Roman" w:eastAsia="宋体" w:cs="Times New Roman"/>
          <w:b/>
          <w:color w:val="auto"/>
          <w:sz w:val="24"/>
          <w:highlight w:val="none"/>
        </w:rPr>
        <w:t>.4.1.</w:t>
      </w:r>
      <w:r>
        <w:rPr>
          <w:color w:val="auto"/>
          <w:highlight w:val="none"/>
        </w:rPr>
        <w:t>甲方的变更通知</w:t>
      </w:r>
    </w:p>
    <w:p>
      <w:pPr>
        <w:pStyle w:val="11"/>
        <w:widowControl/>
        <w:ind w:left="0" w:leftChars="0" w:firstLine="480" w:firstLineChars="200"/>
        <w:rPr>
          <w:color w:val="auto"/>
          <w:highlight w:val="none"/>
        </w:rPr>
      </w:pPr>
      <w:r>
        <w:rPr>
          <w:color w:val="auto"/>
          <w:highlight w:val="none"/>
        </w:rPr>
        <w:t>在开工日后，甲方认为需要对经初步设计或施工图纸进行变更的，应书面通知乙方。</w:t>
      </w:r>
    </w:p>
    <w:p>
      <w:pPr>
        <w:pStyle w:val="3"/>
        <w:widowControl/>
        <w:numPr>
          <w:ilvl w:val="0"/>
          <w:numId w:val="0"/>
        </w:numPr>
        <w:tabs>
          <w:tab w:val="left" w:pos="1199"/>
        </w:tabs>
        <w:ind w:left="0" w:leftChars="0" w:firstLine="482" w:firstLineChars="200"/>
        <w:outlineLvl w:val="2"/>
        <w:rPr>
          <w:b/>
          <w:color w:val="auto"/>
          <w:highlight w:val="none"/>
        </w:rPr>
      </w:pPr>
      <w:r>
        <w:rPr>
          <w:rFonts w:hint="eastAsia" w:cs="Times New Roman"/>
          <w:b/>
          <w:color w:val="auto"/>
          <w:sz w:val="24"/>
          <w:highlight w:val="none"/>
          <w:lang w:val="en-US" w:eastAsia="zh-CN"/>
        </w:rPr>
        <w:t>7</w:t>
      </w:r>
      <w:r>
        <w:rPr>
          <w:rFonts w:hint="default" w:ascii="Times New Roman" w:hAnsi="Times New Roman" w:eastAsia="宋体" w:cs="Times New Roman"/>
          <w:b/>
          <w:color w:val="auto"/>
          <w:sz w:val="24"/>
          <w:highlight w:val="none"/>
        </w:rPr>
        <w:t>.4.2.</w:t>
      </w:r>
      <w:r>
        <w:rPr>
          <w:color w:val="auto"/>
          <w:highlight w:val="none"/>
        </w:rPr>
        <w:t>乙方对变更的回复</w:t>
      </w:r>
    </w:p>
    <w:p>
      <w:pPr>
        <w:pStyle w:val="11"/>
        <w:widowControl/>
        <w:ind w:left="0" w:leftChars="0" w:firstLine="480" w:firstLineChars="200"/>
        <w:rPr>
          <w:color w:val="auto"/>
          <w:highlight w:val="none"/>
        </w:rPr>
      </w:pPr>
      <w:r>
        <w:rPr>
          <w:color w:val="auto"/>
          <w:highlight w:val="none"/>
        </w:rPr>
        <w:t xml:space="preserve">乙方在收到甲方要求变更通知后 </w:t>
      </w:r>
      <w:r>
        <w:rPr>
          <w:color w:val="auto"/>
          <w:highlight w:val="none"/>
          <w:u w:val="single" w:color="auto"/>
        </w:rPr>
        <w:t xml:space="preserve">【三十】 </w:t>
      </w:r>
      <w:r>
        <w:rPr>
          <w:color w:val="auto"/>
          <w:highlight w:val="none"/>
        </w:rPr>
        <w:t>日 内，须就变更向甲方作出书面答复。如乙方逾期回复的，视为乙方已接受甲方提出的相应变更。</w:t>
      </w:r>
    </w:p>
    <w:p>
      <w:pPr>
        <w:pStyle w:val="3"/>
        <w:widowControl/>
        <w:numPr>
          <w:ilvl w:val="0"/>
          <w:numId w:val="0"/>
        </w:numPr>
        <w:tabs>
          <w:tab w:val="left" w:pos="1199"/>
        </w:tabs>
        <w:ind w:left="0" w:leftChars="0" w:firstLine="482" w:firstLineChars="200"/>
        <w:outlineLvl w:val="2"/>
        <w:rPr>
          <w:b/>
          <w:color w:val="auto"/>
          <w:highlight w:val="none"/>
        </w:rPr>
      </w:pPr>
      <w:r>
        <w:rPr>
          <w:rFonts w:hint="eastAsia" w:cs="Times New Roman"/>
          <w:b/>
          <w:color w:val="auto"/>
          <w:sz w:val="24"/>
          <w:highlight w:val="none"/>
          <w:lang w:val="en-US" w:eastAsia="zh-CN"/>
        </w:rPr>
        <w:t>7</w:t>
      </w:r>
      <w:r>
        <w:rPr>
          <w:rFonts w:hint="default" w:ascii="Times New Roman" w:hAnsi="Times New Roman" w:eastAsia="宋体" w:cs="Times New Roman"/>
          <w:b/>
          <w:color w:val="auto"/>
          <w:sz w:val="24"/>
          <w:highlight w:val="none"/>
        </w:rPr>
        <w:t>.4.3.</w:t>
      </w:r>
      <w:r>
        <w:rPr>
          <w:color w:val="auto"/>
          <w:highlight w:val="none"/>
        </w:rPr>
        <w:t>甲方的答复</w:t>
      </w:r>
    </w:p>
    <w:p>
      <w:pPr>
        <w:pStyle w:val="11"/>
        <w:widowControl/>
        <w:ind w:left="0" w:leftChars="0" w:firstLine="480" w:firstLineChars="200"/>
        <w:rPr>
          <w:color w:val="auto"/>
          <w:highlight w:val="none"/>
        </w:rPr>
      </w:pPr>
      <w:r>
        <w:rPr>
          <w:color w:val="auto"/>
          <w:highlight w:val="none"/>
        </w:rPr>
        <w:t>在收到乙方对变更的回复后</w:t>
      </w:r>
      <w:r>
        <w:rPr>
          <w:color w:val="auto"/>
          <w:highlight w:val="none"/>
          <w:u w:val="single" w:color="auto"/>
        </w:rPr>
        <w:t xml:space="preserve"> 【三十】 </w:t>
      </w:r>
      <w:r>
        <w:rPr>
          <w:color w:val="auto"/>
          <w:highlight w:val="none"/>
        </w:rPr>
        <w:t>日内，甲方须：</w:t>
      </w:r>
    </w:p>
    <w:p>
      <w:pPr>
        <w:pStyle w:val="11"/>
        <w:widowControl/>
        <w:numPr>
          <w:ilvl w:val="0"/>
          <w:numId w:val="25"/>
        </w:numPr>
        <w:tabs>
          <w:tab w:val="left" w:pos="1080"/>
        </w:tabs>
        <w:topLinePunct w:val="0"/>
        <w:ind w:left="0" w:leftChars="0" w:firstLine="480" w:firstLineChars="200"/>
        <w:outlineLvl w:val="3"/>
        <w:rPr>
          <w:b w:val="0"/>
          <w:color w:val="auto"/>
          <w:highlight w:val="none"/>
        </w:rPr>
      </w:pPr>
      <w:r>
        <w:rPr>
          <w:color w:val="auto"/>
          <w:highlight w:val="none"/>
        </w:rPr>
        <w:t>以书面方式确认乙方变更回复中所包含的事项；</w:t>
      </w:r>
    </w:p>
    <w:p>
      <w:pPr>
        <w:pStyle w:val="11"/>
        <w:widowControl/>
        <w:numPr>
          <w:ilvl w:val="0"/>
          <w:numId w:val="25"/>
        </w:numPr>
        <w:tabs>
          <w:tab w:val="left" w:pos="1080"/>
        </w:tabs>
        <w:topLinePunct w:val="0"/>
        <w:ind w:left="0" w:leftChars="0" w:firstLine="480" w:firstLineChars="200"/>
        <w:rPr>
          <w:b w:val="0"/>
          <w:color w:val="auto"/>
          <w:highlight w:val="none"/>
        </w:rPr>
      </w:pPr>
      <w:r>
        <w:rPr>
          <w:color w:val="auto"/>
          <w:highlight w:val="none"/>
        </w:rPr>
        <w:t>以书面形式表明不同意乙方对变更的回复，并列明不同意的具体事由，在此情况下，该变更将依照本协议</w:t>
      </w:r>
      <w:r>
        <w:rPr>
          <w:rFonts w:hint="eastAsia"/>
          <w:color w:val="auto"/>
          <w:highlight w:val="none"/>
          <w:lang w:val="en-US" w:eastAsia="zh-CN"/>
        </w:rPr>
        <w:t>有关</w:t>
      </w:r>
      <w:r>
        <w:rPr>
          <w:color w:val="auto"/>
          <w:highlight w:val="none"/>
        </w:rPr>
        <w:t>约定解决。</w:t>
      </w:r>
    </w:p>
    <w:p>
      <w:pPr>
        <w:pStyle w:val="3"/>
        <w:widowControl/>
        <w:numPr>
          <w:ilvl w:val="0"/>
          <w:numId w:val="0"/>
        </w:numPr>
        <w:tabs>
          <w:tab w:val="left" w:pos="1199"/>
        </w:tabs>
        <w:ind w:left="0" w:leftChars="0" w:firstLine="482" w:firstLineChars="200"/>
        <w:outlineLvl w:val="2"/>
        <w:rPr>
          <w:b/>
          <w:color w:val="auto"/>
          <w:highlight w:val="none"/>
        </w:rPr>
      </w:pPr>
      <w:r>
        <w:rPr>
          <w:rFonts w:hint="eastAsia" w:cs="Times New Roman"/>
          <w:b/>
          <w:color w:val="auto"/>
          <w:sz w:val="24"/>
          <w:highlight w:val="none"/>
          <w:lang w:val="en-US" w:eastAsia="zh-CN"/>
        </w:rPr>
        <w:t>7</w:t>
      </w:r>
      <w:r>
        <w:rPr>
          <w:rFonts w:hint="default" w:ascii="Times New Roman" w:hAnsi="Times New Roman" w:eastAsia="宋体" w:cs="Times New Roman"/>
          <w:b/>
          <w:color w:val="auto"/>
          <w:sz w:val="24"/>
          <w:highlight w:val="none"/>
        </w:rPr>
        <w:t>.4.4.</w:t>
      </w:r>
      <w:r>
        <w:rPr>
          <w:color w:val="auto"/>
          <w:highlight w:val="none"/>
        </w:rPr>
        <w:t>甲方对变更通知的确认</w:t>
      </w:r>
    </w:p>
    <w:p>
      <w:pPr>
        <w:pStyle w:val="11"/>
        <w:widowControl/>
        <w:ind w:left="0" w:leftChars="0" w:firstLine="480" w:firstLineChars="200"/>
        <w:rPr>
          <w:color w:val="auto"/>
          <w:highlight w:val="none"/>
        </w:rPr>
      </w:pPr>
      <w:r>
        <w:rPr>
          <w:color w:val="auto"/>
          <w:highlight w:val="none"/>
        </w:rPr>
        <w:t xml:space="preserve">在项目协商或调解结果作出后的 </w:t>
      </w:r>
      <w:r>
        <w:rPr>
          <w:color w:val="auto"/>
          <w:highlight w:val="none"/>
          <w:u w:val="single" w:color="auto"/>
        </w:rPr>
        <w:t xml:space="preserve"> 【十】 </w:t>
      </w:r>
      <w:r>
        <w:rPr>
          <w:color w:val="auto"/>
          <w:highlight w:val="none"/>
        </w:rPr>
        <w:t xml:space="preserve"> 日 内， 甲方须依据协商或调解结果以书面方式作出以下处理：</w:t>
      </w:r>
    </w:p>
    <w:p>
      <w:pPr>
        <w:pStyle w:val="11"/>
        <w:widowControl/>
        <w:numPr>
          <w:ilvl w:val="0"/>
          <w:numId w:val="26"/>
        </w:numPr>
        <w:tabs>
          <w:tab w:val="left" w:pos="1080"/>
        </w:tabs>
        <w:topLinePunct w:val="0"/>
        <w:ind w:left="0" w:leftChars="0" w:firstLine="480" w:firstLineChars="200"/>
        <w:rPr>
          <w:b w:val="0"/>
          <w:color w:val="auto"/>
          <w:highlight w:val="none"/>
        </w:rPr>
      </w:pPr>
      <w:r>
        <w:rPr>
          <w:color w:val="auto"/>
          <w:highlight w:val="none"/>
        </w:rPr>
        <w:t>变更确认通知，要求乙方执行变更；</w:t>
      </w:r>
    </w:p>
    <w:p>
      <w:pPr>
        <w:pStyle w:val="11"/>
        <w:widowControl/>
        <w:numPr>
          <w:ilvl w:val="0"/>
          <w:numId w:val="26"/>
        </w:numPr>
        <w:tabs>
          <w:tab w:val="left" w:pos="1080"/>
        </w:tabs>
        <w:topLinePunct w:val="0"/>
        <w:ind w:left="0" w:leftChars="0" w:firstLine="480" w:firstLineChars="200"/>
        <w:rPr>
          <w:b w:val="0"/>
          <w:color w:val="auto"/>
          <w:highlight w:val="none"/>
        </w:rPr>
      </w:pPr>
      <w:r>
        <w:rPr>
          <w:color w:val="auto"/>
          <w:highlight w:val="none"/>
        </w:rPr>
        <w:t>撤回变更通知。</w:t>
      </w:r>
    </w:p>
    <w:p>
      <w:pPr>
        <w:pStyle w:val="3"/>
        <w:widowControl/>
        <w:numPr>
          <w:ilvl w:val="0"/>
          <w:numId w:val="0"/>
        </w:numPr>
        <w:tabs>
          <w:tab w:val="left" w:pos="1199"/>
        </w:tabs>
        <w:ind w:left="0" w:leftChars="0" w:firstLine="482" w:firstLineChars="200"/>
        <w:outlineLvl w:val="2"/>
        <w:rPr>
          <w:b/>
          <w:color w:val="auto"/>
          <w:highlight w:val="none"/>
        </w:rPr>
      </w:pPr>
      <w:r>
        <w:rPr>
          <w:rFonts w:hint="eastAsia" w:cs="Times New Roman"/>
          <w:b/>
          <w:color w:val="auto"/>
          <w:sz w:val="24"/>
          <w:highlight w:val="none"/>
          <w:lang w:val="en-US" w:eastAsia="zh-CN"/>
        </w:rPr>
        <w:t>7</w:t>
      </w:r>
      <w:r>
        <w:rPr>
          <w:rFonts w:hint="default" w:ascii="Times New Roman" w:hAnsi="Times New Roman" w:eastAsia="宋体" w:cs="Times New Roman"/>
          <w:b/>
          <w:color w:val="auto"/>
          <w:sz w:val="24"/>
          <w:highlight w:val="none"/>
        </w:rPr>
        <w:t>.4.5.</w:t>
      </w:r>
      <w:r>
        <w:rPr>
          <w:color w:val="auto"/>
          <w:highlight w:val="none"/>
        </w:rPr>
        <w:t>变更的实施</w:t>
      </w:r>
    </w:p>
    <w:p>
      <w:pPr>
        <w:pStyle w:val="11"/>
        <w:widowControl/>
        <w:ind w:left="0" w:leftChars="0" w:firstLine="480" w:firstLineChars="200"/>
        <w:rPr>
          <w:color w:val="auto"/>
          <w:highlight w:val="none"/>
        </w:rPr>
      </w:pPr>
      <w:r>
        <w:rPr>
          <w:color w:val="auto"/>
          <w:highlight w:val="none"/>
        </w:rPr>
        <w:t>在变更被甲乙双方确认之后：</w:t>
      </w:r>
    </w:p>
    <w:p>
      <w:pPr>
        <w:pStyle w:val="11"/>
        <w:widowControl/>
        <w:numPr>
          <w:ilvl w:val="0"/>
          <w:numId w:val="27"/>
        </w:numPr>
        <w:tabs>
          <w:tab w:val="left" w:pos="1080"/>
        </w:tabs>
        <w:topLinePunct w:val="0"/>
        <w:ind w:left="0" w:leftChars="0" w:firstLine="480" w:firstLineChars="200"/>
        <w:rPr>
          <w:b w:val="0"/>
          <w:color w:val="auto"/>
          <w:highlight w:val="none"/>
        </w:rPr>
      </w:pPr>
      <w:r>
        <w:rPr>
          <w:color w:val="auto"/>
          <w:highlight w:val="none"/>
        </w:rPr>
        <w:t>本协议的建设内容及规模被视为在确认日做出了修改，双方须遵守各自在修改后的本协议项下的义务；</w:t>
      </w:r>
    </w:p>
    <w:p>
      <w:pPr>
        <w:pStyle w:val="11"/>
        <w:widowControl/>
        <w:numPr>
          <w:ilvl w:val="0"/>
          <w:numId w:val="27"/>
        </w:numPr>
        <w:tabs>
          <w:tab w:val="left" w:pos="1080"/>
        </w:tabs>
        <w:topLinePunct w:val="0"/>
        <w:ind w:left="0" w:leftChars="0" w:firstLine="480" w:firstLineChars="200"/>
        <w:rPr>
          <w:b w:val="0"/>
          <w:color w:val="auto"/>
          <w:highlight w:val="none"/>
        </w:rPr>
      </w:pPr>
      <w:r>
        <w:rPr>
          <w:color w:val="auto"/>
          <w:highlight w:val="none"/>
        </w:rPr>
        <w:t>乙方须按甲方对变更通知及确认所要求的方式或协商、调解结果，实施该项变更；</w:t>
      </w:r>
    </w:p>
    <w:p>
      <w:pPr>
        <w:pStyle w:val="2"/>
        <w:widowControl/>
        <w:numPr>
          <w:ilvl w:val="0"/>
          <w:numId w:val="0"/>
        </w:numPr>
        <w:tabs>
          <w:tab w:val="left" w:pos="1149"/>
        </w:tabs>
        <w:ind w:left="0" w:leftChars="0" w:firstLine="482" w:firstLineChars="200"/>
        <w:outlineLvl w:val="1"/>
        <w:rPr>
          <w:b/>
          <w:color w:val="auto"/>
          <w:highlight w:val="none"/>
        </w:rPr>
      </w:pPr>
      <w:r>
        <w:rPr>
          <w:rFonts w:hint="eastAsia" w:cs="宋体"/>
          <w:b/>
          <w:bCs/>
          <w:snapToGrid w:val="0"/>
          <w:color w:val="auto"/>
          <w:kern w:val="44"/>
          <w:sz w:val="24"/>
          <w:szCs w:val="30"/>
          <w:highlight w:val="none"/>
          <w:lang w:val="en-US" w:eastAsia="zh-CN" w:bidi="ar-SA"/>
        </w:rPr>
        <w:t>7</w:t>
      </w:r>
      <w:r>
        <w:rPr>
          <w:rFonts w:hint="default" w:ascii="宋体" w:hAnsi="宋体" w:eastAsia="宋体" w:cs="宋体"/>
          <w:b/>
          <w:bCs/>
          <w:snapToGrid w:val="0"/>
          <w:color w:val="auto"/>
          <w:kern w:val="44"/>
          <w:sz w:val="24"/>
          <w:szCs w:val="30"/>
          <w:highlight w:val="none"/>
          <w:lang w:val="en-US" w:eastAsia="en-US" w:bidi="ar-SA"/>
        </w:rPr>
        <w:t>.</w:t>
      </w:r>
      <w:r>
        <w:rPr>
          <w:rFonts w:hint="eastAsia" w:cs="宋体"/>
          <w:b/>
          <w:bCs/>
          <w:snapToGrid w:val="0"/>
          <w:color w:val="auto"/>
          <w:kern w:val="44"/>
          <w:sz w:val="24"/>
          <w:szCs w:val="30"/>
          <w:highlight w:val="none"/>
          <w:lang w:val="en-US" w:eastAsia="zh-CN" w:bidi="ar-SA"/>
        </w:rPr>
        <w:t>5</w:t>
      </w:r>
      <w:r>
        <w:rPr>
          <w:rFonts w:hint="default" w:ascii="宋体" w:hAnsi="宋体" w:eastAsia="宋体" w:cs="宋体"/>
          <w:b/>
          <w:bCs/>
          <w:snapToGrid w:val="0"/>
          <w:color w:val="auto"/>
          <w:kern w:val="44"/>
          <w:sz w:val="24"/>
          <w:szCs w:val="30"/>
          <w:highlight w:val="none"/>
          <w:lang w:val="en-US" w:eastAsia="en-US" w:bidi="ar-SA"/>
        </w:rPr>
        <w:t>.</w:t>
      </w:r>
      <w:r>
        <w:rPr>
          <w:color w:val="auto"/>
          <w:highlight w:val="none"/>
        </w:rPr>
        <w:t>乙方要求的变更</w:t>
      </w:r>
    </w:p>
    <w:p>
      <w:pPr>
        <w:pStyle w:val="3"/>
        <w:widowControl/>
        <w:numPr>
          <w:ilvl w:val="0"/>
          <w:numId w:val="0"/>
        </w:numPr>
        <w:tabs>
          <w:tab w:val="left" w:pos="1211"/>
        </w:tabs>
        <w:ind w:left="0" w:leftChars="0" w:firstLine="482" w:firstLineChars="200"/>
        <w:outlineLvl w:val="2"/>
        <w:rPr>
          <w:b/>
          <w:color w:val="auto"/>
          <w:highlight w:val="none"/>
        </w:rPr>
      </w:pPr>
      <w:r>
        <w:rPr>
          <w:rFonts w:hint="eastAsia" w:cs="Times New Roman"/>
          <w:b/>
          <w:color w:val="auto"/>
          <w:sz w:val="24"/>
          <w:highlight w:val="none"/>
          <w:lang w:val="en-US" w:eastAsia="zh-CN"/>
        </w:rPr>
        <w:t>7</w:t>
      </w:r>
      <w:r>
        <w:rPr>
          <w:rFonts w:hint="default" w:ascii="Times New Roman" w:hAnsi="Times New Roman" w:eastAsia="宋体" w:cs="Times New Roman"/>
          <w:b/>
          <w:color w:val="auto"/>
          <w:sz w:val="24"/>
          <w:highlight w:val="none"/>
        </w:rPr>
        <w:t>.5.1.</w:t>
      </w:r>
      <w:r>
        <w:rPr>
          <w:color w:val="auto"/>
          <w:highlight w:val="none"/>
        </w:rPr>
        <w:t>乙方的变更通知</w:t>
      </w:r>
    </w:p>
    <w:p>
      <w:pPr>
        <w:pStyle w:val="11"/>
        <w:widowControl/>
        <w:ind w:left="0" w:leftChars="0" w:firstLine="480" w:firstLineChars="200"/>
        <w:rPr>
          <w:color w:val="auto"/>
          <w:highlight w:val="none"/>
        </w:rPr>
      </w:pPr>
      <w:r>
        <w:rPr>
          <w:color w:val="auto"/>
          <w:highlight w:val="none"/>
        </w:rPr>
        <w:t>乙方在开工日后，认为需要对项目建设进行变更的，应经</w:t>
      </w:r>
      <w:r>
        <w:rPr>
          <w:rFonts w:hint="eastAsia"/>
          <w:color w:val="auto"/>
          <w:highlight w:val="none"/>
          <w:lang w:eastAsia="zh-CN"/>
        </w:rPr>
        <w:t>甲方</w:t>
      </w:r>
      <w:r>
        <w:rPr>
          <w:color w:val="auto"/>
          <w:highlight w:val="none"/>
        </w:rPr>
        <w:t>书面同意后方可实施，否则不得实施变更。乙方提出的工程变更要求，必须是出于优化设计、节省开支等合理或经济性考虑，且不得降低安全质量和建设标准。</w:t>
      </w:r>
    </w:p>
    <w:p>
      <w:pPr>
        <w:pStyle w:val="3"/>
        <w:widowControl/>
        <w:numPr>
          <w:ilvl w:val="0"/>
          <w:numId w:val="0"/>
        </w:numPr>
        <w:tabs>
          <w:tab w:val="left" w:pos="1211"/>
        </w:tabs>
        <w:ind w:left="0" w:leftChars="0" w:firstLine="482" w:firstLineChars="200"/>
        <w:outlineLvl w:val="2"/>
        <w:rPr>
          <w:b/>
          <w:color w:val="auto"/>
          <w:highlight w:val="none"/>
        </w:rPr>
      </w:pPr>
      <w:r>
        <w:rPr>
          <w:rFonts w:hint="eastAsia" w:cs="Times New Roman"/>
          <w:b/>
          <w:color w:val="auto"/>
          <w:sz w:val="24"/>
          <w:highlight w:val="none"/>
          <w:lang w:val="en-US" w:eastAsia="zh-CN"/>
        </w:rPr>
        <w:t>7</w:t>
      </w:r>
      <w:r>
        <w:rPr>
          <w:rFonts w:hint="default" w:ascii="Times New Roman" w:hAnsi="Times New Roman" w:eastAsia="宋体" w:cs="Times New Roman"/>
          <w:b/>
          <w:color w:val="auto"/>
          <w:sz w:val="24"/>
          <w:highlight w:val="none"/>
        </w:rPr>
        <w:t>.5.2.</w:t>
      </w:r>
      <w:r>
        <w:rPr>
          <w:color w:val="auto"/>
          <w:highlight w:val="none"/>
        </w:rPr>
        <w:t>甲方的回复</w:t>
      </w:r>
    </w:p>
    <w:p>
      <w:pPr>
        <w:pStyle w:val="11"/>
        <w:widowControl/>
        <w:ind w:left="0" w:leftChars="0" w:firstLine="480" w:firstLineChars="200"/>
        <w:rPr>
          <w:color w:val="auto"/>
          <w:highlight w:val="none"/>
        </w:rPr>
      </w:pPr>
      <w:r>
        <w:rPr>
          <w:color w:val="auto"/>
          <w:highlight w:val="none"/>
        </w:rPr>
        <w:t xml:space="preserve">甲方在收到乙方要求变更的通知后 </w:t>
      </w:r>
      <w:r>
        <w:rPr>
          <w:color w:val="auto"/>
          <w:highlight w:val="none"/>
          <w:u w:val="single" w:color="auto"/>
        </w:rPr>
        <w:t>【三十】</w:t>
      </w:r>
      <w:r>
        <w:rPr>
          <w:color w:val="auto"/>
          <w:highlight w:val="none"/>
        </w:rPr>
        <w:t xml:space="preserve"> 日 内，须就变更向乙方作出书面回复，否则视为同意。</w:t>
      </w:r>
    </w:p>
    <w:p>
      <w:pPr>
        <w:pStyle w:val="3"/>
        <w:widowControl/>
        <w:numPr>
          <w:ilvl w:val="0"/>
          <w:numId w:val="0"/>
        </w:numPr>
        <w:tabs>
          <w:tab w:val="left" w:pos="1211"/>
        </w:tabs>
        <w:ind w:left="0" w:leftChars="0" w:firstLine="482" w:firstLineChars="200"/>
        <w:outlineLvl w:val="2"/>
        <w:rPr>
          <w:b/>
          <w:color w:val="auto"/>
          <w:highlight w:val="none"/>
        </w:rPr>
      </w:pPr>
      <w:r>
        <w:rPr>
          <w:rFonts w:hint="eastAsia" w:cs="Times New Roman"/>
          <w:b/>
          <w:color w:val="auto"/>
          <w:sz w:val="24"/>
          <w:highlight w:val="none"/>
          <w:lang w:val="en-US" w:eastAsia="zh-CN"/>
        </w:rPr>
        <w:t>7</w:t>
      </w:r>
      <w:r>
        <w:rPr>
          <w:rFonts w:hint="default" w:ascii="Times New Roman" w:hAnsi="Times New Roman" w:eastAsia="宋体" w:cs="Times New Roman"/>
          <w:b/>
          <w:color w:val="auto"/>
          <w:sz w:val="24"/>
          <w:highlight w:val="none"/>
        </w:rPr>
        <w:t>.5.3.</w:t>
      </w:r>
      <w:r>
        <w:rPr>
          <w:color w:val="auto"/>
          <w:highlight w:val="none"/>
        </w:rPr>
        <w:t>批准</w:t>
      </w:r>
    </w:p>
    <w:p>
      <w:pPr>
        <w:pStyle w:val="11"/>
        <w:widowControl/>
        <w:ind w:left="0" w:leftChars="0" w:firstLine="480" w:firstLineChars="200"/>
        <w:rPr>
          <w:color w:val="auto"/>
          <w:highlight w:val="none"/>
        </w:rPr>
      </w:pPr>
      <w:r>
        <w:rPr>
          <w:color w:val="auto"/>
          <w:highlight w:val="none"/>
        </w:rPr>
        <w:t>根据法律规定，变更应经过批准的，乙方应负责办理报批手续并自行承担所有的相关费用。</w:t>
      </w:r>
    </w:p>
    <w:p>
      <w:pPr>
        <w:pStyle w:val="2"/>
        <w:widowControl/>
        <w:numPr>
          <w:ilvl w:val="0"/>
          <w:numId w:val="0"/>
        </w:numPr>
        <w:tabs>
          <w:tab w:val="left" w:pos="1149"/>
        </w:tabs>
        <w:ind w:left="0" w:leftChars="0" w:firstLine="482" w:firstLineChars="200"/>
        <w:outlineLvl w:val="1"/>
        <w:rPr>
          <w:b/>
          <w:color w:val="auto"/>
          <w:highlight w:val="none"/>
        </w:rPr>
      </w:pPr>
      <w:r>
        <w:rPr>
          <w:rFonts w:hint="eastAsia" w:cs="宋体"/>
          <w:b/>
          <w:bCs/>
          <w:snapToGrid w:val="0"/>
          <w:color w:val="auto"/>
          <w:kern w:val="44"/>
          <w:sz w:val="24"/>
          <w:szCs w:val="30"/>
          <w:highlight w:val="none"/>
          <w:lang w:val="en-US" w:eastAsia="zh-CN" w:bidi="ar-SA"/>
        </w:rPr>
        <w:t>7</w:t>
      </w:r>
      <w:r>
        <w:rPr>
          <w:rFonts w:hint="default" w:ascii="宋体" w:hAnsi="宋体" w:eastAsia="宋体" w:cs="宋体"/>
          <w:b/>
          <w:bCs/>
          <w:snapToGrid w:val="0"/>
          <w:color w:val="auto"/>
          <w:kern w:val="44"/>
          <w:sz w:val="24"/>
          <w:szCs w:val="30"/>
          <w:highlight w:val="none"/>
          <w:lang w:val="en-US" w:eastAsia="en-US" w:bidi="ar-SA"/>
        </w:rPr>
        <w:t>.</w:t>
      </w:r>
      <w:r>
        <w:rPr>
          <w:rFonts w:hint="eastAsia" w:cs="宋体"/>
          <w:b/>
          <w:bCs/>
          <w:snapToGrid w:val="0"/>
          <w:color w:val="auto"/>
          <w:kern w:val="44"/>
          <w:sz w:val="24"/>
          <w:szCs w:val="30"/>
          <w:highlight w:val="none"/>
          <w:lang w:val="en-US" w:eastAsia="zh-CN" w:bidi="ar-SA"/>
        </w:rPr>
        <w:t>6</w:t>
      </w:r>
      <w:r>
        <w:rPr>
          <w:rFonts w:hint="default" w:ascii="宋体" w:hAnsi="宋体" w:eastAsia="宋体" w:cs="宋体"/>
          <w:b/>
          <w:bCs/>
          <w:snapToGrid w:val="0"/>
          <w:color w:val="auto"/>
          <w:kern w:val="44"/>
          <w:sz w:val="24"/>
          <w:szCs w:val="30"/>
          <w:highlight w:val="none"/>
          <w:lang w:val="en-US" w:eastAsia="en-US" w:bidi="ar-SA"/>
        </w:rPr>
        <w:t>.</w:t>
      </w:r>
      <w:r>
        <w:rPr>
          <w:color w:val="auto"/>
          <w:highlight w:val="none"/>
        </w:rPr>
        <w:t>竣工验收</w:t>
      </w:r>
    </w:p>
    <w:p>
      <w:pPr>
        <w:pStyle w:val="11"/>
        <w:widowControl/>
        <w:numPr>
          <w:ilvl w:val="0"/>
          <w:numId w:val="0"/>
        </w:numPr>
        <w:tabs>
          <w:tab w:val="left" w:pos="1140"/>
        </w:tabs>
        <w:ind w:left="0" w:leftChars="0" w:firstLine="482" w:firstLineChars="200"/>
        <w:rPr>
          <w:color w:val="auto"/>
          <w:highlight w:val="none"/>
        </w:rPr>
      </w:pPr>
      <w:r>
        <w:rPr>
          <w:rFonts w:hint="eastAsia" w:cs="Times New Roman"/>
          <w:b/>
          <w:color w:val="auto"/>
          <w:sz w:val="24"/>
          <w:highlight w:val="none"/>
          <w:lang w:val="en-US" w:eastAsia="zh-CN"/>
        </w:rPr>
        <w:t>7</w:t>
      </w:r>
      <w:r>
        <w:rPr>
          <w:rFonts w:hint="default" w:ascii="Times New Roman" w:hAnsi="Times New Roman" w:eastAsia="宋体" w:cs="Times New Roman"/>
          <w:b/>
          <w:color w:val="auto"/>
          <w:sz w:val="24"/>
          <w:highlight w:val="none"/>
        </w:rPr>
        <w:t>.6.1.</w:t>
      </w:r>
      <w:r>
        <w:rPr>
          <w:color w:val="auto"/>
          <w:highlight w:val="none"/>
        </w:rPr>
        <w:t>乙方应及时完成各单项验收，本项目具备相应的竣工验收条件后，乙方应在</w:t>
      </w:r>
      <w:r>
        <w:rPr>
          <w:color w:val="auto"/>
          <w:highlight w:val="none"/>
          <w:u w:val="single" w:color="auto"/>
        </w:rPr>
        <w:t xml:space="preserve">       </w:t>
      </w:r>
      <w:r>
        <w:rPr>
          <w:color w:val="auto"/>
          <w:highlight w:val="none"/>
        </w:rPr>
        <w:t xml:space="preserve"> 日内根据适用法律以及本协议的约定组织本项目竣工验收，并提前</w:t>
      </w:r>
      <w:r>
        <w:rPr>
          <w:color w:val="auto"/>
          <w:highlight w:val="none"/>
          <w:u w:val="single" w:color="auto"/>
        </w:rPr>
        <w:t xml:space="preserve">       </w:t>
      </w:r>
      <w:r>
        <w:rPr>
          <w:color w:val="auto"/>
          <w:highlight w:val="none"/>
        </w:rPr>
        <w:t xml:space="preserve"> 日通知甲方参加项目竣工验收；</w:t>
      </w:r>
    </w:p>
    <w:p>
      <w:pPr>
        <w:pStyle w:val="11"/>
        <w:widowControl/>
        <w:numPr>
          <w:ilvl w:val="0"/>
          <w:numId w:val="0"/>
        </w:numPr>
        <w:tabs>
          <w:tab w:val="left" w:pos="1140"/>
        </w:tabs>
        <w:ind w:left="0" w:leftChars="0" w:firstLine="482" w:firstLineChars="200"/>
        <w:rPr>
          <w:color w:val="auto"/>
          <w:highlight w:val="none"/>
        </w:rPr>
      </w:pPr>
      <w:r>
        <w:rPr>
          <w:rFonts w:hint="eastAsia" w:cs="Times New Roman"/>
          <w:b/>
          <w:color w:val="auto"/>
          <w:sz w:val="24"/>
          <w:highlight w:val="none"/>
          <w:lang w:val="en-US" w:eastAsia="zh-CN"/>
        </w:rPr>
        <w:t>7</w:t>
      </w:r>
      <w:r>
        <w:rPr>
          <w:rFonts w:hint="default" w:ascii="Times New Roman" w:hAnsi="Times New Roman" w:eastAsia="宋体" w:cs="Times New Roman"/>
          <w:b/>
          <w:color w:val="auto"/>
          <w:sz w:val="24"/>
          <w:highlight w:val="none"/>
        </w:rPr>
        <w:t>.6.2.</w:t>
      </w:r>
      <w:r>
        <w:rPr>
          <w:color w:val="auto"/>
          <w:highlight w:val="none"/>
        </w:rPr>
        <w:t>因竣工验收不合格导致建设进度延误和建设投资增加的责任由乙方承担，经整改后仍未达到验收标准的，则甲方有权委托其他单位进行整改，由此产生的费用由乙方承担，如导致本协议目的无法实现的，甲方有权按照</w:t>
      </w:r>
      <w:r>
        <w:rPr>
          <w:rFonts w:hint="eastAsia"/>
          <w:color w:val="auto"/>
          <w:highlight w:val="none"/>
          <w:lang w:val="en-US" w:eastAsia="zh-CN"/>
        </w:rPr>
        <w:t>有关</w:t>
      </w:r>
      <w:r>
        <w:rPr>
          <w:color w:val="auto"/>
          <w:highlight w:val="none"/>
        </w:rPr>
        <w:t>约定提前终止本协议。</w:t>
      </w:r>
    </w:p>
    <w:p>
      <w:pPr>
        <w:pStyle w:val="2"/>
        <w:widowControl/>
        <w:numPr>
          <w:ilvl w:val="0"/>
          <w:numId w:val="0"/>
        </w:numPr>
        <w:tabs>
          <w:tab w:val="left" w:pos="1149"/>
        </w:tabs>
        <w:ind w:left="0" w:leftChars="0" w:firstLine="482" w:firstLineChars="200"/>
        <w:outlineLvl w:val="1"/>
        <w:rPr>
          <w:b/>
          <w:color w:val="auto"/>
          <w:highlight w:val="none"/>
        </w:rPr>
      </w:pPr>
      <w:r>
        <w:rPr>
          <w:rFonts w:hint="eastAsia" w:cs="宋体"/>
          <w:b/>
          <w:bCs/>
          <w:snapToGrid w:val="0"/>
          <w:color w:val="auto"/>
          <w:kern w:val="44"/>
          <w:sz w:val="24"/>
          <w:szCs w:val="30"/>
          <w:highlight w:val="none"/>
          <w:lang w:val="en-US" w:eastAsia="zh-CN" w:bidi="ar-SA"/>
        </w:rPr>
        <w:t>7</w:t>
      </w:r>
      <w:r>
        <w:rPr>
          <w:rFonts w:hint="default" w:ascii="宋体" w:hAnsi="宋体" w:eastAsia="宋体" w:cs="宋体"/>
          <w:b/>
          <w:bCs/>
          <w:snapToGrid w:val="0"/>
          <w:color w:val="auto"/>
          <w:kern w:val="44"/>
          <w:sz w:val="24"/>
          <w:szCs w:val="30"/>
          <w:highlight w:val="none"/>
          <w:lang w:val="en-US" w:eastAsia="en-US" w:bidi="ar-SA"/>
        </w:rPr>
        <w:t>.</w:t>
      </w:r>
      <w:r>
        <w:rPr>
          <w:rFonts w:hint="eastAsia" w:cs="宋体"/>
          <w:b/>
          <w:bCs/>
          <w:snapToGrid w:val="0"/>
          <w:color w:val="auto"/>
          <w:kern w:val="44"/>
          <w:sz w:val="24"/>
          <w:szCs w:val="30"/>
          <w:highlight w:val="none"/>
          <w:lang w:val="en-US" w:eastAsia="zh-CN" w:bidi="ar-SA"/>
        </w:rPr>
        <w:t>7</w:t>
      </w:r>
      <w:r>
        <w:rPr>
          <w:rFonts w:hint="default" w:ascii="宋体" w:hAnsi="宋体" w:eastAsia="宋体" w:cs="宋体"/>
          <w:b/>
          <w:bCs/>
          <w:snapToGrid w:val="0"/>
          <w:color w:val="auto"/>
          <w:kern w:val="44"/>
          <w:sz w:val="24"/>
          <w:szCs w:val="30"/>
          <w:highlight w:val="none"/>
          <w:lang w:val="en-US" w:eastAsia="en-US" w:bidi="ar-SA"/>
        </w:rPr>
        <w:t>.</w:t>
      </w:r>
      <w:r>
        <w:rPr>
          <w:color w:val="auto"/>
          <w:highlight w:val="none"/>
        </w:rPr>
        <w:t>建设的延迟、放弃</w:t>
      </w:r>
    </w:p>
    <w:p>
      <w:pPr>
        <w:pStyle w:val="3"/>
        <w:widowControl/>
        <w:numPr>
          <w:ilvl w:val="0"/>
          <w:numId w:val="0"/>
        </w:numPr>
        <w:tabs>
          <w:tab w:val="left" w:pos="1211"/>
        </w:tabs>
        <w:ind w:left="0" w:leftChars="0" w:firstLine="482" w:firstLineChars="200"/>
        <w:outlineLvl w:val="2"/>
        <w:rPr>
          <w:b/>
          <w:color w:val="auto"/>
          <w:highlight w:val="none"/>
        </w:rPr>
      </w:pPr>
      <w:r>
        <w:rPr>
          <w:rFonts w:hint="eastAsia" w:cs="Times New Roman"/>
          <w:b/>
          <w:color w:val="auto"/>
          <w:sz w:val="24"/>
          <w:highlight w:val="none"/>
          <w:lang w:val="en-US" w:eastAsia="zh-CN"/>
        </w:rPr>
        <w:t>7</w:t>
      </w:r>
      <w:r>
        <w:rPr>
          <w:rFonts w:hint="default" w:ascii="Times New Roman" w:hAnsi="Times New Roman" w:eastAsia="宋体" w:cs="Times New Roman"/>
          <w:b/>
          <w:color w:val="auto"/>
          <w:sz w:val="24"/>
          <w:highlight w:val="none"/>
        </w:rPr>
        <w:t>.</w:t>
      </w:r>
      <w:r>
        <w:rPr>
          <w:rFonts w:hint="eastAsia" w:cs="Times New Roman"/>
          <w:b/>
          <w:color w:val="auto"/>
          <w:sz w:val="24"/>
          <w:highlight w:val="none"/>
          <w:lang w:val="en-US" w:eastAsia="zh-CN"/>
        </w:rPr>
        <w:t>7</w:t>
      </w:r>
      <w:r>
        <w:rPr>
          <w:rFonts w:hint="default" w:ascii="Times New Roman" w:hAnsi="Times New Roman" w:eastAsia="宋体" w:cs="Times New Roman"/>
          <w:b/>
          <w:color w:val="auto"/>
          <w:sz w:val="24"/>
          <w:highlight w:val="none"/>
        </w:rPr>
        <w:t>.1.</w:t>
      </w:r>
      <w:r>
        <w:rPr>
          <w:color w:val="auto"/>
          <w:highlight w:val="none"/>
        </w:rPr>
        <w:t>延迟</w:t>
      </w:r>
    </w:p>
    <w:p>
      <w:pPr>
        <w:pStyle w:val="11"/>
        <w:widowControl/>
        <w:ind w:left="0" w:leftChars="0" w:firstLine="480" w:firstLineChars="200"/>
        <w:rPr>
          <w:color w:val="auto"/>
          <w:highlight w:val="none"/>
        </w:rPr>
      </w:pPr>
      <w:r>
        <w:rPr>
          <w:color w:val="auto"/>
          <w:highlight w:val="none"/>
        </w:rPr>
        <w:t>延迟是指因乙方自身违约、甲方违约、不可抗力、法律变更或工程变更等事件导致建设工程不能如期开工或完工。</w:t>
      </w:r>
    </w:p>
    <w:p>
      <w:pPr>
        <w:pStyle w:val="11"/>
        <w:widowControl/>
        <w:numPr>
          <w:ilvl w:val="0"/>
          <w:numId w:val="28"/>
        </w:numPr>
        <w:tabs>
          <w:tab w:val="left" w:pos="1080"/>
        </w:tabs>
        <w:topLinePunct w:val="0"/>
        <w:ind w:left="0" w:leftChars="0" w:firstLine="480" w:firstLineChars="200"/>
        <w:rPr>
          <w:color w:val="auto"/>
          <w:highlight w:val="none"/>
        </w:rPr>
      </w:pPr>
      <w:r>
        <w:rPr>
          <w:color w:val="auto"/>
          <w:highlight w:val="none"/>
        </w:rPr>
        <w:t>乙方在获悉可能导致项目在既定建设期满前不能完工的任何事件发生时，应于</w:t>
      </w:r>
      <w:r>
        <w:rPr>
          <w:color w:val="auto"/>
          <w:highlight w:val="none"/>
          <w:u w:val="single" w:color="auto"/>
        </w:rPr>
        <w:t xml:space="preserve">     </w:t>
      </w:r>
      <w:r>
        <w:rPr>
          <w:color w:val="auto"/>
          <w:highlight w:val="none"/>
        </w:rPr>
        <w:t xml:space="preserve"> 日内以书面方式向甲方发出延迟通知，通知内容包括但不限于：</w:t>
      </w:r>
    </w:p>
    <w:p>
      <w:pPr>
        <w:pStyle w:val="11"/>
        <w:widowControl/>
        <w:numPr>
          <w:ilvl w:val="0"/>
          <w:numId w:val="29"/>
        </w:numPr>
        <w:tabs>
          <w:tab w:val="left" w:pos="482"/>
        </w:tabs>
        <w:topLinePunct w:val="0"/>
        <w:ind w:left="828" w:leftChars="0" w:hanging="346" w:firstLineChars="0"/>
        <w:rPr>
          <w:b w:val="0"/>
          <w:color w:val="auto"/>
          <w:highlight w:val="none"/>
        </w:rPr>
      </w:pPr>
      <w:r>
        <w:rPr>
          <w:color w:val="auto"/>
          <w:highlight w:val="none"/>
        </w:rPr>
        <w:t>延迟事件发生的原因、时间、过程；</w:t>
      </w:r>
    </w:p>
    <w:p>
      <w:pPr>
        <w:pStyle w:val="11"/>
        <w:widowControl/>
        <w:numPr>
          <w:ilvl w:val="0"/>
          <w:numId w:val="29"/>
        </w:numPr>
        <w:tabs>
          <w:tab w:val="left" w:pos="482"/>
        </w:tabs>
        <w:topLinePunct w:val="0"/>
        <w:ind w:left="828" w:leftChars="0" w:hanging="346" w:firstLineChars="0"/>
        <w:rPr>
          <w:b w:val="0"/>
          <w:color w:val="auto"/>
          <w:highlight w:val="none"/>
        </w:rPr>
      </w:pPr>
      <w:r>
        <w:rPr>
          <w:color w:val="auto"/>
          <w:highlight w:val="none"/>
        </w:rPr>
        <w:t>延迟或延迟事件的责任者；</w:t>
      </w:r>
    </w:p>
    <w:p>
      <w:pPr>
        <w:pStyle w:val="11"/>
        <w:widowControl/>
        <w:numPr>
          <w:ilvl w:val="0"/>
          <w:numId w:val="29"/>
        </w:numPr>
        <w:tabs>
          <w:tab w:val="left" w:pos="482"/>
        </w:tabs>
        <w:topLinePunct w:val="0"/>
        <w:ind w:left="828" w:leftChars="0" w:hanging="346" w:firstLineChars="0"/>
        <w:rPr>
          <w:b w:val="0"/>
          <w:color w:val="auto"/>
          <w:highlight w:val="none"/>
        </w:rPr>
      </w:pPr>
      <w:r>
        <w:rPr>
          <w:color w:val="auto"/>
          <w:highlight w:val="none"/>
        </w:rPr>
        <w:t>对本协议的任何违约或</w:t>
      </w:r>
      <w:r>
        <w:rPr>
          <w:rFonts w:hint="eastAsia"/>
          <w:color w:val="auto"/>
          <w:highlight w:val="none"/>
          <w:lang w:eastAsia="zh-CN"/>
        </w:rPr>
        <w:t>逾期</w:t>
      </w:r>
      <w:r>
        <w:rPr>
          <w:color w:val="auto"/>
          <w:highlight w:val="none"/>
        </w:rPr>
        <w:t>违约；</w:t>
      </w:r>
    </w:p>
    <w:p>
      <w:pPr>
        <w:pStyle w:val="11"/>
        <w:widowControl/>
        <w:numPr>
          <w:ilvl w:val="0"/>
          <w:numId w:val="29"/>
        </w:numPr>
        <w:tabs>
          <w:tab w:val="left" w:pos="482"/>
        </w:tabs>
        <w:topLinePunct w:val="0"/>
        <w:ind w:left="828" w:leftChars="0" w:hanging="346" w:firstLineChars="0"/>
        <w:rPr>
          <w:b w:val="0"/>
          <w:color w:val="auto"/>
          <w:highlight w:val="none"/>
        </w:rPr>
      </w:pPr>
      <w:r>
        <w:rPr>
          <w:color w:val="auto"/>
          <w:highlight w:val="none"/>
        </w:rPr>
        <w:t>乙方关于减轻和纠正延迟或延迟事件影响的计划。</w:t>
      </w:r>
    </w:p>
    <w:p>
      <w:pPr>
        <w:pStyle w:val="11"/>
        <w:widowControl/>
        <w:numPr>
          <w:ilvl w:val="0"/>
          <w:numId w:val="28"/>
        </w:numPr>
        <w:tabs>
          <w:tab w:val="left" w:pos="1080"/>
        </w:tabs>
        <w:topLinePunct w:val="0"/>
        <w:ind w:left="0" w:leftChars="0" w:firstLine="480" w:firstLineChars="200"/>
        <w:rPr>
          <w:b w:val="0"/>
          <w:color w:val="auto"/>
          <w:highlight w:val="none"/>
        </w:rPr>
      </w:pPr>
      <w:r>
        <w:rPr>
          <w:color w:val="auto"/>
          <w:highlight w:val="none"/>
        </w:rPr>
        <w:t>乙方在发出延迟通知后，应定期就相关情况向甲方提供事件的最新进展报告。</w:t>
      </w:r>
    </w:p>
    <w:p>
      <w:pPr>
        <w:pStyle w:val="11"/>
        <w:widowControl/>
        <w:ind w:left="0" w:leftChars="0" w:firstLine="480" w:firstLineChars="200"/>
        <w:rPr>
          <w:color w:val="auto"/>
          <w:highlight w:val="none"/>
        </w:rPr>
      </w:pPr>
      <w:r>
        <w:rPr>
          <w:color w:val="auto"/>
          <w:highlight w:val="none"/>
        </w:rPr>
        <w:t>除因甲方要求的变更、法律变更、不可抗力和甲方违约明确规定的情况外，乙方无权从甲方获得因延迟而产生的任何责任的免除或补偿。</w:t>
      </w:r>
    </w:p>
    <w:p>
      <w:pPr>
        <w:pStyle w:val="3"/>
        <w:widowControl/>
        <w:numPr>
          <w:ilvl w:val="0"/>
          <w:numId w:val="0"/>
        </w:numPr>
        <w:tabs>
          <w:tab w:val="left" w:pos="1211"/>
        </w:tabs>
        <w:ind w:left="0" w:leftChars="0" w:firstLine="482" w:firstLineChars="200"/>
        <w:outlineLvl w:val="2"/>
        <w:rPr>
          <w:b/>
          <w:color w:val="auto"/>
          <w:highlight w:val="none"/>
        </w:rPr>
      </w:pPr>
      <w:r>
        <w:rPr>
          <w:rFonts w:hint="eastAsia" w:cs="Times New Roman"/>
          <w:b/>
          <w:color w:val="auto"/>
          <w:sz w:val="24"/>
          <w:highlight w:val="none"/>
          <w:lang w:val="en-US" w:eastAsia="zh-CN"/>
        </w:rPr>
        <w:t>7</w:t>
      </w:r>
      <w:r>
        <w:rPr>
          <w:rFonts w:hint="default" w:ascii="Times New Roman" w:hAnsi="Times New Roman" w:eastAsia="宋体" w:cs="Times New Roman"/>
          <w:b/>
          <w:color w:val="auto"/>
          <w:sz w:val="24"/>
          <w:highlight w:val="none"/>
        </w:rPr>
        <w:t>.</w:t>
      </w:r>
      <w:r>
        <w:rPr>
          <w:rFonts w:hint="eastAsia" w:cs="Times New Roman"/>
          <w:b/>
          <w:color w:val="auto"/>
          <w:sz w:val="24"/>
          <w:highlight w:val="none"/>
          <w:lang w:val="en-US" w:eastAsia="zh-CN"/>
        </w:rPr>
        <w:t>7</w:t>
      </w:r>
      <w:r>
        <w:rPr>
          <w:rFonts w:hint="default" w:ascii="Times New Roman" w:hAnsi="Times New Roman" w:eastAsia="宋体" w:cs="Times New Roman"/>
          <w:b/>
          <w:color w:val="auto"/>
          <w:sz w:val="24"/>
          <w:highlight w:val="none"/>
        </w:rPr>
        <w:t>.2.</w:t>
      </w:r>
      <w:r>
        <w:rPr>
          <w:color w:val="auto"/>
          <w:highlight w:val="none"/>
        </w:rPr>
        <w:t>乙方放弃的情形</w:t>
      </w:r>
    </w:p>
    <w:p>
      <w:pPr>
        <w:pStyle w:val="11"/>
        <w:widowControl/>
        <w:ind w:left="0" w:leftChars="0" w:firstLine="480" w:firstLineChars="200"/>
        <w:rPr>
          <w:color w:val="auto"/>
          <w:highlight w:val="none"/>
        </w:rPr>
      </w:pPr>
      <w:r>
        <w:rPr>
          <w:color w:val="auto"/>
          <w:highlight w:val="none"/>
        </w:rPr>
        <w:t>乙方以书面形式表示放弃本项目建设或运营。</w:t>
      </w:r>
    </w:p>
    <w:p>
      <w:pPr>
        <w:pStyle w:val="3"/>
        <w:widowControl/>
        <w:numPr>
          <w:ilvl w:val="0"/>
          <w:numId w:val="0"/>
        </w:numPr>
        <w:tabs>
          <w:tab w:val="left" w:pos="1211"/>
        </w:tabs>
        <w:ind w:left="0" w:leftChars="0" w:firstLine="482" w:firstLineChars="200"/>
        <w:outlineLvl w:val="2"/>
        <w:rPr>
          <w:b/>
          <w:color w:val="auto"/>
          <w:highlight w:val="none"/>
        </w:rPr>
      </w:pPr>
      <w:r>
        <w:rPr>
          <w:rFonts w:hint="eastAsia" w:cs="Times New Roman"/>
          <w:b/>
          <w:color w:val="auto"/>
          <w:sz w:val="24"/>
          <w:highlight w:val="none"/>
          <w:lang w:val="en-US" w:eastAsia="zh-CN"/>
        </w:rPr>
        <w:t>7</w:t>
      </w:r>
      <w:r>
        <w:rPr>
          <w:rFonts w:hint="default" w:ascii="Times New Roman" w:hAnsi="Times New Roman" w:eastAsia="宋体" w:cs="Times New Roman"/>
          <w:b/>
          <w:color w:val="auto"/>
          <w:sz w:val="24"/>
          <w:highlight w:val="none"/>
        </w:rPr>
        <w:t>.</w:t>
      </w:r>
      <w:r>
        <w:rPr>
          <w:rFonts w:hint="eastAsia" w:cs="Times New Roman"/>
          <w:b/>
          <w:color w:val="auto"/>
          <w:sz w:val="24"/>
          <w:highlight w:val="none"/>
          <w:lang w:val="en-US" w:eastAsia="zh-CN"/>
        </w:rPr>
        <w:t>7</w:t>
      </w:r>
      <w:r>
        <w:rPr>
          <w:rFonts w:hint="default" w:ascii="Times New Roman" w:hAnsi="Times New Roman" w:eastAsia="宋体" w:cs="Times New Roman"/>
          <w:b/>
          <w:color w:val="auto"/>
          <w:sz w:val="24"/>
          <w:highlight w:val="none"/>
        </w:rPr>
        <w:t>.3.</w:t>
      </w:r>
      <w:r>
        <w:rPr>
          <w:color w:val="auto"/>
          <w:highlight w:val="none"/>
        </w:rPr>
        <w:t>视为乙方放弃的情形</w:t>
      </w:r>
    </w:p>
    <w:p>
      <w:pPr>
        <w:pStyle w:val="11"/>
        <w:widowControl/>
        <w:ind w:left="0" w:leftChars="0" w:firstLine="480" w:firstLineChars="200"/>
        <w:rPr>
          <w:color w:val="auto"/>
          <w:highlight w:val="none"/>
        </w:rPr>
      </w:pPr>
      <w:r>
        <w:rPr>
          <w:color w:val="auto"/>
          <w:highlight w:val="none"/>
        </w:rPr>
        <w:t>除不可抗力或甲方违约的情形外，如果乙方出现下列情形，则本项目的建设应视为已被乙方放弃：</w:t>
      </w:r>
    </w:p>
    <w:p>
      <w:pPr>
        <w:pStyle w:val="11"/>
        <w:widowControl/>
        <w:numPr>
          <w:ilvl w:val="0"/>
          <w:numId w:val="30"/>
        </w:numPr>
        <w:tabs>
          <w:tab w:val="left" w:pos="1080"/>
        </w:tabs>
        <w:topLinePunct w:val="0"/>
        <w:ind w:left="0" w:leftChars="0" w:firstLine="480" w:firstLineChars="200"/>
        <w:rPr>
          <w:b w:val="0"/>
          <w:color w:val="auto"/>
          <w:highlight w:val="none"/>
        </w:rPr>
      </w:pPr>
      <w:r>
        <w:rPr>
          <w:color w:val="auto"/>
          <w:highlight w:val="none"/>
        </w:rPr>
        <w:t>书面通知甲方其已终止任一建设工程，且不打算重新开始施工；</w:t>
      </w:r>
    </w:p>
    <w:p>
      <w:pPr>
        <w:pStyle w:val="11"/>
        <w:widowControl/>
        <w:numPr>
          <w:ilvl w:val="0"/>
          <w:numId w:val="30"/>
        </w:numPr>
        <w:tabs>
          <w:tab w:val="left" w:pos="1080"/>
        </w:tabs>
        <w:topLinePunct w:val="0"/>
        <w:ind w:left="0" w:leftChars="0" w:firstLine="480" w:firstLineChars="200"/>
        <w:rPr>
          <w:b w:val="0"/>
          <w:color w:val="auto"/>
          <w:highlight w:val="none"/>
        </w:rPr>
      </w:pPr>
      <w:r>
        <w:rPr>
          <w:color w:val="auto"/>
          <w:highlight w:val="none"/>
        </w:rPr>
        <w:t>由于乙方原因未能在开工日之后</w:t>
      </w:r>
      <w:r>
        <w:rPr>
          <w:color w:val="auto"/>
          <w:highlight w:val="none"/>
          <w:u w:val="single" w:color="auto"/>
        </w:rPr>
        <w:t xml:space="preserve">     </w:t>
      </w:r>
      <w:r>
        <w:rPr>
          <w:color w:val="auto"/>
          <w:highlight w:val="none"/>
        </w:rPr>
        <w:t xml:space="preserve"> 日内开始项目的建设；</w:t>
      </w:r>
    </w:p>
    <w:p>
      <w:pPr>
        <w:pStyle w:val="11"/>
        <w:widowControl/>
        <w:numPr>
          <w:ilvl w:val="0"/>
          <w:numId w:val="30"/>
        </w:numPr>
        <w:tabs>
          <w:tab w:val="left" w:pos="1080"/>
        </w:tabs>
        <w:topLinePunct w:val="0"/>
        <w:ind w:left="0" w:leftChars="0" w:firstLine="480" w:firstLineChars="200"/>
        <w:rPr>
          <w:b w:val="0"/>
          <w:color w:val="auto"/>
          <w:highlight w:val="none"/>
        </w:rPr>
      </w:pPr>
      <w:r>
        <w:rPr>
          <w:color w:val="auto"/>
          <w:highlight w:val="none"/>
        </w:rPr>
        <w:t>由于乙方原因未能在任何不可抗力事件结束</w:t>
      </w:r>
      <w:r>
        <w:rPr>
          <w:rFonts w:hint="eastAsia"/>
          <w:color w:val="auto"/>
          <w:highlight w:val="none"/>
          <w:lang w:eastAsia="zh-CN"/>
        </w:rPr>
        <w:t>后一</w:t>
      </w:r>
      <w:r>
        <w:rPr>
          <w:color w:val="auto"/>
          <w:highlight w:val="none"/>
        </w:rPr>
        <w:t xml:space="preserve"> </w:t>
      </w:r>
      <w:r>
        <w:rPr>
          <w:color w:val="auto"/>
          <w:highlight w:val="none"/>
          <w:u w:val="single" w:color="auto"/>
        </w:rPr>
        <w:t xml:space="preserve">       </w:t>
      </w:r>
      <w:r>
        <w:rPr>
          <w:color w:val="auto"/>
          <w:highlight w:val="none"/>
        </w:rPr>
        <w:t xml:space="preserve"> 日内恢 复建设工程施工；</w:t>
      </w:r>
    </w:p>
    <w:p>
      <w:pPr>
        <w:pStyle w:val="11"/>
        <w:widowControl/>
        <w:numPr>
          <w:ilvl w:val="0"/>
          <w:numId w:val="30"/>
        </w:numPr>
        <w:tabs>
          <w:tab w:val="left" w:pos="1080"/>
        </w:tabs>
        <w:topLinePunct w:val="0"/>
        <w:ind w:left="0" w:leftChars="0" w:firstLine="480" w:firstLineChars="200"/>
        <w:rPr>
          <w:b w:val="0"/>
          <w:color w:val="auto"/>
          <w:highlight w:val="none"/>
        </w:rPr>
      </w:pPr>
      <w:r>
        <w:rPr>
          <w:color w:val="auto"/>
          <w:highlight w:val="none"/>
        </w:rPr>
        <w:t>乙方出于任何其他原因在开始运营日前停止工程建设，撤走项目场地全部或大部分的工作人员累计超过</w:t>
      </w:r>
      <w:r>
        <w:rPr>
          <w:color w:val="auto"/>
          <w:highlight w:val="none"/>
          <w:u w:val="single" w:color="auto"/>
        </w:rPr>
        <w:t xml:space="preserve">       </w:t>
      </w:r>
      <w:r>
        <w:rPr>
          <w:color w:val="auto"/>
          <w:highlight w:val="none"/>
        </w:rPr>
        <w:t xml:space="preserve"> 日以上的。</w:t>
      </w:r>
    </w:p>
    <w:p>
      <w:pPr>
        <w:spacing w:line="316" w:lineRule="auto"/>
        <w:rPr>
          <w:rFonts w:ascii="仿宋" w:hAnsi="仿宋" w:eastAsia="仿宋" w:cs="仿宋"/>
          <w:color w:val="auto"/>
          <w:sz w:val="28"/>
          <w:szCs w:val="28"/>
          <w:highlight w:val="none"/>
        </w:rPr>
        <w:sectPr>
          <w:footerReference r:id="rId6" w:type="default"/>
          <w:pgSz w:w="11906" w:h="16839"/>
          <w:pgMar w:top="1431" w:right="1388" w:bottom="1279" w:left="1638" w:header="0" w:footer="1103" w:gutter="0"/>
          <w:cols w:space="720" w:num="1"/>
        </w:sectPr>
      </w:pPr>
    </w:p>
    <w:p>
      <w:pPr>
        <w:pStyle w:val="2"/>
        <w:widowControl/>
        <w:numPr>
          <w:ilvl w:val="0"/>
          <w:numId w:val="0"/>
        </w:numPr>
        <w:tabs>
          <w:tab w:val="left" w:pos="1149"/>
        </w:tabs>
        <w:ind w:left="0" w:leftChars="0" w:firstLine="482" w:firstLineChars="200"/>
        <w:outlineLvl w:val="1"/>
        <w:rPr>
          <w:b/>
          <w:color w:val="auto"/>
          <w:highlight w:val="none"/>
        </w:rPr>
      </w:pPr>
      <w:r>
        <w:rPr>
          <w:rFonts w:hint="eastAsia" w:cs="宋体"/>
          <w:b/>
          <w:bCs/>
          <w:snapToGrid w:val="0"/>
          <w:color w:val="auto"/>
          <w:kern w:val="44"/>
          <w:sz w:val="24"/>
          <w:szCs w:val="30"/>
          <w:highlight w:val="none"/>
          <w:lang w:val="en-US" w:eastAsia="zh-CN" w:bidi="ar-SA"/>
        </w:rPr>
        <w:t>7</w:t>
      </w:r>
      <w:r>
        <w:rPr>
          <w:rFonts w:hint="default" w:ascii="宋体" w:hAnsi="宋体" w:eastAsia="宋体" w:cs="宋体"/>
          <w:b/>
          <w:bCs/>
          <w:snapToGrid w:val="0"/>
          <w:color w:val="auto"/>
          <w:kern w:val="44"/>
          <w:sz w:val="24"/>
          <w:szCs w:val="30"/>
          <w:highlight w:val="none"/>
          <w:lang w:val="en-US" w:eastAsia="en-US" w:bidi="ar-SA"/>
        </w:rPr>
        <w:t>.</w:t>
      </w:r>
      <w:r>
        <w:rPr>
          <w:rFonts w:hint="eastAsia" w:cs="宋体"/>
          <w:b/>
          <w:bCs/>
          <w:snapToGrid w:val="0"/>
          <w:color w:val="auto"/>
          <w:kern w:val="44"/>
          <w:sz w:val="24"/>
          <w:szCs w:val="30"/>
          <w:highlight w:val="none"/>
          <w:lang w:val="en-US" w:eastAsia="zh-CN" w:bidi="ar-SA"/>
        </w:rPr>
        <w:t>8</w:t>
      </w:r>
      <w:r>
        <w:rPr>
          <w:rFonts w:hint="default" w:ascii="宋体" w:hAnsi="宋体" w:eastAsia="宋体" w:cs="宋体"/>
          <w:b/>
          <w:bCs/>
          <w:snapToGrid w:val="0"/>
          <w:color w:val="auto"/>
          <w:kern w:val="44"/>
          <w:sz w:val="24"/>
          <w:szCs w:val="30"/>
          <w:highlight w:val="none"/>
          <w:lang w:val="en-US" w:eastAsia="en-US" w:bidi="ar-SA"/>
        </w:rPr>
        <w:t>.</w:t>
      </w:r>
      <w:r>
        <w:rPr>
          <w:color w:val="auto"/>
          <w:highlight w:val="none"/>
        </w:rPr>
        <w:t>建设期监管</w:t>
      </w:r>
    </w:p>
    <w:p>
      <w:pPr>
        <w:pStyle w:val="11"/>
        <w:widowControl/>
        <w:numPr>
          <w:ilvl w:val="0"/>
          <w:numId w:val="0"/>
        </w:numPr>
        <w:tabs>
          <w:tab w:val="left" w:pos="1140"/>
        </w:tabs>
        <w:ind w:left="-60" w:leftChars="0" w:firstLine="480" w:firstLineChars="0"/>
        <w:outlineLvl w:val="2"/>
        <w:rPr>
          <w:b/>
          <w:color w:val="auto"/>
          <w:highlight w:val="none"/>
        </w:rPr>
      </w:pPr>
      <w:r>
        <w:rPr>
          <w:rFonts w:hint="eastAsia" w:cs="Times New Roman"/>
          <w:b/>
          <w:color w:val="auto"/>
          <w:sz w:val="24"/>
          <w:highlight w:val="none"/>
          <w:lang w:val="en-US" w:eastAsia="zh-CN"/>
        </w:rPr>
        <w:t>7</w:t>
      </w:r>
      <w:r>
        <w:rPr>
          <w:rFonts w:hint="default" w:ascii="Times New Roman" w:hAnsi="Times New Roman" w:eastAsia="宋体" w:cs="Times New Roman"/>
          <w:b/>
          <w:color w:val="auto"/>
          <w:sz w:val="24"/>
          <w:highlight w:val="none"/>
        </w:rPr>
        <w:t>.</w:t>
      </w:r>
      <w:r>
        <w:rPr>
          <w:rFonts w:hint="eastAsia" w:cs="Times New Roman"/>
          <w:b/>
          <w:color w:val="auto"/>
          <w:sz w:val="24"/>
          <w:highlight w:val="none"/>
          <w:lang w:val="en-US" w:eastAsia="zh-CN"/>
        </w:rPr>
        <w:t>8</w:t>
      </w:r>
      <w:r>
        <w:rPr>
          <w:rFonts w:hint="default" w:ascii="Times New Roman" w:hAnsi="Times New Roman" w:eastAsia="宋体" w:cs="Times New Roman"/>
          <w:b/>
          <w:color w:val="auto"/>
          <w:sz w:val="24"/>
          <w:highlight w:val="none"/>
        </w:rPr>
        <w:t>.1.</w:t>
      </w:r>
      <w:r>
        <w:rPr>
          <w:color w:val="auto"/>
          <w:highlight w:val="none"/>
        </w:rPr>
        <w:t>甲方有权检查工程进度及工程质量履行情况。</w:t>
      </w:r>
    </w:p>
    <w:p>
      <w:pPr>
        <w:pStyle w:val="11"/>
        <w:widowControl/>
        <w:numPr>
          <w:ilvl w:val="0"/>
          <w:numId w:val="0"/>
        </w:numPr>
        <w:tabs>
          <w:tab w:val="left" w:pos="1140"/>
        </w:tabs>
        <w:ind w:left="-60" w:leftChars="0" w:firstLine="480" w:firstLineChars="0"/>
        <w:rPr>
          <w:color w:val="auto"/>
          <w:highlight w:val="none"/>
        </w:rPr>
      </w:pPr>
      <w:r>
        <w:rPr>
          <w:rFonts w:hint="eastAsia" w:cs="Times New Roman"/>
          <w:b/>
          <w:color w:val="auto"/>
          <w:sz w:val="24"/>
          <w:highlight w:val="none"/>
          <w:lang w:val="en-US" w:eastAsia="zh-CN"/>
        </w:rPr>
        <w:t>7</w:t>
      </w:r>
      <w:r>
        <w:rPr>
          <w:rFonts w:hint="default" w:ascii="Times New Roman" w:hAnsi="Times New Roman" w:eastAsia="宋体" w:cs="Times New Roman"/>
          <w:b/>
          <w:color w:val="auto"/>
          <w:sz w:val="24"/>
          <w:highlight w:val="none"/>
        </w:rPr>
        <w:t>.</w:t>
      </w:r>
      <w:r>
        <w:rPr>
          <w:rFonts w:hint="eastAsia" w:cs="Times New Roman"/>
          <w:b/>
          <w:color w:val="auto"/>
          <w:sz w:val="24"/>
          <w:highlight w:val="none"/>
          <w:lang w:val="en-US" w:eastAsia="zh-CN"/>
        </w:rPr>
        <w:t>8</w:t>
      </w:r>
      <w:r>
        <w:rPr>
          <w:rFonts w:hint="default" w:ascii="Times New Roman" w:hAnsi="Times New Roman" w:eastAsia="宋体" w:cs="Times New Roman"/>
          <w:b/>
          <w:color w:val="auto"/>
          <w:sz w:val="24"/>
          <w:highlight w:val="none"/>
        </w:rPr>
        <w:t>.2.</w:t>
      </w:r>
      <w:r>
        <w:rPr>
          <w:color w:val="auto"/>
          <w:highlight w:val="none"/>
        </w:rPr>
        <w:t>甲方发现工程存在质量缺陷的，有权要求乙方整改，直至符合标准， 由此造成建设进度延误的，延误期限和造成的损失由乙方承担。</w:t>
      </w:r>
    </w:p>
    <w:p>
      <w:pPr>
        <w:pStyle w:val="11"/>
        <w:widowControl/>
        <w:numPr>
          <w:ilvl w:val="0"/>
          <w:numId w:val="0"/>
        </w:numPr>
        <w:tabs>
          <w:tab w:val="left" w:pos="1140"/>
        </w:tabs>
        <w:ind w:left="-60" w:leftChars="0" w:firstLine="480" w:firstLineChars="0"/>
        <w:rPr>
          <w:color w:val="auto"/>
          <w:highlight w:val="none"/>
        </w:rPr>
      </w:pPr>
      <w:r>
        <w:rPr>
          <w:rFonts w:hint="eastAsia" w:cs="Times New Roman"/>
          <w:b/>
          <w:color w:val="auto"/>
          <w:sz w:val="24"/>
          <w:highlight w:val="none"/>
          <w:lang w:val="en-US" w:eastAsia="zh-CN"/>
        </w:rPr>
        <w:t>7</w:t>
      </w:r>
      <w:r>
        <w:rPr>
          <w:rFonts w:hint="default" w:ascii="Times New Roman" w:hAnsi="Times New Roman" w:eastAsia="宋体" w:cs="Times New Roman"/>
          <w:b/>
          <w:color w:val="auto"/>
          <w:sz w:val="24"/>
          <w:highlight w:val="none"/>
        </w:rPr>
        <w:t>.</w:t>
      </w:r>
      <w:r>
        <w:rPr>
          <w:rFonts w:hint="eastAsia" w:cs="Times New Roman"/>
          <w:b/>
          <w:color w:val="auto"/>
          <w:sz w:val="24"/>
          <w:highlight w:val="none"/>
          <w:lang w:val="en-US" w:eastAsia="zh-CN"/>
        </w:rPr>
        <w:t>8</w:t>
      </w:r>
      <w:r>
        <w:rPr>
          <w:rFonts w:hint="default" w:ascii="Times New Roman" w:hAnsi="Times New Roman" w:eastAsia="宋体" w:cs="Times New Roman"/>
          <w:b/>
          <w:color w:val="auto"/>
          <w:sz w:val="24"/>
          <w:highlight w:val="none"/>
        </w:rPr>
        <w:t>.</w:t>
      </w:r>
      <w:r>
        <w:rPr>
          <w:rFonts w:hint="eastAsia" w:cs="Times New Roman"/>
          <w:b/>
          <w:color w:val="auto"/>
          <w:sz w:val="24"/>
          <w:highlight w:val="none"/>
          <w:lang w:val="en-US" w:eastAsia="zh-CN"/>
        </w:rPr>
        <w:t>3</w:t>
      </w:r>
      <w:r>
        <w:rPr>
          <w:rFonts w:hint="default" w:ascii="Times New Roman" w:hAnsi="Times New Roman" w:eastAsia="宋体" w:cs="Times New Roman"/>
          <w:b/>
          <w:color w:val="auto"/>
          <w:sz w:val="24"/>
          <w:highlight w:val="none"/>
        </w:rPr>
        <w:t>.</w:t>
      </w:r>
      <w:r>
        <w:rPr>
          <w:color w:val="auto"/>
          <w:highlight w:val="none"/>
        </w:rPr>
        <w:t>甲方对项目建设的监督和检查，不视为甲方放弃其在协议项下的任何权利，也不能免除乙方在本协议项下的任何义务。</w:t>
      </w:r>
    </w:p>
    <w:p>
      <w:pPr>
        <w:pStyle w:val="2"/>
        <w:widowControl/>
        <w:numPr>
          <w:ilvl w:val="0"/>
          <w:numId w:val="0"/>
        </w:numPr>
        <w:tabs>
          <w:tab w:val="left" w:pos="1149"/>
        </w:tabs>
        <w:ind w:left="0" w:leftChars="0" w:firstLine="482" w:firstLineChars="200"/>
        <w:outlineLvl w:val="1"/>
        <w:rPr>
          <w:b/>
          <w:color w:val="auto"/>
          <w:highlight w:val="none"/>
        </w:rPr>
      </w:pPr>
      <w:r>
        <w:rPr>
          <w:rFonts w:hint="eastAsia" w:cs="宋体"/>
          <w:b/>
          <w:bCs/>
          <w:snapToGrid w:val="0"/>
          <w:color w:val="auto"/>
          <w:kern w:val="44"/>
          <w:sz w:val="24"/>
          <w:szCs w:val="30"/>
          <w:highlight w:val="none"/>
          <w:lang w:val="en-US" w:eastAsia="zh-CN" w:bidi="ar-SA"/>
        </w:rPr>
        <w:t>7</w:t>
      </w:r>
      <w:r>
        <w:rPr>
          <w:rFonts w:hint="default" w:ascii="宋体" w:hAnsi="宋体" w:eastAsia="宋体" w:cs="宋体"/>
          <w:b/>
          <w:bCs/>
          <w:snapToGrid w:val="0"/>
          <w:color w:val="auto"/>
          <w:kern w:val="44"/>
          <w:sz w:val="24"/>
          <w:szCs w:val="30"/>
          <w:highlight w:val="none"/>
          <w:lang w:val="en-US" w:eastAsia="en-US" w:bidi="ar-SA"/>
        </w:rPr>
        <w:t>.</w:t>
      </w:r>
      <w:r>
        <w:rPr>
          <w:rFonts w:hint="eastAsia" w:cs="宋体"/>
          <w:b/>
          <w:bCs/>
          <w:snapToGrid w:val="0"/>
          <w:color w:val="auto"/>
          <w:kern w:val="44"/>
          <w:sz w:val="24"/>
          <w:szCs w:val="30"/>
          <w:highlight w:val="none"/>
          <w:lang w:val="en-US" w:eastAsia="zh-CN" w:bidi="ar-SA"/>
        </w:rPr>
        <w:t>9</w:t>
      </w:r>
      <w:r>
        <w:rPr>
          <w:rFonts w:hint="default" w:ascii="宋体" w:hAnsi="宋体" w:eastAsia="宋体" w:cs="宋体"/>
          <w:b/>
          <w:bCs/>
          <w:snapToGrid w:val="0"/>
          <w:color w:val="auto"/>
          <w:kern w:val="44"/>
          <w:sz w:val="24"/>
          <w:szCs w:val="30"/>
          <w:highlight w:val="none"/>
          <w:lang w:val="en-US" w:eastAsia="en-US" w:bidi="ar-SA"/>
        </w:rPr>
        <w:t>.</w:t>
      </w:r>
      <w:r>
        <w:rPr>
          <w:color w:val="auto"/>
          <w:highlight w:val="none"/>
        </w:rPr>
        <w:t>安全保障</w:t>
      </w:r>
    </w:p>
    <w:p>
      <w:pPr>
        <w:pStyle w:val="11"/>
        <w:widowControl/>
        <w:ind w:left="0" w:leftChars="0" w:firstLine="480" w:firstLineChars="200"/>
        <w:rPr>
          <w:color w:val="auto"/>
          <w:highlight w:val="none"/>
        </w:rPr>
      </w:pPr>
      <w:r>
        <w:rPr>
          <w:color w:val="auto"/>
          <w:highlight w:val="none"/>
        </w:rPr>
        <w:t>乙方应遵守法律及本协议技术规范和要求及国家规定的所有健康和安全标准，建立、健全和完善安全生产制度及安全运行保障体系，确保项目设施安全运行，防止责任事故的发生。在合作期内，乙方应对其自身原因导致的安全事故承担全部责任，并应当在出现安全责任事故后按照有关规定向政府安全生产监督管理部门和负有安全监督管理职责的有关部门报告。</w:t>
      </w:r>
    </w:p>
    <w:p>
      <w:pPr>
        <w:pStyle w:val="11"/>
        <w:widowControl/>
        <w:ind w:left="0" w:leftChars="0" w:firstLine="480" w:firstLineChars="200"/>
        <w:rPr>
          <w:color w:val="auto"/>
          <w:highlight w:val="none"/>
        </w:rPr>
      </w:pPr>
      <w:r>
        <w:rPr>
          <w:color w:val="auto"/>
          <w:highlight w:val="none"/>
        </w:rPr>
        <w:t>乙方应针对自然灾害、重特大事故、环境公害及人为破坏等突发情况建立相应的应急预案（应急预案应在甲方合理要求的时间内完成，并根据甲方的合理建议进行修改完善，最终报经甲方同意后实施）和相应的组织、指挥、设备等保障体系，并保证在出现重大意外事件时其保障体系能够正常启动。</w:t>
      </w:r>
    </w:p>
    <w:p>
      <w:pPr>
        <w:pStyle w:val="11"/>
        <w:widowControl/>
        <w:ind w:left="0" w:leftChars="0" w:firstLine="480" w:firstLineChars="200"/>
        <w:rPr>
          <w:color w:val="auto"/>
          <w:highlight w:val="none"/>
        </w:rPr>
      </w:pPr>
      <w:r>
        <w:rPr>
          <w:color w:val="auto"/>
          <w:highlight w:val="none"/>
        </w:rPr>
        <w:t>如出现本项目合作范围内与本项目设施相关的超出经批准的设计能力的防汛、排涝等抢险需要的，甲方有权自行调派乙方的设备、人员等全力负责抢险，乙方不得拒绝。同时，乙方应听从甲方的指令和调配，由此导致乙方在本协议项下履约不能的，甲方免除乙方违约责任。</w:t>
      </w:r>
    </w:p>
    <w:p>
      <w:pPr>
        <w:pStyle w:val="23"/>
        <w:widowControl/>
        <w:numPr>
          <w:ilvl w:val="0"/>
          <w:numId w:val="1"/>
        </w:numPr>
        <w:tabs>
          <w:tab w:val="left" w:pos="1731"/>
          <w:tab w:val="clear" w:pos="210"/>
        </w:tabs>
        <w:ind w:left="0" w:leftChars="0" w:firstLine="600" w:firstLineChars="200"/>
        <w:outlineLvl w:val="0"/>
        <w:rPr>
          <w:b w:val="0"/>
          <w:color w:val="auto"/>
          <w:highlight w:val="none"/>
        </w:rPr>
      </w:pPr>
      <w:bookmarkStart w:id="27" w:name="bookmark22"/>
      <w:bookmarkEnd w:id="27"/>
      <w:bookmarkStart w:id="28" w:name="bookmark23"/>
      <w:bookmarkEnd w:id="28"/>
      <w:bookmarkStart w:id="29" w:name="bookmark20"/>
      <w:bookmarkEnd w:id="29"/>
      <w:bookmarkStart w:id="30" w:name="bookmark21"/>
      <w:bookmarkEnd w:id="30"/>
      <w:bookmarkStart w:id="31" w:name="_Toc6198"/>
      <w:r>
        <w:rPr>
          <w:color w:val="auto"/>
          <w:highlight w:val="none"/>
        </w:rPr>
        <w:t>运营维护</w:t>
      </w:r>
      <w:bookmarkEnd w:id="31"/>
    </w:p>
    <w:p>
      <w:pPr>
        <w:pStyle w:val="2"/>
        <w:widowControl/>
        <w:numPr>
          <w:ilvl w:val="0"/>
          <w:numId w:val="0"/>
        </w:numPr>
        <w:tabs>
          <w:tab w:val="left" w:pos="1271"/>
        </w:tabs>
        <w:ind w:left="0" w:leftChars="0" w:firstLine="482" w:firstLineChars="200"/>
        <w:outlineLvl w:val="1"/>
        <w:rPr>
          <w:b/>
          <w:color w:val="auto"/>
          <w:highlight w:val="none"/>
        </w:rPr>
      </w:pPr>
      <w:r>
        <w:rPr>
          <w:rFonts w:hint="eastAsia" w:cs="宋体"/>
          <w:b/>
          <w:bCs/>
          <w:snapToGrid w:val="0"/>
          <w:color w:val="auto"/>
          <w:kern w:val="44"/>
          <w:sz w:val="24"/>
          <w:szCs w:val="30"/>
          <w:highlight w:val="none"/>
          <w:lang w:val="en-US" w:eastAsia="zh-CN" w:bidi="ar-SA"/>
        </w:rPr>
        <w:t>8</w:t>
      </w:r>
      <w:r>
        <w:rPr>
          <w:rFonts w:hint="default" w:ascii="宋体" w:hAnsi="宋体" w:eastAsia="宋体" w:cs="宋体"/>
          <w:b/>
          <w:bCs/>
          <w:snapToGrid w:val="0"/>
          <w:color w:val="auto"/>
          <w:kern w:val="44"/>
          <w:sz w:val="24"/>
          <w:szCs w:val="30"/>
          <w:highlight w:val="none"/>
          <w:lang w:val="en-US" w:eastAsia="en-US" w:bidi="ar-SA"/>
        </w:rPr>
        <w:t>.1.</w:t>
      </w:r>
      <w:r>
        <w:rPr>
          <w:color w:val="auto"/>
          <w:highlight w:val="none"/>
        </w:rPr>
        <w:t>开始运营的条件、程序和内容</w:t>
      </w:r>
    </w:p>
    <w:p>
      <w:pPr>
        <w:pStyle w:val="3"/>
        <w:widowControl/>
        <w:numPr>
          <w:ilvl w:val="0"/>
          <w:numId w:val="0"/>
        </w:numPr>
        <w:tabs>
          <w:tab w:val="left" w:pos="1326"/>
        </w:tabs>
        <w:ind w:left="0" w:leftChars="0" w:firstLine="482" w:firstLineChars="200"/>
        <w:outlineLvl w:val="2"/>
        <w:rPr>
          <w:b/>
          <w:color w:val="auto"/>
          <w:highlight w:val="none"/>
        </w:rPr>
      </w:pPr>
      <w:r>
        <w:rPr>
          <w:rFonts w:hint="eastAsia" w:cs="Times New Roman"/>
          <w:b/>
          <w:color w:val="auto"/>
          <w:sz w:val="24"/>
          <w:highlight w:val="none"/>
          <w:lang w:val="en-US" w:eastAsia="zh-CN"/>
        </w:rPr>
        <w:t>8</w:t>
      </w:r>
      <w:r>
        <w:rPr>
          <w:rFonts w:hint="default" w:ascii="Times New Roman" w:hAnsi="Times New Roman" w:eastAsia="宋体" w:cs="Times New Roman"/>
          <w:b/>
          <w:color w:val="auto"/>
          <w:sz w:val="24"/>
          <w:highlight w:val="none"/>
        </w:rPr>
        <w:t>.1.1.</w:t>
      </w:r>
      <w:r>
        <w:rPr>
          <w:color w:val="auto"/>
          <w:highlight w:val="none"/>
        </w:rPr>
        <w:t>开始运营的前提条件</w:t>
      </w:r>
    </w:p>
    <w:p>
      <w:pPr>
        <w:pStyle w:val="11"/>
        <w:widowControl/>
        <w:numPr>
          <w:ilvl w:val="0"/>
          <w:numId w:val="31"/>
        </w:numPr>
        <w:tabs>
          <w:tab w:val="left" w:pos="1080"/>
        </w:tabs>
        <w:topLinePunct w:val="0"/>
        <w:ind w:left="0" w:leftChars="0" w:firstLine="480" w:firstLineChars="200"/>
        <w:rPr>
          <w:b w:val="0"/>
          <w:color w:val="auto"/>
          <w:highlight w:val="none"/>
        </w:rPr>
      </w:pPr>
      <w:r>
        <w:rPr>
          <w:color w:val="auto"/>
          <w:highlight w:val="none"/>
        </w:rPr>
        <w:t>乙方组建专业的运营团队；</w:t>
      </w:r>
    </w:p>
    <w:p>
      <w:pPr>
        <w:pStyle w:val="11"/>
        <w:widowControl/>
        <w:numPr>
          <w:ilvl w:val="0"/>
          <w:numId w:val="31"/>
        </w:numPr>
        <w:tabs>
          <w:tab w:val="left" w:pos="1080"/>
        </w:tabs>
        <w:topLinePunct w:val="0"/>
        <w:ind w:left="0" w:leftChars="0" w:firstLine="480" w:firstLineChars="200"/>
        <w:rPr>
          <w:b w:val="0"/>
          <w:color w:val="auto"/>
          <w:highlight w:val="none"/>
        </w:rPr>
      </w:pPr>
      <w:r>
        <w:rPr>
          <w:color w:val="auto"/>
          <w:highlight w:val="none"/>
        </w:rPr>
        <w:t>编制完成运营维护方案；</w:t>
      </w:r>
    </w:p>
    <w:p>
      <w:pPr>
        <w:pStyle w:val="11"/>
        <w:widowControl/>
        <w:numPr>
          <w:ilvl w:val="0"/>
          <w:numId w:val="31"/>
        </w:numPr>
        <w:tabs>
          <w:tab w:val="left" w:pos="1080"/>
        </w:tabs>
        <w:topLinePunct w:val="0"/>
        <w:ind w:left="0" w:leftChars="0" w:firstLine="480" w:firstLineChars="200"/>
        <w:rPr>
          <w:b w:val="0"/>
          <w:color w:val="auto"/>
          <w:highlight w:val="none"/>
        </w:rPr>
      </w:pPr>
      <w:r>
        <w:rPr>
          <w:color w:val="auto"/>
          <w:highlight w:val="none"/>
        </w:rPr>
        <w:t>其他约定：①项目分批次进行验收，该批次光伏发电设施完成验收和调试后即可投入运营。②首批光伏项目竣工验收合格并投入使用，经</w:t>
      </w:r>
      <w:r>
        <w:rPr>
          <w:rFonts w:hint="eastAsia"/>
          <w:color w:val="auto"/>
          <w:highlight w:val="none"/>
          <w:lang w:val="en-US" w:eastAsia="zh-CN"/>
        </w:rPr>
        <w:t>甲</w:t>
      </w:r>
      <w:r>
        <w:rPr>
          <w:color w:val="auto"/>
          <w:highlight w:val="none"/>
        </w:rPr>
        <w:t>方确认之日起为运营期的开始日。</w:t>
      </w:r>
    </w:p>
    <w:p>
      <w:pPr>
        <w:pStyle w:val="3"/>
        <w:widowControl/>
        <w:numPr>
          <w:ilvl w:val="0"/>
          <w:numId w:val="0"/>
        </w:numPr>
        <w:tabs>
          <w:tab w:val="left" w:pos="1326"/>
        </w:tabs>
        <w:ind w:left="0" w:leftChars="0" w:firstLine="482" w:firstLineChars="200"/>
        <w:outlineLvl w:val="2"/>
        <w:rPr>
          <w:b/>
          <w:color w:val="auto"/>
          <w:highlight w:val="none"/>
        </w:rPr>
      </w:pPr>
      <w:r>
        <w:rPr>
          <w:rFonts w:hint="eastAsia" w:cs="Times New Roman"/>
          <w:b/>
          <w:color w:val="auto"/>
          <w:sz w:val="24"/>
          <w:highlight w:val="none"/>
          <w:lang w:val="en-US" w:eastAsia="zh-CN"/>
        </w:rPr>
        <w:t>8</w:t>
      </w:r>
      <w:r>
        <w:rPr>
          <w:rFonts w:hint="default" w:ascii="Times New Roman" w:hAnsi="Times New Roman" w:eastAsia="宋体" w:cs="Times New Roman"/>
          <w:b/>
          <w:color w:val="auto"/>
          <w:sz w:val="24"/>
          <w:highlight w:val="none"/>
        </w:rPr>
        <w:t>.1.2.</w:t>
      </w:r>
      <w:r>
        <w:rPr>
          <w:color w:val="auto"/>
          <w:highlight w:val="none"/>
        </w:rPr>
        <w:t>开始运营程序</w:t>
      </w:r>
    </w:p>
    <w:p>
      <w:pPr>
        <w:pStyle w:val="11"/>
        <w:widowControl/>
        <w:numPr>
          <w:ilvl w:val="0"/>
          <w:numId w:val="32"/>
        </w:numPr>
        <w:tabs>
          <w:tab w:val="left" w:pos="1080"/>
        </w:tabs>
        <w:topLinePunct w:val="0"/>
        <w:ind w:left="0" w:leftChars="0" w:firstLine="480" w:firstLineChars="200"/>
        <w:rPr>
          <w:b w:val="0"/>
          <w:color w:val="auto"/>
          <w:highlight w:val="none"/>
        </w:rPr>
      </w:pPr>
      <w:r>
        <w:rPr>
          <w:color w:val="auto"/>
          <w:highlight w:val="none"/>
        </w:rPr>
        <w:t>乙方向甲方提交证明其满足第</w:t>
      </w:r>
      <w:r>
        <w:rPr>
          <w:rFonts w:hint="eastAsia"/>
          <w:color w:val="auto"/>
          <w:highlight w:val="none"/>
          <w:lang w:val="en-US" w:eastAsia="zh-CN"/>
        </w:rPr>
        <w:t>8</w:t>
      </w:r>
      <w:r>
        <w:rPr>
          <w:color w:val="auto"/>
          <w:highlight w:val="none"/>
        </w:rPr>
        <w:t>.1. 1款约定条件的证明文件，书面申请整体运营日。甲方自收到前款所述书面申请之日起</w:t>
      </w:r>
      <w:r>
        <w:rPr>
          <w:color w:val="auto"/>
          <w:highlight w:val="none"/>
          <w:u w:val="single" w:color="auto"/>
        </w:rPr>
        <w:t xml:space="preserve">     </w:t>
      </w:r>
      <w:r>
        <w:rPr>
          <w:color w:val="auto"/>
          <w:highlight w:val="none"/>
        </w:rPr>
        <w:t xml:space="preserve"> 日内书面通知乙方同意整体运营日期，如果不同意须同时书面陈述理由。</w:t>
      </w:r>
    </w:p>
    <w:p>
      <w:pPr>
        <w:pStyle w:val="11"/>
        <w:widowControl/>
        <w:numPr>
          <w:ilvl w:val="0"/>
          <w:numId w:val="32"/>
        </w:numPr>
        <w:tabs>
          <w:tab w:val="left" w:pos="1080"/>
        </w:tabs>
        <w:topLinePunct w:val="0"/>
        <w:ind w:left="0" w:leftChars="0" w:firstLine="480" w:firstLineChars="200"/>
        <w:rPr>
          <w:b w:val="0"/>
          <w:color w:val="auto"/>
          <w:highlight w:val="none"/>
        </w:rPr>
      </w:pPr>
      <w:r>
        <w:rPr>
          <w:color w:val="auto"/>
          <w:highlight w:val="none"/>
        </w:rPr>
        <w:t>如甲方未于前述</w:t>
      </w:r>
      <w:r>
        <w:rPr>
          <w:color w:val="auto"/>
          <w:highlight w:val="none"/>
          <w:u w:val="single" w:color="auto"/>
        </w:rPr>
        <w:t xml:space="preserve">      </w:t>
      </w:r>
      <w:r>
        <w:rPr>
          <w:color w:val="auto"/>
          <w:highlight w:val="none"/>
        </w:rPr>
        <w:t xml:space="preserve"> 日内发出同意或不同意的书面通知，视为同意书面申请，整体运营日为乙方申请文件提交给甲方后的次日。</w:t>
      </w:r>
    </w:p>
    <w:p>
      <w:pPr>
        <w:pStyle w:val="3"/>
        <w:widowControl/>
        <w:numPr>
          <w:ilvl w:val="0"/>
          <w:numId w:val="0"/>
        </w:numPr>
        <w:tabs>
          <w:tab w:val="left" w:pos="1326"/>
        </w:tabs>
        <w:ind w:left="0" w:leftChars="0" w:firstLine="482" w:firstLineChars="200"/>
        <w:outlineLvl w:val="2"/>
        <w:rPr>
          <w:b/>
          <w:color w:val="auto"/>
          <w:highlight w:val="none"/>
        </w:rPr>
      </w:pPr>
      <w:r>
        <w:rPr>
          <w:rFonts w:hint="eastAsia" w:cs="Times New Roman"/>
          <w:b/>
          <w:color w:val="auto"/>
          <w:sz w:val="24"/>
          <w:highlight w:val="none"/>
          <w:lang w:val="en-US" w:eastAsia="zh-CN"/>
        </w:rPr>
        <w:t>8</w:t>
      </w:r>
      <w:r>
        <w:rPr>
          <w:rFonts w:hint="default" w:ascii="Times New Roman" w:hAnsi="Times New Roman" w:eastAsia="宋体" w:cs="Times New Roman"/>
          <w:b/>
          <w:color w:val="auto"/>
          <w:sz w:val="24"/>
          <w:highlight w:val="none"/>
        </w:rPr>
        <w:t>.1.3.</w:t>
      </w:r>
      <w:r>
        <w:rPr>
          <w:color w:val="auto"/>
          <w:highlight w:val="none"/>
        </w:rPr>
        <w:t>项目运营内容</w:t>
      </w:r>
    </w:p>
    <w:p>
      <w:pPr>
        <w:pStyle w:val="11"/>
        <w:widowControl/>
        <w:ind w:left="0" w:leftChars="0" w:firstLine="480" w:firstLineChars="200"/>
        <w:rPr>
          <w:color w:val="auto"/>
          <w:highlight w:val="none"/>
        </w:rPr>
      </w:pPr>
      <w:r>
        <w:rPr>
          <w:color w:val="auto"/>
          <w:highlight w:val="none"/>
        </w:rPr>
        <w:t>由乙方负责本项目合作范围内的项目设施的运营维护，具体运营内 容包括：项目范围内的屋顶资源及分布式光伏发电和配套设施实施运营维护管理，提供发电管理、收费管理、客服管理、检修维护和其他相应的服务等。</w:t>
      </w:r>
    </w:p>
    <w:p>
      <w:pPr>
        <w:pStyle w:val="2"/>
        <w:widowControl/>
        <w:numPr>
          <w:ilvl w:val="0"/>
          <w:numId w:val="0"/>
        </w:numPr>
        <w:tabs>
          <w:tab w:val="left" w:pos="1271"/>
        </w:tabs>
        <w:ind w:left="0" w:leftChars="0" w:firstLine="482" w:firstLineChars="200"/>
        <w:outlineLvl w:val="1"/>
        <w:rPr>
          <w:b/>
          <w:color w:val="auto"/>
          <w:highlight w:val="none"/>
        </w:rPr>
      </w:pPr>
      <w:r>
        <w:rPr>
          <w:rFonts w:hint="eastAsia" w:cs="宋体"/>
          <w:b/>
          <w:bCs/>
          <w:snapToGrid w:val="0"/>
          <w:color w:val="auto"/>
          <w:kern w:val="44"/>
          <w:sz w:val="24"/>
          <w:szCs w:val="30"/>
          <w:highlight w:val="none"/>
          <w:lang w:val="en-US" w:eastAsia="zh-CN" w:bidi="ar-SA"/>
        </w:rPr>
        <w:t>8</w:t>
      </w:r>
      <w:r>
        <w:rPr>
          <w:rFonts w:hint="default" w:ascii="宋体" w:hAnsi="宋体" w:eastAsia="宋体" w:cs="宋体"/>
          <w:b/>
          <w:bCs/>
          <w:snapToGrid w:val="0"/>
          <w:color w:val="auto"/>
          <w:kern w:val="44"/>
          <w:sz w:val="24"/>
          <w:szCs w:val="30"/>
          <w:highlight w:val="none"/>
          <w:lang w:val="en-US" w:eastAsia="en-US" w:bidi="ar-SA"/>
        </w:rPr>
        <w:t>.2.</w:t>
      </w:r>
      <w:r>
        <w:rPr>
          <w:color w:val="auto"/>
          <w:highlight w:val="none"/>
        </w:rPr>
        <w:t>运营维护要求</w:t>
      </w:r>
    </w:p>
    <w:p>
      <w:pPr>
        <w:pStyle w:val="3"/>
        <w:widowControl/>
        <w:numPr>
          <w:ilvl w:val="0"/>
          <w:numId w:val="0"/>
        </w:numPr>
        <w:tabs>
          <w:tab w:val="left" w:pos="1319"/>
        </w:tabs>
        <w:ind w:left="0" w:leftChars="0" w:firstLine="482" w:firstLineChars="200"/>
        <w:outlineLvl w:val="2"/>
        <w:rPr>
          <w:b/>
          <w:color w:val="auto"/>
          <w:highlight w:val="none"/>
        </w:rPr>
      </w:pPr>
      <w:r>
        <w:rPr>
          <w:rFonts w:hint="eastAsia" w:cs="Times New Roman"/>
          <w:b/>
          <w:color w:val="auto"/>
          <w:sz w:val="24"/>
          <w:highlight w:val="none"/>
          <w:lang w:val="en-US" w:eastAsia="zh-CN"/>
        </w:rPr>
        <w:t>8</w:t>
      </w:r>
      <w:r>
        <w:rPr>
          <w:rFonts w:hint="default" w:ascii="Times New Roman" w:hAnsi="Times New Roman" w:eastAsia="宋体" w:cs="Times New Roman"/>
          <w:b/>
          <w:color w:val="auto"/>
          <w:sz w:val="24"/>
          <w:highlight w:val="none"/>
        </w:rPr>
        <w:t>.2.1.</w:t>
      </w:r>
      <w:r>
        <w:rPr>
          <w:color w:val="auto"/>
          <w:highlight w:val="none"/>
        </w:rPr>
        <w:t>乙方的主要责任</w:t>
      </w:r>
    </w:p>
    <w:p>
      <w:pPr>
        <w:pStyle w:val="11"/>
        <w:widowControl/>
        <w:numPr>
          <w:ilvl w:val="0"/>
          <w:numId w:val="33"/>
        </w:numPr>
        <w:tabs>
          <w:tab w:val="left" w:pos="1080"/>
        </w:tabs>
        <w:topLinePunct w:val="0"/>
        <w:ind w:left="0" w:leftChars="0" w:firstLine="480" w:firstLineChars="200"/>
        <w:rPr>
          <w:b w:val="0"/>
          <w:color w:val="auto"/>
          <w:highlight w:val="none"/>
        </w:rPr>
      </w:pPr>
      <w:r>
        <w:rPr>
          <w:color w:val="auto"/>
          <w:highlight w:val="none"/>
        </w:rPr>
        <w:t>在整个运营期内，乙方应当承担运营费用和风险，负责管理、运营维护项目设施。</w:t>
      </w:r>
    </w:p>
    <w:p>
      <w:pPr>
        <w:pStyle w:val="11"/>
        <w:widowControl/>
        <w:numPr>
          <w:ilvl w:val="0"/>
          <w:numId w:val="33"/>
        </w:numPr>
        <w:tabs>
          <w:tab w:val="left" w:pos="1080"/>
        </w:tabs>
        <w:topLinePunct w:val="0"/>
        <w:ind w:left="0" w:leftChars="0" w:firstLine="480" w:firstLineChars="200"/>
        <w:rPr>
          <w:b w:val="0"/>
          <w:color w:val="auto"/>
          <w:highlight w:val="none"/>
        </w:rPr>
      </w:pPr>
      <w:r>
        <w:rPr>
          <w:color w:val="auto"/>
          <w:highlight w:val="none"/>
        </w:rPr>
        <w:t>乙方应建立运营维护质量保证和质量控制的具体措施和制度交甲方确认后执行。</w:t>
      </w:r>
    </w:p>
    <w:p>
      <w:pPr>
        <w:pStyle w:val="11"/>
        <w:widowControl/>
        <w:numPr>
          <w:ilvl w:val="0"/>
          <w:numId w:val="33"/>
        </w:numPr>
        <w:tabs>
          <w:tab w:val="left" w:pos="1080"/>
        </w:tabs>
        <w:topLinePunct w:val="0"/>
        <w:ind w:left="0" w:leftChars="0" w:firstLine="480" w:firstLineChars="200"/>
        <w:rPr>
          <w:b w:val="0"/>
          <w:color w:val="auto"/>
          <w:highlight w:val="none"/>
        </w:rPr>
      </w:pPr>
      <w:r>
        <w:rPr>
          <w:color w:val="auto"/>
          <w:highlight w:val="none"/>
        </w:rPr>
        <w:t>乙方应确保在整个合作期内，始终根据下列规定运营维护项目设施：</w:t>
      </w:r>
    </w:p>
    <w:p>
      <w:pPr>
        <w:pStyle w:val="11"/>
        <w:widowControl/>
        <w:numPr>
          <w:ilvl w:val="0"/>
          <w:numId w:val="34"/>
        </w:numPr>
        <w:tabs>
          <w:tab w:val="left" w:pos="826"/>
        </w:tabs>
        <w:topLinePunct w:val="0"/>
        <w:ind w:left="0" w:leftChars="0" w:firstLine="480" w:firstLineChars="200"/>
        <w:rPr>
          <w:b w:val="0"/>
          <w:color w:val="auto"/>
          <w:highlight w:val="none"/>
        </w:rPr>
      </w:pPr>
      <w:r>
        <w:rPr>
          <w:color w:val="auto"/>
          <w:highlight w:val="none"/>
        </w:rPr>
        <w:t>适用法律；</w:t>
      </w:r>
    </w:p>
    <w:p>
      <w:pPr>
        <w:pStyle w:val="11"/>
        <w:widowControl/>
        <w:numPr>
          <w:ilvl w:val="0"/>
          <w:numId w:val="34"/>
        </w:numPr>
        <w:tabs>
          <w:tab w:val="left" w:pos="826"/>
        </w:tabs>
        <w:topLinePunct w:val="0"/>
        <w:ind w:left="0" w:leftChars="0" w:firstLine="480" w:firstLineChars="200"/>
        <w:rPr>
          <w:b w:val="0"/>
          <w:color w:val="auto"/>
          <w:highlight w:val="none"/>
        </w:rPr>
      </w:pPr>
      <w:r>
        <w:rPr>
          <w:color w:val="auto"/>
          <w:highlight w:val="none"/>
        </w:rPr>
        <w:t>经甲方审核确定的运营维护方案；</w:t>
      </w:r>
    </w:p>
    <w:p>
      <w:pPr>
        <w:pStyle w:val="11"/>
        <w:widowControl/>
        <w:numPr>
          <w:ilvl w:val="0"/>
          <w:numId w:val="34"/>
        </w:numPr>
        <w:tabs>
          <w:tab w:val="left" w:pos="826"/>
        </w:tabs>
        <w:topLinePunct w:val="0"/>
        <w:ind w:left="0" w:leftChars="0" w:firstLine="480" w:firstLineChars="200"/>
        <w:rPr>
          <w:b w:val="0"/>
          <w:color w:val="auto"/>
          <w:highlight w:val="none"/>
        </w:rPr>
      </w:pPr>
      <w:r>
        <w:rPr>
          <w:color w:val="auto"/>
          <w:highlight w:val="none"/>
        </w:rPr>
        <w:t>运营维护手册以及与项目设施有关的设备制造商提供的一切有关手册、指导和建议；</w:t>
      </w:r>
    </w:p>
    <w:p>
      <w:pPr>
        <w:pStyle w:val="11"/>
        <w:widowControl/>
        <w:numPr>
          <w:ilvl w:val="0"/>
          <w:numId w:val="34"/>
        </w:numPr>
        <w:tabs>
          <w:tab w:val="left" w:pos="826"/>
        </w:tabs>
        <w:topLinePunct w:val="0"/>
        <w:ind w:left="0" w:leftChars="0" w:firstLine="480" w:firstLineChars="200"/>
        <w:rPr>
          <w:b w:val="0"/>
          <w:color w:val="auto"/>
          <w:highlight w:val="none"/>
        </w:rPr>
      </w:pPr>
      <w:r>
        <w:rPr>
          <w:color w:val="auto"/>
          <w:highlight w:val="none"/>
        </w:rPr>
        <w:t>谨慎工程和运营惯例；</w:t>
      </w:r>
    </w:p>
    <w:p>
      <w:pPr>
        <w:pStyle w:val="11"/>
        <w:widowControl/>
        <w:numPr>
          <w:ilvl w:val="0"/>
          <w:numId w:val="34"/>
        </w:numPr>
        <w:tabs>
          <w:tab w:val="left" w:pos="826"/>
        </w:tabs>
        <w:topLinePunct w:val="0"/>
        <w:ind w:left="0" w:leftChars="0" w:firstLine="480" w:firstLineChars="200"/>
        <w:rPr>
          <w:b w:val="0"/>
          <w:color w:val="auto"/>
          <w:highlight w:val="none"/>
        </w:rPr>
      </w:pPr>
      <w:r>
        <w:rPr>
          <w:color w:val="auto"/>
          <w:highlight w:val="none"/>
        </w:rPr>
        <w:t>本协议下对项目运营的其他所有要求。</w:t>
      </w:r>
    </w:p>
    <w:p>
      <w:pPr>
        <w:pStyle w:val="11"/>
        <w:widowControl/>
        <w:numPr>
          <w:ilvl w:val="0"/>
          <w:numId w:val="33"/>
        </w:numPr>
        <w:tabs>
          <w:tab w:val="left" w:pos="1080"/>
        </w:tabs>
        <w:topLinePunct w:val="0"/>
        <w:ind w:left="0" w:leftChars="0" w:firstLine="480" w:firstLineChars="200"/>
        <w:rPr>
          <w:b w:val="0"/>
          <w:color w:val="auto"/>
          <w:highlight w:val="none"/>
        </w:rPr>
      </w:pPr>
      <w:r>
        <w:rPr>
          <w:color w:val="auto"/>
          <w:highlight w:val="none"/>
        </w:rPr>
        <w:t>乙方应确保项目设施始终处于良好营运状态并能够以安全、连续和稳定的方式提供符合适用法律和本协议要求的服务。</w:t>
      </w:r>
    </w:p>
    <w:p>
      <w:pPr>
        <w:pStyle w:val="11"/>
        <w:widowControl/>
        <w:numPr>
          <w:ilvl w:val="0"/>
          <w:numId w:val="33"/>
        </w:numPr>
        <w:tabs>
          <w:tab w:val="left" w:pos="1080"/>
        </w:tabs>
        <w:topLinePunct w:val="0"/>
        <w:ind w:left="0" w:leftChars="0" w:firstLine="480" w:firstLineChars="200"/>
        <w:rPr>
          <w:b w:val="0"/>
          <w:color w:val="auto"/>
          <w:highlight w:val="none"/>
        </w:rPr>
      </w:pPr>
      <w:r>
        <w:rPr>
          <w:color w:val="auto"/>
          <w:highlight w:val="none"/>
        </w:rPr>
        <w:t>乙方应按照甲方要求提交运营成本资料以及甲方可合理要求提供的有关乙方财务状况的其他资料。</w:t>
      </w:r>
    </w:p>
    <w:p>
      <w:pPr>
        <w:pStyle w:val="11"/>
        <w:widowControl/>
        <w:numPr>
          <w:ilvl w:val="0"/>
          <w:numId w:val="33"/>
        </w:numPr>
        <w:tabs>
          <w:tab w:val="left" w:pos="1080"/>
        </w:tabs>
        <w:topLinePunct w:val="0"/>
        <w:ind w:left="0" w:leftChars="0" w:firstLine="480" w:firstLineChars="200"/>
        <w:rPr>
          <w:b w:val="0"/>
          <w:color w:val="auto"/>
          <w:highlight w:val="none"/>
        </w:rPr>
      </w:pPr>
      <w:r>
        <w:rPr>
          <w:color w:val="auto"/>
          <w:highlight w:val="none"/>
        </w:rPr>
        <w:t>本协议生效日后，项目开始运营前，乙方须向甲方提交运营维护方案，并经甲方审核同意后执行；乙方应当根据经审核确定的运营维护方案等要求编制运营维护手册（手册应包括进行定期和年度检查、日常运行维护、大修维护和年度维护的程序和计划，以及调整和改进检验及维护安排的程序和计划），并报甲方备案。</w:t>
      </w:r>
    </w:p>
    <w:p>
      <w:pPr>
        <w:spacing w:line="222" w:lineRule="auto"/>
        <w:rPr>
          <w:rFonts w:ascii="仿宋" w:hAnsi="仿宋" w:eastAsia="仿宋" w:cs="仿宋"/>
          <w:color w:val="auto"/>
          <w:sz w:val="28"/>
          <w:szCs w:val="28"/>
          <w:highlight w:val="none"/>
        </w:rPr>
        <w:sectPr>
          <w:footerReference r:id="rId7" w:type="default"/>
          <w:pgSz w:w="11906" w:h="16839"/>
          <w:pgMar w:top="1431" w:right="1466" w:bottom="1278" w:left="1620" w:header="0" w:footer="1103" w:gutter="0"/>
          <w:cols w:space="720" w:num="1"/>
        </w:sectPr>
      </w:pPr>
    </w:p>
    <w:p>
      <w:pPr>
        <w:pStyle w:val="11"/>
        <w:spacing w:line="271" w:lineRule="auto"/>
        <w:rPr>
          <w:color w:val="auto"/>
          <w:highlight w:val="none"/>
        </w:rPr>
      </w:pPr>
      <w:bookmarkStart w:id="32" w:name="bookmark24"/>
      <w:bookmarkEnd w:id="32"/>
      <w:bookmarkStart w:id="33" w:name="bookmark25"/>
      <w:bookmarkEnd w:id="33"/>
    </w:p>
    <w:p>
      <w:pPr>
        <w:pStyle w:val="11"/>
        <w:spacing w:line="271" w:lineRule="auto"/>
        <w:rPr>
          <w:color w:val="auto"/>
          <w:highlight w:val="none"/>
        </w:rPr>
      </w:pPr>
    </w:p>
    <w:p>
      <w:pPr>
        <w:pStyle w:val="23"/>
        <w:widowControl/>
        <w:numPr>
          <w:ilvl w:val="0"/>
          <w:numId w:val="1"/>
        </w:numPr>
        <w:tabs>
          <w:tab w:val="left" w:pos="1731"/>
          <w:tab w:val="clear" w:pos="210"/>
        </w:tabs>
        <w:ind w:left="0" w:leftChars="0" w:firstLine="600" w:firstLineChars="200"/>
        <w:outlineLvl w:val="0"/>
        <w:rPr>
          <w:b w:val="0"/>
          <w:color w:val="auto"/>
          <w:highlight w:val="none"/>
        </w:rPr>
      </w:pPr>
      <w:bookmarkStart w:id="34" w:name="bookmark31"/>
      <w:bookmarkEnd w:id="34"/>
      <w:bookmarkStart w:id="35" w:name="bookmark30"/>
      <w:bookmarkEnd w:id="35"/>
      <w:bookmarkStart w:id="36" w:name="_Toc21871"/>
      <w:r>
        <w:rPr>
          <w:color w:val="auto"/>
          <w:highlight w:val="none"/>
        </w:rPr>
        <w:t>履约担保</w:t>
      </w:r>
      <w:bookmarkEnd w:id="36"/>
    </w:p>
    <w:p>
      <w:pPr>
        <w:pStyle w:val="11"/>
        <w:widowControl/>
        <w:ind w:left="0" w:leftChars="0" w:firstLine="480" w:firstLineChars="200"/>
        <w:rPr>
          <w:color w:val="auto"/>
          <w:highlight w:val="none"/>
        </w:rPr>
      </w:pPr>
      <w:r>
        <w:rPr>
          <w:color w:val="auto"/>
          <w:highlight w:val="none"/>
        </w:rPr>
        <w:t>根据本项目</w:t>
      </w:r>
      <w:r>
        <w:rPr>
          <w:rFonts w:hint="eastAsia"/>
          <w:color w:val="auto"/>
          <w:highlight w:val="none"/>
          <w:lang w:val="en-US" w:eastAsia="zh-CN"/>
        </w:rPr>
        <w:t>招标</w:t>
      </w:r>
      <w:r>
        <w:rPr>
          <w:color w:val="auto"/>
          <w:highlight w:val="none"/>
        </w:rPr>
        <w:t>文件规定的要求，履约担保是指【☑建设期履约</w:t>
      </w:r>
      <w:r>
        <w:rPr>
          <w:rFonts w:hint="eastAsia"/>
          <w:color w:val="auto"/>
          <w:highlight w:val="none"/>
          <w:lang w:eastAsia="zh-CN"/>
        </w:rPr>
        <w:t>保证金</w:t>
      </w:r>
      <w:r>
        <w:rPr>
          <w:color w:val="auto"/>
          <w:highlight w:val="none"/>
        </w:rPr>
        <w:t>/保函；</w:t>
      </w:r>
      <w:r>
        <w:rPr>
          <w:rFonts w:hint="eastAsia"/>
          <w:color w:val="auto"/>
          <w:highlight w:val="none"/>
          <w:lang w:eastAsia="zh-CN"/>
        </w:rPr>
        <w:t>□</w:t>
      </w:r>
      <w:r>
        <w:rPr>
          <w:color w:val="auto"/>
          <w:highlight w:val="none"/>
        </w:rPr>
        <w:t>运营维护期保证金/保函；</w:t>
      </w:r>
      <w:r>
        <w:rPr>
          <w:rFonts w:hint="eastAsia"/>
          <w:color w:val="auto"/>
          <w:highlight w:val="none"/>
          <w:lang w:eastAsia="zh-CN"/>
        </w:rPr>
        <w:t>□</w:t>
      </w:r>
      <w:r>
        <w:rPr>
          <w:color w:val="auto"/>
          <w:highlight w:val="none"/>
        </w:rPr>
        <w:t>移交维护保证金/保函】，具体约定如下：</w:t>
      </w:r>
    </w:p>
    <w:p>
      <w:pPr>
        <w:pStyle w:val="2"/>
        <w:widowControl/>
        <w:numPr>
          <w:ilvl w:val="0"/>
          <w:numId w:val="0"/>
        </w:numPr>
        <w:tabs>
          <w:tab w:val="left" w:pos="1271"/>
        </w:tabs>
        <w:ind w:left="0" w:leftChars="0" w:firstLine="482" w:firstLineChars="200"/>
        <w:outlineLvl w:val="1"/>
        <w:rPr>
          <w:b/>
          <w:color w:val="auto"/>
          <w:highlight w:val="none"/>
        </w:rPr>
      </w:pPr>
      <w:r>
        <w:rPr>
          <w:rFonts w:hint="eastAsia" w:cs="宋体"/>
          <w:b/>
          <w:bCs/>
          <w:snapToGrid w:val="0"/>
          <w:color w:val="auto"/>
          <w:kern w:val="44"/>
          <w:sz w:val="24"/>
          <w:szCs w:val="30"/>
          <w:highlight w:val="none"/>
          <w:lang w:val="en-US" w:eastAsia="zh-CN" w:bidi="ar-SA"/>
        </w:rPr>
        <w:t>9</w:t>
      </w:r>
      <w:r>
        <w:rPr>
          <w:rFonts w:hint="default" w:ascii="宋体" w:hAnsi="宋体" w:eastAsia="宋体" w:cs="宋体"/>
          <w:b/>
          <w:bCs/>
          <w:snapToGrid w:val="0"/>
          <w:color w:val="auto"/>
          <w:kern w:val="44"/>
          <w:sz w:val="24"/>
          <w:szCs w:val="30"/>
          <w:highlight w:val="none"/>
          <w:lang w:val="en-US" w:eastAsia="en-US" w:bidi="ar-SA"/>
        </w:rPr>
        <w:t>.1.</w:t>
      </w:r>
      <w:r>
        <w:rPr>
          <w:color w:val="auto"/>
          <w:highlight w:val="none"/>
        </w:rPr>
        <w:t>建设期履约担保</w:t>
      </w:r>
    </w:p>
    <w:p>
      <w:pPr>
        <w:pStyle w:val="11"/>
        <w:widowControl/>
        <w:ind w:left="0" w:leftChars="0" w:firstLine="480" w:firstLineChars="200"/>
        <w:rPr>
          <w:color w:val="auto"/>
          <w:highlight w:val="none"/>
        </w:rPr>
      </w:pPr>
      <w:r>
        <w:rPr>
          <w:color w:val="auto"/>
          <w:highlight w:val="none"/>
        </w:rPr>
        <w:t>乙方应于本协议生效日之日起</w:t>
      </w:r>
      <w:r>
        <w:rPr>
          <w:color w:val="auto"/>
          <w:highlight w:val="none"/>
          <w:u w:val="single" w:color="auto"/>
        </w:rPr>
        <w:t>【</w:t>
      </w:r>
      <w:r>
        <w:rPr>
          <w:rFonts w:hint="eastAsia"/>
          <w:color w:val="auto"/>
          <w:highlight w:val="none"/>
          <w:u w:val="single" w:color="auto"/>
          <w:lang w:val="en-US" w:eastAsia="zh-CN"/>
        </w:rPr>
        <w:t>30</w:t>
      </w:r>
      <w:r>
        <w:rPr>
          <w:color w:val="auto"/>
          <w:highlight w:val="none"/>
          <w:u w:val="single" w:color="auto"/>
        </w:rPr>
        <w:t>】</w:t>
      </w:r>
      <w:r>
        <w:rPr>
          <w:color w:val="auto"/>
          <w:highlight w:val="none"/>
        </w:rPr>
        <w:t>个工作日内，向甲方提交本项目的建设期履约担保，担保形式为：【□保证金；☑保函】，建设期履约担保的金额为</w:t>
      </w:r>
      <w:r>
        <w:rPr>
          <w:color w:val="auto"/>
          <w:highlight w:val="none"/>
          <w:u w:val="single" w:color="auto"/>
        </w:rPr>
        <w:t>【</w:t>
      </w:r>
      <w:r>
        <w:rPr>
          <w:rFonts w:hint="eastAsia"/>
          <w:color w:val="auto"/>
          <w:highlight w:val="none"/>
          <w:u w:val="single" w:color="auto"/>
          <w:lang w:val="en-US" w:eastAsia="zh-CN"/>
        </w:rPr>
        <w:t>100</w:t>
      </w:r>
      <w:r>
        <w:rPr>
          <w:color w:val="auto"/>
          <w:highlight w:val="none"/>
          <w:u w:val="single" w:color="auto"/>
        </w:rPr>
        <w:t>】</w:t>
      </w:r>
      <w:r>
        <w:rPr>
          <w:color w:val="auto"/>
          <w:highlight w:val="none"/>
        </w:rPr>
        <w:t>万元，担保期自有偿使用协议生效</w:t>
      </w:r>
      <w:r>
        <w:rPr>
          <w:rFonts w:hint="eastAsia"/>
          <w:color w:val="auto"/>
          <w:highlight w:val="none"/>
          <w:lang w:eastAsia="zh-CN"/>
        </w:rPr>
        <w:t>之日起至</w:t>
      </w:r>
      <w:r>
        <w:rPr>
          <w:color w:val="auto"/>
          <w:highlight w:val="none"/>
        </w:rPr>
        <w:t>竣工验收完成且乙方递交运营维护期保函后结束。</w:t>
      </w:r>
    </w:p>
    <w:p>
      <w:pPr>
        <w:pStyle w:val="2"/>
        <w:widowControl/>
        <w:numPr>
          <w:ilvl w:val="0"/>
          <w:numId w:val="0"/>
        </w:numPr>
        <w:tabs>
          <w:tab w:val="left" w:pos="1271"/>
        </w:tabs>
        <w:ind w:left="0" w:leftChars="0" w:firstLine="482" w:firstLineChars="200"/>
        <w:outlineLvl w:val="1"/>
        <w:rPr>
          <w:b/>
          <w:color w:val="auto"/>
          <w:highlight w:val="none"/>
        </w:rPr>
      </w:pPr>
      <w:r>
        <w:rPr>
          <w:rFonts w:hint="eastAsia" w:cs="宋体"/>
          <w:b/>
          <w:bCs/>
          <w:snapToGrid w:val="0"/>
          <w:color w:val="auto"/>
          <w:kern w:val="44"/>
          <w:sz w:val="24"/>
          <w:szCs w:val="30"/>
          <w:highlight w:val="none"/>
          <w:lang w:val="en-US" w:eastAsia="zh-CN" w:bidi="ar-SA"/>
        </w:rPr>
        <w:t>9</w:t>
      </w:r>
      <w:r>
        <w:rPr>
          <w:rFonts w:hint="default" w:ascii="宋体" w:hAnsi="宋体" w:eastAsia="宋体" w:cs="宋体"/>
          <w:b/>
          <w:bCs/>
          <w:snapToGrid w:val="0"/>
          <w:color w:val="auto"/>
          <w:kern w:val="44"/>
          <w:sz w:val="24"/>
          <w:szCs w:val="30"/>
          <w:highlight w:val="none"/>
          <w:lang w:val="en-US" w:eastAsia="en-US" w:bidi="ar-SA"/>
        </w:rPr>
        <w:t>.2.</w:t>
      </w:r>
      <w:r>
        <w:rPr>
          <w:color w:val="auto"/>
          <w:highlight w:val="none"/>
        </w:rPr>
        <w:t>运营维护期担保</w:t>
      </w:r>
    </w:p>
    <w:p>
      <w:pPr>
        <w:pStyle w:val="11"/>
        <w:widowControl/>
        <w:ind w:left="0" w:leftChars="0" w:firstLine="480" w:firstLineChars="200"/>
        <w:rPr>
          <w:color w:val="auto"/>
          <w:highlight w:val="none"/>
        </w:rPr>
      </w:pPr>
      <w:r>
        <w:rPr>
          <w:color w:val="auto"/>
          <w:highlight w:val="none"/>
        </w:rPr>
        <w:t>乙方应于本项目开始运营日前提交本项目的运营维护期担保，担保形式为：【□保证金；</w:t>
      </w:r>
      <w:r>
        <w:rPr>
          <w:rFonts w:hint="eastAsia"/>
          <w:color w:val="auto"/>
          <w:highlight w:val="none"/>
          <w:lang w:eastAsia="zh-CN"/>
        </w:rPr>
        <w:t>□</w:t>
      </w:r>
      <w:r>
        <w:rPr>
          <w:color w:val="auto"/>
          <w:highlight w:val="none"/>
        </w:rPr>
        <w:t>保函】，运营维护期担保的金额为</w:t>
      </w:r>
      <w:r>
        <w:rPr>
          <w:color w:val="auto"/>
          <w:highlight w:val="none"/>
          <w:u w:val="single" w:color="auto"/>
        </w:rPr>
        <w:t xml:space="preserve">【 </w:t>
      </w:r>
      <w:r>
        <w:rPr>
          <w:rFonts w:hint="eastAsia"/>
          <w:color w:val="auto"/>
          <w:highlight w:val="none"/>
          <w:u w:val="single" w:color="auto"/>
          <w:lang w:val="en-US" w:eastAsia="zh-CN"/>
        </w:rPr>
        <w:t xml:space="preserve">     </w:t>
      </w:r>
      <w:r>
        <w:rPr>
          <w:color w:val="auto"/>
          <w:highlight w:val="none"/>
          <w:u w:val="single" w:color="auto"/>
        </w:rPr>
        <w:t xml:space="preserve">  】</w:t>
      </w:r>
      <w:r>
        <w:rPr>
          <w:color w:val="auto"/>
          <w:highlight w:val="none"/>
        </w:rPr>
        <w:t>万元，担保期自项目开始运营日至乙方提交移交维护担保之日。</w:t>
      </w:r>
    </w:p>
    <w:p>
      <w:pPr>
        <w:pStyle w:val="2"/>
        <w:widowControl/>
        <w:numPr>
          <w:ilvl w:val="0"/>
          <w:numId w:val="0"/>
        </w:numPr>
        <w:tabs>
          <w:tab w:val="left" w:pos="1271"/>
        </w:tabs>
        <w:ind w:left="0" w:leftChars="0" w:firstLine="482" w:firstLineChars="200"/>
        <w:jc w:val="both"/>
        <w:outlineLvl w:val="1"/>
        <w:rPr>
          <w:b/>
          <w:color w:val="auto"/>
          <w:highlight w:val="none"/>
        </w:rPr>
      </w:pPr>
      <w:r>
        <w:rPr>
          <w:rFonts w:hint="eastAsia" w:cs="宋体"/>
          <w:b/>
          <w:bCs/>
          <w:snapToGrid w:val="0"/>
          <w:color w:val="auto"/>
          <w:kern w:val="44"/>
          <w:sz w:val="24"/>
          <w:szCs w:val="30"/>
          <w:highlight w:val="none"/>
          <w:lang w:val="en-US" w:eastAsia="zh-CN" w:bidi="ar-SA"/>
        </w:rPr>
        <w:t>9</w:t>
      </w:r>
      <w:r>
        <w:rPr>
          <w:rFonts w:hint="default" w:ascii="宋体" w:hAnsi="宋体" w:eastAsia="宋体" w:cs="宋体"/>
          <w:b/>
          <w:bCs/>
          <w:snapToGrid w:val="0"/>
          <w:color w:val="auto"/>
          <w:kern w:val="44"/>
          <w:sz w:val="24"/>
          <w:szCs w:val="30"/>
          <w:highlight w:val="none"/>
          <w:lang w:val="en-US" w:eastAsia="en-US" w:bidi="ar-SA"/>
        </w:rPr>
        <w:t>.3.</w:t>
      </w:r>
      <w:r>
        <w:rPr>
          <w:color w:val="auto"/>
          <w:highlight w:val="none"/>
        </w:rPr>
        <w:t>移交维护担保</w:t>
      </w:r>
    </w:p>
    <w:p>
      <w:pPr>
        <w:pStyle w:val="11"/>
        <w:widowControl/>
        <w:ind w:left="0" w:leftChars="0" w:firstLine="480" w:firstLineChars="200"/>
        <w:rPr>
          <w:color w:val="auto"/>
          <w:highlight w:val="none"/>
        </w:rPr>
      </w:pPr>
      <w:r>
        <w:rPr>
          <w:color w:val="auto"/>
          <w:highlight w:val="none"/>
        </w:rPr>
        <w:t>乙方应于移交过渡期开始之日（有偿使用期满终止日之前第12个月）前</w:t>
      </w:r>
      <w:r>
        <w:rPr>
          <w:color w:val="auto"/>
          <w:highlight w:val="none"/>
          <w:u w:val="single" w:color="auto"/>
        </w:rPr>
        <w:t>【   】</w:t>
      </w:r>
      <w:r>
        <w:rPr>
          <w:color w:val="auto"/>
          <w:highlight w:val="none"/>
        </w:rPr>
        <w:t>个月提交本项目的移交维护担保。担保形式为：【□保证金；</w:t>
      </w:r>
      <w:r>
        <w:rPr>
          <w:rFonts w:hint="eastAsia"/>
          <w:color w:val="auto"/>
          <w:highlight w:val="none"/>
          <w:lang w:eastAsia="zh-CN"/>
        </w:rPr>
        <w:t>□</w:t>
      </w:r>
      <w:r>
        <w:rPr>
          <w:color w:val="auto"/>
          <w:highlight w:val="none"/>
        </w:rPr>
        <w:t>保函】，移交维护担保的金额为</w:t>
      </w:r>
      <w:r>
        <w:rPr>
          <w:color w:val="auto"/>
          <w:highlight w:val="none"/>
          <w:u w:val="single" w:color="auto"/>
        </w:rPr>
        <w:t>【</w:t>
      </w:r>
      <w:r>
        <w:rPr>
          <w:rFonts w:hint="eastAsia"/>
          <w:color w:val="auto"/>
          <w:highlight w:val="none"/>
          <w:u w:val="single" w:color="auto"/>
          <w:lang w:val="en-US" w:eastAsia="zh-CN"/>
        </w:rPr>
        <w:t xml:space="preserve">     </w:t>
      </w:r>
      <w:r>
        <w:rPr>
          <w:color w:val="auto"/>
          <w:highlight w:val="none"/>
          <w:u w:val="single" w:color="auto"/>
        </w:rPr>
        <w:t xml:space="preserve">  】</w:t>
      </w:r>
      <w:r>
        <w:rPr>
          <w:color w:val="auto"/>
          <w:highlight w:val="none"/>
        </w:rPr>
        <w:t>万元，担保期自有偿使用期  满终止日之前第12个月至项目移交日后</w:t>
      </w:r>
      <w:r>
        <w:rPr>
          <w:color w:val="auto"/>
          <w:highlight w:val="none"/>
          <w:u w:val="single" w:color="auto"/>
        </w:rPr>
        <w:t>【</w:t>
      </w:r>
      <w:r>
        <w:rPr>
          <w:rFonts w:hint="eastAsia"/>
          <w:color w:val="auto"/>
          <w:highlight w:val="none"/>
          <w:u w:val="single" w:color="auto"/>
          <w:lang w:val="en-US" w:eastAsia="zh-CN"/>
        </w:rPr>
        <w:t xml:space="preserve">   </w:t>
      </w:r>
      <w:r>
        <w:rPr>
          <w:color w:val="auto"/>
          <w:highlight w:val="none"/>
          <w:u w:val="single" w:color="auto"/>
        </w:rPr>
        <w:t>】个</w:t>
      </w:r>
      <w:r>
        <w:rPr>
          <w:color w:val="auto"/>
          <w:highlight w:val="none"/>
        </w:rPr>
        <w:t>月届满之日。</w:t>
      </w:r>
    </w:p>
    <w:p>
      <w:pPr>
        <w:pStyle w:val="2"/>
        <w:widowControl/>
        <w:numPr>
          <w:ilvl w:val="0"/>
          <w:numId w:val="0"/>
        </w:numPr>
        <w:tabs>
          <w:tab w:val="left" w:pos="1271"/>
        </w:tabs>
        <w:ind w:left="0" w:leftChars="0" w:firstLine="482" w:firstLineChars="200"/>
        <w:outlineLvl w:val="1"/>
        <w:rPr>
          <w:b/>
          <w:color w:val="auto"/>
          <w:highlight w:val="none"/>
        </w:rPr>
      </w:pPr>
      <w:r>
        <w:rPr>
          <w:rFonts w:hint="eastAsia" w:cs="宋体"/>
          <w:b/>
          <w:bCs/>
          <w:snapToGrid w:val="0"/>
          <w:color w:val="auto"/>
          <w:kern w:val="44"/>
          <w:sz w:val="24"/>
          <w:szCs w:val="30"/>
          <w:highlight w:val="none"/>
          <w:lang w:val="en-US" w:eastAsia="zh-CN" w:bidi="ar-SA"/>
        </w:rPr>
        <w:t>9</w:t>
      </w:r>
      <w:r>
        <w:rPr>
          <w:rFonts w:hint="default" w:ascii="宋体" w:hAnsi="宋体" w:eastAsia="宋体" w:cs="宋体"/>
          <w:b/>
          <w:bCs/>
          <w:snapToGrid w:val="0"/>
          <w:color w:val="auto"/>
          <w:kern w:val="44"/>
          <w:sz w:val="24"/>
          <w:szCs w:val="30"/>
          <w:highlight w:val="none"/>
          <w:lang w:val="en-US" w:eastAsia="en-US" w:bidi="ar-SA"/>
        </w:rPr>
        <w:t>.4.</w:t>
      </w:r>
      <w:r>
        <w:rPr>
          <w:color w:val="auto"/>
          <w:highlight w:val="none"/>
        </w:rPr>
        <w:t>履约保函基本要求</w:t>
      </w:r>
    </w:p>
    <w:p>
      <w:pPr>
        <w:pStyle w:val="11"/>
        <w:widowControl/>
        <w:ind w:left="0" w:leftChars="0" w:firstLine="480" w:firstLineChars="200"/>
        <w:rPr>
          <w:color w:val="auto"/>
          <w:highlight w:val="none"/>
        </w:rPr>
      </w:pPr>
      <w:r>
        <w:rPr>
          <w:color w:val="auto"/>
          <w:highlight w:val="none"/>
        </w:rPr>
        <w:t>如采用履约保函形式的，履约保函的格式应为不可撤销、见索即付的保函；且提交的时点、保函金额等应符合本条所述相关约定，保函受益人应为甲方。履约保函应当为甲方认可的银行或其他金融机构开出的保函。</w:t>
      </w:r>
    </w:p>
    <w:p>
      <w:pPr>
        <w:pStyle w:val="2"/>
        <w:widowControl/>
        <w:numPr>
          <w:ilvl w:val="0"/>
          <w:numId w:val="0"/>
        </w:numPr>
        <w:tabs>
          <w:tab w:val="left" w:pos="1271"/>
        </w:tabs>
        <w:ind w:left="0" w:leftChars="0" w:firstLine="482" w:firstLineChars="200"/>
        <w:outlineLvl w:val="1"/>
        <w:rPr>
          <w:b/>
          <w:color w:val="auto"/>
          <w:highlight w:val="none"/>
        </w:rPr>
      </w:pPr>
      <w:r>
        <w:rPr>
          <w:rFonts w:hint="eastAsia" w:cs="宋体"/>
          <w:b/>
          <w:bCs/>
          <w:snapToGrid w:val="0"/>
          <w:color w:val="auto"/>
          <w:kern w:val="44"/>
          <w:sz w:val="24"/>
          <w:szCs w:val="30"/>
          <w:highlight w:val="none"/>
          <w:lang w:val="en-US" w:eastAsia="zh-CN" w:bidi="ar-SA"/>
        </w:rPr>
        <w:t>9</w:t>
      </w:r>
      <w:r>
        <w:rPr>
          <w:rFonts w:hint="default" w:ascii="宋体" w:hAnsi="宋体" w:eastAsia="宋体" w:cs="宋体"/>
          <w:b/>
          <w:bCs/>
          <w:snapToGrid w:val="0"/>
          <w:color w:val="auto"/>
          <w:kern w:val="44"/>
          <w:sz w:val="24"/>
          <w:szCs w:val="30"/>
          <w:highlight w:val="none"/>
          <w:lang w:val="en-US" w:eastAsia="en-US" w:bidi="ar-SA"/>
        </w:rPr>
        <w:t>.5.</w:t>
      </w:r>
      <w:r>
        <w:rPr>
          <w:color w:val="auto"/>
          <w:highlight w:val="none"/>
        </w:rPr>
        <w:t>建设期履约保函的触发</w:t>
      </w:r>
    </w:p>
    <w:p>
      <w:pPr>
        <w:pStyle w:val="11"/>
        <w:widowControl/>
        <w:ind w:left="0" w:leftChars="0" w:firstLine="480" w:firstLineChars="200"/>
        <w:rPr>
          <w:color w:val="auto"/>
          <w:highlight w:val="none"/>
        </w:rPr>
      </w:pPr>
      <w:r>
        <w:rPr>
          <w:color w:val="auto"/>
          <w:highlight w:val="none"/>
        </w:rPr>
        <w:t>乙方在建设期未能履行有偿使用协议约定的情形时，如出现重大安全责任事故、严重工程质量缺陷导致无法进行竣工验收、由于乙方原因导致工程无法按期竣工影响工程使用的情形等，甲方可选择提取部分或全部履约保函额度。</w:t>
      </w:r>
    </w:p>
    <w:p>
      <w:pPr>
        <w:pStyle w:val="11"/>
        <w:widowControl/>
        <w:ind w:left="0" w:leftChars="0" w:firstLine="480" w:firstLineChars="200"/>
        <w:rPr>
          <w:color w:val="auto"/>
          <w:highlight w:val="none"/>
        </w:rPr>
      </w:pPr>
      <w:r>
        <w:rPr>
          <w:color w:val="auto"/>
          <w:highlight w:val="none"/>
        </w:rPr>
        <w:t>在本项目工程项目完工投入使用并完成竣工验收手续后，则可视为乙方已履行建设期义务，同时运营维护期保函已经提交的情况下，甲方应退还乙方的建设期履约保函。</w:t>
      </w:r>
    </w:p>
    <w:p>
      <w:pPr>
        <w:pStyle w:val="2"/>
        <w:widowControl/>
        <w:numPr>
          <w:ilvl w:val="0"/>
          <w:numId w:val="0"/>
        </w:numPr>
        <w:tabs>
          <w:tab w:val="left" w:pos="1271"/>
        </w:tabs>
        <w:ind w:left="0" w:leftChars="0" w:firstLine="482" w:firstLineChars="200"/>
        <w:outlineLvl w:val="1"/>
        <w:rPr>
          <w:b/>
          <w:color w:val="auto"/>
          <w:highlight w:val="none"/>
        </w:rPr>
      </w:pPr>
      <w:r>
        <w:rPr>
          <w:rFonts w:hint="eastAsia" w:cs="宋体"/>
          <w:b/>
          <w:bCs/>
          <w:snapToGrid w:val="0"/>
          <w:color w:val="auto"/>
          <w:kern w:val="44"/>
          <w:sz w:val="24"/>
          <w:szCs w:val="30"/>
          <w:highlight w:val="none"/>
          <w:lang w:val="en-US" w:eastAsia="zh-CN" w:bidi="ar-SA"/>
        </w:rPr>
        <w:t>9</w:t>
      </w:r>
      <w:r>
        <w:rPr>
          <w:rFonts w:hint="default" w:ascii="宋体" w:hAnsi="宋体" w:eastAsia="宋体" w:cs="宋体"/>
          <w:b/>
          <w:bCs/>
          <w:snapToGrid w:val="0"/>
          <w:color w:val="auto"/>
          <w:kern w:val="44"/>
          <w:sz w:val="24"/>
          <w:szCs w:val="30"/>
          <w:highlight w:val="none"/>
          <w:lang w:val="en-US" w:eastAsia="en-US" w:bidi="ar-SA"/>
        </w:rPr>
        <w:t>.</w:t>
      </w:r>
      <w:r>
        <w:rPr>
          <w:rFonts w:hint="eastAsia" w:cs="宋体"/>
          <w:b/>
          <w:bCs/>
          <w:snapToGrid w:val="0"/>
          <w:color w:val="auto"/>
          <w:kern w:val="44"/>
          <w:sz w:val="24"/>
          <w:szCs w:val="30"/>
          <w:highlight w:val="none"/>
          <w:lang w:val="en-US" w:eastAsia="zh-CN" w:bidi="ar-SA"/>
        </w:rPr>
        <w:t>6</w:t>
      </w:r>
      <w:r>
        <w:rPr>
          <w:rFonts w:hint="default" w:ascii="宋体" w:hAnsi="宋体" w:eastAsia="宋体" w:cs="宋体"/>
          <w:b/>
          <w:bCs/>
          <w:snapToGrid w:val="0"/>
          <w:color w:val="auto"/>
          <w:kern w:val="44"/>
          <w:sz w:val="24"/>
          <w:szCs w:val="30"/>
          <w:highlight w:val="none"/>
          <w:lang w:val="en-US" w:eastAsia="en-US" w:bidi="ar-SA"/>
        </w:rPr>
        <w:t>.</w:t>
      </w:r>
      <w:r>
        <w:rPr>
          <w:color w:val="auto"/>
          <w:highlight w:val="none"/>
        </w:rPr>
        <w:t>履约保证金的扣除/履约保函提取</w:t>
      </w:r>
    </w:p>
    <w:p>
      <w:pPr>
        <w:pStyle w:val="11"/>
        <w:widowControl/>
        <w:ind w:left="0" w:leftChars="0" w:firstLine="480" w:firstLineChars="200"/>
        <w:rPr>
          <w:color w:val="auto"/>
          <w:highlight w:val="none"/>
        </w:rPr>
      </w:pPr>
      <w:r>
        <w:rPr>
          <w:color w:val="auto"/>
          <w:highlight w:val="none"/>
        </w:rPr>
        <w:t>如乙方发生本协议约定的可以扣除履约保证金或提取履约保函的情形的，甲方有权按照协议约定扣除履约保证金或提取履约保函项下相应 金额的款项。</w:t>
      </w:r>
    </w:p>
    <w:p>
      <w:pPr>
        <w:pStyle w:val="2"/>
        <w:widowControl/>
        <w:numPr>
          <w:ilvl w:val="0"/>
          <w:numId w:val="0"/>
        </w:numPr>
        <w:tabs>
          <w:tab w:val="left" w:pos="1271"/>
        </w:tabs>
        <w:ind w:left="0" w:leftChars="0" w:firstLine="482" w:firstLineChars="200"/>
        <w:outlineLvl w:val="1"/>
        <w:rPr>
          <w:b/>
          <w:color w:val="auto"/>
          <w:highlight w:val="none"/>
        </w:rPr>
      </w:pPr>
      <w:r>
        <w:rPr>
          <w:rFonts w:hint="eastAsia" w:cs="宋体"/>
          <w:b/>
          <w:bCs/>
          <w:snapToGrid w:val="0"/>
          <w:color w:val="auto"/>
          <w:kern w:val="44"/>
          <w:sz w:val="24"/>
          <w:szCs w:val="30"/>
          <w:highlight w:val="none"/>
          <w:lang w:val="en-US" w:eastAsia="zh-CN" w:bidi="ar-SA"/>
        </w:rPr>
        <w:t>9</w:t>
      </w:r>
      <w:r>
        <w:rPr>
          <w:rFonts w:hint="default" w:ascii="宋体" w:hAnsi="宋体" w:eastAsia="宋体" w:cs="宋体"/>
          <w:b/>
          <w:bCs/>
          <w:snapToGrid w:val="0"/>
          <w:color w:val="auto"/>
          <w:kern w:val="44"/>
          <w:sz w:val="24"/>
          <w:szCs w:val="30"/>
          <w:highlight w:val="none"/>
          <w:lang w:val="en-US" w:eastAsia="en-US" w:bidi="ar-SA"/>
        </w:rPr>
        <w:t>.</w:t>
      </w:r>
      <w:r>
        <w:rPr>
          <w:rFonts w:hint="eastAsia" w:cs="宋体"/>
          <w:b/>
          <w:bCs/>
          <w:snapToGrid w:val="0"/>
          <w:color w:val="auto"/>
          <w:kern w:val="44"/>
          <w:sz w:val="24"/>
          <w:szCs w:val="30"/>
          <w:highlight w:val="none"/>
          <w:lang w:val="en-US" w:eastAsia="zh-CN" w:bidi="ar-SA"/>
        </w:rPr>
        <w:t>7</w:t>
      </w:r>
      <w:r>
        <w:rPr>
          <w:rFonts w:hint="default" w:ascii="宋体" w:hAnsi="宋体" w:eastAsia="宋体" w:cs="宋体"/>
          <w:b/>
          <w:bCs/>
          <w:snapToGrid w:val="0"/>
          <w:color w:val="auto"/>
          <w:kern w:val="44"/>
          <w:sz w:val="24"/>
          <w:szCs w:val="30"/>
          <w:highlight w:val="none"/>
          <w:lang w:val="en-US" w:eastAsia="en-US" w:bidi="ar-SA"/>
        </w:rPr>
        <w:t>.</w:t>
      </w:r>
      <w:r>
        <w:rPr>
          <w:color w:val="auto"/>
          <w:highlight w:val="none"/>
        </w:rPr>
        <w:t>恢复履约担保能力</w:t>
      </w:r>
    </w:p>
    <w:p>
      <w:pPr>
        <w:pStyle w:val="11"/>
        <w:widowControl/>
        <w:ind w:left="0" w:leftChars="0" w:firstLine="480" w:firstLineChars="200"/>
        <w:rPr>
          <w:color w:val="auto"/>
          <w:highlight w:val="none"/>
        </w:rPr>
      </w:pPr>
      <w:r>
        <w:rPr>
          <w:color w:val="auto"/>
          <w:highlight w:val="none"/>
        </w:rPr>
        <w:t>如果甲方在项目合作期内根据本协议约定扣除履约保证金或提取履约保函项下的款项的，乙方应确保在甲方扣除或提取后</w:t>
      </w:r>
      <w:r>
        <w:rPr>
          <w:color w:val="auto"/>
          <w:highlight w:val="none"/>
          <w:u w:val="single" w:color="auto"/>
        </w:rPr>
        <w:t xml:space="preserve">     </w:t>
      </w:r>
      <w:r>
        <w:rPr>
          <w:color w:val="auto"/>
          <w:highlight w:val="none"/>
        </w:rPr>
        <w:t xml:space="preserve"> 日内，将履约保证金或履约保函数额恢复到本协议约定的数额，且应向甲方提供已足额恢复的相关证明。</w:t>
      </w:r>
    </w:p>
    <w:p>
      <w:pPr>
        <w:pStyle w:val="11"/>
        <w:widowControl/>
        <w:ind w:left="0" w:leftChars="0" w:firstLine="480" w:firstLineChars="200"/>
        <w:rPr>
          <w:color w:val="auto"/>
          <w:highlight w:val="none"/>
        </w:rPr>
      </w:pPr>
      <w:r>
        <w:rPr>
          <w:color w:val="auto"/>
          <w:highlight w:val="none"/>
        </w:rPr>
        <w:t>乙方未在前述期限内补足或恢复履约保证金或履约保函项下相应金额的，甲方有权发出催告，乙方应在</w:t>
      </w:r>
      <w:r>
        <w:rPr>
          <w:color w:val="auto"/>
          <w:highlight w:val="none"/>
          <w:u w:val="single" w:color="auto"/>
        </w:rPr>
        <w:t xml:space="preserve">     </w:t>
      </w:r>
      <w:r>
        <w:rPr>
          <w:color w:val="auto"/>
          <w:highlight w:val="none"/>
        </w:rPr>
        <w:t xml:space="preserve"> 日内予以补足；乙方在前述期 限内仍未补足的，则甲方有权扣除履约保证金或提取履约保函项下的余额，并有权提前终止本协议。</w:t>
      </w:r>
    </w:p>
    <w:p>
      <w:pPr>
        <w:pStyle w:val="2"/>
        <w:widowControl/>
        <w:numPr>
          <w:ilvl w:val="0"/>
          <w:numId w:val="0"/>
        </w:numPr>
        <w:tabs>
          <w:tab w:val="left" w:pos="1271"/>
        </w:tabs>
        <w:ind w:left="0" w:leftChars="0" w:firstLine="482" w:firstLineChars="200"/>
        <w:outlineLvl w:val="1"/>
        <w:rPr>
          <w:b/>
          <w:color w:val="auto"/>
          <w:highlight w:val="none"/>
        </w:rPr>
      </w:pPr>
      <w:r>
        <w:rPr>
          <w:rFonts w:hint="eastAsia" w:cs="宋体"/>
          <w:b/>
          <w:bCs/>
          <w:snapToGrid w:val="0"/>
          <w:color w:val="auto"/>
          <w:kern w:val="44"/>
          <w:sz w:val="24"/>
          <w:szCs w:val="30"/>
          <w:highlight w:val="none"/>
          <w:lang w:val="en-US" w:eastAsia="zh-CN" w:bidi="ar-SA"/>
        </w:rPr>
        <w:t>9</w:t>
      </w:r>
      <w:r>
        <w:rPr>
          <w:rFonts w:hint="default" w:ascii="宋体" w:hAnsi="宋体" w:eastAsia="宋体" w:cs="宋体"/>
          <w:b/>
          <w:bCs/>
          <w:snapToGrid w:val="0"/>
          <w:color w:val="auto"/>
          <w:kern w:val="44"/>
          <w:sz w:val="24"/>
          <w:szCs w:val="30"/>
          <w:highlight w:val="none"/>
          <w:lang w:val="en-US" w:eastAsia="en-US" w:bidi="ar-SA"/>
        </w:rPr>
        <w:t>.</w:t>
      </w:r>
      <w:r>
        <w:rPr>
          <w:rFonts w:hint="eastAsia" w:cs="宋体"/>
          <w:b/>
          <w:bCs/>
          <w:snapToGrid w:val="0"/>
          <w:color w:val="auto"/>
          <w:kern w:val="44"/>
          <w:sz w:val="24"/>
          <w:szCs w:val="30"/>
          <w:highlight w:val="none"/>
          <w:lang w:val="en-US" w:eastAsia="zh-CN" w:bidi="ar-SA"/>
        </w:rPr>
        <w:t>8</w:t>
      </w:r>
      <w:r>
        <w:rPr>
          <w:rFonts w:hint="default" w:ascii="宋体" w:hAnsi="宋体" w:eastAsia="宋体" w:cs="宋体"/>
          <w:b/>
          <w:bCs/>
          <w:snapToGrid w:val="0"/>
          <w:color w:val="auto"/>
          <w:kern w:val="44"/>
          <w:sz w:val="24"/>
          <w:szCs w:val="30"/>
          <w:highlight w:val="none"/>
          <w:lang w:val="en-US" w:eastAsia="en-US" w:bidi="ar-SA"/>
        </w:rPr>
        <w:t>.</w:t>
      </w:r>
      <w:r>
        <w:rPr>
          <w:color w:val="auto"/>
          <w:highlight w:val="none"/>
        </w:rPr>
        <w:t>不当扣除履约保证金/不当提取保函</w:t>
      </w:r>
    </w:p>
    <w:p>
      <w:pPr>
        <w:pStyle w:val="11"/>
        <w:widowControl/>
        <w:ind w:left="0" w:leftChars="0" w:firstLine="480" w:firstLineChars="200"/>
        <w:rPr>
          <w:color w:val="auto"/>
          <w:highlight w:val="none"/>
        </w:rPr>
      </w:pPr>
      <w:r>
        <w:rPr>
          <w:color w:val="auto"/>
          <w:highlight w:val="none"/>
        </w:rPr>
        <w:t>如果甲方扣除履约保证金或提取履约保函中的相应金额之后，双方确定甲方属不当扣除或提取的，甲方应及时向乙方退还扣除或提取的款项，并支付该款项自提取之日至退还之日的利息，利息按同期全国银行间同业拆借中心公布的人民币贷款市场报价利率（LPR）计算。</w:t>
      </w:r>
    </w:p>
    <w:p>
      <w:pPr>
        <w:pStyle w:val="11"/>
        <w:spacing w:line="289" w:lineRule="auto"/>
        <w:rPr>
          <w:color w:val="auto"/>
          <w:highlight w:val="none"/>
        </w:rPr>
      </w:pPr>
    </w:p>
    <w:p>
      <w:pPr>
        <w:pStyle w:val="23"/>
        <w:widowControl/>
        <w:numPr>
          <w:ilvl w:val="0"/>
          <w:numId w:val="1"/>
        </w:numPr>
        <w:tabs>
          <w:tab w:val="left" w:pos="1731"/>
          <w:tab w:val="clear" w:pos="210"/>
        </w:tabs>
        <w:ind w:left="0" w:leftChars="0" w:firstLine="600" w:firstLineChars="200"/>
        <w:outlineLvl w:val="0"/>
        <w:rPr>
          <w:b w:val="0"/>
          <w:color w:val="auto"/>
          <w:highlight w:val="none"/>
        </w:rPr>
      </w:pPr>
      <w:bookmarkStart w:id="37" w:name="bookmark32"/>
      <w:bookmarkEnd w:id="37"/>
      <w:bookmarkStart w:id="38" w:name="bookmark33"/>
      <w:bookmarkEnd w:id="38"/>
      <w:bookmarkStart w:id="39" w:name="_Toc27858"/>
      <w:r>
        <w:rPr>
          <w:color w:val="auto"/>
          <w:highlight w:val="none"/>
        </w:rPr>
        <w:t>风险</w:t>
      </w:r>
      <w:bookmarkEnd w:id="39"/>
    </w:p>
    <w:p>
      <w:pPr>
        <w:pStyle w:val="2"/>
        <w:widowControl/>
        <w:numPr>
          <w:ilvl w:val="0"/>
          <w:numId w:val="0"/>
        </w:numPr>
        <w:tabs>
          <w:tab w:val="left" w:pos="1275"/>
        </w:tabs>
        <w:ind w:left="0" w:leftChars="0" w:firstLine="482" w:firstLineChars="200"/>
        <w:outlineLvl w:val="1"/>
        <w:rPr>
          <w:b/>
          <w:color w:val="auto"/>
          <w:highlight w:val="none"/>
        </w:rPr>
      </w:pPr>
      <w:r>
        <w:rPr>
          <w:rFonts w:hint="default" w:ascii="宋体" w:hAnsi="宋体" w:eastAsia="宋体" w:cs="宋体"/>
          <w:b/>
          <w:bCs/>
          <w:snapToGrid w:val="0"/>
          <w:color w:val="auto"/>
          <w:kern w:val="44"/>
          <w:sz w:val="24"/>
          <w:szCs w:val="30"/>
          <w:highlight w:val="none"/>
          <w:lang w:val="en-US" w:eastAsia="en-US" w:bidi="ar-SA"/>
        </w:rPr>
        <w:t>1</w:t>
      </w:r>
      <w:r>
        <w:rPr>
          <w:rFonts w:hint="eastAsia" w:cs="宋体"/>
          <w:b/>
          <w:bCs/>
          <w:snapToGrid w:val="0"/>
          <w:color w:val="auto"/>
          <w:kern w:val="44"/>
          <w:sz w:val="24"/>
          <w:szCs w:val="30"/>
          <w:highlight w:val="none"/>
          <w:lang w:val="en-US" w:eastAsia="zh-CN" w:bidi="ar-SA"/>
        </w:rPr>
        <w:t>0</w:t>
      </w:r>
      <w:r>
        <w:rPr>
          <w:rFonts w:hint="default" w:ascii="宋体" w:hAnsi="宋体" w:eastAsia="宋体" w:cs="宋体"/>
          <w:b/>
          <w:bCs/>
          <w:snapToGrid w:val="0"/>
          <w:color w:val="auto"/>
          <w:kern w:val="44"/>
          <w:sz w:val="24"/>
          <w:szCs w:val="30"/>
          <w:highlight w:val="none"/>
          <w:lang w:val="en-US" w:eastAsia="en-US" w:bidi="ar-SA"/>
        </w:rPr>
        <w:t>.1.</w:t>
      </w:r>
      <w:r>
        <w:rPr>
          <w:color w:val="auto"/>
          <w:highlight w:val="none"/>
        </w:rPr>
        <w:t>本项目经营过程中可能存在的风险有：</w:t>
      </w:r>
    </w:p>
    <w:p>
      <w:pPr>
        <w:pStyle w:val="11"/>
        <w:widowControl/>
        <w:ind w:left="0" w:leftChars="0" w:firstLine="480" w:firstLineChars="200"/>
        <w:rPr>
          <w:color w:val="auto"/>
          <w:highlight w:val="none"/>
        </w:rPr>
      </w:pPr>
      <w:r>
        <w:rPr>
          <w:color w:val="auto"/>
          <w:highlight w:val="none"/>
        </w:rPr>
        <w:t>政策法律风险、金融风险、前期工作风险、设计风险、工程风险、融资风险、不可抗力风险等。</w:t>
      </w:r>
    </w:p>
    <w:p>
      <w:pPr>
        <w:pStyle w:val="2"/>
        <w:widowControl/>
        <w:numPr>
          <w:ilvl w:val="0"/>
          <w:numId w:val="0"/>
        </w:numPr>
        <w:tabs>
          <w:tab w:val="left" w:pos="1275"/>
        </w:tabs>
        <w:ind w:left="0" w:leftChars="0" w:firstLine="482" w:firstLineChars="200"/>
        <w:outlineLvl w:val="1"/>
        <w:rPr>
          <w:b/>
          <w:color w:val="auto"/>
          <w:highlight w:val="none"/>
        </w:rPr>
      </w:pPr>
      <w:r>
        <w:rPr>
          <w:rFonts w:hint="default" w:ascii="宋体" w:hAnsi="宋体" w:eastAsia="宋体" w:cs="宋体"/>
          <w:b/>
          <w:bCs/>
          <w:snapToGrid w:val="0"/>
          <w:color w:val="auto"/>
          <w:kern w:val="44"/>
          <w:sz w:val="24"/>
          <w:szCs w:val="30"/>
          <w:highlight w:val="none"/>
          <w:lang w:val="en-US" w:eastAsia="en-US" w:bidi="ar-SA"/>
        </w:rPr>
        <w:t>1</w:t>
      </w:r>
      <w:r>
        <w:rPr>
          <w:rFonts w:hint="eastAsia" w:cs="宋体"/>
          <w:b/>
          <w:bCs/>
          <w:snapToGrid w:val="0"/>
          <w:color w:val="auto"/>
          <w:kern w:val="44"/>
          <w:sz w:val="24"/>
          <w:szCs w:val="30"/>
          <w:highlight w:val="none"/>
          <w:lang w:val="en-US" w:eastAsia="zh-CN" w:bidi="ar-SA"/>
        </w:rPr>
        <w:t>0</w:t>
      </w:r>
      <w:r>
        <w:rPr>
          <w:rFonts w:hint="default" w:ascii="宋体" w:hAnsi="宋体" w:eastAsia="宋体" w:cs="宋体"/>
          <w:b/>
          <w:bCs/>
          <w:snapToGrid w:val="0"/>
          <w:color w:val="auto"/>
          <w:kern w:val="44"/>
          <w:sz w:val="24"/>
          <w:szCs w:val="30"/>
          <w:highlight w:val="none"/>
          <w:lang w:val="en-US" w:eastAsia="en-US" w:bidi="ar-SA"/>
        </w:rPr>
        <w:t>.2.</w:t>
      </w:r>
      <w:r>
        <w:rPr>
          <w:color w:val="auto"/>
          <w:highlight w:val="none"/>
        </w:rPr>
        <w:t>按照风险分配原则，项目的风险分配机制为：</w:t>
      </w:r>
    </w:p>
    <w:p>
      <w:pPr>
        <w:pStyle w:val="11"/>
        <w:widowControl/>
        <w:numPr>
          <w:ilvl w:val="0"/>
          <w:numId w:val="35"/>
        </w:numPr>
        <w:tabs>
          <w:tab w:val="left" w:pos="482"/>
        </w:tabs>
        <w:topLinePunct w:val="0"/>
        <w:ind w:left="1083" w:leftChars="0" w:hanging="601" w:firstLineChars="0"/>
        <w:rPr>
          <w:b w:val="0"/>
          <w:color w:val="auto"/>
          <w:highlight w:val="none"/>
        </w:rPr>
      </w:pPr>
      <w:r>
        <w:rPr>
          <w:color w:val="auto"/>
          <w:highlight w:val="none"/>
        </w:rPr>
        <w:t>由乙方承担的风险：项目设计、投融资、建造和运营维护、金融风险等商业风险；</w:t>
      </w:r>
    </w:p>
    <w:p>
      <w:pPr>
        <w:pStyle w:val="11"/>
        <w:widowControl/>
        <w:numPr>
          <w:ilvl w:val="0"/>
          <w:numId w:val="35"/>
        </w:numPr>
        <w:tabs>
          <w:tab w:val="left" w:pos="482"/>
        </w:tabs>
        <w:topLinePunct w:val="0"/>
        <w:ind w:left="1083" w:leftChars="0" w:hanging="601" w:firstLineChars="0"/>
        <w:outlineLvl w:val="2"/>
        <w:rPr>
          <w:b w:val="0"/>
          <w:color w:val="auto"/>
          <w:highlight w:val="none"/>
        </w:rPr>
      </w:pPr>
      <w:r>
        <w:rPr>
          <w:color w:val="auto"/>
          <w:highlight w:val="none"/>
        </w:rPr>
        <w:t>甲方承担的风险：法律、政策风险；</w:t>
      </w:r>
    </w:p>
    <w:p>
      <w:pPr>
        <w:pStyle w:val="11"/>
        <w:widowControl/>
        <w:numPr>
          <w:ilvl w:val="0"/>
          <w:numId w:val="35"/>
        </w:numPr>
        <w:tabs>
          <w:tab w:val="left" w:pos="482"/>
        </w:tabs>
        <w:topLinePunct w:val="0"/>
        <w:ind w:left="1083" w:leftChars="0" w:hanging="601" w:firstLineChars="0"/>
        <w:rPr>
          <w:b w:val="0"/>
          <w:color w:val="auto"/>
          <w:highlight w:val="none"/>
        </w:rPr>
      </w:pPr>
      <w:r>
        <w:rPr>
          <w:color w:val="auto"/>
          <w:highlight w:val="none"/>
        </w:rPr>
        <w:t>由双方合理共担的风险：公众反对及不可抗力等风险。对本项目而言，较重要的风险因素包括：</w:t>
      </w:r>
    </w:p>
    <w:p>
      <w:pPr>
        <w:pStyle w:val="11"/>
        <w:spacing w:line="271" w:lineRule="auto"/>
        <w:ind w:left="0" w:leftChars="0" w:firstLine="0" w:firstLineChars="0"/>
        <w:rPr>
          <w:color w:val="auto"/>
          <w:highlight w:val="none"/>
        </w:rPr>
      </w:pPr>
    </w:p>
    <w:p>
      <w:pPr>
        <w:pStyle w:val="23"/>
        <w:widowControl/>
        <w:numPr>
          <w:ilvl w:val="0"/>
          <w:numId w:val="1"/>
        </w:numPr>
        <w:tabs>
          <w:tab w:val="left" w:pos="1731"/>
          <w:tab w:val="clear" w:pos="210"/>
        </w:tabs>
        <w:ind w:left="0" w:leftChars="0" w:firstLine="600" w:firstLineChars="200"/>
        <w:outlineLvl w:val="0"/>
        <w:rPr>
          <w:b w:val="0"/>
          <w:color w:val="auto"/>
          <w:highlight w:val="none"/>
        </w:rPr>
      </w:pPr>
      <w:bookmarkStart w:id="40" w:name="bookmark36"/>
      <w:bookmarkEnd w:id="40"/>
      <w:bookmarkStart w:id="41" w:name="bookmark35"/>
      <w:bookmarkEnd w:id="41"/>
      <w:bookmarkStart w:id="42" w:name="bookmark38"/>
      <w:bookmarkEnd w:id="42"/>
      <w:bookmarkStart w:id="43" w:name="bookmark37"/>
      <w:bookmarkEnd w:id="43"/>
      <w:bookmarkStart w:id="44" w:name="bookmark34"/>
      <w:bookmarkEnd w:id="44"/>
      <w:bookmarkStart w:id="45" w:name="bookmark39"/>
      <w:bookmarkEnd w:id="45"/>
      <w:bookmarkStart w:id="46" w:name="_Toc17010"/>
      <w:r>
        <w:rPr>
          <w:color w:val="auto"/>
          <w:highlight w:val="none"/>
        </w:rPr>
        <w:t>项目移交</w:t>
      </w:r>
      <w:bookmarkEnd w:id="46"/>
    </w:p>
    <w:p>
      <w:pPr>
        <w:pStyle w:val="2"/>
        <w:widowControl/>
        <w:numPr>
          <w:ilvl w:val="0"/>
          <w:numId w:val="0"/>
        </w:numPr>
        <w:tabs>
          <w:tab w:val="left" w:pos="1267"/>
        </w:tabs>
        <w:ind w:left="0" w:leftChars="0" w:firstLine="482" w:firstLineChars="200"/>
        <w:outlineLvl w:val="1"/>
        <w:rPr>
          <w:b/>
          <w:color w:val="auto"/>
          <w:highlight w:val="none"/>
        </w:rPr>
      </w:pPr>
      <w:r>
        <w:rPr>
          <w:rFonts w:hint="default" w:ascii="宋体" w:hAnsi="宋体" w:eastAsia="宋体" w:cs="宋体"/>
          <w:b/>
          <w:bCs/>
          <w:snapToGrid w:val="0"/>
          <w:color w:val="auto"/>
          <w:kern w:val="44"/>
          <w:sz w:val="24"/>
          <w:szCs w:val="30"/>
          <w:highlight w:val="none"/>
          <w:lang w:val="en-US" w:eastAsia="en-US" w:bidi="ar-SA"/>
        </w:rPr>
        <w:t>1</w:t>
      </w:r>
      <w:r>
        <w:rPr>
          <w:rFonts w:hint="eastAsia" w:cs="宋体"/>
          <w:b/>
          <w:bCs/>
          <w:snapToGrid w:val="0"/>
          <w:color w:val="auto"/>
          <w:kern w:val="44"/>
          <w:sz w:val="24"/>
          <w:szCs w:val="30"/>
          <w:highlight w:val="none"/>
          <w:lang w:val="en-US" w:eastAsia="zh-CN" w:bidi="ar-SA"/>
        </w:rPr>
        <w:t>1</w:t>
      </w:r>
      <w:r>
        <w:rPr>
          <w:rFonts w:hint="default" w:ascii="宋体" w:hAnsi="宋体" w:eastAsia="宋体" w:cs="宋体"/>
          <w:b/>
          <w:bCs/>
          <w:snapToGrid w:val="0"/>
          <w:color w:val="auto"/>
          <w:kern w:val="44"/>
          <w:sz w:val="24"/>
          <w:szCs w:val="30"/>
          <w:highlight w:val="none"/>
          <w:lang w:val="en-US" w:eastAsia="en-US" w:bidi="ar-SA"/>
        </w:rPr>
        <w:t>.1.</w:t>
      </w:r>
      <w:r>
        <w:rPr>
          <w:color w:val="auto"/>
          <w:highlight w:val="none"/>
        </w:rPr>
        <w:t>移交范围</w:t>
      </w:r>
    </w:p>
    <w:p>
      <w:pPr>
        <w:pStyle w:val="11"/>
        <w:widowControl/>
        <w:ind w:left="0" w:leftChars="0" w:firstLine="480" w:firstLineChars="200"/>
        <w:rPr>
          <w:color w:val="auto"/>
          <w:highlight w:val="none"/>
        </w:rPr>
      </w:pPr>
      <w:r>
        <w:rPr>
          <w:color w:val="auto"/>
          <w:highlight w:val="none"/>
        </w:rPr>
        <w:t>乙方应在项目运营期终止</w:t>
      </w:r>
      <w:r>
        <w:rPr>
          <w:rFonts w:hint="eastAsia"/>
          <w:color w:val="auto"/>
          <w:highlight w:val="none"/>
          <w:lang w:eastAsia="zh-CN"/>
        </w:rPr>
        <w:t>时</w:t>
      </w:r>
      <w:r>
        <w:rPr>
          <w:color w:val="auto"/>
          <w:highlight w:val="none"/>
        </w:rPr>
        <w:t>无偿移交项目资产。移交的范围包括但不限于以下内容：</w:t>
      </w:r>
    </w:p>
    <w:p>
      <w:pPr>
        <w:pStyle w:val="11"/>
        <w:widowControl/>
        <w:ind w:left="0" w:leftChars="0" w:firstLine="480" w:firstLineChars="200"/>
        <w:rPr>
          <w:color w:val="auto"/>
          <w:highlight w:val="none"/>
        </w:rPr>
      </w:pPr>
      <w:r>
        <w:rPr>
          <w:color w:val="auto"/>
          <w:highlight w:val="none"/>
        </w:rPr>
        <w:t>设施及相关的设备、机器、装置、零部件、备用件及其他动产、项目实施相关人员、运营维护项目设施所要求的技术和技术信息、与项目设施有关的手册、图纸、文件和资料以及其他移交所需的文件。</w:t>
      </w:r>
    </w:p>
    <w:p>
      <w:pPr>
        <w:pStyle w:val="2"/>
        <w:widowControl/>
        <w:numPr>
          <w:ilvl w:val="0"/>
          <w:numId w:val="0"/>
        </w:numPr>
        <w:tabs>
          <w:tab w:val="left" w:pos="1267"/>
        </w:tabs>
        <w:ind w:left="0" w:leftChars="0" w:firstLine="482" w:firstLineChars="200"/>
        <w:outlineLvl w:val="1"/>
        <w:rPr>
          <w:b/>
          <w:color w:val="auto"/>
          <w:highlight w:val="none"/>
        </w:rPr>
      </w:pPr>
      <w:r>
        <w:rPr>
          <w:rFonts w:hint="default" w:ascii="宋体" w:hAnsi="宋体" w:eastAsia="宋体" w:cs="宋体"/>
          <w:b/>
          <w:bCs/>
          <w:snapToGrid w:val="0"/>
          <w:color w:val="auto"/>
          <w:kern w:val="44"/>
          <w:sz w:val="24"/>
          <w:szCs w:val="30"/>
          <w:highlight w:val="none"/>
          <w:lang w:val="en-US" w:eastAsia="en-US" w:bidi="ar-SA"/>
        </w:rPr>
        <w:t>1</w:t>
      </w:r>
      <w:r>
        <w:rPr>
          <w:rFonts w:hint="eastAsia" w:cs="宋体"/>
          <w:b/>
          <w:bCs/>
          <w:snapToGrid w:val="0"/>
          <w:color w:val="auto"/>
          <w:kern w:val="44"/>
          <w:sz w:val="24"/>
          <w:szCs w:val="30"/>
          <w:highlight w:val="none"/>
          <w:lang w:val="en-US" w:eastAsia="zh-CN" w:bidi="ar-SA"/>
        </w:rPr>
        <w:t>1</w:t>
      </w:r>
      <w:r>
        <w:rPr>
          <w:rFonts w:hint="default" w:ascii="宋体" w:hAnsi="宋体" w:eastAsia="宋体" w:cs="宋体"/>
          <w:b/>
          <w:bCs/>
          <w:snapToGrid w:val="0"/>
          <w:color w:val="auto"/>
          <w:kern w:val="44"/>
          <w:sz w:val="24"/>
          <w:szCs w:val="30"/>
          <w:highlight w:val="none"/>
          <w:lang w:val="en-US" w:eastAsia="en-US" w:bidi="ar-SA"/>
        </w:rPr>
        <w:t>.2.</w:t>
      </w:r>
      <w:r>
        <w:rPr>
          <w:color w:val="auto"/>
          <w:highlight w:val="none"/>
        </w:rPr>
        <w:t>移交标准</w:t>
      </w:r>
    </w:p>
    <w:p>
      <w:pPr>
        <w:pStyle w:val="11"/>
        <w:widowControl/>
        <w:ind w:left="0" w:leftChars="0" w:firstLine="480" w:firstLineChars="200"/>
        <w:rPr>
          <w:color w:val="auto"/>
          <w:highlight w:val="none"/>
        </w:rPr>
      </w:pPr>
      <w:r>
        <w:rPr>
          <w:color w:val="auto"/>
          <w:highlight w:val="none"/>
        </w:rPr>
        <w:t>项目移交时，项目设施及所涉及的任何资产不应存在权利瑕疵，同时项目设施应符合双方约定的技术、安全和环保标准，在不再维修情况下项目可以正常运营12个月，否则</w:t>
      </w:r>
      <w:r>
        <w:rPr>
          <w:rFonts w:hint="eastAsia"/>
          <w:color w:val="auto"/>
          <w:highlight w:val="none"/>
          <w:lang w:val="en-US" w:eastAsia="zh-CN"/>
        </w:rPr>
        <w:t>甲</w:t>
      </w:r>
      <w:r>
        <w:rPr>
          <w:color w:val="auto"/>
          <w:highlight w:val="none"/>
        </w:rPr>
        <w:t>方可根据损失向有偿使用者提出合理的补偿。</w:t>
      </w:r>
    </w:p>
    <w:p>
      <w:pPr>
        <w:pStyle w:val="2"/>
        <w:widowControl/>
        <w:numPr>
          <w:ilvl w:val="0"/>
          <w:numId w:val="0"/>
        </w:numPr>
        <w:tabs>
          <w:tab w:val="left" w:pos="1267"/>
        </w:tabs>
        <w:ind w:left="0" w:leftChars="0" w:firstLine="482" w:firstLineChars="200"/>
        <w:outlineLvl w:val="1"/>
        <w:rPr>
          <w:b/>
          <w:color w:val="auto"/>
          <w:highlight w:val="none"/>
        </w:rPr>
      </w:pPr>
      <w:r>
        <w:rPr>
          <w:rFonts w:hint="default" w:ascii="宋体" w:hAnsi="宋体" w:eastAsia="宋体" w:cs="宋体"/>
          <w:b/>
          <w:bCs/>
          <w:snapToGrid w:val="0"/>
          <w:color w:val="auto"/>
          <w:kern w:val="44"/>
          <w:sz w:val="24"/>
          <w:szCs w:val="30"/>
          <w:highlight w:val="none"/>
          <w:lang w:val="en-US" w:eastAsia="en-US" w:bidi="ar-SA"/>
        </w:rPr>
        <w:t>1</w:t>
      </w:r>
      <w:r>
        <w:rPr>
          <w:rFonts w:hint="eastAsia" w:cs="宋体"/>
          <w:b/>
          <w:bCs/>
          <w:snapToGrid w:val="0"/>
          <w:color w:val="auto"/>
          <w:kern w:val="44"/>
          <w:sz w:val="24"/>
          <w:szCs w:val="30"/>
          <w:highlight w:val="none"/>
          <w:lang w:val="en-US" w:eastAsia="zh-CN" w:bidi="ar-SA"/>
        </w:rPr>
        <w:t>1</w:t>
      </w:r>
      <w:r>
        <w:rPr>
          <w:rFonts w:hint="default" w:ascii="宋体" w:hAnsi="宋体" w:eastAsia="宋体" w:cs="宋体"/>
          <w:b/>
          <w:bCs/>
          <w:snapToGrid w:val="0"/>
          <w:color w:val="auto"/>
          <w:kern w:val="44"/>
          <w:sz w:val="24"/>
          <w:szCs w:val="30"/>
          <w:highlight w:val="none"/>
          <w:lang w:val="en-US" w:eastAsia="en-US" w:bidi="ar-SA"/>
        </w:rPr>
        <w:t>.3.</w:t>
      </w:r>
      <w:r>
        <w:rPr>
          <w:color w:val="auto"/>
          <w:highlight w:val="none"/>
        </w:rPr>
        <w:t>移交委员会</w:t>
      </w:r>
    </w:p>
    <w:p>
      <w:pPr>
        <w:pStyle w:val="3"/>
        <w:widowControl/>
        <w:numPr>
          <w:ilvl w:val="0"/>
          <w:numId w:val="0"/>
        </w:numPr>
        <w:tabs>
          <w:tab w:val="left" w:pos="1326"/>
        </w:tabs>
        <w:ind w:left="0" w:leftChars="0" w:firstLine="482" w:firstLineChars="200"/>
        <w:outlineLvl w:val="2"/>
        <w:rPr>
          <w:b/>
          <w:color w:val="auto"/>
          <w:highlight w:val="none"/>
        </w:rPr>
      </w:pPr>
      <w:r>
        <w:rPr>
          <w:rFonts w:hint="default" w:ascii="Times New Roman" w:hAnsi="Times New Roman" w:eastAsia="宋体" w:cs="Times New Roman"/>
          <w:b/>
          <w:color w:val="auto"/>
          <w:sz w:val="24"/>
          <w:highlight w:val="none"/>
        </w:rPr>
        <w:t>1</w:t>
      </w:r>
      <w:r>
        <w:rPr>
          <w:rFonts w:hint="eastAsia" w:cs="Times New Roman"/>
          <w:b/>
          <w:color w:val="auto"/>
          <w:sz w:val="24"/>
          <w:highlight w:val="none"/>
          <w:lang w:val="en-US" w:eastAsia="zh-CN"/>
        </w:rPr>
        <w:t>1</w:t>
      </w:r>
      <w:r>
        <w:rPr>
          <w:rFonts w:hint="default" w:ascii="Times New Roman" w:hAnsi="Times New Roman" w:eastAsia="宋体" w:cs="Times New Roman"/>
          <w:b/>
          <w:color w:val="auto"/>
          <w:sz w:val="24"/>
          <w:highlight w:val="none"/>
        </w:rPr>
        <w:t>.3.1.</w:t>
      </w:r>
      <w:r>
        <w:rPr>
          <w:color w:val="auto"/>
          <w:highlight w:val="none"/>
        </w:rPr>
        <w:t>移交委员会的成立</w:t>
      </w:r>
    </w:p>
    <w:p>
      <w:pPr>
        <w:pStyle w:val="11"/>
        <w:widowControl/>
        <w:ind w:left="0" w:leftChars="0" w:firstLine="480" w:firstLineChars="200"/>
        <w:rPr>
          <w:color w:val="auto"/>
          <w:highlight w:val="none"/>
        </w:rPr>
      </w:pPr>
      <w:r>
        <w:rPr>
          <w:color w:val="auto"/>
          <w:highlight w:val="none"/>
        </w:rPr>
        <w:t>茂名滨海新区自来水投资有限公司对移交阶段通过移交标准、移交方案对项目进行监管，项目有偿使用期满后移交。</w:t>
      </w:r>
    </w:p>
    <w:p>
      <w:pPr>
        <w:pStyle w:val="11"/>
        <w:widowControl/>
        <w:ind w:left="0" w:leftChars="0" w:firstLine="480" w:firstLineChars="200"/>
        <w:rPr>
          <w:color w:val="auto"/>
          <w:highlight w:val="none"/>
        </w:rPr>
      </w:pPr>
      <w:r>
        <w:rPr>
          <w:color w:val="auto"/>
          <w:highlight w:val="none"/>
        </w:rPr>
        <w:t>本项目运营期届满前的【12】个月作为过渡期，甲方和乙方应成立移交委员会，移交委员会由双方各派</w:t>
      </w:r>
      <w:r>
        <w:rPr>
          <w:color w:val="auto"/>
          <w:highlight w:val="none"/>
          <w:u w:val="single" w:color="auto"/>
        </w:rPr>
        <w:t>（   ）</w:t>
      </w:r>
      <w:r>
        <w:rPr>
          <w:color w:val="auto"/>
          <w:highlight w:val="none"/>
        </w:rPr>
        <w:t xml:space="preserve">人组成，移交委员会负责人由甲方委派。若本协议提前终止的，移交委员会应在本协议提前终止后 </w:t>
      </w:r>
      <w:r>
        <w:rPr>
          <w:color w:val="auto"/>
          <w:highlight w:val="none"/>
          <w:u w:val="single" w:color="auto"/>
        </w:rPr>
        <w:t xml:space="preserve">(   ) </w:t>
      </w:r>
      <w:r>
        <w:rPr>
          <w:color w:val="auto"/>
          <w:highlight w:val="none"/>
        </w:rPr>
        <w:t>个工作日内成立。</w:t>
      </w:r>
    </w:p>
    <w:p>
      <w:pPr>
        <w:pStyle w:val="3"/>
        <w:widowControl/>
        <w:numPr>
          <w:ilvl w:val="0"/>
          <w:numId w:val="0"/>
        </w:numPr>
        <w:tabs>
          <w:tab w:val="left" w:pos="1326"/>
        </w:tabs>
        <w:ind w:left="0" w:leftChars="0" w:firstLine="482" w:firstLineChars="200"/>
        <w:outlineLvl w:val="2"/>
        <w:rPr>
          <w:b/>
          <w:color w:val="auto"/>
          <w:highlight w:val="none"/>
        </w:rPr>
      </w:pPr>
      <w:r>
        <w:rPr>
          <w:rFonts w:hint="default" w:ascii="Times New Roman" w:hAnsi="Times New Roman" w:eastAsia="宋体" w:cs="Times New Roman"/>
          <w:b/>
          <w:color w:val="auto"/>
          <w:sz w:val="24"/>
          <w:highlight w:val="none"/>
        </w:rPr>
        <w:t>1</w:t>
      </w:r>
      <w:r>
        <w:rPr>
          <w:rFonts w:hint="eastAsia" w:cs="Times New Roman"/>
          <w:b/>
          <w:color w:val="auto"/>
          <w:sz w:val="24"/>
          <w:highlight w:val="none"/>
          <w:lang w:val="en-US" w:eastAsia="zh-CN"/>
        </w:rPr>
        <w:t>1</w:t>
      </w:r>
      <w:r>
        <w:rPr>
          <w:rFonts w:hint="default" w:ascii="Times New Roman" w:hAnsi="Times New Roman" w:eastAsia="宋体" w:cs="Times New Roman"/>
          <w:b/>
          <w:color w:val="auto"/>
          <w:sz w:val="24"/>
          <w:highlight w:val="none"/>
        </w:rPr>
        <w:t>.3.2.</w:t>
      </w:r>
      <w:r>
        <w:rPr>
          <w:color w:val="auto"/>
          <w:highlight w:val="none"/>
        </w:rPr>
        <w:t>移交方案</w:t>
      </w:r>
    </w:p>
    <w:p>
      <w:pPr>
        <w:pStyle w:val="11"/>
        <w:widowControl/>
        <w:ind w:left="0" w:leftChars="0" w:firstLine="480" w:firstLineChars="200"/>
        <w:rPr>
          <w:color w:val="auto"/>
          <w:highlight w:val="none"/>
        </w:rPr>
      </w:pPr>
      <w:r>
        <w:rPr>
          <w:color w:val="auto"/>
          <w:highlight w:val="none"/>
        </w:rPr>
        <w:t>移交委员会成立后</w:t>
      </w:r>
      <w:r>
        <w:rPr>
          <w:color w:val="auto"/>
          <w:highlight w:val="none"/>
          <w:u w:val="single" w:color="auto"/>
        </w:rPr>
        <w:t>（   ）</w:t>
      </w:r>
      <w:r>
        <w:rPr>
          <w:color w:val="auto"/>
          <w:highlight w:val="none"/>
        </w:rPr>
        <w:t>个月内应举行会谈并确定下列事宜的具体实施方案，乙方应提供移交必要的文件、记录、报告等数据，作为移交委员会制定方案的参考：</w:t>
      </w:r>
    </w:p>
    <w:p>
      <w:pPr>
        <w:pStyle w:val="11"/>
        <w:widowControl/>
        <w:numPr>
          <w:ilvl w:val="0"/>
          <w:numId w:val="36"/>
        </w:numPr>
        <w:tabs>
          <w:tab w:val="left" w:pos="1080"/>
        </w:tabs>
        <w:topLinePunct w:val="0"/>
        <w:ind w:left="0" w:leftChars="0" w:firstLine="480" w:firstLineChars="200"/>
        <w:rPr>
          <w:b w:val="0"/>
          <w:color w:val="auto"/>
          <w:highlight w:val="none"/>
        </w:rPr>
      </w:pPr>
      <w:r>
        <w:rPr>
          <w:color w:val="auto"/>
          <w:highlight w:val="none"/>
        </w:rPr>
        <w:t>项目设施移交的详尽程序；</w:t>
      </w:r>
    </w:p>
    <w:p>
      <w:pPr>
        <w:pStyle w:val="11"/>
        <w:widowControl/>
        <w:numPr>
          <w:ilvl w:val="0"/>
          <w:numId w:val="36"/>
        </w:numPr>
        <w:tabs>
          <w:tab w:val="left" w:pos="1080"/>
        </w:tabs>
        <w:topLinePunct w:val="0"/>
        <w:ind w:left="0" w:leftChars="0" w:firstLine="480" w:firstLineChars="200"/>
        <w:rPr>
          <w:b w:val="0"/>
          <w:color w:val="auto"/>
          <w:highlight w:val="none"/>
        </w:rPr>
      </w:pPr>
      <w:r>
        <w:rPr>
          <w:color w:val="auto"/>
          <w:highlight w:val="none"/>
        </w:rPr>
        <w:t>最后恢复性大修计划；</w:t>
      </w:r>
    </w:p>
    <w:p>
      <w:pPr>
        <w:pStyle w:val="11"/>
        <w:widowControl/>
        <w:numPr>
          <w:ilvl w:val="0"/>
          <w:numId w:val="36"/>
        </w:numPr>
        <w:tabs>
          <w:tab w:val="left" w:pos="1080"/>
        </w:tabs>
        <w:topLinePunct w:val="0"/>
        <w:ind w:left="0" w:leftChars="0" w:firstLine="480" w:firstLineChars="200"/>
        <w:rPr>
          <w:b w:val="0"/>
          <w:color w:val="auto"/>
          <w:highlight w:val="none"/>
        </w:rPr>
      </w:pPr>
      <w:r>
        <w:rPr>
          <w:color w:val="auto"/>
          <w:highlight w:val="none"/>
        </w:rPr>
        <w:t>商定移交项目设施清单；</w:t>
      </w:r>
    </w:p>
    <w:p>
      <w:pPr>
        <w:pStyle w:val="11"/>
        <w:widowControl/>
        <w:numPr>
          <w:ilvl w:val="0"/>
          <w:numId w:val="36"/>
        </w:numPr>
        <w:tabs>
          <w:tab w:val="left" w:pos="1080"/>
        </w:tabs>
        <w:topLinePunct w:val="0"/>
        <w:ind w:left="0" w:leftChars="0" w:firstLine="480" w:firstLineChars="200"/>
        <w:rPr>
          <w:b w:val="0"/>
          <w:color w:val="auto"/>
          <w:highlight w:val="none"/>
        </w:rPr>
      </w:pPr>
      <w:r>
        <w:rPr>
          <w:color w:val="auto"/>
          <w:highlight w:val="none"/>
        </w:rPr>
        <w:t>项目移交验收标准；</w:t>
      </w:r>
    </w:p>
    <w:p>
      <w:pPr>
        <w:pStyle w:val="11"/>
        <w:widowControl/>
        <w:numPr>
          <w:ilvl w:val="0"/>
          <w:numId w:val="36"/>
        </w:numPr>
        <w:tabs>
          <w:tab w:val="left" w:pos="1080"/>
        </w:tabs>
        <w:topLinePunct w:val="0"/>
        <w:ind w:left="0" w:leftChars="0" w:firstLine="480" w:firstLineChars="200"/>
        <w:rPr>
          <w:b w:val="0"/>
          <w:color w:val="auto"/>
          <w:highlight w:val="none"/>
        </w:rPr>
      </w:pPr>
      <w:r>
        <w:rPr>
          <w:color w:val="auto"/>
          <w:highlight w:val="none"/>
        </w:rPr>
        <w:t>移交仪式的准备。</w:t>
      </w:r>
    </w:p>
    <w:p>
      <w:pPr>
        <w:pStyle w:val="2"/>
        <w:widowControl/>
        <w:numPr>
          <w:ilvl w:val="0"/>
          <w:numId w:val="0"/>
        </w:numPr>
        <w:tabs>
          <w:tab w:val="left" w:pos="1267"/>
        </w:tabs>
        <w:ind w:left="0" w:leftChars="0" w:firstLine="482" w:firstLineChars="200"/>
        <w:outlineLvl w:val="1"/>
        <w:rPr>
          <w:b/>
          <w:color w:val="auto"/>
          <w:highlight w:val="none"/>
        </w:rPr>
      </w:pPr>
      <w:r>
        <w:rPr>
          <w:rFonts w:hint="default" w:ascii="宋体" w:hAnsi="宋体" w:eastAsia="宋体" w:cs="宋体"/>
          <w:b/>
          <w:bCs/>
          <w:snapToGrid w:val="0"/>
          <w:color w:val="auto"/>
          <w:kern w:val="44"/>
          <w:sz w:val="24"/>
          <w:szCs w:val="30"/>
          <w:highlight w:val="none"/>
          <w:lang w:val="en-US" w:eastAsia="en-US" w:bidi="ar-SA"/>
        </w:rPr>
        <w:t>1</w:t>
      </w:r>
      <w:r>
        <w:rPr>
          <w:rFonts w:hint="eastAsia" w:cs="宋体"/>
          <w:b/>
          <w:bCs/>
          <w:snapToGrid w:val="0"/>
          <w:color w:val="auto"/>
          <w:kern w:val="44"/>
          <w:sz w:val="24"/>
          <w:szCs w:val="30"/>
          <w:highlight w:val="none"/>
          <w:lang w:val="en-US" w:eastAsia="zh-CN" w:bidi="ar-SA"/>
        </w:rPr>
        <w:t>1</w:t>
      </w:r>
      <w:r>
        <w:rPr>
          <w:rFonts w:hint="default" w:ascii="宋体" w:hAnsi="宋体" w:eastAsia="宋体" w:cs="宋体"/>
          <w:b/>
          <w:bCs/>
          <w:snapToGrid w:val="0"/>
          <w:color w:val="auto"/>
          <w:kern w:val="44"/>
          <w:sz w:val="24"/>
          <w:szCs w:val="30"/>
          <w:highlight w:val="none"/>
          <w:lang w:val="en-US" w:eastAsia="en-US" w:bidi="ar-SA"/>
        </w:rPr>
        <w:t>.4.</w:t>
      </w:r>
      <w:r>
        <w:rPr>
          <w:color w:val="auto"/>
          <w:highlight w:val="none"/>
        </w:rPr>
        <w:t>最后恢复性大修</w:t>
      </w:r>
    </w:p>
    <w:p>
      <w:pPr>
        <w:pStyle w:val="3"/>
        <w:widowControl/>
        <w:numPr>
          <w:ilvl w:val="0"/>
          <w:numId w:val="37"/>
        </w:numPr>
        <w:tabs>
          <w:tab w:val="left" w:pos="1153"/>
        </w:tabs>
        <w:topLinePunct w:val="0"/>
        <w:ind w:left="0" w:leftChars="0" w:firstLine="482" w:firstLineChars="200"/>
        <w:outlineLvl w:val="2"/>
        <w:rPr>
          <w:b/>
          <w:color w:val="auto"/>
          <w:highlight w:val="none"/>
        </w:rPr>
      </w:pPr>
      <w:r>
        <w:rPr>
          <w:color w:val="auto"/>
          <w:highlight w:val="none"/>
        </w:rPr>
        <w:t>最后恢复性大修的时间</w:t>
      </w:r>
    </w:p>
    <w:p>
      <w:pPr>
        <w:pStyle w:val="11"/>
        <w:widowControl/>
        <w:ind w:left="0" w:leftChars="0" w:firstLine="480" w:firstLineChars="200"/>
        <w:rPr>
          <w:color w:val="auto"/>
          <w:highlight w:val="none"/>
        </w:rPr>
      </w:pPr>
      <w:r>
        <w:rPr>
          <w:color w:val="auto"/>
          <w:highlight w:val="none"/>
        </w:rPr>
        <w:t>在移交日之前不早于</w:t>
      </w:r>
      <w:r>
        <w:rPr>
          <w:color w:val="auto"/>
          <w:highlight w:val="none"/>
          <w:u w:val="single" w:color="auto"/>
        </w:rPr>
        <w:t>（   ）</w:t>
      </w:r>
      <w:r>
        <w:rPr>
          <w:color w:val="auto"/>
          <w:highlight w:val="none"/>
        </w:rPr>
        <w:t>个月，乙方应对项目设施进行一次最后恢复性大修，但此大修应不迟于移交日前</w:t>
      </w:r>
      <w:r>
        <w:rPr>
          <w:color w:val="auto"/>
          <w:highlight w:val="none"/>
          <w:u w:val="single" w:color="auto"/>
        </w:rPr>
        <w:t>（   ）</w:t>
      </w:r>
      <w:r>
        <w:rPr>
          <w:color w:val="auto"/>
          <w:highlight w:val="none"/>
        </w:rPr>
        <w:t>个月完成。大修的具体时间和内容应于移交日前由移交委员会核准。</w:t>
      </w:r>
    </w:p>
    <w:p>
      <w:pPr>
        <w:pStyle w:val="3"/>
        <w:widowControl/>
        <w:numPr>
          <w:ilvl w:val="0"/>
          <w:numId w:val="37"/>
        </w:numPr>
        <w:tabs>
          <w:tab w:val="left" w:pos="1153"/>
        </w:tabs>
        <w:topLinePunct w:val="0"/>
        <w:ind w:left="0" w:leftChars="0" w:firstLine="482" w:firstLineChars="200"/>
        <w:outlineLvl w:val="2"/>
        <w:rPr>
          <w:b/>
          <w:color w:val="auto"/>
          <w:highlight w:val="none"/>
        </w:rPr>
      </w:pPr>
      <w:r>
        <w:rPr>
          <w:color w:val="auto"/>
          <w:highlight w:val="none"/>
        </w:rPr>
        <w:t>最后恢复性大修的内容</w:t>
      </w:r>
    </w:p>
    <w:p>
      <w:pPr>
        <w:pStyle w:val="11"/>
        <w:widowControl/>
        <w:ind w:left="0" w:leftChars="0" w:firstLine="480" w:firstLineChars="200"/>
        <w:rPr>
          <w:color w:val="auto"/>
          <w:highlight w:val="none"/>
        </w:rPr>
      </w:pPr>
      <w:r>
        <w:rPr>
          <w:color w:val="auto"/>
          <w:highlight w:val="none"/>
        </w:rPr>
        <w:t>恢复性大修的内容包括但不限于：检修项目资产实际存在的缺陷，包括但不限于设施设备、建筑物、构筑物等；核查设备制造厂商的手册提出的标准项目；检修、探伤、检测及易损易耗件更换等； 甲方合理提出的其他检修项目。</w:t>
      </w:r>
    </w:p>
    <w:p>
      <w:pPr>
        <w:pStyle w:val="3"/>
        <w:widowControl/>
        <w:numPr>
          <w:ilvl w:val="0"/>
          <w:numId w:val="37"/>
        </w:numPr>
        <w:tabs>
          <w:tab w:val="left" w:pos="1153"/>
        </w:tabs>
        <w:topLinePunct w:val="0"/>
        <w:ind w:left="0" w:leftChars="0" w:firstLine="482" w:firstLineChars="200"/>
        <w:outlineLvl w:val="2"/>
        <w:rPr>
          <w:b/>
          <w:color w:val="auto"/>
          <w:highlight w:val="none"/>
        </w:rPr>
      </w:pPr>
      <w:r>
        <w:rPr>
          <w:color w:val="auto"/>
          <w:highlight w:val="none"/>
        </w:rPr>
        <w:t>最后恢复性大修的费用计入运营维护成本。</w:t>
      </w:r>
    </w:p>
    <w:p>
      <w:pPr>
        <w:pStyle w:val="2"/>
        <w:widowControl/>
        <w:numPr>
          <w:ilvl w:val="0"/>
          <w:numId w:val="0"/>
        </w:numPr>
        <w:tabs>
          <w:tab w:val="left" w:pos="1267"/>
        </w:tabs>
        <w:ind w:left="0" w:leftChars="0" w:firstLine="482" w:firstLineChars="200"/>
        <w:outlineLvl w:val="1"/>
        <w:rPr>
          <w:b/>
          <w:color w:val="auto"/>
          <w:highlight w:val="none"/>
        </w:rPr>
      </w:pPr>
      <w:r>
        <w:rPr>
          <w:rFonts w:hint="eastAsia" w:cs="宋体"/>
          <w:b/>
          <w:bCs/>
          <w:snapToGrid w:val="0"/>
          <w:color w:val="auto"/>
          <w:kern w:val="44"/>
          <w:sz w:val="24"/>
          <w:szCs w:val="30"/>
          <w:highlight w:val="none"/>
          <w:lang w:val="en-US" w:eastAsia="zh-CN" w:bidi="ar-SA"/>
        </w:rPr>
        <w:t>11</w:t>
      </w:r>
      <w:r>
        <w:rPr>
          <w:rFonts w:hint="default" w:ascii="宋体" w:hAnsi="宋体" w:eastAsia="宋体" w:cs="宋体"/>
          <w:b/>
          <w:bCs/>
          <w:snapToGrid w:val="0"/>
          <w:color w:val="auto"/>
          <w:kern w:val="44"/>
          <w:sz w:val="24"/>
          <w:szCs w:val="30"/>
          <w:highlight w:val="none"/>
          <w:lang w:val="en-US" w:eastAsia="en-US" w:bidi="ar-SA"/>
        </w:rPr>
        <w:t>.5.</w:t>
      </w:r>
      <w:r>
        <w:rPr>
          <w:color w:val="auto"/>
          <w:highlight w:val="none"/>
        </w:rPr>
        <w:t>验收与测评</w:t>
      </w:r>
    </w:p>
    <w:p>
      <w:pPr>
        <w:pStyle w:val="3"/>
        <w:widowControl/>
        <w:numPr>
          <w:ilvl w:val="0"/>
          <w:numId w:val="38"/>
        </w:numPr>
        <w:tabs>
          <w:tab w:val="left" w:pos="1145"/>
        </w:tabs>
        <w:topLinePunct w:val="0"/>
        <w:ind w:left="0" w:leftChars="0" w:firstLine="482" w:firstLineChars="200"/>
        <w:outlineLvl w:val="2"/>
        <w:rPr>
          <w:b/>
          <w:color w:val="auto"/>
          <w:highlight w:val="none"/>
        </w:rPr>
      </w:pPr>
      <w:r>
        <w:rPr>
          <w:color w:val="auto"/>
          <w:highlight w:val="none"/>
        </w:rPr>
        <w:t>验收</w:t>
      </w:r>
    </w:p>
    <w:p>
      <w:pPr>
        <w:pStyle w:val="11"/>
        <w:widowControl/>
        <w:ind w:left="0" w:leftChars="0" w:firstLine="480" w:firstLineChars="200"/>
        <w:rPr>
          <w:color w:val="auto"/>
          <w:highlight w:val="none"/>
        </w:rPr>
      </w:pPr>
      <w:r>
        <w:rPr>
          <w:color w:val="auto"/>
          <w:highlight w:val="none"/>
        </w:rPr>
        <w:t>在移交日之前，移交委员会应依据移交标准对本项目进行移交验收。乙方应确保最后恢复性大修，设备完好率达到国家、省、市标准，厂内构筑物不存在重大破损，通过性能测试。乙方须确保通过恢复性修理使本项目全部设施在移交日的完好率达到95%以上，保证项目设施的正常运 行。若未能达到移交标准，乙方应在</w:t>
      </w:r>
      <w:r>
        <w:rPr>
          <w:color w:val="auto"/>
          <w:highlight w:val="none"/>
          <w:u w:val="single" w:color="auto"/>
        </w:rPr>
        <w:t>（   ）</w:t>
      </w:r>
      <w:r>
        <w:rPr>
          <w:color w:val="auto"/>
          <w:highlight w:val="none"/>
        </w:rPr>
        <w:t xml:space="preserve"> 日或双方同意的更长时间内修复项目设施缺陷，到期仍无法修复的，甲方可以自行或委托第三方进行修复，相关费用由乙方承担，同时乙方应向甲方支付与维修费用等额的违约金。以上费用及违约金可在移交保函中提取。</w:t>
      </w:r>
    </w:p>
    <w:p>
      <w:pPr>
        <w:pStyle w:val="3"/>
        <w:widowControl/>
        <w:numPr>
          <w:ilvl w:val="0"/>
          <w:numId w:val="38"/>
        </w:numPr>
        <w:tabs>
          <w:tab w:val="left" w:pos="1145"/>
        </w:tabs>
        <w:topLinePunct w:val="0"/>
        <w:ind w:left="0" w:leftChars="0" w:firstLine="482" w:firstLineChars="200"/>
        <w:outlineLvl w:val="2"/>
        <w:rPr>
          <w:b/>
          <w:color w:val="auto"/>
          <w:highlight w:val="none"/>
        </w:rPr>
      </w:pPr>
      <w:r>
        <w:rPr>
          <w:color w:val="auto"/>
          <w:highlight w:val="none"/>
        </w:rPr>
        <w:t>测评</w:t>
      </w:r>
    </w:p>
    <w:p>
      <w:pPr>
        <w:pStyle w:val="11"/>
        <w:widowControl/>
        <w:ind w:left="0" w:leftChars="0" w:firstLine="480" w:firstLineChars="200"/>
        <w:rPr>
          <w:color w:val="auto"/>
          <w:highlight w:val="none"/>
        </w:rPr>
      </w:pPr>
      <w:r>
        <w:rPr>
          <w:color w:val="auto"/>
          <w:highlight w:val="none"/>
        </w:rPr>
        <w:t>如任一方对是否达到移交标准有异议的，则由移交委员会聘请第三方机构进行评定和测试。如果评测结果达到移交标准，聘请第三方机构的费用由甲方承担；如果评测结果未达到移交标准，则聘请第三方机构的费用由乙方承担。</w:t>
      </w:r>
    </w:p>
    <w:p>
      <w:pPr>
        <w:pStyle w:val="2"/>
        <w:widowControl/>
        <w:numPr>
          <w:ilvl w:val="0"/>
          <w:numId w:val="0"/>
        </w:numPr>
        <w:tabs>
          <w:tab w:val="left" w:pos="1267"/>
        </w:tabs>
        <w:ind w:left="0" w:leftChars="0" w:firstLine="482" w:firstLineChars="200"/>
        <w:outlineLvl w:val="1"/>
        <w:rPr>
          <w:b/>
          <w:color w:val="auto"/>
          <w:highlight w:val="none"/>
        </w:rPr>
      </w:pPr>
      <w:r>
        <w:rPr>
          <w:rFonts w:hint="default" w:ascii="宋体" w:hAnsi="宋体" w:eastAsia="宋体" w:cs="宋体"/>
          <w:b/>
          <w:bCs/>
          <w:snapToGrid w:val="0"/>
          <w:color w:val="auto"/>
          <w:kern w:val="44"/>
          <w:sz w:val="24"/>
          <w:szCs w:val="30"/>
          <w:highlight w:val="none"/>
          <w:lang w:val="en-US" w:eastAsia="en-US" w:bidi="ar-SA"/>
        </w:rPr>
        <w:t>1</w:t>
      </w:r>
      <w:r>
        <w:rPr>
          <w:rFonts w:hint="eastAsia" w:cs="宋体"/>
          <w:b/>
          <w:bCs/>
          <w:snapToGrid w:val="0"/>
          <w:color w:val="auto"/>
          <w:kern w:val="44"/>
          <w:sz w:val="24"/>
          <w:szCs w:val="30"/>
          <w:highlight w:val="none"/>
          <w:lang w:val="en-US" w:eastAsia="zh-CN" w:bidi="ar-SA"/>
        </w:rPr>
        <w:t>1</w:t>
      </w:r>
      <w:r>
        <w:rPr>
          <w:rFonts w:hint="default" w:ascii="宋体" w:hAnsi="宋体" w:eastAsia="宋体" w:cs="宋体"/>
          <w:b/>
          <w:bCs/>
          <w:snapToGrid w:val="0"/>
          <w:color w:val="auto"/>
          <w:kern w:val="44"/>
          <w:sz w:val="24"/>
          <w:szCs w:val="30"/>
          <w:highlight w:val="none"/>
          <w:lang w:val="en-US" w:eastAsia="en-US" w:bidi="ar-SA"/>
        </w:rPr>
        <w:t>.6.</w:t>
      </w:r>
      <w:r>
        <w:rPr>
          <w:color w:val="auto"/>
          <w:highlight w:val="none"/>
        </w:rPr>
        <w:t>保险、技术、运营协议等的转让</w:t>
      </w:r>
    </w:p>
    <w:p>
      <w:pPr>
        <w:pStyle w:val="3"/>
        <w:widowControl/>
        <w:numPr>
          <w:ilvl w:val="0"/>
          <w:numId w:val="39"/>
        </w:numPr>
        <w:tabs>
          <w:tab w:val="left" w:pos="1149"/>
        </w:tabs>
        <w:topLinePunct w:val="0"/>
        <w:ind w:left="0" w:leftChars="0" w:firstLine="482" w:firstLineChars="200"/>
        <w:outlineLvl w:val="2"/>
        <w:rPr>
          <w:b/>
          <w:color w:val="auto"/>
          <w:highlight w:val="none"/>
        </w:rPr>
      </w:pPr>
      <w:r>
        <w:rPr>
          <w:color w:val="auto"/>
          <w:highlight w:val="none"/>
        </w:rPr>
        <w:t>保险转让</w:t>
      </w:r>
    </w:p>
    <w:p>
      <w:pPr>
        <w:pStyle w:val="11"/>
        <w:widowControl/>
        <w:ind w:left="0" w:leftChars="0" w:firstLine="480" w:firstLineChars="200"/>
        <w:rPr>
          <w:color w:val="auto"/>
          <w:highlight w:val="none"/>
        </w:rPr>
      </w:pPr>
      <w:r>
        <w:rPr>
          <w:color w:val="auto"/>
          <w:highlight w:val="none"/>
        </w:rPr>
        <w:t>在移交时，乙方应将所有保险单、暂保单和保险单批单转让给甲方。甲方应支付或退还上述移交之后保险期间的保险费。</w:t>
      </w:r>
    </w:p>
    <w:p>
      <w:pPr>
        <w:pStyle w:val="3"/>
        <w:widowControl/>
        <w:numPr>
          <w:ilvl w:val="0"/>
          <w:numId w:val="39"/>
        </w:numPr>
        <w:tabs>
          <w:tab w:val="left" w:pos="1149"/>
        </w:tabs>
        <w:topLinePunct w:val="0"/>
        <w:ind w:left="0" w:leftChars="0" w:firstLine="482" w:firstLineChars="200"/>
        <w:outlineLvl w:val="2"/>
        <w:rPr>
          <w:b/>
          <w:color w:val="auto"/>
          <w:highlight w:val="none"/>
        </w:rPr>
      </w:pPr>
      <w:r>
        <w:rPr>
          <w:color w:val="auto"/>
          <w:highlight w:val="none"/>
        </w:rPr>
        <w:t>技术转让</w:t>
      </w:r>
    </w:p>
    <w:p>
      <w:pPr>
        <w:pStyle w:val="11"/>
        <w:widowControl/>
        <w:ind w:left="0" w:leftChars="0" w:firstLine="480" w:firstLineChars="200"/>
        <w:rPr>
          <w:color w:val="auto"/>
          <w:highlight w:val="none"/>
        </w:rPr>
      </w:pPr>
      <w:r>
        <w:rPr>
          <w:color w:val="auto"/>
          <w:highlight w:val="none"/>
        </w:rPr>
        <w:t>乙方应向甲方移交乙方在运营期间形成的一切商标、专利、软件、版权、专有技术及所有知识产权或无形资产的文件。项目移交时，应确保甲方不会因为使用该技术而遭受任何侵权索赔。若相关技术为第三方所有，乙方应在与第三方签署技术授权协议时即与第三方明确约定，同意乙方在项目移交时将技术授权协议转让给甲方。甲方将无偿拥有该等知识产权或无形资产的使用权和收益权，</w:t>
      </w:r>
      <w:r>
        <w:rPr>
          <w:rFonts w:hint="eastAsia"/>
          <w:color w:val="auto"/>
          <w:highlight w:val="none"/>
          <w:lang w:eastAsia="zh-CN"/>
        </w:rPr>
        <w:t>且</w:t>
      </w:r>
      <w:r>
        <w:rPr>
          <w:color w:val="auto"/>
          <w:highlight w:val="none"/>
        </w:rPr>
        <w:t>有权将该等知识产权用于本项目及项目的扩建工程，而乙方仍为知识产权的所有权人。若所涉技术为第三方所有，该技术的使用权在移交日前已经期满或即将期满的，乙方有义务协助甲方取得该技术的使用权。</w:t>
      </w:r>
    </w:p>
    <w:p>
      <w:pPr>
        <w:pStyle w:val="3"/>
        <w:widowControl/>
        <w:numPr>
          <w:ilvl w:val="0"/>
          <w:numId w:val="39"/>
        </w:numPr>
        <w:tabs>
          <w:tab w:val="left" w:pos="1149"/>
        </w:tabs>
        <w:topLinePunct w:val="0"/>
        <w:ind w:left="0" w:leftChars="0" w:firstLine="482" w:firstLineChars="200"/>
        <w:outlineLvl w:val="2"/>
        <w:rPr>
          <w:b/>
          <w:color w:val="auto"/>
          <w:highlight w:val="none"/>
        </w:rPr>
      </w:pPr>
      <w:r>
        <w:rPr>
          <w:color w:val="auto"/>
          <w:highlight w:val="none"/>
        </w:rPr>
        <w:t>运营协议等的转让</w:t>
      </w:r>
    </w:p>
    <w:p>
      <w:pPr>
        <w:pStyle w:val="11"/>
        <w:widowControl/>
        <w:ind w:left="0" w:leftChars="0" w:firstLine="480" w:firstLineChars="200"/>
        <w:rPr>
          <w:color w:val="auto"/>
          <w:highlight w:val="none"/>
        </w:rPr>
      </w:pPr>
      <w:r>
        <w:rPr>
          <w:color w:val="auto"/>
          <w:highlight w:val="none"/>
        </w:rPr>
        <w:t>在本协议终止后，办理移交手续前，乙方应解除或终止其签订的、于移交日仍有效的运营维护协议、设备协议、供货协议及其他协议。对于乙方不再负有协议义务、仅有协议权利的该等协议，乙方应负责与该协议相对方、甲方签订补充协议，约定由甲方无偿承继原协议中乙方应享有的所有权利及资格。甲方对于乙方解除或终止上述协议所发生的任 何费用不负任何责任，同时乙方应确保甲方不因此受到损害。</w:t>
      </w:r>
    </w:p>
    <w:p>
      <w:pPr>
        <w:pStyle w:val="2"/>
        <w:widowControl/>
        <w:numPr>
          <w:ilvl w:val="0"/>
          <w:numId w:val="0"/>
        </w:numPr>
        <w:tabs>
          <w:tab w:val="left" w:pos="1267"/>
        </w:tabs>
        <w:ind w:left="0" w:leftChars="0" w:firstLine="482" w:firstLineChars="200"/>
        <w:outlineLvl w:val="1"/>
        <w:rPr>
          <w:b/>
          <w:color w:val="auto"/>
          <w:highlight w:val="none"/>
        </w:rPr>
      </w:pPr>
      <w:r>
        <w:rPr>
          <w:rFonts w:hint="default" w:ascii="宋体" w:hAnsi="宋体" w:eastAsia="宋体" w:cs="宋体"/>
          <w:b/>
          <w:bCs/>
          <w:snapToGrid w:val="0"/>
          <w:color w:val="auto"/>
          <w:kern w:val="44"/>
          <w:sz w:val="24"/>
          <w:szCs w:val="30"/>
          <w:highlight w:val="none"/>
          <w:lang w:val="en-US" w:eastAsia="en-US" w:bidi="ar-SA"/>
        </w:rPr>
        <w:t>1</w:t>
      </w:r>
      <w:r>
        <w:rPr>
          <w:rFonts w:hint="eastAsia" w:cs="宋体"/>
          <w:b/>
          <w:bCs/>
          <w:snapToGrid w:val="0"/>
          <w:color w:val="auto"/>
          <w:kern w:val="44"/>
          <w:sz w:val="24"/>
          <w:szCs w:val="30"/>
          <w:highlight w:val="none"/>
          <w:lang w:val="en-US" w:eastAsia="zh-CN" w:bidi="ar-SA"/>
        </w:rPr>
        <w:t>1</w:t>
      </w:r>
      <w:r>
        <w:rPr>
          <w:rFonts w:hint="default" w:ascii="宋体" w:hAnsi="宋体" w:eastAsia="宋体" w:cs="宋体"/>
          <w:b/>
          <w:bCs/>
          <w:snapToGrid w:val="0"/>
          <w:color w:val="auto"/>
          <w:kern w:val="44"/>
          <w:sz w:val="24"/>
          <w:szCs w:val="30"/>
          <w:highlight w:val="none"/>
          <w:lang w:val="en-US" w:eastAsia="en-US" w:bidi="ar-SA"/>
        </w:rPr>
        <w:t>.7.</w:t>
      </w:r>
      <w:r>
        <w:rPr>
          <w:color w:val="auto"/>
          <w:highlight w:val="none"/>
        </w:rPr>
        <w:t>移走乙方其他无关物品</w:t>
      </w:r>
    </w:p>
    <w:p>
      <w:pPr>
        <w:pStyle w:val="11"/>
        <w:widowControl/>
        <w:ind w:left="0" w:leftChars="0" w:firstLine="480" w:firstLineChars="200"/>
        <w:rPr>
          <w:color w:val="auto"/>
          <w:highlight w:val="none"/>
        </w:rPr>
      </w:pPr>
      <w:r>
        <w:rPr>
          <w:color w:val="auto"/>
          <w:highlight w:val="none"/>
        </w:rPr>
        <w:t>除非双方另有协议，乙方应于移交日起</w:t>
      </w:r>
      <w:r>
        <w:rPr>
          <w:color w:val="auto"/>
          <w:highlight w:val="none"/>
          <w:u w:val="single" w:color="auto"/>
        </w:rPr>
        <w:t>（   ）</w:t>
      </w:r>
      <w:r>
        <w:rPr>
          <w:color w:val="auto"/>
          <w:highlight w:val="none"/>
        </w:rPr>
        <w:t xml:space="preserve"> 日内，自费从项目场地移走其雇佣的个人用品以及与项目设施的运营维护无关的物品。若乙方在上述时间内未能移走这些物品，甲方在通知乙方后，有权将物品予以处置，乙方承担处置该物品的合理费用和风险。</w:t>
      </w:r>
    </w:p>
    <w:p>
      <w:pPr>
        <w:pStyle w:val="2"/>
        <w:widowControl/>
        <w:numPr>
          <w:ilvl w:val="0"/>
          <w:numId w:val="0"/>
        </w:numPr>
        <w:tabs>
          <w:tab w:val="left" w:pos="1267"/>
        </w:tabs>
        <w:ind w:left="0" w:leftChars="0" w:firstLine="482" w:firstLineChars="200"/>
        <w:outlineLvl w:val="1"/>
        <w:rPr>
          <w:b/>
          <w:color w:val="auto"/>
          <w:highlight w:val="none"/>
        </w:rPr>
      </w:pPr>
      <w:r>
        <w:rPr>
          <w:rFonts w:hint="default" w:ascii="宋体" w:hAnsi="宋体" w:eastAsia="宋体" w:cs="宋体"/>
          <w:b/>
          <w:bCs/>
          <w:snapToGrid w:val="0"/>
          <w:color w:val="auto"/>
          <w:kern w:val="44"/>
          <w:sz w:val="24"/>
          <w:szCs w:val="30"/>
          <w:highlight w:val="none"/>
          <w:lang w:val="en-US" w:eastAsia="en-US" w:bidi="ar-SA"/>
        </w:rPr>
        <w:t>1</w:t>
      </w:r>
      <w:r>
        <w:rPr>
          <w:rFonts w:hint="eastAsia" w:cs="宋体"/>
          <w:b/>
          <w:bCs/>
          <w:snapToGrid w:val="0"/>
          <w:color w:val="auto"/>
          <w:kern w:val="44"/>
          <w:sz w:val="24"/>
          <w:szCs w:val="30"/>
          <w:highlight w:val="none"/>
          <w:lang w:val="en-US" w:eastAsia="zh-CN" w:bidi="ar-SA"/>
        </w:rPr>
        <w:t>1</w:t>
      </w:r>
      <w:r>
        <w:rPr>
          <w:rFonts w:hint="default" w:ascii="宋体" w:hAnsi="宋体" w:eastAsia="宋体" w:cs="宋体"/>
          <w:b/>
          <w:bCs/>
          <w:snapToGrid w:val="0"/>
          <w:color w:val="auto"/>
          <w:kern w:val="44"/>
          <w:sz w:val="24"/>
          <w:szCs w:val="30"/>
          <w:highlight w:val="none"/>
          <w:lang w:val="en-US" w:eastAsia="en-US" w:bidi="ar-SA"/>
        </w:rPr>
        <w:t>.8.</w:t>
      </w:r>
      <w:r>
        <w:rPr>
          <w:color w:val="auto"/>
          <w:highlight w:val="none"/>
        </w:rPr>
        <w:t>风险转移</w:t>
      </w:r>
    </w:p>
    <w:p>
      <w:pPr>
        <w:pStyle w:val="11"/>
        <w:widowControl/>
        <w:ind w:left="0" w:leftChars="0" w:firstLine="480" w:firstLineChars="200"/>
        <w:rPr>
          <w:color w:val="auto"/>
          <w:highlight w:val="none"/>
        </w:rPr>
      </w:pPr>
      <w:r>
        <w:rPr>
          <w:color w:val="auto"/>
          <w:highlight w:val="none"/>
        </w:rPr>
        <w:t>在移交完成前，由乙方承担项目设施的全部或部分损失或损坏的风险，除非该损失或损坏是由甲方的过错或违约所致；在移交完成后，由甲方承担项目设施的全部或部分损失或损坏的风险，但本工程的相关专业服务机构及施工单位仍按法律、法规规定承担工程质保责任。</w:t>
      </w:r>
    </w:p>
    <w:p>
      <w:pPr>
        <w:pStyle w:val="2"/>
        <w:widowControl/>
        <w:numPr>
          <w:ilvl w:val="0"/>
          <w:numId w:val="0"/>
        </w:numPr>
        <w:tabs>
          <w:tab w:val="left" w:pos="1267"/>
        </w:tabs>
        <w:ind w:left="0" w:leftChars="0" w:firstLine="482" w:firstLineChars="200"/>
        <w:outlineLvl w:val="1"/>
        <w:rPr>
          <w:b/>
          <w:color w:val="auto"/>
          <w:highlight w:val="none"/>
        </w:rPr>
      </w:pPr>
      <w:r>
        <w:rPr>
          <w:rFonts w:hint="default" w:ascii="宋体" w:hAnsi="宋体" w:eastAsia="宋体" w:cs="宋体"/>
          <w:b/>
          <w:bCs/>
          <w:snapToGrid w:val="0"/>
          <w:color w:val="auto"/>
          <w:kern w:val="44"/>
          <w:sz w:val="24"/>
          <w:szCs w:val="30"/>
          <w:highlight w:val="none"/>
          <w:lang w:val="en-US" w:eastAsia="en-US" w:bidi="ar-SA"/>
        </w:rPr>
        <w:t>1</w:t>
      </w:r>
      <w:r>
        <w:rPr>
          <w:rFonts w:hint="eastAsia" w:cs="宋体"/>
          <w:b/>
          <w:bCs/>
          <w:snapToGrid w:val="0"/>
          <w:color w:val="auto"/>
          <w:kern w:val="44"/>
          <w:sz w:val="24"/>
          <w:szCs w:val="30"/>
          <w:highlight w:val="none"/>
          <w:lang w:val="en-US" w:eastAsia="zh-CN" w:bidi="ar-SA"/>
        </w:rPr>
        <w:t>1</w:t>
      </w:r>
      <w:r>
        <w:rPr>
          <w:rFonts w:hint="default" w:ascii="宋体" w:hAnsi="宋体" w:eastAsia="宋体" w:cs="宋体"/>
          <w:b/>
          <w:bCs/>
          <w:snapToGrid w:val="0"/>
          <w:color w:val="auto"/>
          <w:kern w:val="44"/>
          <w:sz w:val="24"/>
          <w:szCs w:val="30"/>
          <w:highlight w:val="none"/>
          <w:lang w:val="en-US" w:eastAsia="en-US" w:bidi="ar-SA"/>
        </w:rPr>
        <w:t>.9.</w:t>
      </w:r>
      <w:r>
        <w:rPr>
          <w:color w:val="auto"/>
          <w:highlight w:val="none"/>
        </w:rPr>
        <w:t>移交的税费</w:t>
      </w:r>
    </w:p>
    <w:p>
      <w:pPr>
        <w:pStyle w:val="11"/>
        <w:widowControl/>
        <w:ind w:left="0" w:leftChars="0" w:firstLine="480" w:firstLineChars="200"/>
        <w:rPr>
          <w:color w:val="auto"/>
          <w:highlight w:val="none"/>
        </w:rPr>
      </w:pPr>
      <w:r>
        <w:rPr>
          <w:color w:val="auto"/>
          <w:highlight w:val="none"/>
        </w:rPr>
        <w:t>甲、乙双方各自承担移交的相关税费。如果因为一方违约事件导致项目终止而需要提前移交，由违约方承担移交税费。</w:t>
      </w:r>
    </w:p>
    <w:p>
      <w:pPr>
        <w:pStyle w:val="2"/>
        <w:widowControl/>
        <w:numPr>
          <w:ilvl w:val="0"/>
          <w:numId w:val="0"/>
        </w:numPr>
        <w:tabs>
          <w:tab w:val="left" w:pos="1267"/>
        </w:tabs>
        <w:ind w:left="0" w:leftChars="0" w:firstLine="482" w:firstLineChars="200"/>
        <w:outlineLvl w:val="1"/>
        <w:rPr>
          <w:b/>
          <w:color w:val="auto"/>
          <w:highlight w:val="none"/>
        </w:rPr>
      </w:pPr>
      <w:r>
        <w:rPr>
          <w:rFonts w:hint="default" w:ascii="宋体" w:hAnsi="宋体" w:eastAsia="宋体" w:cs="宋体"/>
          <w:b/>
          <w:bCs/>
          <w:snapToGrid w:val="0"/>
          <w:color w:val="auto"/>
          <w:kern w:val="44"/>
          <w:sz w:val="24"/>
          <w:szCs w:val="30"/>
          <w:highlight w:val="none"/>
          <w:lang w:val="en-US" w:eastAsia="en-US" w:bidi="ar-SA"/>
        </w:rPr>
        <w:t>1</w:t>
      </w:r>
      <w:r>
        <w:rPr>
          <w:rFonts w:hint="eastAsia" w:cs="宋体"/>
          <w:b/>
          <w:bCs/>
          <w:snapToGrid w:val="0"/>
          <w:color w:val="auto"/>
          <w:kern w:val="44"/>
          <w:sz w:val="24"/>
          <w:szCs w:val="30"/>
          <w:highlight w:val="none"/>
          <w:lang w:val="en-US" w:eastAsia="zh-CN" w:bidi="ar-SA"/>
        </w:rPr>
        <w:t>1</w:t>
      </w:r>
      <w:r>
        <w:rPr>
          <w:rFonts w:hint="default" w:ascii="宋体" w:hAnsi="宋体" w:eastAsia="宋体" w:cs="宋体"/>
          <w:b/>
          <w:bCs/>
          <w:snapToGrid w:val="0"/>
          <w:color w:val="auto"/>
          <w:kern w:val="44"/>
          <w:sz w:val="24"/>
          <w:szCs w:val="30"/>
          <w:highlight w:val="none"/>
          <w:lang w:val="en-US" w:eastAsia="en-US" w:bidi="ar-SA"/>
        </w:rPr>
        <w:t>.10.</w:t>
      </w:r>
      <w:r>
        <w:rPr>
          <w:color w:val="auto"/>
          <w:highlight w:val="none"/>
        </w:rPr>
        <w:t>提前终止移交的特殊约定</w:t>
      </w:r>
    </w:p>
    <w:p>
      <w:pPr>
        <w:pStyle w:val="11"/>
        <w:widowControl/>
        <w:numPr>
          <w:ilvl w:val="0"/>
          <w:numId w:val="40"/>
        </w:numPr>
        <w:tabs>
          <w:tab w:val="left" w:pos="1080"/>
        </w:tabs>
        <w:topLinePunct w:val="0"/>
        <w:ind w:left="0" w:leftChars="0" w:firstLine="480" w:firstLineChars="200"/>
        <w:rPr>
          <w:b w:val="0"/>
          <w:color w:val="auto"/>
          <w:highlight w:val="none"/>
        </w:rPr>
      </w:pPr>
      <w:r>
        <w:rPr>
          <w:color w:val="auto"/>
          <w:highlight w:val="none"/>
        </w:rPr>
        <w:t>在合作期内，若发生本协议约定的提前终止事由，乙方应自发出或收到提前终止通知之日起</w:t>
      </w:r>
      <w:r>
        <w:rPr>
          <w:color w:val="auto"/>
          <w:highlight w:val="none"/>
          <w:u w:val="single" w:color="auto"/>
        </w:rPr>
        <w:t>（   ）</w:t>
      </w:r>
      <w:r>
        <w:rPr>
          <w:color w:val="auto"/>
          <w:highlight w:val="none"/>
        </w:rPr>
        <w:t xml:space="preserve"> 日内制作项目设施清单报送甲方。甲方应于收到乙方报送的项目设施清单之日起</w:t>
      </w:r>
      <w:r>
        <w:rPr>
          <w:color w:val="auto"/>
          <w:highlight w:val="none"/>
          <w:u w:val="single" w:color="auto"/>
        </w:rPr>
        <w:t>（    ）</w:t>
      </w:r>
      <w:r>
        <w:rPr>
          <w:color w:val="auto"/>
          <w:highlight w:val="none"/>
        </w:rPr>
        <w:t xml:space="preserve"> 日内与乙方共同确定移交日，如甲乙双方无法就移交日达成一致的，则依据本协议的争议解决条款处理。</w:t>
      </w:r>
    </w:p>
    <w:p>
      <w:pPr>
        <w:pStyle w:val="11"/>
        <w:widowControl/>
        <w:numPr>
          <w:ilvl w:val="0"/>
          <w:numId w:val="40"/>
        </w:numPr>
        <w:tabs>
          <w:tab w:val="left" w:pos="1080"/>
        </w:tabs>
        <w:topLinePunct w:val="0"/>
        <w:ind w:left="0" w:leftChars="0" w:firstLine="480" w:firstLineChars="200"/>
        <w:rPr>
          <w:b w:val="0"/>
          <w:color w:val="auto"/>
          <w:highlight w:val="none"/>
        </w:rPr>
      </w:pPr>
      <w:r>
        <w:rPr>
          <w:color w:val="auto"/>
          <w:highlight w:val="none"/>
        </w:rPr>
        <w:t>若在建设期内本协议提前终止，乙方所有的供建设运营本项目之用且为继续建设运营本项目所必需的资产及在建工程均应当列入移交范围。</w:t>
      </w:r>
    </w:p>
    <w:p>
      <w:pPr>
        <w:pStyle w:val="11"/>
        <w:widowControl/>
        <w:numPr>
          <w:ilvl w:val="0"/>
          <w:numId w:val="40"/>
        </w:numPr>
        <w:tabs>
          <w:tab w:val="left" w:pos="1080"/>
        </w:tabs>
        <w:topLinePunct w:val="0"/>
        <w:ind w:left="0" w:leftChars="0" w:firstLine="480" w:firstLineChars="200"/>
        <w:rPr>
          <w:b w:val="0"/>
          <w:color w:val="auto"/>
          <w:highlight w:val="none"/>
        </w:rPr>
      </w:pPr>
      <w:r>
        <w:rPr>
          <w:color w:val="auto"/>
          <w:highlight w:val="none"/>
        </w:rPr>
        <w:t>若在运营期内本协议提前终止，项目资产均应列入移交范围。若非属于项目资产，但可以辅助或加强运营效能的，甲方可向乙方协商购买（但计入建设、运营成本的除外）。</w:t>
      </w:r>
    </w:p>
    <w:p>
      <w:pPr>
        <w:pStyle w:val="2"/>
        <w:widowControl/>
        <w:numPr>
          <w:ilvl w:val="0"/>
          <w:numId w:val="0"/>
        </w:numPr>
        <w:tabs>
          <w:tab w:val="left" w:pos="1267"/>
        </w:tabs>
        <w:ind w:left="0" w:leftChars="0" w:firstLine="482" w:firstLineChars="200"/>
        <w:outlineLvl w:val="1"/>
        <w:rPr>
          <w:b/>
          <w:color w:val="auto"/>
          <w:highlight w:val="none"/>
        </w:rPr>
      </w:pPr>
      <w:r>
        <w:rPr>
          <w:rFonts w:hint="default" w:ascii="宋体" w:hAnsi="宋体" w:eastAsia="宋体" w:cs="宋体"/>
          <w:b/>
          <w:bCs/>
          <w:snapToGrid w:val="0"/>
          <w:color w:val="auto"/>
          <w:kern w:val="44"/>
          <w:sz w:val="24"/>
          <w:szCs w:val="30"/>
          <w:highlight w:val="none"/>
          <w:lang w:val="en-US" w:eastAsia="en-US" w:bidi="ar-SA"/>
        </w:rPr>
        <w:t>1</w:t>
      </w:r>
      <w:r>
        <w:rPr>
          <w:rFonts w:hint="eastAsia" w:cs="宋体"/>
          <w:b/>
          <w:bCs/>
          <w:snapToGrid w:val="0"/>
          <w:color w:val="auto"/>
          <w:kern w:val="44"/>
          <w:sz w:val="24"/>
          <w:szCs w:val="30"/>
          <w:highlight w:val="none"/>
          <w:lang w:val="en-US" w:eastAsia="zh-CN" w:bidi="ar-SA"/>
        </w:rPr>
        <w:t>1</w:t>
      </w:r>
      <w:r>
        <w:rPr>
          <w:rFonts w:hint="default" w:ascii="宋体" w:hAnsi="宋体" w:eastAsia="宋体" w:cs="宋体"/>
          <w:b/>
          <w:bCs/>
          <w:snapToGrid w:val="0"/>
          <w:color w:val="auto"/>
          <w:kern w:val="44"/>
          <w:sz w:val="24"/>
          <w:szCs w:val="30"/>
          <w:highlight w:val="none"/>
          <w:lang w:val="en-US" w:eastAsia="en-US" w:bidi="ar-SA"/>
        </w:rPr>
        <w:t>.11.</w:t>
      </w:r>
      <w:r>
        <w:rPr>
          <w:color w:val="auto"/>
          <w:highlight w:val="none"/>
        </w:rPr>
        <w:t>移交缺陷责任期</w:t>
      </w:r>
    </w:p>
    <w:p>
      <w:pPr>
        <w:pStyle w:val="11"/>
        <w:widowControl/>
        <w:ind w:left="0" w:leftChars="0" w:firstLine="480" w:firstLineChars="200"/>
        <w:rPr>
          <w:color w:val="auto"/>
          <w:highlight w:val="none"/>
        </w:rPr>
      </w:pPr>
      <w:r>
        <w:rPr>
          <w:color w:val="auto"/>
          <w:highlight w:val="none"/>
        </w:rPr>
        <w:t>项目移交完成后的缺陷责任期为</w:t>
      </w:r>
      <w:r>
        <w:rPr>
          <w:color w:val="auto"/>
          <w:highlight w:val="none"/>
          <w:u w:val="single" w:color="auto"/>
        </w:rPr>
        <w:t>【    】</w:t>
      </w:r>
      <w:r>
        <w:rPr>
          <w:color w:val="auto"/>
          <w:highlight w:val="none"/>
        </w:rPr>
        <w:t>年。若在移交缺陷责任期内发生质量问题，乙方应履行维修义务并承担相应维修费用，否则甲方有权将该部分维修费用在移交保函中扣除。</w:t>
      </w:r>
    </w:p>
    <w:p>
      <w:pPr>
        <w:pStyle w:val="23"/>
        <w:widowControl/>
        <w:numPr>
          <w:ilvl w:val="0"/>
          <w:numId w:val="1"/>
        </w:numPr>
        <w:tabs>
          <w:tab w:val="left" w:pos="1731"/>
          <w:tab w:val="clear" w:pos="210"/>
        </w:tabs>
        <w:ind w:left="0" w:leftChars="0" w:firstLine="600" w:firstLineChars="200"/>
        <w:outlineLvl w:val="0"/>
        <w:rPr>
          <w:b w:val="0"/>
          <w:color w:val="auto"/>
          <w:highlight w:val="none"/>
        </w:rPr>
      </w:pPr>
      <w:bookmarkStart w:id="47" w:name="bookmark40"/>
      <w:bookmarkEnd w:id="47"/>
      <w:bookmarkStart w:id="48" w:name="bookmark41"/>
      <w:bookmarkEnd w:id="48"/>
      <w:bookmarkStart w:id="49" w:name="_Toc4970"/>
      <w:r>
        <w:rPr>
          <w:color w:val="auto"/>
          <w:highlight w:val="none"/>
        </w:rPr>
        <w:t>协议终止及补偿</w:t>
      </w:r>
      <w:bookmarkEnd w:id="49"/>
    </w:p>
    <w:p>
      <w:pPr>
        <w:pStyle w:val="2"/>
        <w:widowControl/>
        <w:numPr>
          <w:ilvl w:val="0"/>
          <w:numId w:val="0"/>
        </w:numPr>
        <w:tabs>
          <w:tab w:val="left" w:pos="1275"/>
        </w:tabs>
        <w:ind w:left="0" w:leftChars="0" w:firstLine="482" w:firstLineChars="200"/>
        <w:outlineLvl w:val="1"/>
        <w:rPr>
          <w:b/>
          <w:color w:val="auto"/>
          <w:highlight w:val="none"/>
        </w:rPr>
      </w:pPr>
      <w:r>
        <w:rPr>
          <w:rFonts w:hint="eastAsia" w:cs="宋体"/>
          <w:b/>
          <w:bCs/>
          <w:snapToGrid w:val="0"/>
          <w:color w:val="auto"/>
          <w:kern w:val="44"/>
          <w:sz w:val="24"/>
          <w:szCs w:val="30"/>
          <w:highlight w:val="none"/>
          <w:lang w:val="en-US" w:eastAsia="zh-CN" w:bidi="ar-SA"/>
        </w:rPr>
        <w:t>12</w:t>
      </w:r>
      <w:r>
        <w:rPr>
          <w:rFonts w:hint="default" w:ascii="宋体" w:hAnsi="宋体" w:eastAsia="宋体" w:cs="宋体"/>
          <w:b/>
          <w:bCs/>
          <w:snapToGrid w:val="0"/>
          <w:color w:val="auto"/>
          <w:kern w:val="44"/>
          <w:sz w:val="24"/>
          <w:szCs w:val="30"/>
          <w:highlight w:val="none"/>
          <w:lang w:val="en-US" w:eastAsia="en-US" w:bidi="ar-SA"/>
        </w:rPr>
        <w:t>.1.</w:t>
      </w:r>
      <w:r>
        <w:rPr>
          <w:color w:val="auto"/>
          <w:highlight w:val="none"/>
        </w:rPr>
        <w:t>协议期满终止</w:t>
      </w:r>
    </w:p>
    <w:p>
      <w:pPr>
        <w:pStyle w:val="11"/>
        <w:widowControl/>
        <w:ind w:left="0" w:leftChars="0" w:firstLine="480" w:firstLineChars="200"/>
        <w:rPr>
          <w:color w:val="auto"/>
          <w:highlight w:val="none"/>
        </w:rPr>
      </w:pPr>
      <w:r>
        <w:rPr>
          <w:color w:val="auto"/>
          <w:highlight w:val="none"/>
        </w:rPr>
        <w:t>在有偿使用期满时，乙方按照协议约定妥善办理相关手续，由乙方向甲方无偿、完好移交，项目所有权益全部归属甲方。</w:t>
      </w:r>
    </w:p>
    <w:p>
      <w:pPr>
        <w:pStyle w:val="2"/>
        <w:widowControl/>
        <w:numPr>
          <w:ilvl w:val="0"/>
          <w:numId w:val="0"/>
        </w:numPr>
        <w:tabs>
          <w:tab w:val="left" w:pos="1275"/>
        </w:tabs>
        <w:ind w:left="0" w:leftChars="0" w:firstLine="482" w:firstLineChars="200"/>
        <w:outlineLvl w:val="1"/>
        <w:rPr>
          <w:b/>
          <w:color w:val="auto"/>
          <w:highlight w:val="none"/>
        </w:rPr>
      </w:pPr>
      <w:r>
        <w:rPr>
          <w:rFonts w:hint="eastAsia" w:cs="宋体"/>
          <w:b/>
          <w:bCs/>
          <w:snapToGrid w:val="0"/>
          <w:color w:val="auto"/>
          <w:kern w:val="44"/>
          <w:sz w:val="24"/>
          <w:szCs w:val="30"/>
          <w:highlight w:val="none"/>
          <w:lang w:val="en-US" w:eastAsia="zh-CN" w:bidi="ar-SA"/>
        </w:rPr>
        <w:t>12</w:t>
      </w:r>
      <w:r>
        <w:rPr>
          <w:rFonts w:hint="default" w:ascii="宋体" w:hAnsi="宋体" w:eastAsia="宋体" w:cs="宋体"/>
          <w:b/>
          <w:bCs/>
          <w:snapToGrid w:val="0"/>
          <w:color w:val="auto"/>
          <w:kern w:val="44"/>
          <w:sz w:val="24"/>
          <w:szCs w:val="30"/>
          <w:highlight w:val="none"/>
          <w:lang w:val="en-US" w:eastAsia="en-US" w:bidi="ar-SA"/>
        </w:rPr>
        <w:t>.2.</w:t>
      </w:r>
      <w:r>
        <w:rPr>
          <w:color w:val="auto"/>
          <w:highlight w:val="none"/>
        </w:rPr>
        <w:t>协议提前终止</w:t>
      </w:r>
    </w:p>
    <w:p>
      <w:pPr>
        <w:pStyle w:val="3"/>
        <w:widowControl/>
        <w:numPr>
          <w:ilvl w:val="0"/>
          <w:numId w:val="0"/>
        </w:numPr>
        <w:tabs>
          <w:tab w:val="left" w:pos="1319"/>
        </w:tabs>
        <w:ind w:left="0" w:leftChars="0" w:firstLine="482" w:firstLineChars="200"/>
        <w:outlineLvl w:val="2"/>
        <w:rPr>
          <w:b/>
          <w:color w:val="auto"/>
          <w:highlight w:val="none"/>
        </w:rPr>
      </w:pPr>
      <w:r>
        <w:rPr>
          <w:rFonts w:hint="eastAsia" w:cs="Times New Roman"/>
          <w:b/>
          <w:color w:val="auto"/>
          <w:sz w:val="24"/>
          <w:highlight w:val="none"/>
          <w:lang w:val="en-US" w:eastAsia="zh-CN"/>
        </w:rPr>
        <w:t>12</w:t>
      </w:r>
      <w:r>
        <w:rPr>
          <w:rFonts w:hint="default" w:ascii="Times New Roman" w:hAnsi="Times New Roman" w:eastAsia="宋体" w:cs="Times New Roman"/>
          <w:b/>
          <w:color w:val="auto"/>
          <w:sz w:val="24"/>
          <w:highlight w:val="none"/>
        </w:rPr>
        <w:t>.2.1.</w:t>
      </w:r>
      <w:r>
        <w:rPr>
          <w:color w:val="auto"/>
          <w:highlight w:val="none"/>
        </w:rPr>
        <w:t>甲方发出的终止：</w:t>
      </w:r>
    </w:p>
    <w:p>
      <w:pPr>
        <w:pStyle w:val="11"/>
        <w:widowControl/>
        <w:ind w:left="0" w:leftChars="0" w:firstLine="480" w:firstLineChars="200"/>
        <w:rPr>
          <w:color w:val="auto"/>
          <w:highlight w:val="none"/>
        </w:rPr>
      </w:pPr>
      <w:r>
        <w:rPr>
          <w:color w:val="auto"/>
          <w:highlight w:val="none"/>
        </w:rPr>
        <w:t>如发生下列任一情形，甲方有权终止协议：</w:t>
      </w:r>
    </w:p>
    <w:p>
      <w:pPr>
        <w:pStyle w:val="11"/>
        <w:widowControl/>
        <w:numPr>
          <w:ilvl w:val="0"/>
          <w:numId w:val="41"/>
        </w:numPr>
        <w:tabs>
          <w:tab w:val="left" w:pos="1080"/>
        </w:tabs>
        <w:topLinePunct w:val="0"/>
        <w:ind w:left="0" w:leftChars="0" w:firstLine="480" w:firstLineChars="200"/>
        <w:outlineLvl w:val="3"/>
        <w:rPr>
          <w:b w:val="0"/>
          <w:color w:val="auto"/>
          <w:highlight w:val="none"/>
        </w:rPr>
      </w:pPr>
      <w:r>
        <w:rPr>
          <w:color w:val="auto"/>
          <w:highlight w:val="none"/>
        </w:rPr>
        <w:t>乙方被依法吊销营业执照、责令停业、清算或破产；</w:t>
      </w:r>
    </w:p>
    <w:p>
      <w:pPr>
        <w:pStyle w:val="11"/>
        <w:widowControl/>
        <w:numPr>
          <w:ilvl w:val="0"/>
          <w:numId w:val="41"/>
        </w:numPr>
        <w:tabs>
          <w:tab w:val="left" w:pos="1080"/>
        </w:tabs>
        <w:topLinePunct w:val="0"/>
        <w:ind w:left="0" w:leftChars="0" w:firstLine="480" w:firstLineChars="200"/>
        <w:rPr>
          <w:b w:val="0"/>
          <w:color w:val="auto"/>
          <w:highlight w:val="none"/>
        </w:rPr>
      </w:pPr>
      <w:r>
        <w:rPr>
          <w:color w:val="auto"/>
          <w:highlight w:val="none"/>
        </w:rPr>
        <w:t>乙方以书面形式表示放弃本项目建设，或书面通知甲方其已终止任一建设工程，或直接（或通过分包商）撤走场地全部或大部分的工作人员等放弃本项目的行为；</w:t>
      </w:r>
    </w:p>
    <w:p>
      <w:pPr>
        <w:pStyle w:val="11"/>
        <w:widowControl/>
        <w:numPr>
          <w:ilvl w:val="0"/>
          <w:numId w:val="41"/>
        </w:numPr>
        <w:tabs>
          <w:tab w:val="left" w:pos="1080"/>
        </w:tabs>
        <w:topLinePunct w:val="0"/>
        <w:ind w:left="0" w:leftChars="0" w:firstLine="480" w:firstLineChars="200"/>
        <w:rPr>
          <w:b w:val="0"/>
          <w:color w:val="auto"/>
          <w:highlight w:val="none"/>
        </w:rPr>
      </w:pPr>
      <w:r>
        <w:rPr>
          <w:color w:val="auto"/>
          <w:highlight w:val="none"/>
        </w:rPr>
        <w:t>非法建设（包括但不限于非法发包、非法转包、违规分包、非法集资等）或非法运营且未在甲方限定时间内整改完毕的；</w:t>
      </w:r>
    </w:p>
    <w:p>
      <w:pPr>
        <w:pStyle w:val="11"/>
        <w:widowControl/>
        <w:numPr>
          <w:ilvl w:val="0"/>
          <w:numId w:val="41"/>
        </w:numPr>
        <w:tabs>
          <w:tab w:val="left" w:pos="1080"/>
        </w:tabs>
        <w:topLinePunct w:val="0"/>
        <w:ind w:left="0" w:leftChars="0" w:firstLine="480" w:firstLineChars="200"/>
        <w:rPr>
          <w:b w:val="0"/>
          <w:color w:val="auto"/>
          <w:highlight w:val="none"/>
        </w:rPr>
      </w:pPr>
      <w:r>
        <w:rPr>
          <w:color w:val="auto"/>
          <w:highlight w:val="none"/>
        </w:rPr>
        <w:t>发生重大质量、安全事故，造成重大社会影响的或经政府相关部门检查存在重大质量或安全隐患且未在甲方限定时间内整改完毕的；</w:t>
      </w:r>
    </w:p>
    <w:p>
      <w:pPr>
        <w:pStyle w:val="11"/>
        <w:widowControl/>
        <w:numPr>
          <w:ilvl w:val="0"/>
          <w:numId w:val="41"/>
        </w:numPr>
        <w:tabs>
          <w:tab w:val="left" w:pos="1080"/>
        </w:tabs>
        <w:topLinePunct w:val="0"/>
        <w:ind w:left="0" w:leftChars="0" w:firstLine="480" w:firstLineChars="200"/>
        <w:rPr>
          <w:b w:val="0"/>
          <w:color w:val="auto"/>
          <w:highlight w:val="none"/>
        </w:rPr>
      </w:pPr>
      <w:r>
        <w:rPr>
          <w:color w:val="auto"/>
          <w:highlight w:val="none"/>
        </w:rPr>
        <w:t>因不可抗力原因致使甲方、乙方无法继续履行本协议；</w:t>
      </w:r>
    </w:p>
    <w:p>
      <w:pPr>
        <w:pStyle w:val="11"/>
        <w:widowControl/>
        <w:numPr>
          <w:ilvl w:val="0"/>
          <w:numId w:val="41"/>
        </w:numPr>
        <w:tabs>
          <w:tab w:val="left" w:pos="1080"/>
        </w:tabs>
        <w:topLinePunct w:val="0"/>
        <w:ind w:left="0" w:leftChars="0" w:firstLine="480" w:firstLineChars="200"/>
        <w:rPr>
          <w:b w:val="0"/>
          <w:color w:val="auto"/>
          <w:highlight w:val="none"/>
        </w:rPr>
      </w:pPr>
      <w:r>
        <w:rPr>
          <w:color w:val="auto"/>
          <w:highlight w:val="none"/>
        </w:rPr>
        <w:t>乙方存在法律法规禁止</w:t>
      </w:r>
      <w:r>
        <w:rPr>
          <w:rFonts w:hint="eastAsia"/>
          <w:color w:val="auto"/>
          <w:highlight w:val="none"/>
          <w:lang w:val="en-US" w:eastAsia="zh-CN"/>
        </w:rPr>
        <w:t>或合同失职</w:t>
      </w:r>
      <w:r>
        <w:rPr>
          <w:color w:val="auto"/>
          <w:highlight w:val="none"/>
        </w:rPr>
        <w:t>的其他行为。</w:t>
      </w:r>
    </w:p>
    <w:p>
      <w:pPr>
        <w:pStyle w:val="3"/>
        <w:widowControl/>
        <w:numPr>
          <w:ilvl w:val="0"/>
          <w:numId w:val="0"/>
        </w:numPr>
        <w:tabs>
          <w:tab w:val="left" w:pos="1319"/>
        </w:tabs>
        <w:ind w:left="0" w:leftChars="0" w:firstLine="482" w:firstLineChars="200"/>
        <w:outlineLvl w:val="2"/>
        <w:rPr>
          <w:b/>
          <w:color w:val="auto"/>
          <w:highlight w:val="none"/>
        </w:rPr>
      </w:pPr>
      <w:r>
        <w:rPr>
          <w:rFonts w:hint="eastAsia" w:cs="Times New Roman"/>
          <w:b/>
          <w:color w:val="auto"/>
          <w:sz w:val="24"/>
          <w:highlight w:val="none"/>
          <w:lang w:val="en-US" w:eastAsia="zh-CN"/>
        </w:rPr>
        <w:t>12</w:t>
      </w:r>
      <w:r>
        <w:rPr>
          <w:rFonts w:hint="default" w:ascii="Times New Roman" w:hAnsi="Times New Roman" w:eastAsia="宋体" w:cs="Times New Roman"/>
          <w:b/>
          <w:color w:val="auto"/>
          <w:sz w:val="24"/>
          <w:highlight w:val="none"/>
        </w:rPr>
        <w:t>.2.2.</w:t>
      </w:r>
      <w:r>
        <w:rPr>
          <w:color w:val="auto"/>
          <w:highlight w:val="none"/>
        </w:rPr>
        <w:t>乙方发出的终止：</w:t>
      </w:r>
    </w:p>
    <w:p>
      <w:pPr>
        <w:pStyle w:val="11"/>
        <w:widowControl/>
        <w:ind w:left="0" w:leftChars="0" w:firstLine="480" w:firstLineChars="200"/>
        <w:rPr>
          <w:color w:val="auto"/>
          <w:highlight w:val="none"/>
        </w:rPr>
      </w:pPr>
      <w:r>
        <w:rPr>
          <w:color w:val="auto"/>
          <w:highlight w:val="none"/>
        </w:rPr>
        <w:t>如发生下列任一情形，乙方有权解除协议：</w:t>
      </w:r>
    </w:p>
    <w:p>
      <w:pPr>
        <w:pStyle w:val="11"/>
        <w:widowControl/>
        <w:numPr>
          <w:ilvl w:val="0"/>
          <w:numId w:val="42"/>
        </w:numPr>
        <w:tabs>
          <w:tab w:val="left" w:pos="1080"/>
        </w:tabs>
        <w:topLinePunct w:val="0"/>
        <w:ind w:left="0" w:leftChars="0" w:firstLine="480" w:firstLineChars="200"/>
        <w:rPr>
          <w:b w:val="0"/>
          <w:color w:val="auto"/>
          <w:highlight w:val="none"/>
        </w:rPr>
      </w:pPr>
      <w:r>
        <w:rPr>
          <w:color w:val="auto"/>
          <w:highlight w:val="none"/>
        </w:rPr>
        <w:t>甲方违反本协议的约定，在本项目合作期限和合作范围内，就本项目设施引入其他第三方负责实施本项目的；</w:t>
      </w:r>
    </w:p>
    <w:p>
      <w:pPr>
        <w:pStyle w:val="11"/>
        <w:widowControl/>
        <w:numPr>
          <w:ilvl w:val="0"/>
          <w:numId w:val="42"/>
        </w:numPr>
        <w:tabs>
          <w:tab w:val="left" w:pos="1080"/>
        </w:tabs>
        <w:topLinePunct w:val="0"/>
        <w:ind w:left="0" w:leftChars="0" w:firstLine="480" w:firstLineChars="200"/>
        <w:outlineLvl w:val="3"/>
        <w:rPr>
          <w:b w:val="0"/>
          <w:color w:val="auto"/>
          <w:highlight w:val="none"/>
        </w:rPr>
      </w:pPr>
      <w:r>
        <w:rPr>
          <w:color w:val="auto"/>
          <w:highlight w:val="none"/>
        </w:rPr>
        <w:t>甲方出现的其他严重违约事项导致协议目的无法实现的。</w:t>
      </w:r>
    </w:p>
    <w:p>
      <w:pPr>
        <w:pStyle w:val="3"/>
        <w:widowControl/>
        <w:numPr>
          <w:ilvl w:val="0"/>
          <w:numId w:val="0"/>
        </w:numPr>
        <w:tabs>
          <w:tab w:val="left" w:pos="1319"/>
        </w:tabs>
        <w:ind w:left="0" w:leftChars="0" w:firstLine="482" w:firstLineChars="200"/>
        <w:outlineLvl w:val="2"/>
        <w:rPr>
          <w:b/>
          <w:color w:val="auto"/>
          <w:highlight w:val="none"/>
        </w:rPr>
      </w:pPr>
      <w:r>
        <w:rPr>
          <w:rFonts w:hint="eastAsia" w:cs="Times New Roman"/>
          <w:b/>
          <w:color w:val="auto"/>
          <w:sz w:val="24"/>
          <w:highlight w:val="none"/>
          <w:lang w:val="en-US" w:eastAsia="zh-CN"/>
        </w:rPr>
        <w:t>12</w:t>
      </w:r>
      <w:r>
        <w:rPr>
          <w:rFonts w:hint="default" w:ascii="Times New Roman" w:hAnsi="Times New Roman" w:eastAsia="宋体" w:cs="Times New Roman"/>
          <w:b/>
          <w:color w:val="auto"/>
          <w:sz w:val="24"/>
          <w:highlight w:val="none"/>
        </w:rPr>
        <w:t>.2.3.</w:t>
      </w:r>
      <w:r>
        <w:rPr>
          <w:color w:val="auto"/>
          <w:highlight w:val="none"/>
        </w:rPr>
        <w:t>法律变更或政府行为导致的终止</w:t>
      </w:r>
    </w:p>
    <w:p>
      <w:pPr>
        <w:pStyle w:val="11"/>
        <w:widowControl/>
        <w:ind w:left="0" w:leftChars="0" w:firstLine="480" w:firstLineChars="200"/>
        <w:rPr>
          <w:color w:val="auto"/>
          <w:highlight w:val="none"/>
        </w:rPr>
      </w:pPr>
      <w:r>
        <w:rPr>
          <w:color w:val="auto"/>
          <w:highlight w:val="none"/>
        </w:rPr>
        <w:t>如果在本协议生效日后，因法律变更及上级政府行为导致乙方部分或全部不能履行本协议项下主要义务，而此种变化和影响又不以甲方的意志为转移，甲、乙双方应尽力就继续履行本协议进行协商。若不能达成一致，则一方可向另一方发出终止意向通知。</w:t>
      </w:r>
    </w:p>
    <w:p>
      <w:pPr>
        <w:pStyle w:val="3"/>
        <w:widowControl/>
        <w:numPr>
          <w:ilvl w:val="0"/>
          <w:numId w:val="0"/>
        </w:numPr>
        <w:tabs>
          <w:tab w:val="left" w:pos="1319"/>
        </w:tabs>
        <w:ind w:left="0" w:leftChars="0" w:firstLine="482" w:firstLineChars="200"/>
        <w:outlineLvl w:val="2"/>
        <w:rPr>
          <w:b/>
          <w:color w:val="auto"/>
          <w:highlight w:val="none"/>
        </w:rPr>
      </w:pPr>
      <w:r>
        <w:rPr>
          <w:rFonts w:hint="eastAsia" w:cs="Times New Roman"/>
          <w:b/>
          <w:color w:val="auto"/>
          <w:sz w:val="24"/>
          <w:highlight w:val="none"/>
          <w:lang w:val="en-US" w:eastAsia="zh-CN"/>
        </w:rPr>
        <w:t>12</w:t>
      </w:r>
      <w:r>
        <w:rPr>
          <w:rFonts w:hint="default" w:ascii="Times New Roman" w:hAnsi="Times New Roman" w:eastAsia="宋体" w:cs="Times New Roman"/>
          <w:b/>
          <w:color w:val="auto"/>
          <w:sz w:val="24"/>
          <w:highlight w:val="none"/>
        </w:rPr>
        <w:t>.2.4.</w:t>
      </w:r>
      <w:r>
        <w:rPr>
          <w:color w:val="auto"/>
          <w:highlight w:val="none"/>
        </w:rPr>
        <w:t>不可抗力造成的终止</w:t>
      </w:r>
    </w:p>
    <w:p>
      <w:pPr>
        <w:pStyle w:val="11"/>
        <w:widowControl/>
        <w:ind w:left="0" w:leftChars="0" w:firstLine="480" w:firstLineChars="200"/>
        <w:rPr>
          <w:color w:val="auto"/>
          <w:highlight w:val="none"/>
        </w:rPr>
      </w:pPr>
      <w:r>
        <w:rPr>
          <w:color w:val="auto"/>
          <w:highlight w:val="none"/>
        </w:rPr>
        <w:t>当不可抗力事件阻止一方履行其义务的时间持续</w:t>
      </w:r>
      <w:r>
        <w:rPr>
          <w:color w:val="auto"/>
          <w:highlight w:val="none"/>
          <w:u w:val="single" w:color="auto"/>
        </w:rPr>
        <w:t xml:space="preserve">     </w:t>
      </w:r>
      <w:r>
        <w:rPr>
          <w:color w:val="auto"/>
          <w:highlight w:val="none"/>
        </w:rPr>
        <w:t xml:space="preserve"> 日以上时，双方应协商决定继续履行本协议的条件或者终止本协议。如果自不可抗力发生后</w:t>
      </w:r>
      <w:r>
        <w:rPr>
          <w:color w:val="auto"/>
          <w:highlight w:val="none"/>
          <w:u w:val="single" w:color="auto"/>
        </w:rPr>
        <w:t xml:space="preserve">    </w:t>
      </w:r>
      <w:r>
        <w:rPr>
          <w:color w:val="auto"/>
          <w:highlight w:val="none"/>
        </w:rPr>
        <w:t xml:space="preserve"> 日内双方不能就继续履行的条件或终止本协议达成一致意见，任何一方有权给予另一方书面通知后立即终止本协议。</w:t>
      </w:r>
    </w:p>
    <w:p>
      <w:pPr>
        <w:pStyle w:val="3"/>
        <w:widowControl/>
        <w:numPr>
          <w:ilvl w:val="0"/>
          <w:numId w:val="0"/>
        </w:numPr>
        <w:tabs>
          <w:tab w:val="left" w:pos="1319"/>
        </w:tabs>
        <w:ind w:left="0" w:leftChars="0" w:firstLine="482" w:firstLineChars="200"/>
        <w:outlineLvl w:val="2"/>
        <w:rPr>
          <w:b/>
          <w:color w:val="auto"/>
          <w:highlight w:val="none"/>
        </w:rPr>
      </w:pPr>
      <w:r>
        <w:rPr>
          <w:rFonts w:hint="eastAsia" w:cs="Times New Roman"/>
          <w:b/>
          <w:color w:val="auto"/>
          <w:sz w:val="24"/>
          <w:highlight w:val="none"/>
          <w:lang w:val="en-US" w:eastAsia="zh-CN"/>
        </w:rPr>
        <w:t>12</w:t>
      </w:r>
      <w:r>
        <w:rPr>
          <w:rFonts w:hint="default" w:ascii="Times New Roman" w:hAnsi="Times New Roman" w:eastAsia="宋体" w:cs="Times New Roman"/>
          <w:b/>
          <w:color w:val="auto"/>
          <w:sz w:val="24"/>
          <w:highlight w:val="none"/>
        </w:rPr>
        <w:t>.2.5.</w:t>
      </w:r>
      <w:r>
        <w:rPr>
          <w:color w:val="auto"/>
          <w:highlight w:val="none"/>
        </w:rPr>
        <w:t>协商一致终止</w:t>
      </w:r>
    </w:p>
    <w:p>
      <w:pPr>
        <w:pStyle w:val="11"/>
        <w:widowControl/>
        <w:ind w:left="0" w:leftChars="0" w:firstLine="480" w:firstLineChars="200"/>
        <w:rPr>
          <w:color w:val="auto"/>
          <w:highlight w:val="none"/>
        </w:rPr>
      </w:pPr>
      <w:r>
        <w:rPr>
          <w:color w:val="auto"/>
          <w:highlight w:val="none"/>
        </w:rPr>
        <w:t>在合作期内，经各方协商一致可提前终止本协议。</w:t>
      </w:r>
    </w:p>
    <w:p>
      <w:pPr>
        <w:pStyle w:val="11"/>
        <w:widowControl/>
        <w:ind w:left="0" w:leftChars="0" w:firstLine="480" w:firstLineChars="200"/>
        <w:rPr>
          <w:color w:val="auto"/>
          <w:highlight w:val="none"/>
        </w:rPr>
      </w:pPr>
      <w:r>
        <w:rPr>
          <w:color w:val="auto"/>
          <w:highlight w:val="none"/>
        </w:rPr>
        <w:t>甲乙任何一方依据本协议的约定或法律规定行使终止权的，应当书 面通知对方，本协议自通知送达对方之时终止。</w:t>
      </w:r>
    </w:p>
    <w:p>
      <w:pPr>
        <w:pStyle w:val="11"/>
        <w:spacing w:line="273" w:lineRule="auto"/>
        <w:ind w:left="0" w:leftChars="0" w:firstLine="0" w:firstLineChars="0"/>
        <w:rPr>
          <w:color w:val="auto"/>
          <w:highlight w:val="none"/>
        </w:rPr>
      </w:pPr>
      <w:bookmarkStart w:id="50" w:name="bookmark42"/>
      <w:bookmarkEnd w:id="50"/>
      <w:bookmarkStart w:id="51" w:name="bookmark43"/>
      <w:bookmarkEnd w:id="51"/>
    </w:p>
    <w:p>
      <w:pPr>
        <w:pStyle w:val="23"/>
        <w:widowControl/>
        <w:numPr>
          <w:ilvl w:val="0"/>
          <w:numId w:val="1"/>
        </w:numPr>
        <w:tabs>
          <w:tab w:val="left" w:pos="1731"/>
          <w:tab w:val="clear" w:pos="210"/>
        </w:tabs>
        <w:ind w:left="0" w:leftChars="0" w:firstLine="600" w:firstLineChars="200"/>
        <w:outlineLvl w:val="0"/>
        <w:rPr>
          <w:b w:val="0"/>
          <w:color w:val="auto"/>
          <w:highlight w:val="none"/>
        </w:rPr>
      </w:pPr>
      <w:bookmarkStart w:id="52" w:name="bookmark48"/>
      <w:bookmarkEnd w:id="52"/>
      <w:bookmarkStart w:id="53" w:name="bookmark49"/>
      <w:bookmarkEnd w:id="53"/>
      <w:bookmarkStart w:id="54" w:name="_Toc31591"/>
      <w:r>
        <w:rPr>
          <w:color w:val="auto"/>
          <w:highlight w:val="none"/>
        </w:rPr>
        <w:t>争议解决</w:t>
      </w:r>
      <w:bookmarkEnd w:id="54"/>
    </w:p>
    <w:p>
      <w:pPr>
        <w:pStyle w:val="2"/>
        <w:widowControl/>
        <w:numPr>
          <w:ilvl w:val="0"/>
          <w:numId w:val="0"/>
        </w:numPr>
        <w:tabs>
          <w:tab w:val="left" w:pos="1275"/>
        </w:tabs>
        <w:ind w:left="0" w:leftChars="0" w:firstLine="482" w:firstLineChars="200"/>
        <w:outlineLvl w:val="1"/>
        <w:rPr>
          <w:b/>
          <w:color w:val="auto"/>
          <w:highlight w:val="none"/>
        </w:rPr>
      </w:pPr>
      <w:r>
        <w:rPr>
          <w:rFonts w:hint="eastAsia" w:cs="宋体"/>
          <w:b/>
          <w:bCs/>
          <w:snapToGrid w:val="0"/>
          <w:color w:val="auto"/>
          <w:kern w:val="44"/>
          <w:sz w:val="24"/>
          <w:szCs w:val="30"/>
          <w:highlight w:val="none"/>
          <w:lang w:val="en-US" w:eastAsia="zh-CN" w:bidi="ar-SA"/>
        </w:rPr>
        <w:t>13</w:t>
      </w:r>
      <w:r>
        <w:rPr>
          <w:rFonts w:hint="default" w:ascii="宋体" w:hAnsi="宋体" w:eastAsia="宋体" w:cs="宋体"/>
          <w:b/>
          <w:bCs/>
          <w:snapToGrid w:val="0"/>
          <w:color w:val="auto"/>
          <w:kern w:val="44"/>
          <w:sz w:val="24"/>
          <w:szCs w:val="30"/>
          <w:highlight w:val="none"/>
          <w:lang w:val="en-US" w:eastAsia="en-US" w:bidi="ar-SA"/>
        </w:rPr>
        <w:t>.1.</w:t>
      </w:r>
      <w:r>
        <w:rPr>
          <w:color w:val="auto"/>
          <w:highlight w:val="none"/>
        </w:rPr>
        <w:t>协商、调解的适用：</w:t>
      </w:r>
    </w:p>
    <w:p>
      <w:pPr>
        <w:pStyle w:val="11"/>
        <w:widowControl/>
        <w:numPr>
          <w:ilvl w:val="0"/>
          <w:numId w:val="43"/>
        </w:numPr>
        <w:tabs>
          <w:tab w:val="left" w:pos="1080"/>
        </w:tabs>
        <w:topLinePunct w:val="0"/>
        <w:ind w:left="0" w:leftChars="0" w:firstLine="480" w:firstLineChars="200"/>
        <w:rPr>
          <w:b w:val="0"/>
          <w:color w:val="auto"/>
          <w:highlight w:val="none"/>
        </w:rPr>
      </w:pPr>
      <w:r>
        <w:rPr>
          <w:color w:val="auto"/>
          <w:highlight w:val="none"/>
        </w:rPr>
        <w:t>在协议履行过程中，如存在协议约定不明确或双方意见不一致的事项时，提出争议一方应首先通过友好协商方式解决，解决不成的，可以共同聘请专家、第三方机构、其他政府机构进行调解。调解不成的，任何一方可向有管辖权的机构申请解决。</w:t>
      </w:r>
    </w:p>
    <w:p>
      <w:pPr>
        <w:pStyle w:val="11"/>
        <w:widowControl/>
        <w:numPr>
          <w:ilvl w:val="0"/>
          <w:numId w:val="43"/>
        </w:numPr>
        <w:tabs>
          <w:tab w:val="left" w:pos="1080"/>
        </w:tabs>
        <w:topLinePunct w:val="0"/>
        <w:ind w:left="0" w:leftChars="0" w:firstLine="480" w:firstLineChars="200"/>
        <w:rPr>
          <w:b w:val="0"/>
          <w:color w:val="auto"/>
          <w:highlight w:val="none"/>
        </w:rPr>
      </w:pPr>
      <w:r>
        <w:rPr>
          <w:color w:val="auto"/>
          <w:highlight w:val="none"/>
        </w:rPr>
        <w:t>建设范围覆盖的建筑屋顶产权单位与乙方出现争议，协商不成时，甲方可进行调解。</w:t>
      </w:r>
    </w:p>
    <w:p>
      <w:pPr>
        <w:pStyle w:val="2"/>
        <w:widowControl/>
        <w:numPr>
          <w:ilvl w:val="0"/>
          <w:numId w:val="0"/>
        </w:numPr>
        <w:tabs>
          <w:tab w:val="left" w:pos="1275"/>
        </w:tabs>
        <w:ind w:left="0" w:leftChars="0" w:firstLine="482" w:firstLineChars="200"/>
        <w:outlineLvl w:val="1"/>
        <w:rPr>
          <w:b/>
          <w:color w:val="auto"/>
          <w:highlight w:val="none"/>
        </w:rPr>
      </w:pPr>
      <w:r>
        <w:rPr>
          <w:rFonts w:hint="eastAsia" w:cs="宋体"/>
          <w:b/>
          <w:bCs/>
          <w:snapToGrid w:val="0"/>
          <w:color w:val="auto"/>
          <w:kern w:val="44"/>
          <w:sz w:val="24"/>
          <w:szCs w:val="30"/>
          <w:highlight w:val="none"/>
          <w:lang w:val="en-US" w:eastAsia="zh-CN" w:bidi="ar-SA"/>
        </w:rPr>
        <w:t>13</w:t>
      </w:r>
      <w:r>
        <w:rPr>
          <w:rFonts w:hint="default" w:ascii="宋体" w:hAnsi="宋体" w:eastAsia="宋体" w:cs="宋体"/>
          <w:b/>
          <w:bCs/>
          <w:snapToGrid w:val="0"/>
          <w:color w:val="auto"/>
          <w:kern w:val="44"/>
          <w:sz w:val="24"/>
          <w:szCs w:val="30"/>
          <w:highlight w:val="none"/>
          <w:lang w:val="en-US" w:eastAsia="en-US" w:bidi="ar-SA"/>
        </w:rPr>
        <w:t>.2.</w:t>
      </w:r>
      <w:r>
        <w:rPr>
          <w:color w:val="auto"/>
          <w:highlight w:val="none"/>
        </w:rPr>
        <w:t>争议解决方式</w:t>
      </w:r>
    </w:p>
    <w:p>
      <w:pPr>
        <w:pStyle w:val="11"/>
        <w:widowControl/>
        <w:numPr>
          <w:ilvl w:val="0"/>
          <w:numId w:val="44"/>
        </w:numPr>
        <w:tabs>
          <w:tab w:val="left" w:pos="1080"/>
        </w:tabs>
        <w:topLinePunct w:val="0"/>
        <w:ind w:left="0" w:leftChars="0" w:firstLine="480" w:firstLineChars="200"/>
        <w:rPr>
          <w:b w:val="0"/>
          <w:color w:val="auto"/>
          <w:highlight w:val="none"/>
        </w:rPr>
      </w:pPr>
      <w:r>
        <w:rPr>
          <w:color w:val="auto"/>
          <w:highlight w:val="none"/>
        </w:rPr>
        <w:t>协议双方存在无法通过协商或调解方式解决争议的情况下，如争议在上述协商开始后</w:t>
      </w:r>
      <w:r>
        <w:rPr>
          <w:color w:val="auto"/>
          <w:highlight w:val="none"/>
          <w:u w:val="single" w:color="auto"/>
        </w:rPr>
        <w:t>（    ）</w:t>
      </w:r>
      <w:r>
        <w:rPr>
          <w:color w:val="auto"/>
          <w:highlight w:val="none"/>
        </w:rPr>
        <w:t>个工作日内未能解决，任何一方应向甲方所在地有管辖权的人民法院提起诉讼解决争议。</w:t>
      </w:r>
    </w:p>
    <w:p>
      <w:pPr>
        <w:pStyle w:val="11"/>
        <w:widowControl/>
        <w:numPr>
          <w:ilvl w:val="0"/>
          <w:numId w:val="44"/>
        </w:numPr>
        <w:tabs>
          <w:tab w:val="left" w:pos="1080"/>
        </w:tabs>
        <w:topLinePunct w:val="0"/>
        <w:ind w:left="0" w:leftChars="0" w:firstLine="480" w:firstLineChars="200"/>
        <w:rPr>
          <w:color w:val="auto"/>
          <w:highlight w:val="none"/>
        </w:rPr>
      </w:pPr>
      <w:r>
        <w:rPr>
          <w:color w:val="auto"/>
          <w:highlight w:val="none"/>
        </w:rPr>
        <w:t>乙方认为行政机关在行使行政职权过程中作出的具体行政行为侵犯其合法权益的，有陈述、申辩的权利，并可以依法提起行政复议或者行政诉讼。</w:t>
      </w:r>
    </w:p>
    <w:p>
      <w:pPr>
        <w:pStyle w:val="2"/>
        <w:widowControl/>
        <w:numPr>
          <w:ilvl w:val="0"/>
          <w:numId w:val="0"/>
        </w:numPr>
        <w:tabs>
          <w:tab w:val="left" w:pos="1275"/>
        </w:tabs>
        <w:ind w:left="0" w:leftChars="0" w:firstLine="482" w:firstLineChars="200"/>
        <w:outlineLvl w:val="1"/>
        <w:rPr>
          <w:b/>
          <w:color w:val="auto"/>
          <w:highlight w:val="none"/>
        </w:rPr>
      </w:pPr>
      <w:r>
        <w:rPr>
          <w:rFonts w:hint="eastAsia" w:cs="宋体"/>
          <w:b/>
          <w:bCs/>
          <w:snapToGrid w:val="0"/>
          <w:color w:val="auto"/>
          <w:kern w:val="44"/>
          <w:sz w:val="24"/>
          <w:szCs w:val="30"/>
          <w:highlight w:val="none"/>
          <w:lang w:val="en-US" w:eastAsia="zh-CN" w:bidi="ar-SA"/>
        </w:rPr>
        <w:t>13</w:t>
      </w:r>
      <w:r>
        <w:rPr>
          <w:rFonts w:hint="default" w:ascii="宋体" w:hAnsi="宋体" w:eastAsia="宋体" w:cs="宋体"/>
          <w:b/>
          <w:bCs/>
          <w:snapToGrid w:val="0"/>
          <w:color w:val="auto"/>
          <w:kern w:val="44"/>
          <w:sz w:val="24"/>
          <w:szCs w:val="30"/>
          <w:highlight w:val="none"/>
          <w:lang w:val="en-US" w:eastAsia="en-US" w:bidi="ar-SA"/>
        </w:rPr>
        <w:t>.3.</w:t>
      </w:r>
      <w:r>
        <w:rPr>
          <w:color w:val="auto"/>
          <w:highlight w:val="none"/>
        </w:rPr>
        <w:t>争议解决期间的继续履行</w:t>
      </w:r>
    </w:p>
    <w:p>
      <w:pPr>
        <w:pStyle w:val="11"/>
        <w:widowControl/>
        <w:ind w:left="0" w:leftChars="0" w:firstLine="480" w:firstLineChars="200"/>
        <w:rPr>
          <w:color w:val="auto"/>
          <w:highlight w:val="none"/>
        </w:rPr>
      </w:pPr>
      <w:r>
        <w:rPr>
          <w:color w:val="auto"/>
          <w:highlight w:val="none"/>
        </w:rPr>
        <w:t>本协议存续期间发生争议，当事各方在争议解决过程中，应当继续履行协议义务，保证公共产品或公共服务的持续性和稳定性。</w:t>
      </w:r>
    </w:p>
    <w:p>
      <w:pPr>
        <w:pStyle w:val="2"/>
        <w:widowControl/>
        <w:numPr>
          <w:ilvl w:val="0"/>
          <w:numId w:val="0"/>
        </w:numPr>
        <w:tabs>
          <w:tab w:val="left" w:pos="1275"/>
        </w:tabs>
        <w:ind w:left="0" w:leftChars="0" w:firstLine="482" w:firstLineChars="200"/>
        <w:outlineLvl w:val="1"/>
        <w:rPr>
          <w:b/>
          <w:color w:val="auto"/>
          <w:highlight w:val="none"/>
        </w:rPr>
      </w:pPr>
      <w:r>
        <w:rPr>
          <w:rFonts w:hint="eastAsia" w:cs="宋体"/>
          <w:b/>
          <w:bCs/>
          <w:snapToGrid w:val="0"/>
          <w:color w:val="auto"/>
          <w:kern w:val="44"/>
          <w:sz w:val="24"/>
          <w:szCs w:val="30"/>
          <w:highlight w:val="none"/>
          <w:lang w:val="en-US" w:eastAsia="zh-CN" w:bidi="ar-SA"/>
        </w:rPr>
        <w:t>13</w:t>
      </w:r>
      <w:r>
        <w:rPr>
          <w:rFonts w:hint="default" w:ascii="宋体" w:hAnsi="宋体" w:eastAsia="宋体" w:cs="宋体"/>
          <w:b/>
          <w:bCs/>
          <w:snapToGrid w:val="0"/>
          <w:color w:val="auto"/>
          <w:kern w:val="44"/>
          <w:sz w:val="24"/>
          <w:szCs w:val="30"/>
          <w:highlight w:val="none"/>
          <w:lang w:val="en-US" w:eastAsia="en-US" w:bidi="ar-SA"/>
        </w:rPr>
        <w:t>.4.</w:t>
      </w:r>
      <w:r>
        <w:rPr>
          <w:color w:val="auto"/>
          <w:highlight w:val="none"/>
        </w:rPr>
        <w:t>继续有效</w:t>
      </w:r>
    </w:p>
    <w:p>
      <w:pPr>
        <w:pStyle w:val="11"/>
        <w:widowControl/>
        <w:ind w:left="0" w:leftChars="0" w:firstLine="480" w:firstLineChars="200"/>
        <w:rPr>
          <w:color w:val="auto"/>
          <w:highlight w:val="none"/>
        </w:rPr>
      </w:pPr>
      <w:r>
        <w:rPr>
          <w:color w:val="auto"/>
          <w:highlight w:val="none"/>
        </w:rPr>
        <w:t>本协议约定的各项争议的解决条款在本协议终止后仍继续有效。</w:t>
      </w:r>
    </w:p>
    <w:p>
      <w:pPr>
        <w:pStyle w:val="23"/>
        <w:widowControl/>
        <w:numPr>
          <w:ilvl w:val="0"/>
          <w:numId w:val="1"/>
        </w:numPr>
        <w:tabs>
          <w:tab w:val="left" w:pos="1731"/>
          <w:tab w:val="clear" w:pos="210"/>
        </w:tabs>
        <w:ind w:left="0" w:leftChars="0" w:firstLine="600" w:firstLineChars="200"/>
        <w:outlineLvl w:val="0"/>
        <w:rPr>
          <w:b w:val="0"/>
          <w:color w:val="auto"/>
          <w:highlight w:val="none"/>
        </w:rPr>
      </w:pPr>
      <w:bookmarkStart w:id="55" w:name="bookmark50"/>
      <w:bookmarkEnd w:id="55"/>
      <w:bookmarkStart w:id="56" w:name="bookmark51"/>
      <w:bookmarkEnd w:id="56"/>
      <w:bookmarkStart w:id="57" w:name="_Toc372"/>
      <w:r>
        <w:rPr>
          <w:color w:val="auto"/>
          <w:highlight w:val="none"/>
        </w:rPr>
        <w:t>法律或政策的变动</w:t>
      </w:r>
      <w:bookmarkEnd w:id="57"/>
    </w:p>
    <w:p>
      <w:pPr>
        <w:pStyle w:val="11"/>
        <w:widowControl/>
        <w:numPr>
          <w:ilvl w:val="0"/>
          <w:numId w:val="0"/>
        </w:numPr>
        <w:tabs>
          <w:tab w:val="left" w:pos="1080"/>
        </w:tabs>
        <w:ind w:left="0" w:leftChars="0" w:firstLine="480" w:firstLineChars="200"/>
        <w:rPr>
          <w:color w:val="auto"/>
          <w:highlight w:val="none"/>
        </w:rPr>
      </w:pPr>
      <w:r>
        <w:rPr>
          <w:rFonts w:hint="eastAsia" w:cs="Times New Roman"/>
          <w:color w:val="auto"/>
          <w:sz w:val="24"/>
          <w:highlight w:val="none"/>
          <w:lang w:val="en-US" w:eastAsia="zh-CN"/>
        </w:rPr>
        <w:t>14</w:t>
      </w:r>
      <w:r>
        <w:rPr>
          <w:rFonts w:hint="default" w:ascii="Times New Roman" w:hAnsi="Times New Roman" w:eastAsia="宋体" w:cs="Times New Roman"/>
          <w:color w:val="auto"/>
          <w:sz w:val="24"/>
          <w:highlight w:val="none"/>
        </w:rPr>
        <w:t>.1.</w:t>
      </w:r>
      <w:r>
        <w:rPr>
          <w:color w:val="auto"/>
          <w:highlight w:val="none"/>
        </w:rPr>
        <w:t>从本协议生效之日起至本协议履行完毕，因国家或省级法律、法规、规章等规范性文件及政策发生变化的，导致无法实现协议有关约定，双方按照公平的原则协商解决。</w:t>
      </w:r>
    </w:p>
    <w:p>
      <w:pPr>
        <w:pStyle w:val="11"/>
        <w:widowControl/>
        <w:numPr>
          <w:ilvl w:val="0"/>
          <w:numId w:val="0"/>
        </w:numPr>
        <w:tabs>
          <w:tab w:val="left" w:pos="1080"/>
        </w:tabs>
        <w:ind w:left="0" w:leftChars="0" w:firstLine="480" w:firstLineChars="200"/>
        <w:rPr>
          <w:color w:val="auto"/>
          <w:highlight w:val="none"/>
        </w:rPr>
      </w:pPr>
      <w:r>
        <w:rPr>
          <w:rFonts w:hint="eastAsia" w:cs="Times New Roman"/>
          <w:color w:val="auto"/>
          <w:sz w:val="24"/>
          <w:highlight w:val="none"/>
          <w:lang w:val="en-US" w:eastAsia="zh-CN"/>
        </w:rPr>
        <w:t>14</w:t>
      </w:r>
      <w:r>
        <w:rPr>
          <w:rFonts w:hint="default" w:ascii="Times New Roman" w:hAnsi="Times New Roman" w:eastAsia="宋体" w:cs="Times New Roman"/>
          <w:color w:val="auto"/>
          <w:sz w:val="24"/>
          <w:highlight w:val="none"/>
        </w:rPr>
        <w:t>.2.</w:t>
      </w:r>
      <w:r>
        <w:rPr>
          <w:color w:val="auto"/>
          <w:highlight w:val="none"/>
        </w:rPr>
        <w:t>本协议生效后，如果适用于本项目的法律、法规、规章、政策发生了变动，如财政体制发生变革等，导致无法实现协议有关约定，乙方应详细说明变动造成的成本增加或收益降低的情况，并提出处理意见，甲乙双方进行协商一致后，可以对本协议进行变更。</w:t>
      </w:r>
    </w:p>
    <w:p>
      <w:pPr>
        <w:pStyle w:val="11"/>
        <w:widowControl/>
        <w:numPr>
          <w:ilvl w:val="0"/>
          <w:numId w:val="0"/>
        </w:numPr>
        <w:tabs>
          <w:tab w:val="left" w:pos="1080"/>
        </w:tabs>
        <w:ind w:left="0" w:leftChars="0" w:firstLine="480" w:firstLineChars="200"/>
        <w:rPr>
          <w:color w:val="auto"/>
          <w:highlight w:val="none"/>
        </w:rPr>
      </w:pPr>
      <w:r>
        <w:rPr>
          <w:rFonts w:hint="eastAsia" w:cs="Times New Roman"/>
          <w:color w:val="auto"/>
          <w:sz w:val="24"/>
          <w:highlight w:val="none"/>
          <w:lang w:val="en-US" w:eastAsia="zh-CN"/>
        </w:rPr>
        <w:t>14</w:t>
      </w:r>
      <w:r>
        <w:rPr>
          <w:rFonts w:hint="default" w:ascii="Times New Roman" w:hAnsi="Times New Roman" w:eastAsia="宋体" w:cs="Times New Roman"/>
          <w:color w:val="auto"/>
          <w:sz w:val="24"/>
          <w:highlight w:val="none"/>
        </w:rPr>
        <w:t>.3.</w:t>
      </w:r>
      <w:r>
        <w:rPr>
          <w:color w:val="auto"/>
          <w:highlight w:val="none"/>
        </w:rPr>
        <w:t>发生上述法律或政策变更时，甲乙双方应迅速协商并作出必要的变更调整，以恢复各方在本协议项下权利义务的履行及经济利益，如双方经协商未能就调整方案达成一致或无法通过调整恢复各方在本协议项下权利义务及经济利益，则双方可根据相关的约定终止本协议。</w:t>
      </w:r>
    </w:p>
    <w:p>
      <w:pPr>
        <w:pStyle w:val="11"/>
        <w:spacing w:line="288" w:lineRule="auto"/>
        <w:rPr>
          <w:color w:val="auto"/>
          <w:highlight w:val="none"/>
        </w:rPr>
      </w:pPr>
    </w:p>
    <w:p>
      <w:pPr>
        <w:pStyle w:val="23"/>
        <w:widowControl/>
        <w:numPr>
          <w:ilvl w:val="0"/>
          <w:numId w:val="1"/>
        </w:numPr>
        <w:tabs>
          <w:tab w:val="left" w:pos="1731"/>
          <w:tab w:val="clear" w:pos="210"/>
        </w:tabs>
        <w:ind w:left="0" w:leftChars="0" w:firstLine="600" w:firstLineChars="200"/>
        <w:outlineLvl w:val="0"/>
        <w:rPr>
          <w:b w:val="0"/>
          <w:color w:val="auto"/>
          <w:highlight w:val="none"/>
        </w:rPr>
      </w:pPr>
      <w:bookmarkStart w:id="58" w:name="bookmark53"/>
      <w:bookmarkEnd w:id="58"/>
      <w:bookmarkStart w:id="59" w:name="bookmark52"/>
      <w:bookmarkEnd w:id="59"/>
      <w:bookmarkStart w:id="60" w:name="_Toc2351"/>
      <w:r>
        <w:rPr>
          <w:color w:val="auto"/>
          <w:highlight w:val="none"/>
        </w:rPr>
        <w:t>不可抗力</w:t>
      </w:r>
      <w:bookmarkEnd w:id="60"/>
    </w:p>
    <w:p>
      <w:pPr>
        <w:pStyle w:val="11"/>
        <w:widowControl/>
        <w:numPr>
          <w:ilvl w:val="0"/>
          <w:numId w:val="0"/>
        </w:numPr>
        <w:tabs>
          <w:tab w:val="left" w:pos="1080"/>
        </w:tabs>
        <w:ind w:left="0" w:leftChars="0" w:firstLine="482" w:firstLineChars="200"/>
        <w:rPr>
          <w:color w:val="auto"/>
          <w:highlight w:val="none"/>
        </w:rPr>
      </w:pPr>
      <w:r>
        <w:rPr>
          <w:rFonts w:hint="eastAsia" w:cs="Times New Roman"/>
          <w:b/>
          <w:color w:val="auto"/>
          <w:sz w:val="24"/>
          <w:highlight w:val="none"/>
          <w:lang w:val="en-US" w:eastAsia="zh-CN"/>
        </w:rPr>
        <w:t>15</w:t>
      </w:r>
      <w:r>
        <w:rPr>
          <w:rFonts w:hint="default" w:ascii="Times New Roman" w:hAnsi="Times New Roman" w:eastAsia="宋体" w:cs="Times New Roman"/>
          <w:b/>
          <w:color w:val="auto"/>
          <w:sz w:val="24"/>
          <w:highlight w:val="none"/>
        </w:rPr>
        <w:t>.1.</w:t>
      </w:r>
      <w:r>
        <w:rPr>
          <w:color w:val="auto"/>
          <w:highlight w:val="none"/>
        </w:rPr>
        <w:t>因不可抗力导致本协议一方当事人不能履行协议的，根据不可抗力的影响，部分或者全部免除责任。但在迟延履行期间发生不可抗力的，迟延履行的一方不能免责。</w:t>
      </w:r>
    </w:p>
    <w:p>
      <w:pPr>
        <w:pStyle w:val="11"/>
        <w:widowControl/>
        <w:ind w:left="0" w:leftChars="0" w:firstLine="480" w:firstLineChars="200"/>
        <w:rPr>
          <w:color w:val="auto"/>
          <w:highlight w:val="none"/>
        </w:rPr>
      </w:pPr>
      <w:r>
        <w:rPr>
          <w:color w:val="auto"/>
          <w:highlight w:val="none"/>
        </w:rPr>
        <w:t>不可抗力包括但不限于：</w:t>
      </w:r>
    </w:p>
    <w:p>
      <w:pPr>
        <w:pStyle w:val="11"/>
        <w:widowControl/>
        <w:numPr>
          <w:ilvl w:val="0"/>
          <w:numId w:val="45"/>
        </w:numPr>
        <w:tabs>
          <w:tab w:val="left" w:pos="879"/>
          <w:tab w:val="clear" w:pos="210"/>
        </w:tabs>
        <w:ind w:left="0" w:leftChars="0" w:firstLine="480" w:firstLineChars="200"/>
        <w:rPr>
          <w:b w:val="0"/>
          <w:color w:val="auto"/>
          <w:highlight w:val="none"/>
        </w:rPr>
      </w:pPr>
      <w:r>
        <w:rPr>
          <w:color w:val="auto"/>
          <w:highlight w:val="none"/>
        </w:rPr>
        <w:t>项目实施地发生地震、火山爆发、泥石流、海啸、台风、飓风或龙卷风、洪水等自然灾害；</w:t>
      </w:r>
    </w:p>
    <w:p>
      <w:pPr>
        <w:pStyle w:val="11"/>
        <w:widowControl/>
        <w:numPr>
          <w:ilvl w:val="0"/>
          <w:numId w:val="45"/>
        </w:numPr>
        <w:tabs>
          <w:tab w:val="left" w:pos="879"/>
          <w:tab w:val="clear" w:pos="210"/>
        </w:tabs>
        <w:ind w:left="0" w:leftChars="0" w:firstLine="480" w:firstLineChars="200"/>
        <w:rPr>
          <w:color w:val="auto"/>
          <w:highlight w:val="none"/>
        </w:rPr>
      </w:pPr>
      <w:r>
        <w:rPr>
          <w:color w:val="auto"/>
          <w:highlight w:val="none"/>
        </w:rPr>
        <w:t>流行病、饥荒或瘟疫；战争行为</w:t>
      </w:r>
      <w:r>
        <w:rPr>
          <w:rFonts w:hint="eastAsia"/>
          <w:color w:val="auto"/>
          <w:highlight w:val="none"/>
          <w:lang w:eastAsia="zh-CN"/>
        </w:rPr>
        <w:t>（</w:t>
      </w:r>
      <w:r>
        <w:rPr>
          <w:color w:val="auto"/>
          <w:highlight w:val="none"/>
        </w:rPr>
        <w:t>无论是宣战的或未宣战的</w:t>
      </w:r>
      <w:r>
        <w:rPr>
          <w:rFonts w:hint="eastAsia"/>
          <w:color w:val="auto"/>
          <w:highlight w:val="none"/>
          <w:lang w:eastAsia="zh-CN"/>
        </w:rPr>
        <w:t>）</w:t>
      </w:r>
      <w:r>
        <w:rPr>
          <w:color w:val="auto"/>
          <w:highlight w:val="none"/>
        </w:rPr>
        <w:t>、入侵、武装冲突或外敌行为、封锁、暴乱、恐怖行为或军事力量的使用；</w:t>
      </w:r>
    </w:p>
    <w:p>
      <w:pPr>
        <w:pStyle w:val="23"/>
        <w:widowControl/>
        <w:numPr>
          <w:ilvl w:val="0"/>
          <w:numId w:val="1"/>
        </w:numPr>
        <w:tabs>
          <w:tab w:val="left" w:pos="1731"/>
          <w:tab w:val="clear" w:pos="210"/>
        </w:tabs>
        <w:ind w:left="0" w:leftChars="0" w:firstLine="600" w:firstLineChars="200"/>
        <w:outlineLvl w:val="0"/>
        <w:rPr>
          <w:b w:val="0"/>
          <w:color w:val="auto"/>
          <w:highlight w:val="none"/>
        </w:rPr>
      </w:pPr>
      <w:bookmarkStart w:id="61" w:name="bookmark56"/>
      <w:bookmarkEnd w:id="61"/>
      <w:bookmarkStart w:id="62" w:name="bookmark57"/>
      <w:bookmarkEnd w:id="62"/>
      <w:bookmarkStart w:id="63" w:name="_Toc26758"/>
      <w:r>
        <w:rPr>
          <w:color w:val="auto"/>
          <w:highlight w:val="none"/>
        </w:rPr>
        <w:t>其他</w:t>
      </w:r>
      <w:bookmarkEnd w:id="63"/>
    </w:p>
    <w:p>
      <w:pPr>
        <w:pStyle w:val="2"/>
        <w:widowControl/>
        <w:numPr>
          <w:ilvl w:val="0"/>
          <w:numId w:val="0"/>
        </w:numPr>
        <w:tabs>
          <w:tab w:val="left" w:pos="1275"/>
        </w:tabs>
        <w:ind w:left="0" w:leftChars="0" w:firstLine="482" w:firstLineChars="200"/>
        <w:outlineLvl w:val="1"/>
        <w:rPr>
          <w:b/>
          <w:color w:val="auto"/>
          <w:highlight w:val="none"/>
        </w:rPr>
      </w:pPr>
      <w:r>
        <w:rPr>
          <w:rFonts w:hint="eastAsia" w:cs="宋体"/>
          <w:b/>
          <w:bCs/>
          <w:snapToGrid w:val="0"/>
          <w:color w:val="auto"/>
          <w:kern w:val="44"/>
          <w:sz w:val="24"/>
          <w:szCs w:val="30"/>
          <w:highlight w:val="none"/>
          <w:lang w:val="en-US" w:eastAsia="zh-CN" w:bidi="ar-SA"/>
        </w:rPr>
        <w:t>16</w:t>
      </w:r>
      <w:r>
        <w:rPr>
          <w:rFonts w:hint="default" w:ascii="宋体" w:hAnsi="宋体" w:eastAsia="宋体" w:cs="宋体"/>
          <w:b/>
          <w:bCs/>
          <w:snapToGrid w:val="0"/>
          <w:color w:val="auto"/>
          <w:kern w:val="44"/>
          <w:sz w:val="24"/>
          <w:szCs w:val="30"/>
          <w:highlight w:val="none"/>
          <w:lang w:val="en-US" w:eastAsia="en-US" w:bidi="ar-SA"/>
        </w:rPr>
        <w:t>.1.</w:t>
      </w:r>
      <w:r>
        <w:rPr>
          <w:color w:val="auto"/>
          <w:highlight w:val="none"/>
        </w:rPr>
        <w:t>协议构成及优先次序</w:t>
      </w:r>
    </w:p>
    <w:p>
      <w:pPr>
        <w:pStyle w:val="11"/>
        <w:widowControl/>
        <w:numPr>
          <w:ilvl w:val="0"/>
          <w:numId w:val="0"/>
        </w:numPr>
        <w:tabs>
          <w:tab w:val="left" w:pos="1260"/>
        </w:tabs>
        <w:ind w:left="0" w:leftChars="0" w:firstLine="482" w:firstLineChars="200"/>
        <w:outlineLvl w:val="2"/>
        <w:rPr>
          <w:b/>
          <w:color w:val="auto"/>
          <w:highlight w:val="none"/>
        </w:rPr>
      </w:pPr>
      <w:r>
        <w:rPr>
          <w:rFonts w:hint="eastAsia" w:cs="Times New Roman"/>
          <w:b/>
          <w:color w:val="auto"/>
          <w:sz w:val="24"/>
          <w:highlight w:val="none"/>
          <w:lang w:val="en-US" w:eastAsia="zh-CN"/>
        </w:rPr>
        <w:t>16</w:t>
      </w:r>
      <w:r>
        <w:rPr>
          <w:rFonts w:hint="default" w:ascii="Times New Roman" w:hAnsi="Times New Roman" w:eastAsia="宋体" w:cs="Times New Roman"/>
          <w:b/>
          <w:color w:val="auto"/>
          <w:sz w:val="24"/>
          <w:highlight w:val="none"/>
        </w:rPr>
        <w:t>.1.1.</w:t>
      </w:r>
      <w:r>
        <w:rPr>
          <w:color w:val="auto"/>
          <w:highlight w:val="none"/>
        </w:rPr>
        <w:t>协议文件的组成如下：</w:t>
      </w:r>
    </w:p>
    <w:p>
      <w:pPr>
        <w:pStyle w:val="11"/>
        <w:widowControl/>
        <w:numPr>
          <w:ilvl w:val="0"/>
          <w:numId w:val="46"/>
        </w:numPr>
        <w:tabs>
          <w:tab w:val="left" w:pos="879"/>
          <w:tab w:val="clear" w:pos="210"/>
        </w:tabs>
        <w:ind w:left="0" w:leftChars="0" w:firstLine="480" w:firstLineChars="200"/>
        <w:rPr>
          <w:b w:val="0"/>
          <w:color w:val="auto"/>
          <w:highlight w:val="none"/>
        </w:rPr>
      </w:pPr>
      <w:r>
        <w:rPr>
          <w:color w:val="auto"/>
          <w:highlight w:val="none"/>
        </w:rPr>
        <w:t>协议补充协议、变更协议</w:t>
      </w:r>
    </w:p>
    <w:p>
      <w:pPr>
        <w:pStyle w:val="11"/>
        <w:widowControl/>
        <w:numPr>
          <w:ilvl w:val="0"/>
          <w:numId w:val="46"/>
        </w:numPr>
        <w:tabs>
          <w:tab w:val="left" w:pos="879"/>
          <w:tab w:val="clear" w:pos="210"/>
        </w:tabs>
        <w:ind w:left="0" w:leftChars="0" w:firstLine="480" w:firstLineChars="200"/>
        <w:rPr>
          <w:b w:val="0"/>
          <w:color w:val="auto"/>
          <w:highlight w:val="none"/>
        </w:rPr>
      </w:pPr>
      <w:r>
        <w:rPr>
          <w:color w:val="auto"/>
          <w:highlight w:val="none"/>
        </w:rPr>
        <w:t>协议正文及附件</w:t>
      </w:r>
    </w:p>
    <w:p>
      <w:pPr>
        <w:pStyle w:val="11"/>
        <w:widowControl/>
        <w:numPr>
          <w:ilvl w:val="0"/>
          <w:numId w:val="46"/>
        </w:numPr>
        <w:tabs>
          <w:tab w:val="left" w:pos="879"/>
          <w:tab w:val="clear" w:pos="210"/>
        </w:tabs>
        <w:ind w:left="0" w:leftChars="0" w:firstLine="480" w:firstLineChars="200"/>
        <w:rPr>
          <w:b w:val="0"/>
          <w:color w:val="auto"/>
          <w:highlight w:val="none"/>
        </w:rPr>
      </w:pPr>
      <w:r>
        <w:rPr>
          <w:color w:val="auto"/>
          <w:highlight w:val="none"/>
        </w:rPr>
        <w:t>中标通知书</w:t>
      </w:r>
    </w:p>
    <w:p>
      <w:pPr>
        <w:pStyle w:val="11"/>
        <w:widowControl/>
        <w:numPr>
          <w:ilvl w:val="0"/>
          <w:numId w:val="46"/>
        </w:numPr>
        <w:tabs>
          <w:tab w:val="left" w:pos="879"/>
          <w:tab w:val="clear" w:pos="210"/>
        </w:tabs>
        <w:ind w:left="0" w:leftChars="0" w:firstLine="480" w:firstLineChars="200"/>
        <w:rPr>
          <w:b w:val="0"/>
          <w:color w:val="auto"/>
          <w:highlight w:val="none"/>
        </w:rPr>
      </w:pPr>
      <w:r>
        <w:rPr>
          <w:color w:val="auto"/>
          <w:highlight w:val="none"/>
        </w:rPr>
        <w:t>投标文件、投标澄清函</w:t>
      </w:r>
    </w:p>
    <w:p>
      <w:pPr>
        <w:pStyle w:val="11"/>
        <w:widowControl/>
        <w:numPr>
          <w:ilvl w:val="0"/>
          <w:numId w:val="46"/>
        </w:numPr>
        <w:tabs>
          <w:tab w:val="left" w:pos="879"/>
          <w:tab w:val="clear" w:pos="210"/>
        </w:tabs>
        <w:ind w:left="0" w:leftChars="0" w:firstLine="480" w:firstLineChars="200"/>
        <w:rPr>
          <w:b w:val="0"/>
          <w:color w:val="auto"/>
          <w:highlight w:val="none"/>
        </w:rPr>
      </w:pPr>
      <w:r>
        <w:rPr>
          <w:color w:val="auto"/>
          <w:highlight w:val="none"/>
        </w:rPr>
        <w:t>招标文件及其补充文件、答疑文件</w:t>
      </w:r>
    </w:p>
    <w:p>
      <w:pPr>
        <w:pStyle w:val="11"/>
        <w:widowControl/>
        <w:numPr>
          <w:ilvl w:val="0"/>
          <w:numId w:val="46"/>
        </w:numPr>
        <w:tabs>
          <w:tab w:val="left" w:pos="879"/>
          <w:tab w:val="clear" w:pos="210"/>
        </w:tabs>
        <w:ind w:left="0" w:leftChars="0" w:firstLine="480" w:firstLineChars="200"/>
        <w:rPr>
          <w:b w:val="0"/>
          <w:color w:val="auto"/>
          <w:highlight w:val="none"/>
        </w:rPr>
      </w:pPr>
      <w:r>
        <w:rPr>
          <w:color w:val="auto"/>
          <w:highlight w:val="none"/>
        </w:rPr>
        <w:t>协议其他构成文件</w:t>
      </w:r>
    </w:p>
    <w:p>
      <w:pPr>
        <w:pStyle w:val="11"/>
        <w:widowControl/>
        <w:numPr>
          <w:ilvl w:val="0"/>
          <w:numId w:val="0"/>
        </w:numPr>
        <w:tabs>
          <w:tab w:val="left" w:pos="1260"/>
        </w:tabs>
        <w:ind w:left="0" w:leftChars="0" w:firstLine="480" w:firstLineChars="200"/>
        <w:rPr>
          <w:b w:val="0"/>
          <w:color w:val="auto"/>
          <w:highlight w:val="none"/>
        </w:rPr>
      </w:pPr>
      <w:r>
        <w:rPr>
          <w:rFonts w:hint="eastAsia" w:cs="Times New Roman"/>
          <w:b w:val="0"/>
          <w:color w:val="auto"/>
          <w:sz w:val="24"/>
          <w:highlight w:val="none"/>
          <w:lang w:val="en-US" w:eastAsia="zh-CN"/>
        </w:rPr>
        <w:t>16</w:t>
      </w:r>
      <w:r>
        <w:rPr>
          <w:rFonts w:hint="default" w:ascii="Times New Roman" w:hAnsi="Times New Roman" w:eastAsia="宋体" w:cs="Times New Roman"/>
          <w:b w:val="0"/>
          <w:color w:val="auto"/>
          <w:sz w:val="24"/>
          <w:highlight w:val="none"/>
        </w:rPr>
        <w:t>.1.2.</w:t>
      </w:r>
      <w:r>
        <w:rPr>
          <w:color w:val="auto"/>
          <w:highlight w:val="none"/>
        </w:rPr>
        <w:t>上述文件应认为是一个整体，彼此相互解释，互为说明，若有不一致时，解释顺序如上所列：排列在前的文件解释效力优于排列在后的文件效力；生效时间在后的文件效力优于生效时间在前的文件效力。</w:t>
      </w:r>
    </w:p>
    <w:p>
      <w:pPr>
        <w:pStyle w:val="2"/>
        <w:widowControl/>
        <w:numPr>
          <w:ilvl w:val="0"/>
          <w:numId w:val="0"/>
        </w:numPr>
        <w:tabs>
          <w:tab w:val="left" w:pos="1275"/>
        </w:tabs>
        <w:ind w:left="0" w:leftChars="0" w:firstLine="482" w:firstLineChars="200"/>
        <w:outlineLvl w:val="1"/>
        <w:rPr>
          <w:b/>
          <w:color w:val="auto"/>
          <w:highlight w:val="none"/>
        </w:rPr>
      </w:pPr>
      <w:r>
        <w:rPr>
          <w:rFonts w:hint="eastAsia" w:cs="宋体"/>
          <w:b/>
          <w:bCs/>
          <w:snapToGrid w:val="0"/>
          <w:color w:val="auto"/>
          <w:kern w:val="44"/>
          <w:sz w:val="24"/>
          <w:szCs w:val="30"/>
          <w:highlight w:val="none"/>
          <w:lang w:val="en-US" w:eastAsia="zh-CN" w:bidi="ar-SA"/>
        </w:rPr>
        <w:t>16</w:t>
      </w:r>
      <w:r>
        <w:rPr>
          <w:rFonts w:hint="default" w:ascii="宋体" w:hAnsi="宋体" w:eastAsia="宋体" w:cs="宋体"/>
          <w:b/>
          <w:bCs/>
          <w:snapToGrid w:val="0"/>
          <w:color w:val="auto"/>
          <w:kern w:val="44"/>
          <w:sz w:val="24"/>
          <w:szCs w:val="30"/>
          <w:highlight w:val="none"/>
          <w:lang w:val="en-US" w:eastAsia="en-US" w:bidi="ar-SA"/>
        </w:rPr>
        <w:t>.2.</w:t>
      </w:r>
      <w:r>
        <w:rPr>
          <w:color w:val="auto"/>
          <w:highlight w:val="none"/>
        </w:rPr>
        <w:t>协议文本及生效</w:t>
      </w:r>
    </w:p>
    <w:p>
      <w:pPr>
        <w:pStyle w:val="11"/>
        <w:widowControl/>
        <w:numPr>
          <w:ilvl w:val="0"/>
          <w:numId w:val="0"/>
        </w:numPr>
        <w:tabs>
          <w:tab w:val="left" w:pos="1260"/>
        </w:tabs>
        <w:ind w:left="0" w:leftChars="0" w:firstLine="482" w:firstLineChars="200"/>
        <w:rPr>
          <w:b/>
          <w:color w:val="auto"/>
          <w:highlight w:val="none"/>
        </w:rPr>
      </w:pPr>
      <w:r>
        <w:rPr>
          <w:rFonts w:hint="eastAsia" w:cs="Times New Roman"/>
          <w:b/>
          <w:color w:val="auto"/>
          <w:sz w:val="24"/>
          <w:highlight w:val="none"/>
          <w:lang w:val="en-US" w:eastAsia="zh-CN"/>
        </w:rPr>
        <w:t>16</w:t>
      </w:r>
      <w:r>
        <w:rPr>
          <w:rFonts w:hint="default" w:ascii="Times New Roman" w:hAnsi="Times New Roman" w:eastAsia="宋体" w:cs="Times New Roman"/>
          <w:b/>
          <w:color w:val="auto"/>
          <w:sz w:val="24"/>
          <w:highlight w:val="none"/>
        </w:rPr>
        <w:t>.2.1.</w:t>
      </w:r>
      <w:r>
        <w:rPr>
          <w:color w:val="auto"/>
          <w:highlight w:val="none"/>
        </w:rPr>
        <w:t>本协议一式</w:t>
      </w:r>
      <w:r>
        <w:rPr>
          <w:color w:val="auto"/>
          <w:highlight w:val="none"/>
          <w:u w:val="single" w:color="auto"/>
        </w:rPr>
        <w:t>【   】</w:t>
      </w:r>
      <w:r>
        <w:rPr>
          <w:color w:val="auto"/>
          <w:highlight w:val="none"/>
        </w:rPr>
        <w:t>份，其中正本</w:t>
      </w:r>
      <w:r>
        <w:rPr>
          <w:color w:val="auto"/>
          <w:highlight w:val="none"/>
          <w:u w:val="single" w:color="auto"/>
        </w:rPr>
        <w:t>【   】</w:t>
      </w:r>
      <w:r>
        <w:rPr>
          <w:color w:val="auto"/>
          <w:highlight w:val="none"/>
        </w:rPr>
        <w:t>份，副本</w:t>
      </w:r>
      <w:r>
        <w:rPr>
          <w:color w:val="auto"/>
          <w:highlight w:val="none"/>
          <w:u w:val="single" w:color="auto"/>
        </w:rPr>
        <w:t>【  】</w:t>
      </w:r>
    </w:p>
    <w:p>
      <w:pPr>
        <w:pStyle w:val="11"/>
        <w:widowControl/>
        <w:ind w:left="0" w:leftChars="0" w:firstLine="480" w:firstLineChars="200"/>
        <w:rPr>
          <w:color w:val="auto"/>
          <w:highlight w:val="none"/>
        </w:rPr>
      </w:pPr>
      <w:r>
        <w:rPr>
          <w:color w:val="auto"/>
          <w:highlight w:val="none"/>
        </w:rPr>
        <w:t>份，甲方、乙方各执正本</w:t>
      </w:r>
      <w:r>
        <w:rPr>
          <w:color w:val="auto"/>
          <w:highlight w:val="none"/>
          <w:u w:val="single" w:color="auto"/>
        </w:rPr>
        <w:t xml:space="preserve">   </w:t>
      </w:r>
      <w:r>
        <w:rPr>
          <w:color w:val="auto"/>
          <w:highlight w:val="none"/>
        </w:rPr>
        <w:t xml:space="preserve"> 份，副本</w:t>
      </w:r>
      <w:r>
        <w:rPr>
          <w:color w:val="auto"/>
          <w:highlight w:val="none"/>
          <w:u w:val="single" w:color="auto"/>
        </w:rPr>
        <w:t xml:space="preserve">   </w:t>
      </w:r>
      <w:r>
        <w:rPr>
          <w:color w:val="auto"/>
          <w:highlight w:val="none"/>
        </w:rPr>
        <w:t xml:space="preserve"> 份。</w:t>
      </w:r>
    </w:p>
    <w:p>
      <w:pPr>
        <w:pStyle w:val="11"/>
        <w:widowControl/>
        <w:numPr>
          <w:ilvl w:val="0"/>
          <w:numId w:val="0"/>
        </w:numPr>
        <w:tabs>
          <w:tab w:val="left" w:pos="1260"/>
        </w:tabs>
        <w:ind w:left="0" w:leftChars="0" w:firstLine="482" w:firstLineChars="200"/>
        <w:rPr>
          <w:color w:val="auto"/>
          <w:highlight w:val="none"/>
        </w:rPr>
      </w:pPr>
      <w:r>
        <w:rPr>
          <w:rFonts w:hint="eastAsia" w:cs="Times New Roman"/>
          <w:b/>
          <w:color w:val="auto"/>
          <w:sz w:val="24"/>
          <w:highlight w:val="none"/>
          <w:lang w:val="en-US" w:eastAsia="zh-CN"/>
        </w:rPr>
        <w:t>16</w:t>
      </w:r>
      <w:r>
        <w:rPr>
          <w:rFonts w:hint="default" w:ascii="Times New Roman" w:hAnsi="Times New Roman" w:eastAsia="宋体" w:cs="Times New Roman"/>
          <w:b/>
          <w:color w:val="auto"/>
          <w:sz w:val="24"/>
          <w:highlight w:val="none"/>
        </w:rPr>
        <w:t>.2.2.</w:t>
      </w:r>
      <w:r>
        <w:rPr>
          <w:color w:val="auto"/>
          <w:highlight w:val="none"/>
        </w:rPr>
        <w:t>本协议自各方法定代表人或授权代表签字并加盖公章之日起生效，协议履行完毕之后自动失效。</w:t>
      </w:r>
    </w:p>
    <w:p>
      <w:pPr>
        <w:pStyle w:val="11"/>
        <w:widowControl/>
        <w:numPr>
          <w:ilvl w:val="0"/>
          <w:numId w:val="0"/>
        </w:numPr>
        <w:tabs>
          <w:tab w:val="left" w:pos="1260"/>
        </w:tabs>
        <w:ind w:left="0" w:leftChars="0" w:firstLine="482" w:firstLineChars="200"/>
        <w:rPr>
          <w:color w:val="auto"/>
          <w:highlight w:val="none"/>
        </w:rPr>
      </w:pPr>
      <w:r>
        <w:rPr>
          <w:rFonts w:hint="eastAsia" w:cs="Times New Roman"/>
          <w:b/>
          <w:color w:val="auto"/>
          <w:sz w:val="24"/>
          <w:highlight w:val="none"/>
          <w:lang w:val="en-US" w:eastAsia="zh-CN"/>
        </w:rPr>
        <w:t>16</w:t>
      </w:r>
      <w:r>
        <w:rPr>
          <w:rFonts w:hint="default" w:ascii="Times New Roman" w:hAnsi="Times New Roman" w:eastAsia="宋体" w:cs="Times New Roman"/>
          <w:b/>
          <w:color w:val="auto"/>
          <w:sz w:val="24"/>
          <w:highlight w:val="none"/>
        </w:rPr>
        <w:t>.2.3.</w:t>
      </w:r>
      <w:r>
        <w:rPr>
          <w:color w:val="auto"/>
          <w:highlight w:val="none"/>
        </w:rPr>
        <w:t>本协议双方当事人可以通过签订补充协议的方式对本协议的内容进行变更或修订，所签订的补充协议与本协议具有同等法律效力，但变更或修订的内容不得损害国家利益和社会公共利益。</w:t>
      </w:r>
    </w:p>
    <w:p>
      <w:pPr>
        <w:rPr>
          <w:color w:val="auto"/>
          <w:highlight w:val="none"/>
        </w:rPr>
      </w:pPr>
      <w:r>
        <w:rPr>
          <w:color w:val="auto"/>
          <w:highlight w:val="none"/>
        </w:rPr>
        <w:br w:type="page"/>
      </w:r>
    </w:p>
    <w:p>
      <w:pPr>
        <w:spacing w:line="360" w:lineRule="auto"/>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（本页无正文，为签署页）</w:t>
      </w:r>
    </w:p>
    <w:p>
      <w:pPr>
        <w:spacing w:line="360" w:lineRule="auto"/>
        <w:ind w:firstLine="560" w:firstLineChars="200"/>
        <w:rPr>
          <w:rFonts w:hint="eastAsia" w:ascii="仿宋" w:hAnsi="仿宋" w:eastAsia="仿宋"/>
          <w:color w:val="auto"/>
          <w:sz w:val="28"/>
          <w:szCs w:val="28"/>
          <w:highlight w:val="none"/>
        </w:rPr>
      </w:pP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甲方：</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（盖章）</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法定代表人或授权代表（签字）：</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20</w:t>
      </w:r>
      <w:r>
        <w:rPr>
          <w:rFonts w:ascii="仿宋" w:hAnsi="仿宋" w:eastAsia="仿宋"/>
          <w:color w:val="auto"/>
          <w:sz w:val="28"/>
          <w:szCs w:val="28"/>
          <w:highlight w:val="none"/>
        </w:rPr>
        <w:t>2</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____</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____</w:t>
      </w:r>
      <w:r>
        <w:rPr>
          <w:rFonts w:hint="eastAsia" w:ascii="仿宋" w:hAnsi="仿宋" w:eastAsia="仿宋"/>
          <w:color w:val="auto"/>
          <w:sz w:val="28"/>
          <w:szCs w:val="28"/>
          <w:highlight w:val="none"/>
        </w:rPr>
        <w:t>日</w:t>
      </w:r>
    </w:p>
    <w:p>
      <w:pPr>
        <w:spacing w:line="360" w:lineRule="auto"/>
        <w:ind w:firstLine="560" w:firstLineChars="200"/>
        <w:rPr>
          <w:rFonts w:ascii="仿宋" w:hAnsi="仿宋" w:eastAsia="仿宋"/>
          <w:color w:val="auto"/>
          <w:sz w:val="28"/>
          <w:szCs w:val="28"/>
          <w:highlight w:val="none"/>
        </w:rPr>
      </w:pPr>
    </w:p>
    <w:p>
      <w:pPr>
        <w:spacing w:line="360" w:lineRule="auto"/>
        <w:ind w:firstLine="560" w:firstLineChars="200"/>
        <w:rPr>
          <w:rFonts w:ascii="仿宋" w:hAnsi="仿宋" w:eastAsia="仿宋"/>
          <w:color w:val="auto"/>
          <w:sz w:val="28"/>
          <w:szCs w:val="28"/>
          <w:highlight w:val="none"/>
        </w:rPr>
      </w:pPr>
    </w:p>
    <w:p>
      <w:pPr>
        <w:spacing w:line="360" w:lineRule="auto"/>
        <w:ind w:firstLine="560" w:firstLineChars="200"/>
        <w:rPr>
          <w:rFonts w:ascii="仿宋" w:hAnsi="仿宋" w:eastAsia="仿宋"/>
          <w:color w:val="auto"/>
          <w:sz w:val="28"/>
          <w:szCs w:val="28"/>
          <w:highlight w:val="none"/>
        </w:rPr>
      </w:pPr>
    </w:p>
    <w:p>
      <w:pPr>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乙方：</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（盖章）</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法定代表人或授权代表（签字）：</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20</w:t>
      </w:r>
      <w:r>
        <w:rPr>
          <w:rFonts w:ascii="仿宋" w:hAnsi="仿宋" w:eastAsia="仿宋"/>
          <w:color w:val="auto"/>
          <w:sz w:val="28"/>
          <w:szCs w:val="28"/>
          <w:highlight w:val="none"/>
        </w:rPr>
        <w:t>2</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____</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____</w:t>
      </w:r>
      <w:r>
        <w:rPr>
          <w:rFonts w:hint="eastAsia" w:ascii="仿宋" w:hAnsi="仿宋" w:eastAsia="仿宋"/>
          <w:color w:val="auto"/>
          <w:sz w:val="28"/>
          <w:szCs w:val="28"/>
          <w:highlight w:val="none"/>
        </w:rPr>
        <w:t>日</w:t>
      </w:r>
    </w:p>
    <w:p>
      <w:pPr>
        <w:pStyle w:val="11"/>
        <w:widowControl/>
        <w:numPr>
          <w:ilvl w:val="0"/>
          <w:numId w:val="0"/>
        </w:numPr>
        <w:tabs>
          <w:tab w:val="left" w:pos="1260"/>
        </w:tabs>
        <w:ind w:left="0" w:leftChars="0" w:firstLine="480" w:firstLineChars="200"/>
        <w:rPr>
          <w:color w:val="auto"/>
          <w:highlight w:val="none"/>
        </w:rPr>
      </w:pPr>
    </w:p>
    <w:sectPr>
      <w:headerReference r:id="rId8" w:type="default"/>
      <w:footerReference r:id="rId9" w:type="default"/>
      <w:pgSz w:w="11906" w:h="16839"/>
      <w:pgMar w:top="1440" w:right="1800" w:bottom="1440" w:left="1800" w:header="0" w:footer="110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501"/>
      <w:rPr>
        <w:rFonts w:ascii="仿宋" w:hAnsi="仿宋" w:eastAsia="仿宋" w:cs="仿宋"/>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08"/>
      <w:rPr>
        <w:rFonts w:ascii="仿宋" w:hAnsi="仿宋" w:eastAsia="仿宋" w:cs="仿宋"/>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2D4F8"/>
    <w:multiLevelType w:val="singleLevel"/>
    <w:tmpl w:val="8A32D4F8"/>
    <w:lvl w:ilvl="0" w:tentative="0">
      <w:start w:val="1"/>
      <w:numFmt w:val="decimal"/>
      <w:suff w:val="nothing"/>
      <w:lvlText w:val="（%1）"/>
      <w:lvlJc w:val="left"/>
      <w:pPr>
        <w:ind w:left="0" w:firstLine="480"/>
      </w:pPr>
      <w:rPr>
        <w:rFonts w:hint="default"/>
      </w:rPr>
    </w:lvl>
  </w:abstractNum>
  <w:abstractNum w:abstractNumId="1">
    <w:nsid w:val="8E7397DF"/>
    <w:multiLevelType w:val="singleLevel"/>
    <w:tmpl w:val="8E7397DF"/>
    <w:lvl w:ilvl="0" w:tentative="0">
      <w:start w:val="1"/>
      <w:numFmt w:val="decimal"/>
      <w:lvlText w:val="(%1)"/>
      <w:lvlJc w:val="left"/>
      <w:pPr>
        <w:tabs>
          <w:tab w:val="left" w:pos="210"/>
        </w:tabs>
        <w:ind w:left="0" w:firstLine="480"/>
      </w:pPr>
      <w:rPr>
        <w:rFonts w:hint="default"/>
      </w:rPr>
    </w:lvl>
  </w:abstractNum>
  <w:abstractNum w:abstractNumId="2">
    <w:nsid w:val="977E30D0"/>
    <w:multiLevelType w:val="singleLevel"/>
    <w:tmpl w:val="977E30D0"/>
    <w:lvl w:ilvl="0" w:tentative="0">
      <w:start w:val="1"/>
      <w:numFmt w:val="decimal"/>
      <w:suff w:val="nothing"/>
      <w:lvlText w:val="（%1）"/>
      <w:lvlJc w:val="left"/>
      <w:pPr>
        <w:ind w:left="0" w:firstLine="480"/>
      </w:pPr>
      <w:rPr>
        <w:rFonts w:hint="default"/>
      </w:rPr>
    </w:lvl>
  </w:abstractNum>
  <w:abstractNum w:abstractNumId="3">
    <w:nsid w:val="9959E5B5"/>
    <w:multiLevelType w:val="singleLevel"/>
    <w:tmpl w:val="9959E5B5"/>
    <w:lvl w:ilvl="0" w:tentative="0">
      <w:start w:val="1"/>
      <w:numFmt w:val="decimal"/>
      <w:suff w:val="nothing"/>
      <w:lvlText w:val="（%1）"/>
      <w:lvlJc w:val="left"/>
      <w:pPr>
        <w:ind w:left="0" w:firstLine="480"/>
      </w:pPr>
      <w:rPr>
        <w:rFonts w:hint="default"/>
      </w:rPr>
    </w:lvl>
  </w:abstractNum>
  <w:abstractNum w:abstractNumId="4">
    <w:nsid w:val="A0FEDECD"/>
    <w:multiLevelType w:val="singleLevel"/>
    <w:tmpl w:val="A0FEDECD"/>
    <w:lvl w:ilvl="0" w:tentative="0">
      <w:start w:val="1"/>
      <w:numFmt w:val="decimal"/>
      <w:lvlText w:val="5.%1."/>
      <w:lvlJc w:val="left"/>
      <w:pPr>
        <w:tabs>
          <w:tab w:val="left" w:pos="210"/>
        </w:tabs>
        <w:ind w:left="0" w:firstLine="0"/>
      </w:pPr>
      <w:rPr>
        <w:rFonts w:hint="default"/>
      </w:rPr>
    </w:lvl>
  </w:abstractNum>
  <w:abstractNum w:abstractNumId="5">
    <w:nsid w:val="A875C06A"/>
    <w:multiLevelType w:val="singleLevel"/>
    <w:tmpl w:val="A875C06A"/>
    <w:lvl w:ilvl="0" w:tentative="0">
      <w:start w:val="1"/>
      <w:numFmt w:val="decimal"/>
      <w:suff w:val="nothing"/>
      <w:lvlText w:val="（%1）"/>
      <w:lvlJc w:val="left"/>
      <w:pPr>
        <w:ind w:left="0" w:firstLine="480"/>
      </w:pPr>
      <w:rPr>
        <w:rFonts w:hint="default"/>
      </w:rPr>
    </w:lvl>
  </w:abstractNum>
  <w:abstractNum w:abstractNumId="6">
    <w:nsid w:val="AC32C1EA"/>
    <w:multiLevelType w:val="singleLevel"/>
    <w:tmpl w:val="AC32C1EA"/>
    <w:lvl w:ilvl="0" w:tentative="0">
      <w:start w:val="1"/>
      <w:numFmt w:val="decimal"/>
      <w:lvlText w:val="2.2.%1."/>
      <w:lvlJc w:val="left"/>
      <w:pPr>
        <w:tabs>
          <w:tab w:val="left" w:pos="210"/>
        </w:tabs>
        <w:ind w:left="0" w:firstLine="482"/>
      </w:pPr>
      <w:rPr>
        <w:rFonts w:hint="default"/>
      </w:rPr>
    </w:lvl>
  </w:abstractNum>
  <w:abstractNum w:abstractNumId="7">
    <w:nsid w:val="AFAB7758"/>
    <w:multiLevelType w:val="singleLevel"/>
    <w:tmpl w:val="AFAB7758"/>
    <w:lvl w:ilvl="0" w:tentative="0">
      <w:start w:val="1"/>
      <w:numFmt w:val="decimal"/>
      <w:suff w:val="nothing"/>
      <w:lvlText w:val="（%1）"/>
      <w:lvlJc w:val="left"/>
      <w:pPr>
        <w:ind w:left="0" w:firstLine="480"/>
      </w:pPr>
      <w:rPr>
        <w:rFonts w:hint="default"/>
      </w:rPr>
    </w:lvl>
  </w:abstractNum>
  <w:abstractNum w:abstractNumId="8">
    <w:nsid w:val="B3A5194D"/>
    <w:multiLevelType w:val="singleLevel"/>
    <w:tmpl w:val="B3A5194D"/>
    <w:lvl w:ilvl="0" w:tentative="0">
      <w:start w:val="1"/>
      <w:numFmt w:val="lowerLetter"/>
      <w:suff w:val="nothing"/>
      <w:lvlText w:val="%1．"/>
      <w:lvlJc w:val="left"/>
      <w:pPr>
        <w:ind w:left="0" w:firstLine="480"/>
      </w:pPr>
      <w:rPr>
        <w:rFonts w:hint="default"/>
      </w:rPr>
    </w:lvl>
  </w:abstractNum>
  <w:abstractNum w:abstractNumId="9">
    <w:nsid w:val="B66C3397"/>
    <w:multiLevelType w:val="singleLevel"/>
    <w:tmpl w:val="B66C3397"/>
    <w:lvl w:ilvl="0" w:tentative="0">
      <w:start w:val="1"/>
      <w:numFmt w:val="decimal"/>
      <w:suff w:val="nothing"/>
      <w:lvlText w:val="（%1）"/>
      <w:lvlJc w:val="left"/>
      <w:pPr>
        <w:ind w:left="0" w:firstLine="480"/>
      </w:pPr>
      <w:rPr>
        <w:rFonts w:hint="default"/>
      </w:rPr>
    </w:lvl>
  </w:abstractNum>
  <w:abstractNum w:abstractNumId="10">
    <w:nsid w:val="B6FD8B98"/>
    <w:multiLevelType w:val="singleLevel"/>
    <w:tmpl w:val="B6FD8B98"/>
    <w:lvl w:ilvl="0" w:tentative="0">
      <w:start w:val="1"/>
      <w:numFmt w:val="decimal"/>
      <w:suff w:val="nothing"/>
      <w:lvlText w:val="（%1）"/>
      <w:lvlJc w:val="left"/>
      <w:pPr>
        <w:ind w:left="0" w:firstLine="0"/>
      </w:pPr>
      <w:rPr>
        <w:rFonts w:hint="default"/>
      </w:rPr>
    </w:lvl>
  </w:abstractNum>
  <w:abstractNum w:abstractNumId="11">
    <w:nsid w:val="B9B82DBC"/>
    <w:multiLevelType w:val="singleLevel"/>
    <w:tmpl w:val="B9B82DBC"/>
    <w:lvl w:ilvl="0" w:tentative="0">
      <w:start w:val="1"/>
      <w:numFmt w:val="decimal"/>
      <w:suff w:val="nothing"/>
      <w:lvlText w:val="（%1）"/>
      <w:lvlJc w:val="left"/>
      <w:pPr>
        <w:ind w:left="0" w:firstLine="480"/>
      </w:pPr>
      <w:rPr>
        <w:rFonts w:hint="default"/>
      </w:rPr>
    </w:lvl>
  </w:abstractNum>
  <w:abstractNum w:abstractNumId="12">
    <w:nsid w:val="BAE664F2"/>
    <w:multiLevelType w:val="singleLevel"/>
    <w:tmpl w:val="BAE664F2"/>
    <w:lvl w:ilvl="0" w:tentative="0">
      <w:start w:val="1"/>
      <w:numFmt w:val="decimal"/>
      <w:suff w:val="nothing"/>
      <w:lvlText w:val="（%1）"/>
      <w:lvlJc w:val="left"/>
      <w:pPr>
        <w:ind w:left="0" w:firstLine="480"/>
      </w:pPr>
      <w:rPr>
        <w:rFonts w:hint="default"/>
      </w:rPr>
    </w:lvl>
  </w:abstractNum>
  <w:abstractNum w:abstractNumId="13">
    <w:nsid w:val="BD19D05E"/>
    <w:multiLevelType w:val="singleLevel"/>
    <w:tmpl w:val="BD19D05E"/>
    <w:lvl w:ilvl="0" w:tentative="0">
      <w:start w:val="1"/>
      <w:numFmt w:val="decimal"/>
      <w:lvlText w:val="6.%1."/>
      <w:lvlJc w:val="left"/>
      <w:pPr>
        <w:tabs>
          <w:tab w:val="left" w:pos="210"/>
        </w:tabs>
        <w:ind w:left="0" w:firstLine="0"/>
      </w:pPr>
      <w:rPr>
        <w:rFonts w:hint="default"/>
      </w:rPr>
    </w:lvl>
  </w:abstractNum>
  <w:abstractNum w:abstractNumId="14">
    <w:nsid w:val="C291DA9A"/>
    <w:multiLevelType w:val="singleLevel"/>
    <w:tmpl w:val="C291DA9A"/>
    <w:lvl w:ilvl="0" w:tentative="0">
      <w:start w:val="1"/>
      <w:numFmt w:val="lowerLetter"/>
      <w:suff w:val="nothing"/>
      <w:lvlText w:val="%1．"/>
      <w:lvlJc w:val="left"/>
      <w:pPr>
        <w:ind w:left="0" w:firstLine="480"/>
      </w:pPr>
      <w:rPr>
        <w:rFonts w:hint="default"/>
      </w:rPr>
    </w:lvl>
  </w:abstractNum>
  <w:abstractNum w:abstractNumId="15">
    <w:nsid w:val="D1AFEEA7"/>
    <w:multiLevelType w:val="singleLevel"/>
    <w:tmpl w:val="D1AFEEA7"/>
    <w:lvl w:ilvl="0" w:tentative="0">
      <w:start w:val="1"/>
      <w:numFmt w:val="decimal"/>
      <w:lvlText w:val="2.1.%1."/>
      <w:lvlJc w:val="left"/>
      <w:pPr>
        <w:tabs>
          <w:tab w:val="left" w:pos="210"/>
        </w:tabs>
        <w:ind w:left="0" w:firstLine="482"/>
      </w:pPr>
      <w:rPr>
        <w:rFonts w:hint="default"/>
      </w:rPr>
    </w:lvl>
  </w:abstractNum>
  <w:abstractNum w:abstractNumId="16">
    <w:nsid w:val="D5E1EADB"/>
    <w:multiLevelType w:val="singleLevel"/>
    <w:tmpl w:val="D5E1EADB"/>
    <w:lvl w:ilvl="0" w:tentative="0">
      <w:start w:val="1"/>
      <w:numFmt w:val="decimal"/>
      <w:suff w:val="nothing"/>
      <w:lvlText w:val="（%1）"/>
      <w:lvlJc w:val="left"/>
      <w:pPr>
        <w:ind w:left="0" w:firstLine="480"/>
      </w:pPr>
      <w:rPr>
        <w:rFonts w:hint="default"/>
      </w:rPr>
    </w:lvl>
  </w:abstractNum>
  <w:abstractNum w:abstractNumId="17">
    <w:nsid w:val="E0DB075E"/>
    <w:multiLevelType w:val="singleLevel"/>
    <w:tmpl w:val="E0DB075E"/>
    <w:lvl w:ilvl="0" w:tentative="0">
      <w:start w:val="1"/>
      <w:numFmt w:val="decimal"/>
      <w:lvlText w:val="1.%1."/>
      <w:lvlJc w:val="left"/>
      <w:pPr>
        <w:tabs>
          <w:tab w:val="left" w:pos="210"/>
        </w:tabs>
        <w:ind w:left="0" w:firstLine="0"/>
      </w:pPr>
      <w:rPr>
        <w:rFonts w:hint="default"/>
      </w:rPr>
    </w:lvl>
  </w:abstractNum>
  <w:abstractNum w:abstractNumId="18">
    <w:nsid w:val="E381023C"/>
    <w:multiLevelType w:val="singleLevel"/>
    <w:tmpl w:val="E381023C"/>
    <w:lvl w:ilvl="0" w:tentative="0">
      <w:start w:val="1"/>
      <w:numFmt w:val="decimal"/>
      <w:lvlText w:val="4.%1."/>
      <w:lvlJc w:val="left"/>
      <w:pPr>
        <w:tabs>
          <w:tab w:val="left" w:pos="210"/>
        </w:tabs>
        <w:ind w:left="0" w:firstLine="0"/>
      </w:pPr>
      <w:rPr>
        <w:rFonts w:hint="default"/>
      </w:rPr>
    </w:lvl>
  </w:abstractNum>
  <w:abstractNum w:abstractNumId="19">
    <w:nsid w:val="E5D2457C"/>
    <w:multiLevelType w:val="singleLevel"/>
    <w:tmpl w:val="E5D2457C"/>
    <w:lvl w:ilvl="0" w:tentative="0">
      <w:start w:val="1"/>
      <w:numFmt w:val="decimal"/>
      <w:suff w:val="nothing"/>
      <w:lvlText w:val="（%1）"/>
      <w:lvlJc w:val="left"/>
      <w:pPr>
        <w:ind w:left="0" w:firstLine="0"/>
      </w:pPr>
      <w:rPr>
        <w:rFonts w:hint="default"/>
      </w:rPr>
    </w:lvl>
  </w:abstractNum>
  <w:abstractNum w:abstractNumId="20">
    <w:nsid w:val="E7C82B90"/>
    <w:multiLevelType w:val="singleLevel"/>
    <w:tmpl w:val="E7C82B90"/>
    <w:lvl w:ilvl="0" w:tentative="0">
      <w:start w:val="1"/>
      <w:numFmt w:val="decimal"/>
      <w:suff w:val="nothing"/>
      <w:lvlText w:val="（%1）"/>
      <w:lvlJc w:val="left"/>
      <w:pPr>
        <w:ind w:left="0" w:firstLine="480"/>
      </w:pPr>
      <w:rPr>
        <w:rFonts w:hint="default"/>
      </w:rPr>
    </w:lvl>
  </w:abstractNum>
  <w:abstractNum w:abstractNumId="21">
    <w:nsid w:val="EF59054A"/>
    <w:multiLevelType w:val="singleLevel"/>
    <w:tmpl w:val="EF59054A"/>
    <w:lvl w:ilvl="0" w:tentative="0">
      <w:start w:val="1"/>
      <w:numFmt w:val="decimal"/>
      <w:lvlText w:val="4.4.%1."/>
      <w:lvlJc w:val="left"/>
      <w:pPr>
        <w:tabs>
          <w:tab w:val="left" w:pos="210"/>
        </w:tabs>
        <w:ind w:left="0" w:firstLine="482"/>
      </w:pPr>
      <w:rPr>
        <w:rFonts w:hint="default"/>
      </w:rPr>
    </w:lvl>
  </w:abstractNum>
  <w:abstractNum w:abstractNumId="22">
    <w:nsid w:val="F419679B"/>
    <w:multiLevelType w:val="singleLevel"/>
    <w:tmpl w:val="F419679B"/>
    <w:lvl w:ilvl="0" w:tentative="0">
      <w:start w:val="1"/>
      <w:numFmt w:val="decimal"/>
      <w:suff w:val="nothing"/>
      <w:lvlText w:val="（%1）"/>
      <w:lvlJc w:val="left"/>
      <w:pPr>
        <w:ind w:left="0" w:firstLine="0"/>
      </w:pPr>
      <w:rPr>
        <w:rFonts w:hint="default"/>
      </w:rPr>
    </w:lvl>
  </w:abstractNum>
  <w:abstractNum w:abstractNumId="23">
    <w:nsid w:val="F50D4B1D"/>
    <w:multiLevelType w:val="singleLevel"/>
    <w:tmpl w:val="F50D4B1D"/>
    <w:lvl w:ilvl="0" w:tentative="0">
      <w:start w:val="1"/>
      <w:numFmt w:val="lowerLetter"/>
      <w:suff w:val="nothing"/>
      <w:lvlText w:val="%1．"/>
      <w:lvlJc w:val="left"/>
      <w:pPr>
        <w:ind w:left="0" w:firstLine="480"/>
      </w:pPr>
      <w:rPr>
        <w:rFonts w:hint="default"/>
      </w:rPr>
    </w:lvl>
  </w:abstractNum>
  <w:abstractNum w:abstractNumId="24">
    <w:nsid w:val="0C52699B"/>
    <w:multiLevelType w:val="singleLevel"/>
    <w:tmpl w:val="0C52699B"/>
    <w:lvl w:ilvl="0" w:tentative="0">
      <w:start w:val="1"/>
      <w:numFmt w:val="decimal"/>
      <w:suff w:val="nothing"/>
      <w:lvlText w:val="%1、"/>
      <w:lvlJc w:val="left"/>
      <w:pPr>
        <w:ind w:left="0" w:firstLine="480"/>
      </w:pPr>
      <w:rPr>
        <w:rFonts w:hint="default"/>
      </w:rPr>
    </w:lvl>
  </w:abstractNum>
  <w:abstractNum w:abstractNumId="25">
    <w:nsid w:val="1056125D"/>
    <w:multiLevelType w:val="singleLevel"/>
    <w:tmpl w:val="1056125D"/>
    <w:lvl w:ilvl="0" w:tentative="0">
      <w:start w:val="1"/>
      <w:numFmt w:val="decimal"/>
      <w:lvlText w:val="第%1条"/>
      <w:lvlJc w:val="left"/>
      <w:pPr>
        <w:tabs>
          <w:tab w:val="left" w:pos="210"/>
        </w:tabs>
        <w:ind w:left="0" w:firstLine="0"/>
      </w:pPr>
      <w:rPr>
        <w:rFonts w:hint="default"/>
      </w:rPr>
    </w:lvl>
  </w:abstractNum>
  <w:abstractNum w:abstractNumId="26">
    <w:nsid w:val="16805C23"/>
    <w:multiLevelType w:val="singleLevel"/>
    <w:tmpl w:val="16805C23"/>
    <w:lvl w:ilvl="0" w:tentative="0">
      <w:start w:val="1"/>
      <w:numFmt w:val="decimal"/>
      <w:lvlText w:val="6.2.%1."/>
      <w:lvlJc w:val="left"/>
      <w:pPr>
        <w:tabs>
          <w:tab w:val="left" w:pos="210"/>
        </w:tabs>
        <w:ind w:left="0" w:firstLine="482"/>
      </w:pPr>
      <w:rPr>
        <w:rFonts w:hint="default"/>
      </w:rPr>
    </w:lvl>
  </w:abstractNum>
  <w:abstractNum w:abstractNumId="27">
    <w:nsid w:val="1806CB8D"/>
    <w:multiLevelType w:val="singleLevel"/>
    <w:tmpl w:val="1806CB8D"/>
    <w:lvl w:ilvl="0" w:tentative="0">
      <w:start w:val="1"/>
      <w:numFmt w:val="decimal"/>
      <w:suff w:val="nothing"/>
      <w:lvlText w:val="（%1）"/>
      <w:lvlJc w:val="left"/>
      <w:pPr>
        <w:ind w:left="0" w:firstLine="480"/>
      </w:pPr>
      <w:rPr>
        <w:rFonts w:hint="default"/>
      </w:rPr>
    </w:lvl>
  </w:abstractNum>
  <w:abstractNum w:abstractNumId="28">
    <w:nsid w:val="192BB907"/>
    <w:multiLevelType w:val="singleLevel"/>
    <w:tmpl w:val="192BB907"/>
    <w:lvl w:ilvl="0" w:tentative="0">
      <w:start w:val="1"/>
      <w:numFmt w:val="decimal"/>
      <w:suff w:val="nothing"/>
      <w:lvlText w:val="（%1）"/>
      <w:lvlJc w:val="left"/>
      <w:pPr>
        <w:ind w:left="0" w:firstLine="480"/>
      </w:pPr>
      <w:rPr>
        <w:rFonts w:hint="default"/>
      </w:rPr>
    </w:lvl>
  </w:abstractNum>
  <w:abstractNum w:abstractNumId="29">
    <w:nsid w:val="243A716F"/>
    <w:multiLevelType w:val="singleLevel"/>
    <w:tmpl w:val="243A716F"/>
    <w:lvl w:ilvl="0" w:tentative="0">
      <w:start w:val="1"/>
      <w:numFmt w:val="decimal"/>
      <w:suff w:val="nothing"/>
      <w:lvlText w:val="（%1）"/>
      <w:lvlJc w:val="left"/>
      <w:pPr>
        <w:ind w:left="0" w:firstLine="480"/>
      </w:pPr>
      <w:rPr>
        <w:rFonts w:hint="default"/>
      </w:rPr>
    </w:lvl>
  </w:abstractNum>
  <w:abstractNum w:abstractNumId="30">
    <w:nsid w:val="2724517D"/>
    <w:multiLevelType w:val="singleLevel"/>
    <w:tmpl w:val="2724517D"/>
    <w:lvl w:ilvl="0" w:tentative="0">
      <w:start w:val="1"/>
      <w:numFmt w:val="decimal"/>
      <w:lvlText w:val="2.%1."/>
      <w:lvlJc w:val="left"/>
      <w:pPr>
        <w:tabs>
          <w:tab w:val="left" w:pos="210"/>
        </w:tabs>
        <w:ind w:left="0" w:firstLine="0"/>
      </w:pPr>
      <w:rPr>
        <w:rFonts w:hint="default"/>
      </w:rPr>
    </w:lvl>
  </w:abstractNum>
  <w:abstractNum w:abstractNumId="31">
    <w:nsid w:val="2C820D58"/>
    <w:multiLevelType w:val="singleLevel"/>
    <w:tmpl w:val="2C820D58"/>
    <w:lvl w:ilvl="0" w:tentative="0">
      <w:start w:val="1"/>
      <w:numFmt w:val="decimal"/>
      <w:suff w:val="nothing"/>
      <w:lvlText w:val="（%1）"/>
      <w:lvlJc w:val="left"/>
      <w:pPr>
        <w:ind w:left="0" w:firstLine="480"/>
      </w:pPr>
      <w:rPr>
        <w:rFonts w:hint="default"/>
      </w:rPr>
    </w:lvl>
  </w:abstractNum>
  <w:abstractNum w:abstractNumId="32">
    <w:nsid w:val="3029FAD1"/>
    <w:multiLevelType w:val="singleLevel"/>
    <w:tmpl w:val="3029FAD1"/>
    <w:lvl w:ilvl="0" w:tentative="0">
      <w:start w:val="1"/>
      <w:numFmt w:val="decimal"/>
      <w:lvlText w:val="(%1)"/>
      <w:lvlJc w:val="left"/>
      <w:pPr>
        <w:tabs>
          <w:tab w:val="left" w:pos="210"/>
        </w:tabs>
        <w:ind w:left="0" w:firstLine="480"/>
      </w:pPr>
      <w:rPr>
        <w:rFonts w:hint="default"/>
      </w:rPr>
    </w:lvl>
  </w:abstractNum>
  <w:abstractNum w:abstractNumId="33">
    <w:nsid w:val="37A03707"/>
    <w:multiLevelType w:val="singleLevel"/>
    <w:tmpl w:val="37A03707"/>
    <w:lvl w:ilvl="0" w:tentative="0">
      <w:start w:val="1"/>
      <w:numFmt w:val="decimal"/>
      <w:suff w:val="nothing"/>
      <w:lvlText w:val="（%1）"/>
      <w:lvlJc w:val="left"/>
      <w:pPr>
        <w:ind w:left="0" w:firstLine="480"/>
      </w:pPr>
      <w:rPr>
        <w:rFonts w:hint="default"/>
      </w:rPr>
    </w:lvl>
  </w:abstractNum>
  <w:abstractNum w:abstractNumId="34">
    <w:nsid w:val="3E86F73F"/>
    <w:multiLevelType w:val="singleLevel"/>
    <w:tmpl w:val="3E86F73F"/>
    <w:lvl w:ilvl="0" w:tentative="0">
      <w:start w:val="1"/>
      <w:numFmt w:val="decimal"/>
      <w:suff w:val="nothing"/>
      <w:lvlText w:val="（%1）"/>
      <w:lvlJc w:val="left"/>
      <w:pPr>
        <w:ind w:left="0" w:firstLine="480"/>
      </w:pPr>
      <w:rPr>
        <w:rFonts w:hint="default"/>
      </w:rPr>
    </w:lvl>
  </w:abstractNum>
  <w:abstractNum w:abstractNumId="35">
    <w:nsid w:val="41DAC93F"/>
    <w:multiLevelType w:val="singleLevel"/>
    <w:tmpl w:val="41DAC93F"/>
    <w:lvl w:ilvl="0" w:tentative="0">
      <w:start w:val="1"/>
      <w:numFmt w:val="decimal"/>
      <w:suff w:val="nothing"/>
      <w:lvlText w:val="（%1）"/>
      <w:lvlJc w:val="left"/>
      <w:pPr>
        <w:ind w:left="0" w:firstLine="480"/>
      </w:pPr>
      <w:rPr>
        <w:rFonts w:hint="default"/>
      </w:rPr>
    </w:lvl>
  </w:abstractNum>
  <w:abstractNum w:abstractNumId="36">
    <w:nsid w:val="49045275"/>
    <w:multiLevelType w:val="singleLevel"/>
    <w:tmpl w:val="49045275"/>
    <w:lvl w:ilvl="0" w:tentative="0">
      <w:start w:val="1"/>
      <w:numFmt w:val="decimal"/>
      <w:lvlText w:val="(%1)"/>
      <w:lvlJc w:val="left"/>
      <w:pPr>
        <w:tabs>
          <w:tab w:val="left" w:pos="210"/>
        </w:tabs>
        <w:ind w:left="0" w:firstLine="480"/>
      </w:pPr>
      <w:rPr>
        <w:rFonts w:hint="default"/>
      </w:rPr>
    </w:lvl>
  </w:abstractNum>
  <w:abstractNum w:abstractNumId="37">
    <w:nsid w:val="4FB4CE08"/>
    <w:multiLevelType w:val="singleLevel"/>
    <w:tmpl w:val="4FB4CE08"/>
    <w:lvl w:ilvl="0" w:tentative="0">
      <w:start w:val="1"/>
      <w:numFmt w:val="decimal"/>
      <w:suff w:val="nothing"/>
      <w:lvlText w:val="（%1）"/>
      <w:lvlJc w:val="left"/>
      <w:pPr>
        <w:ind w:left="0" w:firstLine="480"/>
      </w:pPr>
      <w:rPr>
        <w:rFonts w:hint="default"/>
      </w:rPr>
    </w:lvl>
  </w:abstractNum>
  <w:abstractNum w:abstractNumId="38">
    <w:nsid w:val="5116CE5D"/>
    <w:multiLevelType w:val="singleLevel"/>
    <w:tmpl w:val="5116CE5D"/>
    <w:lvl w:ilvl="0" w:tentative="0">
      <w:start w:val="1"/>
      <w:numFmt w:val="decimal"/>
      <w:suff w:val="nothing"/>
      <w:lvlText w:val="（%1）"/>
      <w:lvlJc w:val="left"/>
      <w:pPr>
        <w:ind w:left="0" w:firstLine="480"/>
      </w:pPr>
      <w:rPr>
        <w:rFonts w:hint="default"/>
      </w:rPr>
    </w:lvl>
  </w:abstractNum>
  <w:abstractNum w:abstractNumId="39">
    <w:nsid w:val="58A7BC5E"/>
    <w:multiLevelType w:val="singleLevel"/>
    <w:tmpl w:val="58A7BC5E"/>
    <w:lvl w:ilvl="0" w:tentative="0">
      <w:start w:val="1"/>
      <w:numFmt w:val="decimal"/>
      <w:suff w:val="nothing"/>
      <w:lvlText w:val="（%1）"/>
      <w:lvlJc w:val="left"/>
      <w:pPr>
        <w:ind w:left="0" w:firstLine="480"/>
      </w:pPr>
      <w:rPr>
        <w:rFonts w:hint="default"/>
      </w:rPr>
    </w:lvl>
  </w:abstractNum>
  <w:abstractNum w:abstractNumId="40">
    <w:nsid w:val="59C7D6E4"/>
    <w:multiLevelType w:val="singleLevel"/>
    <w:tmpl w:val="59C7D6E4"/>
    <w:lvl w:ilvl="0" w:tentative="0">
      <w:start w:val="1"/>
      <w:numFmt w:val="decimal"/>
      <w:suff w:val="nothing"/>
      <w:lvlText w:val="（%1）"/>
      <w:lvlJc w:val="left"/>
      <w:pPr>
        <w:ind w:left="0" w:firstLine="480"/>
      </w:pPr>
      <w:rPr>
        <w:rFonts w:hint="default"/>
      </w:rPr>
    </w:lvl>
  </w:abstractNum>
  <w:abstractNum w:abstractNumId="41">
    <w:nsid w:val="5A91B26F"/>
    <w:multiLevelType w:val="singleLevel"/>
    <w:tmpl w:val="5A91B26F"/>
    <w:lvl w:ilvl="0" w:tentative="0">
      <w:start w:val="1"/>
      <w:numFmt w:val="upperLetter"/>
      <w:suff w:val="nothing"/>
      <w:lvlText w:val="%1．"/>
      <w:lvlJc w:val="left"/>
      <w:pPr>
        <w:ind w:left="0" w:firstLine="480"/>
      </w:pPr>
      <w:rPr>
        <w:rFonts w:hint="default"/>
      </w:rPr>
    </w:lvl>
  </w:abstractNum>
  <w:abstractNum w:abstractNumId="42">
    <w:nsid w:val="5B34526E"/>
    <w:multiLevelType w:val="singleLevel"/>
    <w:tmpl w:val="5B34526E"/>
    <w:lvl w:ilvl="0" w:tentative="0">
      <w:start w:val="1"/>
      <w:numFmt w:val="decimal"/>
      <w:suff w:val="nothing"/>
      <w:lvlText w:val="（%1）"/>
      <w:lvlJc w:val="left"/>
      <w:pPr>
        <w:ind w:left="0" w:firstLine="480"/>
      </w:pPr>
      <w:rPr>
        <w:rFonts w:hint="default"/>
      </w:rPr>
    </w:lvl>
  </w:abstractNum>
  <w:abstractNum w:abstractNumId="43">
    <w:nsid w:val="5FB2FD17"/>
    <w:multiLevelType w:val="singleLevel"/>
    <w:tmpl w:val="5FB2FD17"/>
    <w:lvl w:ilvl="0" w:tentative="0">
      <w:start w:val="1"/>
      <w:numFmt w:val="decimal"/>
      <w:lvlText w:val="6.3.%1."/>
      <w:lvlJc w:val="left"/>
      <w:pPr>
        <w:tabs>
          <w:tab w:val="left" w:pos="210"/>
        </w:tabs>
        <w:ind w:left="0" w:firstLine="0"/>
      </w:pPr>
      <w:rPr>
        <w:rFonts w:hint="default"/>
      </w:rPr>
    </w:lvl>
  </w:abstractNum>
  <w:abstractNum w:abstractNumId="44">
    <w:nsid w:val="6572CB24"/>
    <w:multiLevelType w:val="singleLevel"/>
    <w:tmpl w:val="6572CB24"/>
    <w:lvl w:ilvl="0" w:tentative="0">
      <w:start w:val="1"/>
      <w:numFmt w:val="decimal"/>
      <w:suff w:val="nothing"/>
      <w:lvlText w:val="（%1）"/>
      <w:lvlJc w:val="left"/>
      <w:pPr>
        <w:ind w:left="0" w:firstLine="480"/>
      </w:pPr>
      <w:rPr>
        <w:rFonts w:hint="default"/>
      </w:rPr>
    </w:lvl>
  </w:abstractNum>
  <w:abstractNum w:abstractNumId="45">
    <w:nsid w:val="6ACFD018"/>
    <w:multiLevelType w:val="singleLevel"/>
    <w:tmpl w:val="6ACFD018"/>
    <w:lvl w:ilvl="0" w:tentative="0">
      <w:start w:val="1"/>
      <w:numFmt w:val="lowerLetter"/>
      <w:suff w:val="nothing"/>
      <w:lvlText w:val="%1．"/>
      <w:lvlJc w:val="left"/>
      <w:pPr>
        <w:ind w:left="0" w:firstLine="480"/>
      </w:pPr>
      <w:rPr>
        <w:rFonts w:hint="default"/>
      </w:rPr>
    </w:lvl>
  </w:abstractNum>
  <w:num w:numId="1">
    <w:abstractNumId w:val="25"/>
  </w:num>
  <w:num w:numId="2">
    <w:abstractNumId w:val="17"/>
  </w:num>
  <w:num w:numId="3">
    <w:abstractNumId w:val="5"/>
  </w:num>
  <w:num w:numId="4">
    <w:abstractNumId w:val="24"/>
  </w:num>
  <w:num w:numId="5">
    <w:abstractNumId w:val="35"/>
  </w:num>
  <w:num w:numId="6">
    <w:abstractNumId w:val="27"/>
  </w:num>
  <w:num w:numId="7">
    <w:abstractNumId w:val="41"/>
  </w:num>
  <w:num w:numId="8">
    <w:abstractNumId w:val="30"/>
  </w:num>
  <w:num w:numId="9">
    <w:abstractNumId w:val="15"/>
  </w:num>
  <w:num w:numId="10">
    <w:abstractNumId w:val="6"/>
  </w:num>
  <w:num w:numId="11">
    <w:abstractNumId w:val="18"/>
  </w:num>
  <w:num w:numId="12">
    <w:abstractNumId w:val="21"/>
  </w:num>
  <w:num w:numId="13">
    <w:abstractNumId w:val="4"/>
  </w:num>
  <w:num w:numId="14">
    <w:abstractNumId w:val="13"/>
  </w:num>
  <w:num w:numId="15">
    <w:abstractNumId w:val="26"/>
  </w:num>
  <w:num w:numId="16">
    <w:abstractNumId w:val="43"/>
  </w:num>
  <w:num w:numId="17">
    <w:abstractNumId w:val="36"/>
  </w:num>
  <w:num w:numId="18">
    <w:abstractNumId w:val="42"/>
  </w:num>
  <w:num w:numId="19">
    <w:abstractNumId w:val="28"/>
  </w:num>
  <w:num w:numId="20">
    <w:abstractNumId w:val="9"/>
  </w:num>
  <w:num w:numId="21">
    <w:abstractNumId w:val="0"/>
  </w:num>
  <w:num w:numId="22">
    <w:abstractNumId w:val="34"/>
  </w:num>
  <w:num w:numId="23">
    <w:abstractNumId w:val="8"/>
  </w:num>
  <w:num w:numId="24">
    <w:abstractNumId w:val="45"/>
  </w:num>
  <w:num w:numId="25">
    <w:abstractNumId w:val="37"/>
  </w:num>
  <w:num w:numId="26">
    <w:abstractNumId w:val="7"/>
  </w:num>
  <w:num w:numId="27">
    <w:abstractNumId w:val="29"/>
  </w:num>
  <w:num w:numId="28">
    <w:abstractNumId w:val="11"/>
  </w:num>
  <w:num w:numId="29">
    <w:abstractNumId w:val="14"/>
  </w:num>
  <w:num w:numId="30">
    <w:abstractNumId w:val="20"/>
  </w:num>
  <w:num w:numId="31">
    <w:abstractNumId w:val="3"/>
  </w:num>
  <w:num w:numId="32">
    <w:abstractNumId w:val="2"/>
  </w:num>
  <w:num w:numId="33">
    <w:abstractNumId w:val="31"/>
  </w:num>
  <w:num w:numId="34">
    <w:abstractNumId w:val="23"/>
  </w:num>
  <w:num w:numId="35">
    <w:abstractNumId w:val="12"/>
  </w:num>
  <w:num w:numId="36">
    <w:abstractNumId w:val="44"/>
  </w:num>
  <w:num w:numId="37">
    <w:abstractNumId w:val="22"/>
  </w:num>
  <w:num w:numId="38">
    <w:abstractNumId w:val="10"/>
  </w:num>
  <w:num w:numId="39">
    <w:abstractNumId w:val="19"/>
  </w:num>
  <w:num w:numId="40">
    <w:abstractNumId w:val="39"/>
  </w:num>
  <w:num w:numId="41">
    <w:abstractNumId w:val="40"/>
  </w:num>
  <w:num w:numId="42">
    <w:abstractNumId w:val="16"/>
  </w:num>
  <w:num w:numId="43">
    <w:abstractNumId w:val="33"/>
  </w:num>
  <w:num w:numId="44">
    <w:abstractNumId w:val="38"/>
  </w:num>
  <w:num w:numId="45">
    <w:abstractNumId w:val="1"/>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trackRevisions w:val="1"/>
  <w:documentProtection w:enforcement="0"/>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RlNDg4NDVhZGM3NjI5YjcxNDBlNzdkY2JmZjU2YzQifQ=="/>
    <w:docVar w:name="KSO_WPS_MARK_KEY" w:val="3ec98928-f999-4f1a-9f8d-30ef4346f7b7"/>
  </w:docVars>
  <w:rsids>
    <w:rsidRoot w:val="00000000"/>
    <w:rsid w:val="0A3F1585"/>
    <w:rsid w:val="19F2794A"/>
    <w:rsid w:val="21BA021A"/>
    <w:rsid w:val="25FE4742"/>
    <w:rsid w:val="2AF04C7E"/>
    <w:rsid w:val="2D4E6A46"/>
    <w:rsid w:val="377D0593"/>
    <w:rsid w:val="3B63526F"/>
    <w:rsid w:val="422B3348"/>
    <w:rsid w:val="450322FD"/>
    <w:rsid w:val="55DF673B"/>
    <w:rsid w:val="56F11CED"/>
    <w:rsid w:val="7CD755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val="0"/>
      <w:keepLines w:val="0"/>
      <w:widowControl w:val="0"/>
      <w:spacing w:before="240" w:beforeLines="0" w:after="120" w:afterLines="0" w:line="360" w:lineRule="auto"/>
      <w:jc w:val="left"/>
      <w:outlineLvl w:val="0"/>
    </w:pPr>
    <w:rPr>
      <w:rFonts w:ascii="宋体" w:hAnsi="宋体" w:eastAsia="宋体" w:cs="宋体"/>
      <w:b/>
      <w:bCs/>
      <w:kern w:val="44"/>
      <w:sz w:val="24"/>
      <w:szCs w:val="30"/>
    </w:rPr>
  </w:style>
  <w:style w:type="paragraph" w:styleId="3">
    <w:name w:val="heading 2"/>
    <w:next w:val="1"/>
    <w:unhideWhenUsed/>
    <w:qFormat/>
    <w:uiPriority w:val="0"/>
    <w:pPr>
      <w:keepNext w:val="0"/>
      <w:keepLines w:val="0"/>
      <w:widowControl w:val="0"/>
      <w:spacing w:before="120" w:beforeAutospacing="0" w:after="120" w:afterAutospacing="0" w:line="360" w:lineRule="auto"/>
      <w:jc w:val="left"/>
      <w:outlineLvl w:val="1"/>
    </w:pPr>
    <w:rPr>
      <w:rFonts w:ascii="Times New Roman" w:hAnsi="Times New Roman" w:eastAsia="宋体" w:cs="Times New Roman"/>
      <w:b/>
      <w:sz w:val="24"/>
    </w:rPr>
  </w:style>
  <w:style w:type="paragraph" w:styleId="4">
    <w:name w:val="heading 3"/>
    <w:next w:val="1"/>
    <w:unhideWhenUsed/>
    <w:qFormat/>
    <w:uiPriority w:val="0"/>
    <w:pPr>
      <w:keepNext w:val="0"/>
      <w:keepLines w:val="0"/>
      <w:widowControl w:val="0"/>
      <w:spacing w:beforeAutospacing="0" w:after="120" w:afterAutospacing="0" w:line="300" w:lineRule="auto"/>
      <w:jc w:val="left"/>
      <w:outlineLvl w:val="2"/>
    </w:pPr>
    <w:rPr>
      <w:rFonts w:ascii="Times New Roman" w:hAnsi="Times New Roman" w:eastAsia="宋体" w:cs="Times New Roman"/>
      <w:sz w:val="24"/>
    </w:rPr>
  </w:style>
  <w:style w:type="paragraph" w:styleId="5">
    <w:name w:val="heading 4"/>
    <w:next w:val="1"/>
    <w:semiHidden/>
    <w:unhideWhenUsed/>
    <w:qFormat/>
    <w:uiPriority w:val="0"/>
    <w:pPr>
      <w:keepNext w:val="0"/>
      <w:keepLines w:val="0"/>
      <w:widowControl w:val="0"/>
      <w:spacing w:beforeAutospacing="0" w:after="120" w:afterAutospacing="0" w:line="300" w:lineRule="auto"/>
      <w:outlineLvl w:val="3"/>
    </w:pPr>
    <w:rPr>
      <w:rFonts w:ascii="Times New Roman" w:hAnsi="Times New Roman" w:eastAsia="宋体" w:cs="Times New Roman"/>
      <w:sz w:val="24"/>
    </w:rPr>
  </w:style>
  <w:style w:type="paragraph" w:styleId="6">
    <w:name w:val="heading 5"/>
    <w:next w:val="1"/>
    <w:semiHidden/>
    <w:unhideWhenUsed/>
    <w:qFormat/>
    <w:uiPriority w:val="0"/>
    <w:pPr>
      <w:keepNext w:val="0"/>
      <w:keepLines w:val="0"/>
      <w:spacing w:beforeLines="0" w:beforeAutospacing="0" w:after="120" w:afterLines="0" w:afterAutospacing="0" w:line="300" w:lineRule="auto"/>
      <w:jc w:val="left"/>
      <w:outlineLvl w:val="4"/>
    </w:pPr>
    <w:rPr>
      <w:rFonts w:ascii="Times New Roman" w:hAnsi="Times New Roman" w:eastAsia="宋体" w:cs="Times New Roman"/>
      <w:sz w:val="24"/>
    </w:rPr>
  </w:style>
  <w:style w:type="paragraph" w:styleId="7">
    <w:name w:val="heading 6"/>
    <w:next w:val="1"/>
    <w:semiHidden/>
    <w:unhideWhenUsed/>
    <w:qFormat/>
    <w:uiPriority w:val="0"/>
    <w:pPr>
      <w:keepNext w:val="0"/>
      <w:keepLines w:val="0"/>
      <w:spacing w:beforeLines="0" w:beforeAutospacing="0" w:after="120" w:afterLines="0" w:afterAutospacing="0" w:line="300" w:lineRule="auto"/>
      <w:jc w:val="left"/>
      <w:outlineLvl w:val="5"/>
    </w:pPr>
    <w:rPr>
      <w:rFonts w:ascii="Times New Roman" w:hAnsi="Times New Roman" w:eastAsia="宋体" w:cs="Times New Roman"/>
      <w:sz w:val="24"/>
    </w:rPr>
  </w:style>
  <w:style w:type="paragraph" w:styleId="8">
    <w:name w:val="heading 7"/>
    <w:next w:val="1"/>
    <w:semiHidden/>
    <w:unhideWhenUsed/>
    <w:qFormat/>
    <w:uiPriority w:val="0"/>
    <w:pPr>
      <w:keepNext w:val="0"/>
      <w:keepLines w:val="0"/>
      <w:spacing w:beforeLines="0" w:beforeAutospacing="0" w:after="120" w:afterLines="0" w:afterAutospacing="0" w:line="300" w:lineRule="auto"/>
      <w:jc w:val="left"/>
      <w:outlineLvl w:val="6"/>
    </w:pPr>
    <w:rPr>
      <w:rFonts w:ascii="Times New Roman" w:hAnsi="Times New Roman" w:eastAsia="宋体" w:cs="Times New Roman"/>
      <w:sz w:val="24"/>
    </w:rPr>
  </w:style>
  <w:style w:type="paragraph" w:styleId="9">
    <w:name w:val="heading 8"/>
    <w:next w:val="1"/>
    <w:semiHidden/>
    <w:unhideWhenUsed/>
    <w:qFormat/>
    <w:uiPriority w:val="0"/>
    <w:pPr>
      <w:keepNext w:val="0"/>
      <w:keepLines w:val="0"/>
      <w:spacing w:beforeLines="0" w:beforeAutospacing="0" w:after="120" w:afterLines="0" w:afterAutospacing="0" w:line="300" w:lineRule="auto"/>
      <w:jc w:val="left"/>
      <w:outlineLvl w:val="7"/>
    </w:pPr>
    <w:rPr>
      <w:rFonts w:ascii="Times New Roman" w:hAnsi="Times New Roman" w:eastAsia="宋体" w:cs="Times New Roman"/>
      <w:sz w:val="24"/>
    </w:rPr>
  </w:style>
  <w:style w:type="paragraph" w:styleId="10">
    <w:name w:val="heading 9"/>
    <w:next w:val="1"/>
    <w:semiHidden/>
    <w:unhideWhenUsed/>
    <w:qFormat/>
    <w:uiPriority w:val="0"/>
    <w:pPr>
      <w:keepNext w:val="0"/>
      <w:keepLines w:val="0"/>
      <w:spacing w:beforeLines="0" w:beforeAutospacing="0" w:after="120" w:afterLines="0" w:afterAutospacing="0" w:line="300" w:lineRule="auto"/>
      <w:jc w:val="left"/>
      <w:outlineLvl w:val="8"/>
    </w:pPr>
    <w:rPr>
      <w:rFonts w:ascii="Times New Roman" w:hAnsi="Times New Roman" w:eastAsia="宋体" w:cs="Times New Roman"/>
      <w:sz w:val="24"/>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11">
    <w:name w:val="Body Text"/>
    <w:semiHidden/>
    <w:qFormat/>
    <w:uiPriority w:val="0"/>
    <w:pPr>
      <w:spacing w:after="120" w:afterAutospacing="0" w:line="300" w:lineRule="auto"/>
      <w:ind w:firstLine="420" w:firstLineChars="200"/>
    </w:pPr>
    <w:rPr>
      <w:rFonts w:ascii="Times New Roman" w:hAnsi="Times New Roman" w:eastAsia="宋体" w:cs="Times New Roman"/>
      <w:sz w:val="24"/>
    </w:rPr>
  </w:style>
  <w:style w:type="paragraph" w:styleId="12">
    <w:name w:val="Plain Text"/>
    <w:basedOn w:val="1"/>
    <w:qFormat/>
    <w:uiPriority w:val="99"/>
    <w:rPr>
      <w:rFonts w:ascii="宋体"/>
      <w:kern w:val="0"/>
      <w:sz w:val="20"/>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Subtitle"/>
    <w:qFormat/>
    <w:uiPriority w:val="0"/>
    <w:pPr>
      <w:widowControl w:val="0"/>
      <w:spacing w:before="120" w:beforeLines="0" w:beforeAutospacing="0" w:after="240" w:afterAutospacing="0" w:line="360" w:lineRule="auto"/>
      <w:jc w:val="center"/>
      <w:outlineLvl w:val="9"/>
    </w:pPr>
    <w:rPr>
      <w:rFonts w:ascii="Calibri" w:hAnsi="Calibri" w:eastAsia="宋体" w:cs="Times New Roman"/>
      <w:b/>
      <w:kern w:val="28"/>
      <w:sz w:val="24"/>
    </w:rPr>
  </w:style>
  <w:style w:type="paragraph" w:styleId="16">
    <w:name w:val="Title"/>
    <w:qFormat/>
    <w:uiPriority w:val="0"/>
    <w:pPr>
      <w:widowControl w:val="0"/>
      <w:spacing w:beforeAutospacing="0" w:afterAutospacing="0" w:line="360" w:lineRule="auto"/>
      <w:jc w:val="center"/>
      <w:outlineLvl w:val="9"/>
    </w:pPr>
    <w:rPr>
      <w:rFonts w:ascii="Times New Roman" w:hAnsi="Times New Roman" w:eastAsia="黑体" w:cs="Times New Roman"/>
      <w:sz w:val="44"/>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仿宋" w:hAnsi="仿宋" w:eastAsia="仿宋" w:cs="仿宋"/>
      <w:sz w:val="20"/>
      <w:szCs w:val="20"/>
      <w:lang w:val="en-US" w:eastAsia="en-US" w:bidi="ar-SA"/>
    </w:rPr>
  </w:style>
  <w:style w:type="paragraph" w:customStyle="1" w:styleId="21">
    <w:name w:val="附录标题"/>
    <w:next w:val="1"/>
    <w:qFormat/>
    <w:uiPriority w:val="0"/>
    <w:pPr>
      <w:keepNext w:val="0"/>
      <w:keepLines w:val="0"/>
      <w:widowControl w:val="0"/>
      <w:spacing w:before="240" w:after="120" w:line="360" w:lineRule="auto"/>
      <w:jc w:val="left"/>
      <w:outlineLvl w:val="0"/>
    </w:pPr>
    <w:rPr>
      <w:rFonts w:ascii="Times New Roman" w:hAnsi="Times New Roman" w:eastAsia="宋体" w:cs="Times New Roman"/>
      <w:b/>
      <w:sz w:val="24"/>
    </w:rPr>
  </w:style>
  <w:style w:type="paragraph" w:customStyle="1" w:styleId="22">
    <w:name w:val="章前标题"/>
    <w:next w:val="1"/>
    <w:qFormat/>
    <w:uiPriority w:val="0"/>
    <w:pPr>
      <w:keepNext w:val="0"/>
      <w:keepLines w:val="0"/>
      <w:pageBreakBefore w:val="0"/>
      <w:widowControl w:val="0"/>
      <w:kinsoku/>
      <w:wordWrap/>
      <w:overflowPunct/>
      <w:topLinePunct w:val="0"/>
      <w:autoSpaceDE/>
      <w:autoSpaceDN/>
      <w:bidi w:val="0"/>
      <w:adjustRightInd/>
      <w:spacing w:before="240" w:after="240" w:line="360" w:lineRule="auto"/>
      <w:jc w:val="center"/>
      <w:textAlignment w:val="auto"/>
      <w:outlineLvl w:val="9"/>
    </w:pPr>
    <w:rPr>
      <w:rFonts w:ascii="黑体" w:hAnsi="黑体" w:eastAsia="黑体" w:cs="黑体"/>
      <w:kern w:val="44"/>
      <w:sz w:val="30"/>
      <w:szCs w:val="36"/>
    </w:rPr>
  </w:style>
  <w:style w:type="paragraph" w:customStyle="1" w:styleId="23">
    <w:name w:val="章节标题"/>
    <w:next w:val="1"/>
    <w:qFormat/>
    <w:uiPriority w:val="0"/>
    <w:pPr>
      <w:pageBreakBefore w:val="0"/>
      <w:widowControl w:val="0"/>
      <w:spacing w:before="240" w:after="240" w:line="360" w:lineRule="auto"/>
      <w:jc w:val="center"/>
      <w:outlineLvl w:val="0"/>
    </w:pPr>
    <w:rPr>
      <w:rFonts w:ascii="Times New Roman" w:hAnsi="Times New Roman" w:eastAsia="黑体" w:cs="Times New Roman"/>
      <w:kern w:val="44"/>
      <w:sz w:val="30"/>
      <w:szCs w:val="36"/>
    </w:rPr>
  </w:style>
  <w:style w:type="paragraph" w:customStyle="1" w:styleId="24">
    <w:name w:val="内嵌文档标题1"/>
    <w:next w:val="1"/>
    <w:qFormat/>
    <w:uiPriority w:val="0"/>
    <w:pPr>
      <w:widowControl w:val="0"/>
      <w:spacing w:after="120" w:line="300" w:lineRule="auto"/>
      <w:jc w:val="center"/>
      <w:outlineLvl w:val="0"/>
    </w:pPr>
    <w:rPr>
      <w:rFonts w:ascii="Times New Roman" w:hAnsi="Times New Roman" w:eastAsia="宋体" w:cs="Times New Roman"/>
      <w:b/>
      <w:kern w:val="2"/>
      <w:sz w:val="24"/>
    </w:rPr>
  </w:style>
  <w:style w:type="paragraph" w:customStyle="1" w:styleId="25">
    <w:name w:val="表格标题"/>
    <w:next w:val="1"/>
    <w:qFormat/>
    <w:uiPriority w:val="0"/>
    <w:pPr>
      <w:widowControl w:val="0"/>
      <w:spacing w:after="120" w:line="300" w:lineRule="auto"/>
      <w:jc w:val="center"/>
    </w:pPr>
    <w:rPr>
      <w:rFonts w:ascii="宋体" w:hAnsi="宋体" w:eastAsia="宋体" w:cs="宋体"/>
      <w:b/>
      <w:sz w:val="24"/>
      <w:szCs w:val="22"/>
    </w:rPr>
  </w:style>
  <w:style w:type="paragraph" w:customStyle="1" w:styleId="26">
    <w:name w:val="内嵌文档标题2"/>
    <w:next w:val="1"/>
    <w:qFormat/>
    <w:uiPriority w:val="0"/>
    <w:pPr>
      <w:widowControl w:val="0"/>
      <w:shd w:val="clear" w:color="auto" w:fill="FFFFFF"/>
      <w:spacing w:after="120" w:line="300" w:lineRule="auto"/>
      <w:jc w:val="center"/>
      <w:outlineLvl w:val="0"/>
    </w:pPr>
    <w:rPr>
      <w:rFonts w:ascii="宋体" w:hAnsi="宋体" w:eastAsia="宋体" w:cs="宋体"/>
      <w:b/>
      <w:bCs/>
      <w:kern w:val="0"/>
      <w:sz w:val="24"/>
      <w:szCs w:val="30"/>
    </w:rPr>
  </w:style>
  <w:style w:type="paragraph" w:customStyle="1" w:styleId="27">
    <w:name w:val="WPSOffice手动目录 1"/>
    <w:qFormat/>
    <w:uiPriority w:val="0"/>
    <w:pPr>
      <w:ind w:leftChars="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13580</Words>
  <Characters>14022</Characters>
  <TotalTime>8</TotalTime>
  <ScaleCrop>false</ScaleCrop>
  <LinksUpToDate>false</LinksUpToDate>
  <CharactersWithSpaces>14571</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2024-09-20T16:05:00Z</dcterms:created>
  <dc:creator>Jinyi</dc:creator>
  <cp:lastModifiedBy>张</cp:lastModifiedBy>
  <dcterms:modified xsi:type="dcterms:W3CDTF">2025-04-30T03:28:45Z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2025-04-15T10:35:29Z</vt:filetime>
  </property>
  <property fmtid="{D5CDD505-2E9C-101B-9397-08002B2CF9AE}" pid="4" name="KSOProductBuildVer">
    <vt:lpwstr>2052-11.1.0.12763</vt:lpwstr>
  </property>
  <property fmtid="{D5CDD505-2E9C-101B-9397-08002B2CF9AE}" pid="5" name="ICV">
    <vt:lpwstr>EE775EBE09944693965623E31D8C4254_13</vt:lpwstr>
  </property>
  <property fmtid="{D5CDD505-2E9C-101B-9397-08002B2CF9AE}" pid="6" name="KSOTemplateDocerSaveRecord">
    <vt:lpwstr>eyJoZGlkIjoiMzIwYzAyYzFkN2E5NmFlNDZkOTE0YjBkZDlkYjVjNjkiLCJ1c2VySWQiOiI0NDMxNDA5OTMifQ==</vt:lpwstr>
  </property>
</Properties>
</file>