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964"/>
        <w:jc w:val="both"/>
        <w:rPr>
          <w:rFonts w:hint="eastAsia" w:ascii="Times New Roman" w:hAnsi="Times New Roman" w:eastAsia="宋体" w:cs="Times New Roman"/>
          <w:b/>
          <w:bCs/>
          <w:kern w:val="2"/>
          <w:sz w:val="48"/>
          <w:szCs w:val="48"/>
          <w:lang w:val="en-US" w:eastAsia="zh-CN" w:bidi="ar-SA"/>
        </w:rPr>
      </w:pPr>
    </w:p>
    <w:p>
      <w:pPr>
        <w:jc w:val="center"/>
        <w:rPr>
          <w:rFonts w:hint="eastAsia" w:ascii="Times New Roman" w:hAnsi="Times New Roman" w:eastAsia="宋体" w:cs="Times New Roman"/>
          <w:b/>
          <w:bCs/>
          <w:color w:val="auto"/>
          <w:sz w:val="48"/>
          <w:szCs w:val="48"/>
          <w:u w:val="none"/>
        </w:rPr>
      </w:pPr>
      <w:r>
        <w:rPr>
          <w:rFonts w:hint="eastAsia" w:ascii="Times New Roman" w:hAnsi="Times New Roman" w:eastAsia="宋体" w:cs="Times New Roman"/>
          <w:b/>
          <w:bCs/>
          <w:color w:val="auto"/>
          <w:sz w:val="48"/>
          <w:szCs w:val="48"/>
          <w:u w:val="none"/>
        </w:rPr>
        <w:t>广州市公安局交警支队2025-2027年</w:t>
      </w:r>
    </w:p>
    <w:p>
      <w:pPr>
        <w:jc w:val="center"/>
        <w:rPr>
          <w:rFonts w:hint="eastAsia" w:ascii="Times New Roman" w:hAnsi="Times New Roman" w:eastAsia="宋体" w:cs="Times New Roman"/>
          <w:b/>
          <w:bCs/>
          <w:color w:val="auto"/>
          <w:sz w:val="48"/>
          <w:szCs w:val="48"/>
          <w:u w:val="none"/>
        </w:rPr>
      </w:pPr>
      <w:r>
        <w:rPr>
          <w:rFonts w:hint="eastAsia" w:ascii="Times New Roman" w:hAnsi="Times New Roman" w:eastAsia="宋体" w:cs="Times New Roman"/>
          <w:b/>
          <w:bCs/>
          <w:color w:val="auto"/>
          <w:sz w:val="48"/>
          <w:szCs w:val="48"/>
          <w:u w:val="none"/>
        </w:rPr>
        <w:t>交通信号设施维护项目</w:t>
      </w:r>
    </w:p>
    <w:p>
      <w:pPr>
        <w:jc w:val="center"/>
        <w:rPr>
          <w:rFonts w:ascii="Times New Roman" w:hAnsi="Times New Roman" w:eastAsia="宋体" w:cs="Times New Roman"/>
          <w:b/>
          <w:bCs/>
          <w:color w:val="auto"/>
          <w:sz w:val="48"/>
          <w:szCs w:val="48"/>
        </w:rPr>
      </w:pPr>
      <w:r>
        <w:rPr>
          <w:rFonts w:hint="eastAsia" w:ascii="Times New Roman" w:hAnsi="Times New Roman" w:eastAsia="宋体" w:cs="Times New Roman"/>
          <w:b/>
          <w:bCs/>
          <w:color w:val="auto"/>
          <w:sz w:val="48"/>
          <w:szCs w:val="48"/>
          <w:u w:val="none"/>
        </w:rPr>
        <w:t>（标段1~标段</w:t>
      </w:r>
      <w:r>
        <w:rPr>
          <w:rFonts w:hint="eastAsia" w:ascii="Times New Roman" w:hAnsi="Times New Roman" w:eastAsia="宋体" w:cs="Times New Roman"/>
          <w:b/>
          <w:bCs/>
          <w:color w:val="auto"/>
          <w:sz w:val="48"/>
          <w:szCs w:val="48"/>
          <w:u w:val="none"/>
          <w:lang w:val="en-US" w:eastAsia="zh-CN"/>
        </w:rPr>
        <w:t>3</w:t>
      </w:r>
      <w:r>
        <w:rPr>
          <w:rFonts w:hint="eastAsia" w:ascii="Times New Roman" w:hAnsi="Times New Roman" w:eastAsia="宋体" w:cs="Times New Roman"/>
          <w:b/>
          <w:bCs/>
          <w:color w:val="auto"/>
          <w:sz w:val="48"/>
          <w:szCs w:val="48"/>
          <w:u w:val="none"/>
        </w:rPr>
        <w:t>）</w:t>
      </w:r>
    </w:p>
    <w:p>
      <w:pPr>
        <w:widowControl w:val="0"/>
        <w:jc w:val="both"/>
        <w:rPr>
          <w:rFonts w:ascii="宋体" w:hAnsi="Courier New" w:eastAsia="宋体" w:cs="Times New Roman"/>
          <w:b/>
          <w:bCs/>
          <w:color w:val="auto"/>
          <w:kern w:val="0"/>
          <w:sz w:val="28"/>
          <w:szCs w:val="28"/>
          <w:lang w:val="en-US" w:eastAsia="zh-CN" w:bidi="ar-SA"/>
        </w:rPr>
      </w:pPr>
    </w:p>
    <w:p>
      <w:pPr>
        <w:rPr>
          <w:rFonts w:ascii="Times New Roman" w:hAnsi="Times New Roman" w:eastAsia="宋体" w:cs="Times New Roman"/>
        </w:rPr>
      </w:pPr>
    </w:p>
    <w:p>
      <w:pPr>
        <w:jc w:val="center"/>
        <w:rPr>
          <w:rFonts w:ascii="Times New Roman" w:hAnsi="Times New Roman" w:eastAsia="宋体" w:cs="Times New Roman"/>
          <w:b/>
          <w:bCs/>
          <w:color w:val="auto"/>
          <w:sz w:val="28"/>
          <w:szCs w:val="28"/>
        </w:rPr>
      </w:pPr>
    </w:p>
    <w:p>
      <w:pPr>
        <w:jc w:val="center"/>
        <w:rPr>
          <w:rFonts w:ascii="Times New Roman" w:hAnsi="Times New Roman" w:eastAsia="宋体" w:cs="Times New Roman"/>
          <w:b/>
          <w:bCs/>
          <w:color w:val="auto"/>
          <w:sz w:val="28"/>
          <w:szCs w:val="28"/>
        </w:rPr>
      </w:pPr>
    </w:p>
    <w:p>
      <w:pPr>
        <w:widowControl w:val="0"/>
        <w:jc w:val="both"/>
        <w:rPr>
          <w:rFonts w:ascii="宋体" w:hAnsi="Courier New" w:eastAsia="宋体" w:cs="Times New Roman"/>
          <w:kern w:val="0"/>
          <w:sz w:val="20"/>
          <w:szCs w:val="20"/>
          <w:lang w:val="en-US" w:eastAsia="zh-CN" w:bidi="ar-SA"/>
        </w:rPr>
      </w:pPr>
    </w:p>
    <w:p>
      <w:pPr>
        <w:jc w:val="center"/>
        <w:rPr>
          <w:rFonts w:ascii="Times New Roman" w:hAnsi="Times New Roman" w:eastAsia="宋体" w:cs="Times New Roman"/>
          <w:b/>
          <w:bCs/>
          <w:color w:val="auto"/>
          <w:sz w:val="84"/>
          <w:szCs w:val="84"/>
        </w:rPr>
      </w:pPr>
      <w:r>
        <w:rPr>
          <w:rFonts w:hint="eastAsia" w:ascii="Times New Roman" w:hAnsi="Times New Roman" w:eastAsia="宋体" w:cs="Times New Roman"/>
          <w:b/>
          <w:bCs/>
          <w:color w:val="auto"/>
          <w:sz w:val="84"/>
          <w:szCs w:val="84"/>
          <w:u w:val="none"/>
        </w:rPr>
        <w:t>招标公告</w:t>
      </w:r>
    </w:p>
    <w:p>
      <w:pPr>
        <w:jc w:val="center"/>
        <w:rPr>
          <w:rFonts w:ascii="Times New Roman" w:hAnsi="Times New Roman" w:eastAsia="宋体" w:cs="Times New Roman"/>
          <w:b/>
          <w:bCs/>
          <w:color w:val="auto"/>
          <w:sz w:val="28"/>
          <w:szCs w:val="28"/>
        </w:rPr>
      </w:pPr>
    </w:p>
    <w:p>
      <w:pPr>
        <w:jc w:val="center"/>
        <w:rPr>
          <w:rFonts w:ascii="Times New Roman" w:hAnsi="Times New Roman" w:eastAsia="宋体" w:cs="Times New Roman"/>
          <w:b/>
          <w:bCs/>
          <w:color w:val="auto"/>
          <w:sz w:val="28"/>
          <w:szCs w:val="28"/>
        </w:rPr>
      </w:pPr>
    </w:p>
    <w:p>
      <w:pPr>
        <w:keepNext/>
        <w:keepLines/>
        <w:widowControl w:val="0"/>
        <w:numPr>
          <w:ilvl w:val="1"/>
          <w:numId w:val="0"/>
        </w:numPr>
        <w:tabs>
          <w:tab w:val="right" w:leader="dot" w:pos="9060"/>
        </w:tabs>
        <w:spacing w:before="120" w:after="120" w:line="415" w:lineRule="auto"/>
        <w:ind w:left="454"/>
        <w:jc w:val="center"/>
        <w:outlineLvl w:val="1"/>
        <w:rPr>
          <w:rFonts w:ascii="Arial" w:hAnsi="Arial" w:eastAsia="宋体" w:cs="Times New Roman"/>
          <w:b/>
          <w:color w:val="000000"/>
          <w:kern w:val="0"/>
          <w:sz w:val="21"/>
          <w:szCs w:val="22"/>
          <w:lang w:val="en-US" w:eastAsia="zh-CN" w:bidi="ar-SA"/>
        </w:rPr>
      </w:pPr>
    </w:p>
    <w:p>
      <w:pPr>
        <w:jc w:val="center"/>
        <w:rPr>
          <w:rFonts w:ascii="Times New Roman" w:hAnsi="Times New Roman" w:eastAsia="宋体" w:cs="Times New Roman"/>
          <w:b/>
          <w:bCs/>
          <w:color w:val="auto"/>
          <w:sz w:val="28"/>
          <w:szCs w:val="28"/>
        </w:rPr>
      </w:pPr>
    </w:p>
    <w:p>
      <w:pPr>
        <w:widowControl w:val="0"/>
        <w:jc w:val="both"/>
        <w:rPr>
          <w:rFonts w:ascii="宋体" w:hAnsi="Courier New" w:eastAsia="宋体" w:cs="Times New Roman"/>
          <w:kern w:val="0"/>
          <w:sz w:val="20"/>
          <w:szCs w:val="20"/>
          <w:lang w:val="en-US" w:eastAsia="zh-CN" w:bidi="ar-SA"/>
        </w:rPr>
      </w:pPr>
    </w:p>
    <w:p>
      <w:pPr>
        <w:rPr>
          <w:rFonts w:ascii="Times New Roman" w:hAnsi="Times New Roman" w:eastAsia="宋体" w:cs="Times New Roman"/>
        </w:rPr>
      </w:pPr>
    </w:p>
    <w:p>
      <w:pPr>
        <w:ind w:firstLine="1807" w:firstLineChars="600"/>
        <w:rPr>
          <w:rFonts w:ascii="Times New Roman" w:hAnsi="Times New Roman" w:eastAsia="宋体" w:cs="Times New Roman"/>
          <w:b/>
          <w:bCs/>
          <w:color w:val="auto"/>
          <w:sz w:val="30"/>
          <w:szCs w:val="30"/>
        </w:rPr>
      </w:pPr>
      <w:r>
        <w:rPr>
          <w:rFonts w:hint="eastAsia" w:ascii="Times New Roman" w:hAnsi="Times New Roman" w:eastAsia="宋体" w:cs="Times New Roman"/>
          <w:b/>
          <w:bCs/>
          <w:color w:val="auto"/>
          <w:sz w:val="30"/>
          <w:szCs w:val="30"/>
          <w:u w:val="none"/>
        </w:rPr>
        <w:t>招 标 单 位：广州市公安局</w:t>
      </w:r>
    </w:p>
    <w:p>
      <w:pPr>
        <w:ind w:firstLine="1807" w:firstLineChars="600"/>
        <w:rPr>
          <w:rFonts w:ascii="Times New Roman" w:hAnsi="Times New Roman" w:eastAsia="宋体" w:cs="Times New Roman"/>
          <w:b/>
          <w:bCs/>
          <w:color w:val="auto"/>
          <w:sz w:val="30"/>
          <w:szCs w:val="30"/>
        </w:rPr>
      </w:pPr>
      <w:r>
        <w:rPr>
          <w:rFonts w:hint="eastAsia" w:ascii="Times New Roman" w:hAnsi="Times New Roman" w:eastAsia="宋体" w:cs="Times New Roman"/>
          <w:b/>
          <w:bCs/>
          <w:color w:val="auto"/>
          <w:sz w:val="30"/>
          <w:szCs w:val="30"/>
          <w:u w:val="none"/>
        </w:rPr>
        <w:t xml:space="preserve">招标代理单位：广州市政府采购中心  </w:t>
      </w:r>
    </w:p>
    <w:p>
      <w:pPr>
        <w:ind w:firstLine="1807" w:firstLineChars="600"/>
        <w:rPr>
          <w:rFonts w:ascii="Times New Roman" w:hAnsi="Times New Roman" w:eastAsia="宋体" w:cs="Times New Roman"/>
          <w:b/>
          <w:bCs/>
          <w:color w:val="auto"/>
          <w:sz w:val="30"/>
          <w:szCs w:val="30"/>
        </w:rPr>
      </w:pPr>
      <w:r>
        <w:rPr>
          <w:rFonts w:hint="eastAsia" w:ascii="Times New Roman" w:hAnsi="Times New Roman" w:eastAsia="宋体" w:cs="Times New Roman"/>
          <w:b/>
          <w:bCs/>
          <w:color w:val="auto"/>
          <w:sz w:val="30"/>
          <w:szCs w:val="30"/>
          <w:u w:val="none"/>
        </w:rPr>
        <w:t>日        期：202</w:t>
      </w:r>
      <w:r>
        <w:rPr>
          <w:rFonts w:hint="eastAsia" w:ascii="Times New Roman" w:hAnsi="Times New Roman" w:eastAsia="宋体" w:cs="Times New Roman"/>
          <w:b/>
          <w:bCs/>
          <w:color w:val="auto"/>
          <w:sz w:val="30"/>
          <w:szCs w:val="30"/>
          <w:u w:val="none"/>
          <w:lang w:val="en-US" w:eastAsia="zh-CN"/>
        </w:rPr>
        <w:t>5</w:t>
      </w:r>
      <w:r>
        <w:rPr>
          <w:rFonts w:hint="eastAsia" w:ascii="Times New Roman" w:hAnsi="Times New Roman" w:eastAsia="宋体" w:cs="Times New Roman"/>
          <w:b/>
          <w:bCs/>
          <w:color w:val="auto"/>
          <w:sz w:val="30"/>
          <w:szCs w:val="30"/>
          <w:u w:val="none"/>
        </w:rPr>
        <w:t>年</w:t>
      </w:r>
      <w:r>
        <w:rPr>
          <w:rFonts w:hint="eastAsia" w:cs="Times New Roman"/>
          <w:b/>
          <w:bCs/>
          <w:color w:val="auto"/>
          <w:sz w:val="30"/>
          <w:szCs w:val="30"/>
          <w:u w:val="none"/>
          <w:lang w:val="en-US" w:eastAsia="zh-CN"/>
        </w:rPr>
        <w:t>4</w:t>
      </w:r>
      <w:r>
        <w:rPr>
          <w:rFonts w:hint="eastAsia" w:ascii="Times New Roman" w:hAnsi="Times New Roman" w:eastAsia="宋体" w:cs="Times New Roman"/>
          <w:b/>
          <w:bCs/>
          <w:color w:val="auto"/>
          <w:sz w:val="30"/>
          <w:szCs w:val="30"/>
          <w:u w:val="none"/>
        </w:rPr>
        <w:t>月</w:t>
      </w:r>
    </w:p>
    <w:p>
      <w:pPr>
        <w:spacing w:line="360" w:lineRule="auto"/>
        <w:jc w:val="center"/>
        <w:rPr>
          <w:rFonts w:ascii="宋体" w:hAnsi="宋体"/>
          <w:b/>
          <w:bCs/>
          <w:color w:val="000000"/>
          <w:kern w:val="0"/>
          <w:sz w:val="30"/>
          <w:szCs w:val="30"/>
        </w:rPr>
      </w:pPr>
      <w:r>
        <w:rPr>
          <w:rFonts w:hint="eastAsia" w:ascii="宋体" w:hAnsi="宋体"/>
          <w:b/>
          <w:bCs/>
          <w:color w:val="000000"/>
          <w:kern w:val="0"/>
          <w:sz w:val="30"/>
          <w:szCs w:val="30"/>
          <w:lang w:eastAsia="zh-CN"/>
        </w:rPr>
        <w:br w:type="page"/>
      </w:r>
      <w:r>
        <w:rPr>
          <w:rFonts w:hint="eastAsia" w:ascii="宋体" w:hAnsi="宋体"/>
          <w:b/>
          <w:bCs/>
          <w:color w:val="000000"/>
          <w:kern w:val="0"/>
          <w:sz w:val="30"/>
          <w:szCs w:val="30"/>
          <w:lang w:eastAsia="zh-CN"/>
        </w:rPr>
        <w:t>广州市公安局交警支队2025-2027年交通信号设施维护项目</w:t>
      </w:r>
      <w:r>
        <w:rPr>
          <w:rFonts w:hint="eastAsia" w:ascii="宋体" w:hAnsi="宋体"/>
          <w:b/>
          <w:bCs/>
          <w:color w:val="000000"/>
          <w:kern w:val="0"/>
          <w:sz w:val="30"/>
          <w:szCs w:val="30"/>
        </w:rPr>
        <w:t>（标段1~标段</w:t>
      </w:r>
      <w:r>
        <w:rPr>
          <w:rFonts w:hint="eastAsia" w:ascii="宋体" w:hAnsi="宋体"/>
          <w:b/>
          <w:bCs/>
          <w:color w:val="000000"/>
          <w:kern w:val="0"/>
          <w:sz w:val="30"/>
          <w:szCs w:val="30"/>
          <w:lang w:val="en-US" w:eastAsia="zh-CN"/>
        </w:rPr>
        <w:t>3</w:t>
      </w:r>
      <w:r>
        <w:rPr>
          <w:rFonts w:hint="eastAsia" w:ascii="宋体" w:hAnsi="宋体"/>
          <w:b/>
          <w:bCs/>
          <w:color w:val="000000"/>
          <w:kern w:val="0"/>
          <w:sz w:val="30"/>
          <w:szCs w:val="30"/>
        </w:rPr>
        <w:t>）招标公告</w:t>
      </w:r>
    </w:p>
    <w:p>
      <w:pPr>
        <w:spacing w:line="480" w:lineRule="auto"/>
        <w:ind w:firstLine="537" w:firstLineChars="224"/>
        <w:jc w:val="center"/>
        <w:rPr>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根据</w:t>
      </w:r>
      <w:r>
        <w:rPr>
          <w:rFonts w:hint="eastAsia" w:ascii="宋体" w:hAnsi="宋体"/>
          <w:color w:val="000000"/>
          <w:sz w:val="24"/>
          <w:u w:val="single"/>
        </w:rPr>
        <w:t xml:space="preserve">2410-440100-04-05-482682 </w:t>
      </w:r>
      <w:r>
        <w:rPr>
          <w:rFonts w:hint="eastAsia" w:ascii="宋体" w:hAnsi="宋体"/>
          <w:color w:val="000000"/>
          <w:sz w:val="24"/>
        </w:rPr>
        <w:t>批准，并且图纸和技术资料满足施工需要，</w:t>
      </w:r>
      <w:r>
        <w:rPr>
          <w:rFonts w:hint="eastAsia" w:ascii="宋体" w:hAnsi="宋体"/>
          <w:color w:val="000000"/>
          <w:sz w:val="24"/>
          <w:u w:val="single"/>
          <w:lang w:eastAsia="zh-CN"/>
        </w:rPr>
        <w:t>广州市公安局交警支队2025-2027年交通信号设施维护项目</w:t>
      </w:r>
      <w:r>
        <w:rPr>
          <w:rFonts w:hint="eastAsia" w:ascii="宋体" w:hAnsi="宋体"/>
          <w:color w:val="000000"/>
          <w:sz w:val="24"/>
        </w:rPr>
        <w:t>进行施工公开招标，选定承包人。</w:t>
      </w:r>
    </w:p>
    <w:p>
      <w:pPr>
        <w:tabs>
          <w:tab w:val="center" w:pos="4415"/>
        </w:tabs>
        <w:spacing w:line="360" w:lineRule="auto"/>
        <w:ind w:firstLine="480" w:firstLineChars="200"/>
        <w:rPr>
          <w:rFonts w:ascii="宋体" w:hAnsi="宋体"/>
          <w:color w:val="000000"/>
          <w:spacing w:val="-6"/>
          <w:sz w:val="24"/>
          <w:u w:val="single"/>
        </w:rPr>
      </w:pPr>
      <w:r>
        <w:rPr>
          <w:rFonts w:hint="eastAsia" w:ascii="宋体" w:hAnsi="宋体"/>
          <w:color w:val="000000"/>
          <w:sz w:val="24"/>
        </w:rPr>
        <w:t>一、工程名称：</w:t>
      </w:r>
    </w:p>
    <w:p>
      <w:pPr>
        <w:tabs>
          <w:tab w:val="center" w:pos="4415"/>
        </w:tabs>
        <w:spacing w:line="360" w:lineRule="auto"/>
        <w:ind w:firstLine="960" w:firstLineChars="400"/>
        <w:rPr>
          <w:rFonts w:hint="eastAsia" w:ascii="宋体"/>
          <w:color w:val="000000"/>
          <w:sz w:val="24"/>
          <w:u w:val="single"/>
        </w:rPr>
      </w:pPr>
      <w:r>
        <w:rPr>
          <w:rFonts w:hint="eastAsia" w:ascii="宋体"/>
          <w:color w:val="000000"/>
          <w:sz w:val="24"/>
          <w:u w:val="single"/>
        </w:rPr>
        <w:t>标段1：</w:t>
      </w:r>
      <w:r>
        <w:rPr>
          <w:rFonts w:hint="eastAsia" w:ascii="宋体"/>
          <w:color w:val="000000"/>
          <w:sz w:val="24"/>
          <w:u w:val="single"/>
          <w:lang w:eastAsia="zh-CN"/>
        </w:rPr>
        <w:t>广州市公安局交警支队2025-2027年交通信号设施维护项目</w:t>
      </w:r>
      <w:r>
        <w:rPr>
          <w:rFonts w:hint="eastAsia" w:ascii="宋体"/>
          <w:color w:val="000000"/>
          <w:sz w:val="24"/>
          <w:u w:val="single"/>
        </w:rPr>
        <w:t>（标段1）</w:t>
      </w:r>
    </w:p>
    <w:p>
      <w:pPr>
        <w:tabs>
          <w:tab w:val="center" w:pos="4415"/>
        </w:tabs>
        <w:spacing w:line="360" w:lineRule="auto"/>
        <w:ind w:firstLine="960" w:firstLineChars="400"/>
        <w:rPr>
          <w:rFonts w:hint="eastAsia" w:ascii="宋体"/>
          <w:color w:val="000000"/>
          <w:sz w:val="24"/>
          <w:u w:val="single"/>
        </w:rPr>
      </w:pPr>
      <w:r>
        <w:rPr>
          <w:rFonts w:hint="eastAsia" w:ascii="宋体"/>
          <w:color w:val="000000"/>
          <w:sz w:val="24"/>
          <w:u w:val="single"/>
        </w:rPr>
        <w:t>标段2：</w:t>
      </w:r>
      <w:r>
        <w:rPr>
          <w:rFonts w:hint="eastAsia" w:ascii="宋体"/>
          <w:color w:val="000000"/>
          <w:sz w:val="24"/>
          <w:u w:val="single"/>
          <w:lang w:eastAsia="zh-CN"/>
        </w:rPr>
        <w:t>广州市公安局交警支队2025-2027年交通信号设施维护项目</w:t>
      </w:r>
      <w:r>
        <w:rPr>
          <w:rFonts w:hint="eastAsia" w:ascii="宋体"/>
          <w:color w:val="000000"/>
          <w:sz w:val="24"/>
          <w:u w:val="single"/>
        </w:rPr>
        <w:t>（标段2）</w:t>
      </w:r>
    </w:p>
    <w:p>
      <w:pPr>
        <w:tabs>
          <w:tab w:val="center" w:pos="4415"/>
        </w:tabs>
        <w:spacing w:line="360" w:lineRule="auto"/>
        <w:ind w:firstLine="960" w:firstLineChars="400"/>
        <w:rPr>
          <w:rFonts w:hint="eastAsia" w:ascii="宋体"/>
          <w:color w:val="000000"/>
          <w:sz w:val="24"/>
          <w:u w:val="single"/>
        </w:rPr>
      </w:pPr>
      <w:r>
        <w:rPr>
          <w:rFonts w:hint="eastAsia" w:ascii="宋体"/>
          <w:color w:val="000000"/>
          <w:sz w:val="24"/>
          <w:u w:val="single"/>
        </w:rPr>
        <w:t>标段3：</w:t>
      </w:r>
      <w:r>
        <w:rPr>
          <w:rFonts w:hint="eastAsia" w:ascii="宋体"/>
          <w:color w:val="000000"/>
          <w:sz w:val="24"/>
          <w:u w:val="single"/>
          <w:lang w:eastAsia="zh-CN"/>
        </w:rPr>
        <w:t>广州市公安局交警支队2025-2027年交通信号设施维护项目</w:t>
      </w:r>
      <w:r>
        <w:rPr>
          <w:rFonts w:hint="eastAsia" w:ascii="宋体"/>
          <w:color w:val="000000"/>
          <w:sz w:val="24"/>
          <w:u w:val="single"/>
        </w:rPr>
        <w:t>（标段3）</w:t>
      </w:r>
    </w:p>
    <w:p>
      <w:pPr>
        <w:tabs>
          <w:tab w:val="center" w:pos="4415"/>
        </w:tabs>
        <w:spacing w:line="360" w:lineRule="auto"/>
        <w:ind w:firstLine="960" w:firstLineChars="400"/>
        <w:rPr>
          <w:rFonts w:hint="eastAsia" w:ascii="宋体" w:hAnsi="宋体" w:eastAsia="宋体"/>
          <w:color w:val="000000"/>
          <w:sz w:val="24"/>
          <w:u w:val="single"/>
          <w:lang w:eastAsia="zh-CN"/>
        </w:rPr>
      </w:pPr>
      <w:r>
        <w:rPr>
          <w:rFonts w:hint="eastAsia" w:ascii="宋体"/>
          <w:color w:val="000000"/>
          <w:sz w:val="24"/>
        </w:rPr>
        <w:t>项目代码：</w:t>
      </w:r>
      <w:r>
        <w:rPr>
          <w:rFonts w:hint="eastAsia" w:ascii="宋体"/>
          <w:color w:val="000000"/>
          <w:sz w:val="24"/>
          <w:lang w:eastAsia="zh-CN"/>
        </w:rPr>
        <w:t>2410-440100-04-05-482682</w:t>
      </w:r>
    </w:p>
    <w:p>
      <w:pPr>
        <w:spacing w:line="360" w:lineRule="auto"/>
        <w:ind w:firstLine="480" w:firstLineChars="200"/>
        <w:rPr>
          <w:rFonts w:hint="eastAsia" w:ascii="宋体"/>
          <w:color w:val="000000"/>
          <w:sz w:val="24"/>
          <w:u w:val="single"/>
        </w:rPr>
      </w:pPr>
      <w:r>
        <w:rPr>
          <w:rFonts w:hint="eastAsia" w:ascii="宋体" w:hAnsi="宋体"/>
          <w:color w:val="000000"/>
          <w:sz w:val="24"/>
        </w:rPr>
        <w:t>二、招标单位：</w:t>
      </w:r>
      <w:r>
        <w:rPr>
          <w:rFonts w:hint="eastAsia" w:ascii="宋体" w:hAnsi="宋体"/>
          <w:color w:val="000000"/>
          <w:sz w:val="24"/>
          <w:u w:val="single"/>
        </w:rPr>
        <w:t>广州市公安局</w:t>
      </w:r>
    </w:p>
    <w:p>
      <w:pPr>
        <w:spacing w:line="360" w:lineRule="auto"/>
        <w:ind w:firstLine="480" w:firstLineChars="200"/>
        <w:rPr>
          <w:rFonts w:hint="eastAsia" w:ascii="宋体" w:hAnsi="宋体" w:cs="宋体"/>
          <w:color w:val="000000"/>
          <w:sz w:val="24"/>
          <w:szCs w:val="24"/>
          <w:u w:val="single"/>
        </w:rPr>
      </w:pPr>
      <w:r>
        <w:rPr>
          <w:rFonts w:hint="eastAsia" w:ascii="宋体" w:hAnsi="宋体"/>
          <w:color w:val="000000"/>
          <w:sz w:val="24"/>
        </w:rPr>
        <w:t>联系人：</w:t>
      </w:r>
      <w:r>
        <w:rPr>
          <w:rFonts w:hint="eastAsia" w:ascii="宋体" w:hAnsi="宋体"/>
          <w:color w:val="000000"/>
          <w:sz w:val="24"/>
          <w:u w:val="single"/>
          <w:lang w:val="en-US" w:eastAsia="zh-CN"/>
        </w:rPr>
        <w:t>莫警官</w:t>
      </w:r>
      <w:r>
        <w:rPr>
          <w:rFonts w:ascii="宋体" w:hAnsi="宋体"/>
          <w:color w:val="000000"/>
          <w:sz w:val="24"/>
        </w:rPr>
        <w:t xml:space="preserve">          </w:t>
      </w:r>
      <w:r>
        <w:rPr>
          <w:rFonts w:hint="eastAsia" w:ascii="宋体" w:hAnsi="宋体"/>
          <w:color w:val="000000"/>
          <w:sz w:val="24"/>
        </w:rPr>
        <w:t>联系电话：</w:t>
      </w:r>
      <w:r>
        <w:rPr>
          <w:rFonts w:ascii="宋体" w:hAnsi="宋体" w:cs="宋体"/>
          <w:color w:val="000000"/>
          <w:sz w:val="24"/>
          <w:szCs w:val="24"/>
          <w:u w:val="single"/>
        </w:rPr>
        <w:t>020-</w:t>
      </w:r>
      <w:r>
        <w:rPr>
          <w:rFonts w:hint="eastAsia" w:ascii="宋体" w:hAnsi="宋体" w:cs="宋体"/>
          <w:color w:val="000000"/>
          <w:sz w:val="24"/>
          <w:szCs w:val="24"/>
          <w:u w:val="single"/>
        </w:rPr>
        <w:t>83118142</w:t>
      </w:r>
    </w:p>
    <w:p>
      <w:pPr>
        <w:spacing w:line="360" w:lineRule="auto"/>
        <w:ind w:firstLine="960" w:firstLineChars="400"/>
        <w:rPr>
          <w:rFonts w:ascii="宋体"/>
          <w:color w:val="000000"/>
          <w:sz w:val="24"/>
          <w:u w:val="single"/>
        </w:rPr>
      </w:pPr>
      <w:r>
        <w:rPr>
          <w:rFonts w:hint="eastAsia" w:ascii="宋体" w:hAnsi="宋体"/>
          <w:color w:val="000000"/>
          <w:sz w:val="24"/>
          <w:u w:val="none"/>
        </w:rPr>
        <w:t>联系地址：</w:t>
      </w:r>
      <w:r>
        <w:rPr>
          <w:rFonts w:hint="eastAsia" w:ascii="宋体" w:hAnsi="宋体"/>
          <w:color w:val="000000"/>
          <w:sz w:val="24"/>
          <w:u w:val="single"/>
        </w:rPr>
        <w:t>广州市起义路200号</w:t>
      </w:r>
    </w:p>
    <w:p>
      <w:pPr>
        <w:spacing w:line="480" w:lineRule="exact"/>
        <w:ind w:firstLine="960" w:firstLineChars="400"/>
        <w:rPr>
          <w:sz w:val="24"/>
          <w:u w:val="single"/>
        </w:rPr>
      </w:pPr>
      <w:r>
        <w:rPr>
          <w:rFonts w:hint="eastAsia"/>
          <w:sz w:val="24"/>
        </w:rPr>
        <w:t>招标代理机构：</w:t>
      </w:r>
      <w:r>
        <w:rPr>
          <w:rFonts w:hint="eastAsia"/>
          <w:sz w:val="24"/>
          <w:u w:val="single"/>
        </w:rPr>
        <w:t>广州市政府采购中心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eastAsia="宋体"/>
          <w:sz w:val="24"/>
          <w:u w:val="single"/>
          <w:lang w:eastAsia="zh-CN"/>
        </w:rPr>
      </w:pPr>
      <w:r>
        <w:rPr>
          <w:rFonts w:hint="eastAsia"/>
          <w:sz w:val="24"/>
        </w:rPr>
        <w:t>联系人：</w:t>
      </w:r>
      <w:r>
        <w:rPr>
          <w:rFonts w:hint="eastAsia"/>
          <w:sz w:val="24"/>
          <w:u w:val="single"/>
          <w:lang w:val="en-US" w:eastAsia="zh-CN"/>
        </w:rPr>
        <w:t>邹小红</w:t>
      </w:r>
      <w:r>
        <w:rPr>
          <w:rFonts w:hint="eastAsia"/>
          <w:sz w:val="24"/>
          <w:u w:val="single"/>
        </w:rPr>
        <w:t>、孔仕丰</w:t>
      </w:r>
      <w:r>
        <w:rPr>
          <w:rFonts w:hint="eastAsia"/>
          <w:sz w:val="24"/>
        </w:rPr>
        <w:t xml:space="preserve"> 联系电话：</w:t>
      </w:r>
      <w:r>
        <w:rPr>
          <w:rFonts w:hint="eastAsia"/>
          <w:sz w:val="24"/>
          <w:szCs w:val="24"/>
          <w:u w:val="single"/>
        </w:rPr>
        <w:t>020-2886611</w:t>
      </w:r>
      <w:r>
        <w:rPr>
          <w:rFonts w:hint="eastAsia"/>
          <w:sz w:val="24"/>
          <w:szCs w:val="24"/>
          <w:u w:val="single"/>
          <w:lang w:val="en-US" w:eastAsia="zh-CN"/>
        </w:rPr>
        <w:t>2</w:t>
      </w:r>
    </w:p>
    <w:p>
      <w:pPr>
        <w:spacing w:line="360" w:lineRule="auto"/>
        <w:ind w:firstLine="960" w:firstLineChars="400"/>
        <w:rPr>
          <w:rFonts w:ascii="宋体"/>
          <w:color w:val="000000"/>
          <w:sz w:val="24"/>
          <w:u w:val="single"/>
        </w:rPr>
      </w:pPr>
      <w:r>
        <w:rPr>
          <w:rFonts w:hint="eastAsia" w:ascii="宋体" w:hAnsi="宋体"/>
          <w:color w:val="000000"/>
          <w:sz w:val="24"/>
          <w:u w:val="none"/>
        </w:rPr>
        <w:t>联系地址：</w:t>
      </w:r>
      <w:r>
        <w:rPr>
          <w:rFonts w:hint="eastAsia"/>
          <w:spacing w:val="-2"/>
          <w:sz w:val="24"/>
          <w:szCs w:val="24"/>
          <w:u w:val="single"/>
        </w:rPr>
        <w:t>广州市天河区天润路</w:t>
      </w:r>
      <w:r>
        <w:rPr>
          <w:rFonts w:hint="eastAsia"/>
          <w:spacing w:val="-2"/>
          <w:sz w:val="24"/>
          <w:szCs w:val="24"/>
          <w:u w:val="single"/>
          <w:lang w:val="en-US" w:eastAsia="zh-CN"/>
        </w:rPr>
        <w:t>445</w:t>
      </w:r>
      <w:r>
        <w:rPr>
          <w:rFonts w:hint="eastAsia"/>
          <w:spacing w:val="-2"/>
          <w:sz w:val="24"/>
          <w:szCs w:val="24"/>
          <w:u w:val="single"/>
        </w:rPr>
        <w:t>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u w:val="single"/>
        </w:rPr>
      </w:pPr>
      <w:r>
        <w:rPr>
          <w:rFonts w:hint="eastAsia" w:ascii="宋体" w:hAnsi="宋体"/>
          <w:color w:val="000000"/>
          <w:sz w:val="24"/>
        </w:rPr>
        <w:t>招标监督机构：</w:t>
      </w:r>
      <w:r>
        <w:rPr>
          <w:rFonts w:hint="eastAsia" w:ascii="宋体" w:hAnsi="宋体"/>
          <w:color w:val="000000"/>
          <w:sz w:val="24"/>
          <w:u w:val="single"/>
        </w:rPr>
        <w:t>广州市交通运输局建设管理处</w:t>
      </w:r>
    </w:p>
    <w:p>
      <w:pPr>
        <w:spacing w:line="360" w:lineRule="auto"/>
        <w:ind w:firstLine="480" w:firstLineChars="200"/>
        <w:rPr>
          <w:rFonts w:hint="eastAsia" w:ascii="宋体" w:hAnsi="宋体"/>
          <w:color w:val="000000"/>
          <w:sz w:val="24"/>
          <w:u w:val="single"/>
        </w:rPr>
      </w:pPr>
      <w:r>
        <w:rPr>
          <w:rFonts w:hint="eastAsia" w:ascii="宋体" w:hAnsi="宋体"/>
          <w:color w:val="000000"/>
          <w:sz w:val="24"/>
        </w:rPr>
        <w:t>监督电话：</w:t>
      </w:r>
      <w:r>
        <w:rPr>
          <w:rFonts w:ascii="宋体" w:hAnsi="宋体"/>
          <w:color w:val="000000"/>
          <w:sz w:val="24"/>
          <w:u w:val="single"/>
        </w:rPr>
        <w:t>020-</w:t>
      </w:r>
      <w:r>
        <w:rPr>
          <w:rFonts w:hint="eastAsia" w:ascii="宋体" w:hAnsi="宋体"/>
          <w:color w:val="000000"/>
          <w:sz w:val="24"/>
          <w:u w:val="single"/>
        </w:rPr>
        <w:t xml:space="preserve">38180053 </w:t>
      </w:r>
    </w:p>
    <w:p>
      <w:pPr>
        <w:spacing w:line="360" w:lineRule="auto"/>
        <w:ind w:firstLine="960" w:firstLineChars="400"/>
        <w:rPr>
          <w:rFonts w:hint="eastAsia" w:ascii="宋体" w:hAnsi="宋体"/>
          <w:color w:val="000000"/>
          <w:sz w:val="24"/>
          <w:u w:val="single"/>
        </w:rPr>
      </w:pPr>
      <w:r>
        <w:rPr>
          <w:rFonts w:hint="eastAsia" w:ascii="宋体" w:hAnsi="宋体"/>
          <w:color w:val="000000"/>
          <w:sz w:val="24"/>
          <w:u w:val="none"/>
        </w:rPr>
        <w:t>联系地址：</w:t>
      </w:r>
      <w:r>
        <w:rPr>
          <w:rFonts w:hint="eastAsia" w:ascii="宋体" w:hAnsi="宋体"/>
          <w:color w:val="000000"/>
          <w:sz w:val="24"/>
          <w:szCs w:val="24"/>
          <w:highlight w:val="none"/>
          <w:u w:val="single"/>
        </w:rPr>
        <w:t>广州市天河南二路1号17楼（建设管理处）</w:t>
      </w:r>
    </w:p>
    <w:p>
      <w:pPr>
        <w:spacing w:line="360" w:lineRule="auto"/>
        <w:ind w:firstLine="480" w:firstLineChars="200"/>
        <w:rPr>
          <w:rFonts w:hint="eastAsia" w:ascii="宋体"/>
          <w:color w:val="000000"/>
          <w:sz w:val="24"/>
          <w:u w:val="single"/>
        </w:rPr>
      </w:pPr>
      <w:r>
        <w:rPr>
          <w:rFonts w:hint="eastAsia" w:ascii="宋体" w:hAnsi="宋体"/>
          <w:color w:val="000000"/>
          <w:sz w:val="24"/>
        </w:rPr>
        <w:t>三、建设地点：</w:t>
      </w:r>
      <w:r>
        <w:rPr>
          <w:rFonts w:hint="eastAsia" w:ascii="宋体" w:hAnsi="宋体"/>
          <w:color w:val="000000"/>
          <w:sz w:val="24"/>
          <w:u w:val="single"/>
        </w:rPr>
        <w:t>广州市辖区范围内。</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rPr>
        <w:t>四</w:t>
      </w:r>
      <w:r>
        <w:rPr>
          <w:rFonts w:hint="eastAsia" w:ascii="宋体" w:hAnsi="宋体"/>
          <w:color w:val="000000"/>
          <w:sz w:val="24"/>
          <w:highlight w:val="none"/>
        </w:rPr>
        <w:t>、项目概况：工程承包范围包括：</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设备维护，是指交通信号控制设施（含单点和SCATS）中交通流量检测部分、控制主机部分、通信部分（线路和设备）、交通信号灯，以及它们配套的杆件、管井、管线、电源、机房设备等基础设施设备的运行维护和故障抢修以及更改控制方案、更换特征软件、更换芯片等；</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2.专项维护任务，是指发包人根据不可预见的需要下达的维护任务，包括对路口交通控制有关的设施进行技术改造、更新、合理化改善等特定任务。</w:t>
      </w:r>
    </w:p>
    <w:p>
      <w:pPr>
        <w:pStyle w:val="6"/>
        <w:rPr>
          <w:rFonts w:hint="eastAsia"/>
        </w:rPr>
      </w:pPr>
      <w:r>
        <w:rPr>
          <w:rFonts w:hint="eastAsia" w:ascii="宋体" w:hAnsi="宋体" w:eastAsia="宋体" w:cs="Times New Roman"/>
          <w:color w:val="000000"/>
          <w:sz w:val="24"/>
          <w:highlight w:val="none"/>
          <w:lang w:eastAsia="zh-CN"/>
        </w:rPr>
        <w:t>本项目单合同额均在</w:t>
      </w:r>
      <w:r>
        <w:rPr>
          <w:rFonts w:hint="eastAsia" w:ascii="宋体" w:hAnsi="宋体" w:eastAsia="宋体" w:cs="Times New Roman"/>
          <w:color w:val="000000"/>
          <w:sz w:val="24"/>
          <w:highlight w:val="none"/>
          <w:lang w:val="en-US" w:eastAsia="zh-CN"/>
        </w:rPr>
        <w:t>2500万元以下</w:t>
      </w:r>
      <w:r>
        <w:rPr>
          <w:rFonts w:hint="eastAsia" w:ascii="宋体" w:hAnsi="宋体" w:eastAsia="宋体" w:cs="Times New Roman"/>
          <w:color w:val="000000"/>
          <w:sz w:val="24"/>
          <w:highlight w:val="none"/>
          <w:u w:val="none"/>
          <w:lang w:eastAsia="zh-CN"/>
        </w:rPr>
        <w:t>，属于市政公用工程总承包三级或以上资质范围</w:t>
      </w:r>
      <w:r>
        <w:rPr>
          <w:rFonts w:hint="eastAsia" w:ascii="宋体" w:hAnsi="宋体" w:eastAsia="宋体" w:cs="Times New Roman"/>
          <w:color w:val="000000"/>
          <w:sz w:val="24"/>
          <w:highlight w:val="none"/>
          <w:u w:val="none"/>
          <w:lang w:eastAsia="zh-CN"/>
        </w:rPr>
        <w:t>。</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五、标段划分及各标段招标内容、规模和最高投标限价：</w:t>
      </w:r>
    </w:p>
    <w:p>
      <w:pPr>
        <w:widowControl/>
        <w:spacing w:line="360" w:lineRule="auto"/>
        <w:ind w:firstLine="480" w:firstLineChars="200"/>
        <w:jc w:val="left"/>
        <w:rPr>
          <w:rFonts w:hint="eastAsia" w:ascii="宋体" w:hAnsi="宋体" w:cs="宋体"/>
          <w:color w:val="000000"/>
          <w:kern w:val="0"/>
          <w:sz w:val="24"/>
          <w:szCs w:val="24"/>
          <w:highlight w:val="none"/>
          <w:u w:val="single"/>
          <w:shd w:val="clear" w:color="auto" w:fill="FFFFFF"/>
          <w:lang w:bidi="ar"/>
        </w:rPr>
      </w:pPr>
      <w:r>
        <w:rPr>
          <w:rFonts w:hint="eastAsia" w:ascii="宋体" w:hAnsi="宋体" w:cs="宋体"/>
          <w:color w:val="000000"/>
          <w:kern w:val="0"/>
          <w:sz w:val="24"/>
          <w:szCs w:val="24"/>
          <w:highlight w:val="none"/>
          <w:shd w:val="clear" w:color="auto" w:fill="FFFFFF"/>
          <w:lang w:bidi="ar"/>
        </w:rPr>
        <w:t>1、标段划分：</w:t>
      </w:r>
      <w:r>
        <w:rPr>
          <w:rFonts w:hint="eastAsia" w:ascii="宋体" w:hAnsi="宋体" w:cs="宋体"/>
          <w:color w:val="000000"/>
          <w:kern w:val="0"/>
          <w:sz w:val="24"/>
          <w:szCs w:val="24"/>
          <w:highlight w:val="none"/>
          <w:u w:val="single"/>
          <w:shd w:val="clear" w:color="auto" w:fill="FFFFFF"/>
          <w:lang w:bidi="ar"/>
        </w:rPr>
        <w:t>本工程划分为</w:t>
      </w:r>
      <w:r>
        <w:rPr>
          <w:rFonts w:hint="eastAsia" w:ascii="宋体" w:hAnsi="宋体" w:cs="宋体"/>
          <w:color w:val="000000"/>
          <w:kern w:val="0"/>
          <w:sz w:val="24"/>
          <w:szCs w:val="24"/>
          <w:highlight w:val="none"/>
          <w:u w:val="single"/>
          <w:shd w:val="clear" w:color="auto" w:fill="FFFFFF"/>
          <w:lang w:val="en-US" w:eastAsia="zh-CN" w:bidi="ar"/>
        </w:rPr>
        <w:t>3</w:t>
      </w:r>
      <w:r>
        <w:rPr>
          <w:rFonts w:hint="eastAsia" w:ascii="宋体" w:hAnsi="宋体" w:cs="宋体"/>
          <w:color w:val="000000"/>
          <w:kern w:val="0"/>
          <w:sz w:val="24"/>
          <w:szCs w:val="24"/>
          <w:highlight w:val="none"/>
          <w:u w:val="single"/>
          <w:shd w:val="clear" w:color="auto" w:fill="FFFFFF"/>
          <w:lang w:bidi="ar"/>
        </w:rPr>
        <w:t>个标段，具体明细情况如下。</w:t>
      </w:r>
    </w:p>
    <w:tbl>
      <w:tblPr>
        <w:tblStyle w:val="34"/>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3810"/>
        <w:gridCol w:w="3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513"/>
              </w:tabs>
              <w:spacing w:before="0" w:beforeAutospacing="0" w:after="0" w:afterAutospacing="0"/>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标段</w:t>
            </w:r>
          </w:p>
          <w:p>
            <w:pPr>
              <w:keepNext w:val="0"/>
              <w:keepLines w:val="0"/>
              <w:suppressLineNumbers w:val="0"/>
              <w:tabs>
                <w:tab w:val="left" w:pos="7513"/>
              </w:tabs>
              <w:spacing w:before="0" w:beforeAutospacing="0" w:after="0" w:afterAutospacing="0"/>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划分</w:t>
            </w:r>
          </w:p>
        </w:tc>
        <w:tc>
          <w:tcPr>
            <w:tcW w:w="20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513"/>
              </w:tabs>
              <w:spacing w:before="0" w:beforeAutospacing="0" w:after="0" w:afterAutospacing="0"/>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各标段工程名称</w:t>
            </w:r>
          </w:p>
        </w:tc>
        <w:tc>
          <w:tcPr>
            <w:tcW w:w="20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招标内容（包括</w:t>
            </w:r>
            <w:r>
              <w:rPr>
                <w:rFonts w:hint="default" w:ascii="宋体" w:hAnsi="宋体" w:eastAsia="宋体" w:cs="Times New Roman"/>
                <w:color w:val="000000"/>
                <w:szCs w:val="21"/>
                <w:highlight w:val="none"/>
              </w:rPr>
              <w:t>但不限于</w:t>
            </w:r>
            <w:r>
              <w:rPr>
                <w:rFonts w:hint="eastAsia" w:ascii="宋体" w:hAnsi="宋体" w:eastAsia="宋体"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513"/>
              </w:tabs>
              <w:spacing w:before="0" w:beforeAutospacing="0" w:after="0" w:afterAutospacing="0"/>
              <w:ind w:left="0" w:right="0"/>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标段1</w:t>
            </w:r>
          </w:p>
        </w:tc>
        <w:tc>
          <w:tcPr>
            <w:tcW w:w="20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513"/>
              </w:tabs>
              <w:spacing w:before="0" w:beforeAutospacing="0" w:after="0" w:afterAutospacing="0"/>
              <w:ind w:left="0" w:right="0"/>
              <w:jc w:val="center"/>
              <w:rPr>
                <w:rFonts w:hint="eastAsia" w:ascii="宋体" w:hAnsi="宋体" w:eastAsia="宋体" w:cs="Times New Roman"/>
                <w:color w:val="000000"/>
                <w:szCs w:val="21"/>
                <w:highlight w:val="none"/>
              </w:rPr>
            </w:pPr>
            <w:r>
              <w:rPr>
                <w:rFonts w:hint="eastAsia" w:ascii="宋体" w:hAnsi="Times New Roman" w:eastAsia="Times New Roman" w:cs="Times New Roman"/>
                <w:color w:val="000000"/>
                <w:sz w:val="24"/>
                <w:u w:val="single"/>
                <w:lang w:eastAsia="zh-CN"/>
              </w:rPr>
              <w:t>广州市公安局交警支队2025-2027年交通信号设施维护项目</w:t>
            </w:r>
            <w:r>
              <w:rPr>
                <w:rFonts w:hint="eastAsia" w:ascii="宋体" w:hAnsi="Times New Roman" w:eastAsia="Times New Roman" w:cs="Times New Roman"/>
                <w:color w:val="000000"/>
                <w:sz w:val="24"/>
                <w:u w:val="single"/>
              </w:rPr>
              <w:t>（标段1）</w:t>
            </w:r>
          </w:p>
        </w:tc>
        <w:tc>
          <w:tcPr>
            <w:tcW w:w="20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7513"/>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Times New Roman" w:eastAsia="宋体" w:cs="Times New Roman"/>
                <w:color w:val="000000"/>
                <w:sz w:val="24"/>
                <w:u w:val="single"/>
                <w:lang w:eastAsia="zh-CN"/>
              </w:rPr>
            </w:pPr>
            <w:r>
              <w:rPr>
                <w:rFonts w:hint="eastAsia" w:ascii="宋体" w:hAnsi="Times New Roman" w:eastAsia="宋体" w:cs="Times New Roman"/>
                <w:color w:val="000000"/>
                <w:sz w:val="24"/>
                <w:u w:val="single"/>
                <w:lang w:eastAsia="zh-CN"/>
              </w:rPr>
              <w:t>越秀（251)、海珠（270）、高速一、高速五交警大队辖区（共计521个路口）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513"/>
              </w:tabs>
              <w:spacing w:before="0" w:beforeAutospacing="0" w:after="0" w:afterAutospacing="0"/>
              <w:ind w:left="0" w:right="0"/>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标段2</w:t>
            </w:r>
          </w:p>
        </w:tc>
        <w:tc>
          <w:tcPr>
            <w:tcW w:w="20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513"/>
              </w:tabs>
              <w:spacing w:before="0" w:beforeAutospacing="0" w:after="0" w:afterAutospacing="0"/>
              <w:ind w:left="0" w:right="0"/>
              <w:jc w:val="center"/>
              <w:rPr>
                <w:rFonts w:hint="eastAsia" w:ascii="宋体" w:hAnsi="宋体" w:eastAsia="宋体" w:cs="Times New Roman"/>
                <w:color w:val="000000"/>
                <w:szCs w:val="21"/>
                <w:highlight w:val="none"/>
              </w:rPr>
            </w:pPr>
            <w:r>
              <w:rPr>
                <w:rFonts w:hint="eastAsia" w:ascii="宋体" w:hAnsi="Times New Roman" w:eastAsia="Times New Roman" w:cs="Times New Roman"/>
                <w:color w:val="000000"/>
                <w:sz w:val="24"/>
                <w:u w:val="single"/>
                <w:lang w:eastAsia="zh-CN"/>
              </w:rPr>
              <w:t>广州市公安局交警支队2025-2027年交通信号设施维护项目</w:t>
            </w:r>
            <w:r>
              <w:rPr>
                <w:rFonts w:hint="eastAsia" w:ascii="宋体" w:hAnsi="Times New Roman" w:eastAsia="Times New Roman" w:cs="Times New Roman"/>
                <w:color w:val="000000"/>
                <w:sz w:val="24"/>
                <w:u w:val="single"/>
              </w:rPr>
              <w:t>（标段2）</w:t>
            </w:r>
          </w:p>
        </w:tc>
        <w:tc>
          <w:tcPr>
            <w:tcW w:w="20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7513"/>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Times New Roman" w:eastAsia="宋体" w:cs="Times New Roman"/>
                <w:color w:val="000000"/>
                <w:sz w:val="24"/>
                <w:u w:val="single"/>
                <w:lang w:eastAsia="zh-CN"/>
              </w:rPr>
            </w:pPr>
            <w:r>
              <w:rPr>
                <w:rFonts w:hint="eastAsia" w:ascii="宋体" w:hAnsi="Times New Roman" w:eastAsia="宋体" w:cs="Times New Roman"/>
                <w:color w:val="000000"/>
                <w:sz w:val="24"/>
                <w:u w:val="single"/>
                <w:lang w:eastAsia="zh-CN"/>
              </w:rPr>
              <w:t>白云一（215）、天河（352）、高速二、高速三交警大队辖区（共计567个路口）。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513"/>
              </w:tabs>
              <w:spacing w:before="0" w:beforeAutospacing="0" w:after="0" w:afterAutospacing="0"/>
              <w:ind w:left="0" w:right="0"/>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标段3</w:t>
            </w:r>
          </w:p>
        </w:tc>
        <w:tc>
          <w:tcPr>
            <w:tcW w:w="20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513"/>
              </w:tabs>
              <w:spacing w:before="0" w:beforeAutospacing="0" w:after="0" w:afterAutospacing="0"/>
              <w:ind w:left="0" w:right="0"/>
              <w:jc w:val="center"/>
              <w:rPr>
                <w:rFonts w:hint="eastAsia" w:ascii="宋体" w:hAnsi="宋体" w:eastAsia="宋体" w:cs="Times New Roman"/>
                <w:color w:val="000000"/>
                <w:szCs w:val="21"/>
                <w:highlight w:val="none"/>
              </w:rPr>
            </w:pPr>
            <w:r>
              <w:rPr>
                <w:rFonts w:hint="eastAsia" w:ascii="宋体" w:hAnsi="Times New Roman" w:eastAsia="Times New Roman" w:cs="Times New Roman"/>
                <w:color w:val="000000"/>
                <w:sz w:val="24"/>
                <w:u w:val="single"/>
                <w:lang w:eastAsia="zh-CN"/>
              </w:rPr>
              <w:t>广州市公安局交警支队2025-2027年交通信号设施维护项目</w:t>
            </w:r>
            <w:r>
              <w:rPr>
                <w:rFonts w:hint="eastAsia" w:ascii="宋体" w:hAnsi="Times New Roman" w:eastAsia="Times New Roman" w:cs="Times New Roman"/>
                <w:color w:val="000000"/>
                <w:sz w:val="24"/>
                <w:u w:val="single"/>
              </w:rPr>
              <w:t>（标段</w:t>
            </w:r>
            <w:r>
              <w:rPr>
                <w:rFonts w:hint="eastAsia" w:ascii="宋体" w:hAnsi="Times New Roman" w:eastAsia="Times New Roman" w:cs="Times New Roman"/>
                <w:color w:val="000000"/>
                <w:sz w:val="24"/>
                <w:u w:val="single"/>
                <w:lang w:val="en-US" w:eastAsia="zh-CN"/>
              </w:rPr>
              <w:t>3</w:t>
            </w:r>
            <w:r>
              <w:rPr>
                <w:rFonts w:hint="eastAsia" w:ascii="宋体" w:hAnsi="Times New Roman" w:eastAsia="Times New Roman" w:cs="Times New Roman"/>
                <w:color w:val="000000"/>
                <w:sz w:val="24"/>
                <w:u w:val="single"/>
              </w:rPr>
              <w:t>）</w:t>
            </w:r>
          </w:p>
        </w:tc>
        <w:tc>
          <w:tcPr>
            <w:tcW w:w="20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7513"/>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Times New Roman" w:eastAsia="宋体" w:cs="Times New Roman"/>
                <w:color w:val="000000"/>
                <w:sz w:val="24"/>
                <w:u w:val="single"/>
                <w:lang w:eastAsia="zh-CN"/>
              </w:rPr>
            </w:pPr>
            <w:r>
              <w:rPr>
                <w:rFonts w:hint="eastAsia" w:ascii="宋体" w:hAnsi="Times New Roman" w:eastAsia="宋体" w:cs="Times New Roman"/>
                <w:color w:val="000000"/>
                <w:sz w:val="24"/>
                <w:u w:val="single"/>
                <w:lang w:eastAsia="zh-CN"/>
              </w:rPr>
              <w:t>白云二（327)、荔湾（206）、环城（29）交警大队辖区（共计562个路口）。</w:t>
            </w:r>
          </w:p>
        </w:tc>
      </w:tr>
    </w:tbl>
    <w:p>
      <w:pPr>
        <w:spacing w:line="360" w:lineRule="auto"/>
        <w:ind w:firstLine="480" w:firstLineChars="200"/>
        <w:rPr>
          <w:rFonts w:hint="eastAsia" w:ascii="宋体" w:hAnsi="宋体"/>
          <w:color w:val="000000"/>
          <w:sz w:val="24"/>
          <w:highlight w:val="none"/>
          <w:u w:val="single"/>
        </w:rPr>
      </w:pPr>
      <w:r>
        <w:rPr>
          <w:rFonts w:ascii="宋体" w:hAnsi="宋体"/>
          <w:color w:val="000000"/>
          <w:sz w:val="24"/>
          <w:highlight w:val="none"/>
          <w:u w:val="single"/>
        </w:rPr>
        <w:t>①</w:t>
      </w:r>
      <w:r>
        <w:rPr>
          <w:rFonts w:hint="eastAsia" w:ascii="宋体" w:hAnsi="宋体"/>
          <w:color w:val="000000"/>
          <w:sz w:val="24"/>
          <w:highlight w:val="none"/>
          <w:u w:val="single"/>
        </w:rPr>
        <w:t>注：上述标段划分为交警支队属下交警大队管辖区域，以上路口数是2024年4月份的统计数，在维护周期内，外单位新建的交通灯路口办理移交手续后，纳入相应交警大队辖区的维护范围。合同履行期间，如部分行政区域或高速公路大队管辖区域有所调整的，由发包人视情况相应调整维护范围。</w:t>
      </w:r>
    </w:p>
    <w:p>
      <w:pPr>
        <w:spacing w:line="360" w:lineRule="auto"/>
        <w:ind w:firstLine="480" w:firstLineChars="200"/>
        <w:rPr>
          <w:rFonts w:hint="eastAsia" w:ascii="宋体" w:hAnsi="宋体"/>
          <w:color w:val="000000"/>
          <w:sz w:val="24"/>
          <w:highlight w:val="none"/>
          <w:u w:val="single"/>
        </w:rPr>
      </w:pPr>
      <w:r>
        <w:rPr>
          <w:rFonts w:ascii="宋体" w:hAnsi="宋体"/>
          <w:color w:val="000000"/>
          <w:sz w:val="24"/>
          <w:highlight w:val="none"/>
          <w:u w:val="single"/>
        </w:rPr>
        <w:t>②</w:t>
      </w:r>
      <w:r>
        <w:rPr>
          <w:rFonts w:hint="eastAsia" w:ascii="宋体" w:hAnsi="宋体"/>
          <w:color w:val="000000"/>
          <w:sz w:val="24"/>
          <w:highlight w:val="none"/>
          <w:u w:val="single"/>
        </w:rPr>
        <w:t>三个标段两年维护总经费约为3629.04万元。其中标段1的维护经费约为1211.59万元，标段2的维护经费约为1209.30万元，标段3的维护经费约为1208.15万元。具体以财政资金下达的城市维护费资金计划和实际完成工程量并经最终审核结算价款为准。</w:t>
      </w:r>
    </w:p>
    <w:p>
      <w:pPr>
        <w:widowControl/>
        <w:numPr>
          <w:ilvl w:val="-1"/>
          <w:numId w:val="0"/>
        </w:numPr>
        <w:spacing w:line="360" w:lineRule="auto"/>
        <w:ind w:firstLine="422" w:firstLineChars="200"/>
        <w:jc w:val="left"/>
        <w:rPr>
          <w:rFonts w:hint="eastAsia" w:ascii="宋体" w:hAnsi="宋体"/>
          <w:color w:val="000000"/>
          <w:sz w:val="24"/>
          <w:highlight w:val="none"/>
        </w:rPr>
      </w:pPr>
      <w:r>
        <w:rPr>
          <w:rFonts w:hint="eastAsia" w:ascii="宋体" w:hAnsi="宋体" w:eastAsia="宋体" w:cs="宋体"/>
          <w:b/>
          <w:bCs/>
          <w:color w:val="000000"/>
          <w:szCs w:val="21"/>
          <w:highlight w:val="none"/>
          <w:u w:val="single"/>
        </w:rPr>
        <w:t>★</w:t>
      </w:r>
      <w:r>
        <w:rPr>
          <w:rFonts w:hint="eastAsia" w:ascii="宋体" w:hAnsi="宋体"/>
          <w:color w:val="000000"/>
          <w:sz w:val="24"/>
          <w:highlight w:val="none"/>
          <w:lang w:val="en-US" w:eastAsia="zh-CN"/>
        </w:rPr>
        <w:t>2、</w:t>
      </w:r>
      <w:r>
        <w:rPr>
          <w:rFonts w:hint="eastAsia" w:ascii="宋体" w:hAnsi="宋体"/>
          <w:color w:val="000000"/>
          <w:sz w:val="24"/>
          <w:highlight w:val="none"/>
        </w:rPr>
        <w:t>最高投标限价：本项目</w:t>
      </w:r>
      <w:r>
        <w:rPr>
          <w:rFonts w:hint="eastAsia" w:ascii="宋体" w:hAnsi="宋体"/>
          <w:color w:val="000000"/>
          <w:sz w:val="24"/>
          <w:highlight w:val="none"/>
          <w:lang w:val="en-US" w:eastAsia="zh-CN"/>
        </w:rPr>
        <w:t>三</w:t>
      </w:r>
      <w:r>
        <w:rPr>
          <w:rFonts w:hint="eastAsia" w:ascii="宋体" w:hAnsi="宋体"/>
          <w:color w:val="000000"/>
          <w:sz w:val="24"/>
          <w:highlight w:val="none"/>
        </w:rPr>
        <w:t>个标段，其中标段1为</w:t>
      </w:r>
      <w:bookmarkStart w:id="0" w:name="OLE_LINK1"/>
      <w:r>
        <w:rPr>
          <w:rFonts w:hint="eastAsia" w:ascii="宋体" w:hAnsi="宋体"/>
          <w:color w:val="000000"/>
          <w:sz w:val="24"/>
          <w:highlight w:val="none"/>
        </w:rPr>
        <w:t>12,115,877.66</w:t>
      </w:r>
      <w:bookmarkEnd w:id="0"/>
      <w:r>
        <w:rPr>
          <w:rFonts w:hint="eastAsia" w:ascii="宋体" w:hAnsi="宋体"/>
          <w:color w:val="000000"/>
          <w:sz w:val="24"/>
          <w:highlight w:val="none"/>
        </w:rPr>
        <w:t>元，标段2为</w:t>
      </w:r>
      <w:bookmarkStart w:id="1" w:name="OLE_LINK2"/>
      <w:r>
        <w:rPr>
          <w:rFonts w:hint="eastAsia" w:ascii="宋体" w:hAnsi="宋体"/>
          <w:color w:val="000000"/>
          <w:sz w:val="24"/>
          <w:highlight w:val="none"/>
        </w:rPr>
        <w:t>12,093,010.38</w:t>
      </w:r>
      <w:bookmarkEnd w:id="1"/>
      <w:r>
        <w:rPr>
          <w:rFonts w:hint="eastAsia" w:ascii="宋体" w:hAnsi="宋体"/>
          <w:color w:val="000000"/>
          <w:sz w:val="24"/>
          <w:highlight w:val="none"/>
        </w:rPr>
        <w:t>元，标段3为12,081,510.84元。</w:t>
      </w:r>
      <w:r>
        <w:rPr>
          <w:rFonts w:hint="eastAsia" w:ascii="宋体" w:hAnsi="宋体" w:cs="宋体"/>
          <w:b/>
          <w:bCs/>
          <w:color w:val="000000"/>
          <w:sz w:val="24"/>
          <w:szCs w:val="24"/>
          <w:highlight w:val="none"/>
        </w:rPr>
        <w:t>（</w:t>
      </w:r>
      <w:r>
        <w:rPr>
          <w:rFonts w:hint="eastAsia" w:ascii="宋体" w:hAnsi="宋体" w:cs="宋体"/>
          <w:b/>
          <w:bCs/>
          <w:color w:val="000000"/>
          <w:kern w:val="0"/>
          <w:sz w:val="24"/>
          <w:szCs w:val="24"/>
          <w:highlight w:val="none"/>
        </w:rPr>
        <w:t>本项目实行双限价，投标人的投标总报价及分部分项综合单价均不能超过招标人公布的最高投标限价或分部分项综合单价限价（具体详见工程量清单和招标控制价公布函</w:t>
      </w:r>
      <w:r>
        <w:rPr>
          <w:rFonts w:hint="eastAsia" w:ascii="宋体" w:hAnsi="宋体" w:cs="宋体"/>
          <w:b/>
          <w:bCs/>
          <w:color w:val="000000"/>
          <w:sz w:val="24"/>
          <w:szCs w:val="24"/>
          <w:highlight w:val="none"/>
        </w:rPr>
        <w:t>）</w:t>
      </w:r>
      <w:r>
        <w:rPr>
          <w:rFonts w:hint="eastAsia"/>
          <w:lang w:eastAsia="zh-CN"/>
        </w:rPr>
        <w:t>。</w:t>
      </w:r>
    </w:p>
    <w:p>
      <w:pPr>
        <w:spacing w:line="360" w:lineRule="auto"/>
        <w:ind w:firstLine="422" w:firstLineChars="200"/>
        <w:rPr>
          <w:rFonts w:hint="eastAsia" w:ascii="宋体" w:hAnsi="宋体"/>
          <w:b/>
          <w:bCs/>
          <w:color w:val="000000"/>
          <w:szCs w:val="21"/>
          <w:highlight w:val="none"/>
          <w:u w:val="single"/>
        </w:rPr>
      </w:pPr>
      <w:r>
        <w:rPr>
          <w:rFonts w:hint="eastAsia" w:ascii="宋体" w:hAnsi="宋体" w:eastAsia="宋体" w:cs="宋体"/>
          <w:b/>
          <w:bCs/>
          <w:color w:val="000000"/>
          <w:szCs w:val="21"/>
          <w:highlight w:val="none"/>
          <w:u w:val="single"/>
        </w:rPr>
        <w:t>★</w:t>
      </w:r>
      <w:r>
        <w:rPr>
          <w:rFonts w:hint="eastAsia" w:ascii="宋体" w:hAnsi="宋体"/>
          <w:b/>
          <w:bCs/>
          <w:color w:val="000000"/>
          <w:szCs w:val="21"/>
          <w:highlight w:val="none"/>
          <w:u w:val="single"/>
        </w:rPr>
        <w:t>特别说明：</w:t>
      </w:r>
    </w:p>
    <w:p>
      <w:pPr>
        <w:spacing w:line="360" w:lineRule="auto"/>
        <w:ind w:firstLine="422" w:firstLineChars="200"/>
        <w:rPr>
          <w:rFonts w:hint="eastAsia" w:ascii="宋体" w:hAnsi="宋体"/>
          <w:b/>
          <w:bCs/>
          <w:color w:val="000000"/>
          <w:szCs w:val="21"/>
          <w:highlight w:val="none"/>
          <w:u w:val="single"/>
        </w:rPr>
      </w:pPr>
      <w:r>
        <w:rPr>
          <w:rFonts w:hint="eastAsia" w:ascii="宋体" w:hAnsi="宋体"/>
          <w:b/>
          <w:bCs/>
          <w:color w:val="000000"/>
          <w:szCs w:val="21"/>
          <w:highlight w:val="none"/>
          <w:u w:val="single"/>
        </w:rPr>
        <w:t>（1）</w:t>
      </w:r>
      <w:r>
        <w:rPr>
          <w:rFonts w:hint="eastAsia" w:ascii="宋体" w:hAnsi="宋体"/>
          <w:b/>
          <w:bCs/>
          <w:color w:val="000000"/>
          <w:szCs w:val="21"/>
          <w:highlight w:val="none"/>
          <w:u w:val="single"/>
          <w:lang w:val="en-US" w:eastAsia="zh-CN"/>
        </w:rPr>
        <w:t>投标申请人可同时申请参加本项目三个标段的投标，</w:t>
      </w:r>
      <w:r>
        <w:rPr>
          <w:rFonts w:hint="eastAsia" w:ascii="宋体" w:hAnsi="宋体"/>
          <w:b/>
          <w:bCs/>
          <w:color w:val="000000"/>
          <w:szCs w:val="21"/>
          <w:highlight w:val="none"/>
          <w:u w:val="single"/>
        </w:rPr>
        <w:t>同一投标人最多只能中1个标段，不能兼中。</w:t>
      </w:r>
    </w:p>
    <w:p>
      <w:pPr>
        <w:spacing w:line="360" w:lineRule="auto"/>
        <w:ind w:firstLine="422" w:firstLineChars="200"/>
        <w:rPr>
          <w:rFonts w:hint="eastAsia" w:ascii="宋体" w:hAnsi="宋体"/>
          <w:b/>
          <w:bCs/>
          <w:color w:val="000000"/>
          <w:szCs w:val="21"/>
          <w:highlight w:val="none"/>
          <w:u w:val="single"/>
        </w:rPr>
      </w:pPr>
      <w:r>
        <w:rPr>
          <w:rFonts w:hint="eastAsia" w:ascii="宋体" w:hAnsi="宋体"/>
          <w:b/>
          <w:bCs/>
          <w:color w:val="000000"/>
          <w:szCs w:val="21"/>
          <w:highlight w:val="none"/>
          <w:u w:val="single"/>
        </w:rPr>
        <w:t>（</w:t>
      </w:r>
      <w:r>
        <w:rPr>
          <w:rFonts w:ascii="宋体" w:hAnsi="宋体"/>
          <w:b/>
          <w:bCs/>
          <w:color w:val="000000"/>
          <w:szCs w:val="21"/>
          <w:highlight w:val="none"/>
          <w:u w:val="single"/>
        </w:rPr>
        <w:t>3</w:t>
      </w:r>
      <w:r>
        <w:rPr>
          <w:rFonts w:hint="eastAsia" w:ascii="宋体" w:hAnsi="宋体"/>
          <w:b/>
          <w:bCs/>
          <w:color w:val="000000"/>
          <w:szCs w:val="21"/>
          <w:highlight w:val="none"/>
          <w:u w:val="single"/>
        </w:rPr>
        <w:t>）每个标段分别单独进行投标登记，但投标人可以只委派1套项目管理班子（但应满足相应标段的工作要求）。</w:t>
      </w:r>
    </w:p>
    <w:p>
      <w:pPr>
        <w:spacing w:line="360" w:lineRule="auto"/>
        <w:ind w:firstLine="422" w:firstLineChars="200"/>
        <w:rPr>
          <w:rFonts w:hint="eastAsia" w:ascii="宋体" w:hAnsi="宋体"/>
          <w:b/>
          <w:bCs/>
          <w:color w:val="000000"/>
          <w:szCs w:val="21"/>
          <w:highlight w:val="none"/>
          <w:u w:val="single"/>
        </w:rPr>
      </w:pPr>
      <w:r>
        <w:rPr>
          <w:rFonts w:hint="eastAsia" w:ascii="宋体" w:hAnsi="宋体"/>
          <w:b/>
          <w:bCs/>
          <w:color w:val="000000"/>
          <w:szCs w:val="21"/>
          <w:highlight w:val="none"/>
          <w:u w:val="single"/>
        </w:rPr>
        <w:t>（</w:t>
      </w:r>
      <w:r>
        <w:rPr>
          <w:rFonts w:ascii="宋体" w:hAnsi="宋体"/>
          <w:b/>
          <w:bCs/>
          <w:color w:val="000000"/>
          <w:szCs w:val="21"/>
          <w:highlight w:val="none"/>
          <w:u w:val="single"/>
        </w:rPr>
        <w:t>4</w:t>
      </w:r>
      <w:r>
        <w:rPr>
          <w:rFonts w:hint="eastAsia" w:ascii="宋体" w:hAnsi="宋体"/>
          <w:b/>
          <w:bCs/>
          <w:color w:val="000000"/>
          <w:szCs w:val="21"/>
          <w:highlight w:val="none"/>
          <w:u w:val="single"/>
        </w:rPr>
        <w:t>）本项目</w:t>
      </w:r>
      <w:r>
        <w:rPr>
          <w:rFonts w:hint="eastAsia" w:ascii="宋体" w:hAnsi="宋体"/>
          <w:b/>
          <w:bCs/>
          <w:color w:val="000000"/>
          <w:szCs w:val="21"/>
          <w:highlight w:val="none"/>
          <w:u w:val="single"/>
          <w:lang w:val="en-US" w:eastAsia="zh-CN"/>
        </w:rPr>
        <w:t>3</w:t>
      </w:r>
      <w:r>
        <w:rPr>
          <w:rFonts w:hint="eastAsia" w:ascii="宋体" w:hAnsi="宋体"/>
          <w:b/>
          <w:bCs/>
          <w:color w:val="000000"/>
          <w:szCs w:val="21"/>
          <w:highlight w:val="none"/>
          <w:u w:val="single"/>
        </w:rPr>
        <w:t>个标段同时进行开标、评标，各有效标段（指有效投标单位不少于</w:t>
      </w:r>
      <w:r>
        <w:rPr>
          <w:rFonts w:hint="eastAsia" w:ascii="宋体" w:hAnsi="宋体"/>
          <w:b/>
          <w:bCs/>
          <w:color w:val="000000"/>
          <w:szCs w:val="21"/>
          <w:highlight w:val="none"/>
          <w:u w:val="single"/>
          <w:lang w:val="en-US" w:eastAsia="zh-CN"/>
        </w:rPr>
        <w:t>5</w:t>
      </w:r>
      <w:r>
        <w:rPr>
          <w:rFonts w:hint="eastAsia" w:ascii="宋体" w:hAnsi="宋体"/>
          <w:b/>
          <w:bCs/>
          <w:color w:val="000000"/>
          <w:szCs w:val="21"/>
          <w:highlight w:val="none"/>
          <w:u w:val="single"/>
        </w:rPr>
        <w:t>家）按照标段1到标段</w:t>
      </w:r>
      <w:r>
        <w:rPr>
          <w:rFonts w:hint="eastAsia" w:ascii="宋体" w:hAnsi="宋体"/>
          <w:b/>
          <w:bCs/>
          <w:color w:val="000000"/>
          <w:szCs w:val="21"/>
          <w:highlight w:val="none"/>
          <w:u w:val="single"/>
          <w:lang w:val="en-US" w:eastAsia="zh-CN"/>
        </w:rPr>
        <w:t>3</w:t>
      </w:r>
      <w:r>
        <w:rPr>
          <w:rFonts w:hint="eastAsia" w:ascii="宋体" w:hAnsi="宋体"/>
          <w:b/>
          <w:bCs/>
          <w:color w:val="000000"/>
          <w:szCs w:val="21"/>
          <w:highlight w:val="none"/>
          <w:u w:val="single"/>
        </w:rPr>
        <w:t>的先后顺序，依次推荐各有效标段的中标候选人。</w:t>
      </w:r>
    </w:p>
    <w:p>
      <w:pPr>
        <w:spacing w:line="360" w:lineRule="auto"/>
        <w:ind w:firstLine="422" w:firstLineChars="200"/>
        <w:rPr>
          <w:rFonts w:hint="eastAsia" w:ascii="宋体" w:hAnsi="宋体"/>
          <w:b/>
          <w:bCs/>
          <w:color w:val="000000"/>
          <w:szCs w:val="21"/>
          <w:highlight w:val="none"/>
          <w:u w:val="single"/>
        </w:rPr>
      </w:pPr>
      <w:r>
        <w:rPr>
          <w:rFonts w:hint="eastAsia" w:ascii="宋体" w:hAnsi="宋体"/>
          <w:b/>
          <w:bCs/>
          <w:color w:val="000000"/>
          <w:szCs w:val="21"/>
          <w:highlight w:val="none"/>
          <w:u w:val="single"/>
        </w:rPr>
        <w:t>（</w:t>
      </w:r>
      <w:r>
        <w:rPr>
          <w:rFonts w:ascii="宋体" w:hAnsi="宋体"/>
          <w:b/>
          <w:bCs/>
          <w:color w:val="000000"/>
          <w:szCs w:val="21"/>
          <w:highlight w:val="none"/>
          <w:u w:val="single"/>
        </w:rPr>
        <w:t>5</w:t>
      </w:r>
      <w:r>
        <w:rPr>
          <w:rFonts w:hint="eastAsia" w:ascii="宋体" w:hAnsi="宋体"/>
          <w:b/>
          <w:bCs/>
          <w:color w:val="000000"/>
          <w:szCs w:val="21"/>
          <w:highlight w:val="none"/>
          <w:u w:val="single"/>
        </w:rPr>
        <w:t>）若某一投标人在多个标段中同时评审排名第一，则按照从标段1到标段</w:t>
      </w:r>
      <w:r>
        <w:rPr>
          <w:rFonts w:hint="eastAsia" w:ascii="宋体" w:hAnsi="宋体"/>
          <w:b/>
          <w:bCs/>
          <w:color w:val="000000"/>
          <w:szCs w:val="21"/>
          <w:highlight w:val="none"/>
          <w:u w:val="single"/>
          <w:lang w:val="en-US" w:eastAsia="zh-CN"/>
        </w:rPr>
        <w:t>3</w:t>
      </w:r>
      <w:r>
        <w:rPr>
          <w:rFonts w:hint="eastAsia" w:ascii="宋体" w:hAnsi="宋体"/>
          <w:b/>
          <w:bCs/>
          <w:color w:val="000000"/>
          <w:szCs w:val="21"/>
          <w:highlight w:val="none"/>
          <w:u w:val="single"/>
        </w:rPr>
        <w:t>的先后顺序，确定其为前面标段的第一中标候选人，同时，视为自动放弃其余标段的中标候选人资格。其余标段的中标候选人，按评审排名先后顺序依次上升替补确定，以此类推；</w:t>
      </w:r>
    </w:p>
    <w:p>
      <w:pPr>
        <w:spacing w:line="360" w:lineRule="auto"/>
        <w:ind w:firstLine="422" w:firstLineChars="200"/>
        <w:rPr>
          <w:rFonts w:hint="eastAsia" w:ascii="宋体" w:hAnsi="宋体"/>
          <w:b/>
          <w:bCs/>
          <w:color w:val="000000"/>
          <w:szCs w:val="21"/>
          <w:highlight w:val="none"/>
          <w:u w:val="single"/>
        </w:rPr>
      </w:pPr>
      <w:r>
        <w:rPr>
          <w:rFonts w:hint="eastAsia" w:ascii="宋体" w:hAnsi="宋体"/>
          <w:b/>
          <w:bCs/>
          <w:color w:val="000000"/>
          <w:szCs w:val="21"/>
          <w:highlight w:val="none"/>
          <w:u w:val="single"/>
        </w:rPr>
        <w:t>（</w:t>
      </w:r>
      <w:r>
        <w:rPr>
          <w:rFonts w:ascii="宋体" w:hAnsi="宋体"/>
          <w:b/>
          <w:bCs/>
          <w:color w:val="000000"/>
          <w:szCs w:val="21"/>
          <w:highlight w:val="none"/>
          <w:u w:val="single"/>
        </w:rPr>
        <w:t>6</w:t>
      </w:r>
      <w:r>
        <w:rPr>
          <w:rFonts w:hint="eastAsia" w:ascii="宋体" w:hAnsi="宋体"/>
          <w:b/>
          <w:bCs/>
          <w:color w:val="000000"/>
          <w:szCs w:val="21"/>
          <w:highlight w:val="none"/>
          <w:u w:val="single"/>
        </w:rPr>
        <w:t>）如果出现某标段的第一中标候选人放弃中标或因其他原因被取消中标资格的，仅在该标段内按照已确定的中标候选人顺序依次上升替补定标，以此类推；若替补上来的中标候选人已成为其他标段的第一中标候选人或中标人，则该单位不得成为该标段的中标人，由该标段排名其后的中标候选人上升替补定标，并以此类推；若该标段所有中标候选人都不能成为中标人，则该标段招标失败，不影响其他标段中标人的确定，招标人分析招标失败原因，修正招标方案，报有关管理部门核准后，重新组织招标。</w:t>
      </w:r>
    </w:p>
    <w:p>
      <w:pPr>
        <w:spacing w:line="360" w:lineRule="auto"/>
        <w:ind w:firstLine="422" w:firstLineChars="200"/>
        <w:rPr>
          <w:rFonts w:hint="eastAsia" w:ascii="宋体" w:hAnsi="宋体"/>
          <w:b/>
          <w:bCs/>
          <w:color w:val="000000"/>
          <w:szCs w:val="21"/>
          <w:highlight w:val="none"/>
          <w:u w:val="single"/>
        </w:rPr>
      </w:pPr>
      <w:r>
        <w:rPr>
          <w:rFonts w:hint="eastAsia" w:ascii="宋体" w:hAnsi="宋体"/>
          <w:b/>
          <w:bCs/>
          <w:color w:val="000000"/>
          <w:szCs w:val="21"/>
          <w:highlight w:val="none"/>
          <w:u w:val="single"/>
        </w:rPr>
        <w:t>（</w:t>
      </w:r>
      <w:r>
        <w:rPr>
          <w:rFonts w:ascii="宋体" w:hAnsi="宋体"/>
          <w:b/>
          <w:bCs/>
          <w:color w:val="000000"/>
          <w:szCs w:val="21"/>
          <w:highlight w:val="none"/>
          <w:u w:val="single"/>
        </w:rPr>
        <w:t>7</w:t>
      </w:r>
      <w:r>
        <w:rPr>
          <w:rFonts w:hint="eastAsia" w:ascii="宋体" w:hAnsi="宋体"/>
          <w:b/>
          <w:bCs/>
          <w:color w:val="000000"/>
          <w:szCs w:val="21"/>
          <w:highlight w:val="none"/>
          <w:u w:val="single"/>
        </w:rPr>
        <w:t>）若某标段招标失败不影响其他标段的开标、评标、定标等工作，其他标段的中标候选人按评审排名的先后顺序依次确定。若某标段招标失败而重新招标的，其他标段的中标人不能再成为该项目重新招标标段的中标人。</w:t>
      </w:r>
    </w:p>
    <w:p>
      <w:pPr>
        <w:spacing w:line="360" w:lineRule="auto"/>
        <w:ind w:firstLine="422" w:firstLineChars="200"/>
        <w:rPr>
          <w:rFonts w:ascii="宋体" w:hAnsi="宋体"/>
          <w:b/>
          <w:bCs/>
          <w:color w:val="000000"/>
          <w:szCs w:val="21"/>
          <w:highlight w:val="none"/>
          <w:u w:val="single"/>
        </w:rPr>
      </w:pPr>
      <w:r>
        <w:rPr>
          <w:rFonts w:hint="eastAsia" w:ascii="宋体" w:hAnsi="宋体"/>
          <w:b/>
          <w:bCs/>
          <w:color w:val="000000"/>
          <w:szCs w:val="21"/>
          <w:highlight w:val="none"/>
          <w:u w:val="single"/>
        </w:rPr>
        <w:t>（</w:t>
      </w:r>
      <w:r>
        <w:rPr>
          <w:rFonts w:ascii="宋体" w:hAnsi="宋体"/>
          <w:b/>
          <w:bCs/>
          <w:color w:val="000000"/>
          <w:szCs w:val="21"/>
          <w:highlight w:val="none"/>
          <w:u w:val="single"/>
        </w:rPr>
        <w:t>8</w:t>
      </w:r>
      <w:r>
        <w:rPr>
          <w:rFonts w:hint="eastAsia" w:ascii="宋体" w:hAnsi="宋体"/>
          <w:b/>
          <w:bCs/>
          <w:color w:val="000000"/>
          <w:szCs w:val="21"/>
          <w:highlight w:val="none"/>
          <w:u w:val="single"/>
        </w:rPr>
        <w:t>）若某标段在确定中标候选人后，因其他原因导致该标段重新招标或中标通知书尚未发出，将不影响其他标段中标人的确定。</w:t>
      </w:r>
    </w:p>
    <w:p>
      <w:pPr>
        <w:spacing w:line="360" w:lineRule="auto"/>
        <w:ind w:firstLine="480" w:firstLineChars="200"/>
        <w:rPr>
          <w:rFonts w:ascii="宋体" w:hAnsi="宋体"/>
          <w:color w:val="000000"/>
          <w:sz w:val="24"/>
          <w:u w:val="single"/>
        </w:rPr>
      </w:pPr>
      <w:r>
        <w:rPr>
          <w:rFonts w:hint="eastAsia" w:ascii="宋体" w:hAnsi="宋体"/>
          <w:color w:val="000000"/>
          <w:sz w:val="24"/>
        </w:rPr>
        <w:t>六、资金来源：市财政资金。</w:t>
      </w:r>
    </w:p>
    <w:p>
      <w:pPr>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七、</w:t>
      </w:r>
      <w:r>
        <w:rPr>
          <w:rFonts w:hint="eastAsia" w:ascii="宋体" w:hAnsi="宋体"/>
          <w:color w:val="000000"/>
          <w:sz w:val="24"/>
        </w:rPr>
        <w:t>公告发布日期、</w:t>
      </w:r>
      <w:r>
        <w:rPr>
          <w:rFonts w:hint="eastAsia" w:ascii="宋体" w:hAnsi="宋体" w:cs="宋体"/>
          <w:color w:val="000000"/>
          <w:sz w:val="24"/>
          <w:szCs w:val="24"/>
        </w:rPr>
        <w:t>递交投标文件时间与开标时间：</w:t>
      </w:r>
    </w:p>
    <w:p>
      <w:pPr>
        <w:snapToGrid w:val="0"/>
        <w:spacing w:line="480" w:lineRule="exact"/>
        <w:ind w:left="239" w:leftChars="114" w:firstLine="240" w:firstLineChars="100"/>
        <w:rPr>
          <w:sz w:val="24"/>
        </w:rPr>
      </w:pPr>
      <w:r>
        <w:rPr>
          <w:rFonts w:hint="eastAsia" w:cs="宋体"/>
          <w:sz w:val="24"/>
          <w:szCs w:val="24"/>
        </w:rPr>
        <w:t>1、</w:t>
      </w:r>
      <w:r>
        <w:rPr>
          <w:rFonts w:hint="eastAsia"/>
          <w:sz w:val="24"/>
        </w:rPr>
        <w:t>公告发布日期（含本日）：</w:t>
      </w:r>
      <w:r>
        <w:rPr>
          <w:rFonts w:hint="eastAsia"/>
          <w:sz w:val="24"/>
          <w:u w:val="single"/>
        </w:rPr>
        <w:t>202</w:t>
      </w:r>
      <w:r>
        <w:rPr>
          <w:rFonts w:hint="eastAsia"/>
          <w:sz w:val="24"/>
          <w:u w:val="single"/>
          <w:lang w:val="en-US" w:eastAsia="zh-CN"/>
        </w:rPr>
        <w:t>5</w:t>
      </w:r>
      <w:r>
        <w:rPr>
          <w:rFonts w:hint="eastAsia"/>
          <w:sz w:val="24"/>
        </w:rPr>
        <w:t xml:space="preserve">年  月  日  </w:t>
      </w:r>
      <w:r>
        <w:rPr>
          <w:rFonts w:hint="eastAsia"/>
          <w:sz w:val="24"/>
          <w:szCs w:val="24"/>
        </w:rPr>
        <w:t>时  分</w:t>
      </w:r>
      <w:r>
        <w:rPr>
          <w:rFonts w:hint="eastAsia"/>
          <w:sz w:val="24"/>
        </w:rPr>
        <w:t>至</w:t>
      </w:r>
      <w:r>
        <w:rPr>
          <w:rFonts w:hint="eastAsia"/>
          <w:sz w:val="24"/>
          <w:u w:val="single"/>
        </w:rPr>
        <w:t>202</w:t>
      </w:r>
      <w:r>
        <w:rPr>
          <w:rFonts w:hint="eastAsia"/>
          <w:sz w:val="24"/>
          <w:u w:val="single"/>
          <w:lang w:val="en-US" w:eastAsia="zh-CN"/>
        </w:rPr>
        <w:t>5</w:t>
      </w:r>
      <w:r>
        <w:rPr>
          <w:rFonts w:hint="eastAsia"/>
          <w:sz w:val="24"/>
        </w:rPr>
        <w:t>年  月  日</w:t>
      </w:r>
      <w:r>
        <w:rPr>
          <w:rFonts w:hint="eastAsia"/>
          <w:sz w:val="24"/>
          <w:szCs w:val="24"/>
        </w:rPr>
        <w:t>时  分</w:t>
      </w:r>
    </w:p>
    <w:p>
      <w:pPr>
        <w:snapToGrid w:val="0"/>
        <w:spacing w:line="480" w:lineRule="exact"/>
        <w:ind w:firstLine="480" w:firstLineChars="200"/>
        <w:rPr>
          <w:rFonts w:cs="宋体"/>
          <w:kern w:val="0"/>
          <w:sz w:val="24"/>
          <w:szCs w:val="24"/>
        </w:rPr>
      </w:pPr>
      <w:r>
        <w:rPr>
          <w:rFonts w:hint="eastAsia"/>
          <w:sz w:val="24"/>
        </w:rPr>
        <w:t>凡有意参加投标者，请登录</w:t>
      </w:r>
      <w:r>
        <w:rPr>
          <w:rFonts w:hint="eastAsia"/>
          <w:sz w:val="24"/>
          <w:szCs w:val="24"/>
          <w:u w:val="single"/>
        </w:rPr>
        <w:t>广州交易集团有限公司（广州公共资源交易中心）</w:t>
      </w:r>
      <w:r>
        <w:rPr>
          <w:rFonts w:hint="eastAsia"/>
          <w:sz w:val="24"/>
          <w:szCs w:val="24"/>
        </w:rPr>
        <w:t>交易平台</w:t>
      </w:r>
      <w:r>
        <w:rPr>
          <w:rFonts w:hint="eastAsia"/>
          <w:sz w:val="24"/>
        </w:rPr>
        <w:t>网站下载电子招标文件。</w:t>
      </w:r>
    </w:p>
    <w:p>
      <w:pPr>
        <w:widowControl/>
        <w:shd w:val="clear"/>
        <w:snapToGrid w:val="0"/>
        <w:spacing w:line="480" w:lineRule="exact"/>
        <w:ind w:firstLine="480" w:firstLineChars="200"/>
        <w:jc w:val="left"/>
        <w:rPr>
          <w:rFonts w:cs="宋体"/>
          <w:kern w:val="0"/>
          <w:sz w:val="24"/>
          <w:szCs w:val="24"/>
        </w:rPr>
      </w:pPr>
      <w:r>
        <w:rPr>
          <w:rFonts w:hint="eastAsia" w:cs="宋体"/>
          <w:kern w:val="0"/>
          <w:sz w:val="24"/>
          <w:szCs w:val="24"/>
        </w:rPr>
        <w:t>注：发布招标公告的时间为招标公告发出之日起至投标截止时间止。</w:t>
      </w:r>
    </w:p>
    <w:p>
      <w:pPr>
        <w:widowControl/>
        <w:shd w:val="clear"/>
        <w:snapToGrid w:val="0"/>
        <w:spacing w:line="480" w:lineRule="exact"/>
        <w:ind w:firstLine="480" w:firstLineChars="200"/>
        <w:jc w:val="left"/>
        <w:rPr>
          <w:rFonts w:cs="宋体"/>
          <w:sz w:val="24"/>
          <w:szCs w:val="24"/>
        </w:rPr>
      </w:pPr>
      <w:r>
        <w:rPr>
          <w:rFonts w:hint="eastAsia" w:cs="宋体"/>
          <w:sz w:val="24"/>
          <w:szCs w:val="24"/>
        </w:rPr>
        <w:t>2、递交投标文件起始时间：</w:t>
      </w:r>
      <w:r>
        <w:rPr>
          <w:rFonts w:hint="eastAsia" w:cs="宋体"/>
          <w:sz w:val="24"/>
          <w:szCs w:val="24"/>
          <w:u w:val="none"/>
        </w:rPr>
        <w:t>202</w:t>
      </w:r>
      <w:r>
        <w:rPr>
          <w:rFonts w:hint="eastAsia" w:cs="宋体"/>
          <w:sz w:val="24"/>
          <w:szCs w:val="24"/>
          <w:u w:val="none"/>
          <w:lang w:val="en-US" w:eastAsia="zh-CN"/>
        </w:rPr>
        <w:t>5</w:t>
      </w:r>
      <w:r>
        <w:rPr>
          <w:rFonts w:hint="eastAsia" w:cs="宋体"/>
          <w:sz w:val="24"/>
          <w:szCs w:val="24"/>
          <w:u w:val="none"/>
        </w:rPr>
        <w:t xml:space="preserve">  </w:t>
      </w:r>
      <w:r>
        <w:rPr>
          <w:rFonts w:hint="eastAsia" w:cs="宋体"/>
          <w:sz w:val="24"/>
          <w:szCs w:val="24"/>
        </w:rPr>
        <w:t>年  月  日  时  分；</w:t>
      </w:r>
    </w:p>
    <w:p>
      <w:pPr>
        <w:widowControl/>
        <w:shd w:val="clear"/>
        <w:snapToGrid w:val="0"/>
        <w:spacing w:line="480" w:lineRule="exact"/>
        <w:ind w:left="0" w:leftChars="0" w:firstLine="480" w:firstLineChars="200"/>
        <w:jc w:val="left"/>
        <w:rPr>
          <w:rFonts w:cs="宋体"/>
          <w:sz w:val="24"/>
          <w:szCs w:val="24"/>
        </w:rPr>
      </w:pPr>
      <w:r>
        <w:rPr>
          <w:rFonts w:hint="eastAsia" w:cs="宋体"/>
          <w:sz w:val="24"/>
          <w:szCs w:val="24"/>
        </w:rPr>
        <w:t>截止时间：</w:t>
      </w:r>
      <w:r>
        <w:rPr>
          <w:rFonts w:hint="eastAsia" w:cs="宋体"/>
          <w:sz w:val="24"/>
          <w:szCs w:val="24"/>
          <w:u w:val="none"/>
        </w:rPr>
        <w:t>202</w:t>
      </w:r>
      <w:r>
        <w:rPr>
          <w:rFonts w:hint="eastAsia" w:cs="宋体"/>
          <w:sz w:val="24"/>
          <w:szCs w:val="24"/>
          <w:u w:val="none"/>
          <w:lang w:val="en-US" w:eastAsia="zh-CN"/>
        </w:rPr>
        <w:t>5</w:t>
      </w:r>
      <w:r>
        <w:rPr>
          <w:rFonts w:hint="eastAsia" w:cs="宋体"/>
          <w:sz w:val="24"/>
          <w:szCs w:val="24"/>
          <w:u w:val="none"/>
        </w:rPr>
        <w:t xml:space="preserve">  </w:t>
      </w:r>
      <w:r>
        <w:rPr>
          <w:rFonts w:hint="eastAsia" w:cs="宋体"/>
          <w:sz w:val="24"/>
          <w:szCs w:val="24"/>
        </w:rPr>
        <w:t>年  月  日  时  分。</w:t>
      </w:r>
    </w:p>
    <w:p>
      <w:pPr>
        <w:widowControl/>
        <w:shd w:val="clear"/>
        <w:snapToGrid w:val="0"/>
        <w:spacing w:line="480" w:lineRule="exact"/>
        <w:ind w:firstLine="480" w:firstLineChars="200"/>
        <w:jc w:val="left"/>
        <w:rPr>
          <w:rFonts w:hint="eastAsia" w:cs="宋体"/>
          <w:sz w:val="24"/>
          <w:szCs w:val="24"/>
          <w:u w:val="none"/>
        </w:rPr>
      </w:pPr>
      <w:r>
        <w:rPr>
          <w:rFonts w:hint="eastAsia" w:cs="宋体"/>
          <w:sz w:val="24"/>
          <w:szCs w:val="24"/>
        </w:rPr>
        <w:t>3、开标开始时间：</w:t>
      </w:r>
      <w:r>
        <w:rPr>
          <w:rFonts w:hint="eastAsia" w:cs="宋体"/>
          <w:sz w:val="24"/>
          <w:szCs w:val="24"/>
          <w:u w:val="none"/>
        </w:rPr>
        <w:t>202</w:t>
      </w:r>
      <w:r>
        <w:rPr>
          <w:rFonts w:hint="eastAsia" w:cs="宋体"/>
          <w:sz w:val="24"/>
          <w:szCs w:val="24"/>
          <w:u w:val="none"/>
          <w:lang w:val="en-US" w:eastAsia="zh-CN"/>
        </w:rPr>
        <w:t>5</w:t>
      </w:r>
      <w:r>
        <w:rPr>
          <w:rFonts w:hint="eastAsia" w:cs="宋体"/>
          <w:sz w:val="24"/>
          <w:szCs w:val="24"/>
        </w:rPr>
        <w:t>年  月  日  时  分。</w:t>
      </w:r>
    </w:p>
    <w:p>
      <w:pPr>
        <w:widowControl/>
        <w:shd w:val="clear"/>
        <w:snapToGrid w:val="0"/>
        <w:spacing w:line="480" w:lineRule="exact"/>
        <w:ind w:firstLine="480" w:firstLineChars="200"/>
        <w:jc w:val="left"/>
        <w:rPr>
          <w:rFonts w:cs="宋体"/>
          <w:sz w:val="24"/>
          <w:szCs w:val="24"/>
        </w:rPr>
      </w:pPr>
      <w:r>
        <w:rPr>
          <w:rFonts w:hint="eastAsia"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480" w:lineRule="exact"/>
        <w:ind w:firstLine="480" w:firstLineChars="200"/>
        <w:rPr>
          <w:rFonts w:ascii="宋体" w:hAnsi="宋体"/>
          <w:color w:val="000000"/>
          <w:sz w:val="24"/>
          <w:szCs w:val="24"/>
          <w:u w:val="single"/>
        </w:rPr>
      </w:pPr>
      <w:r>
        <w:rPr>
          <w:rFonts w:hint="eastAsia" w:cs="宋体"/>
          <w:sz w:val="24"/>
          <w:szCs w:val="24"/>
        </w:rPr>
        <w:t>5、</w:t>
      </w:r>
      <w:r>
        <w:rPr>
          <w:rFonts w:hint="eastAsia"/>
          <w:bCs/>
          <w:sz w:val="24"/>
          <w:szCs w:val="24"/>
        </w:rPr>
        <w:t>投标人通过</w:t>
      </w:r>
      <w:r>
        <w:rPr>
          <w:rFonts w:hint="eastAsia"/>
          <w:sz w:val="24"/>
          <w:szCs w:val="24"/>
          <w:u w:val="single"/>
        </w:rPr>
        <w:t>广州交易集团有限公司（广州公共资源交易中心）</w:t>
      </w:r>
      <w:r>
        <w:rPr>
          <w:rFonts w:hint="eastAsia"/>
          <w:sz w:val="24"/>
          <w:szCs w:val="24"/>
        </w:rPr>
        <w:t>交易平台递交电子投标文件。</w:t>
      </w:r>
      <w:r>
        <w:rPr>
          <w:rFonts w:hint="eastAsia" w:cs="仿宋_GB2312"/>
          <w:sz w:val="24"/>
          <w:szCs w:val="24"/>
        </w:rPr>
        <w:t>投标人应在递交投标文件截止时间前，登录</w:t>
      </w:r>
      <w:r>
        <w:rPr>
          <w:rFonts w:hint="eastAsia"/>
          <w:sz w:val="24"/>
          <w:szCs w:val="24"/>
          <w:u w:val="single"/>
        </w:rPr>
        <w:t>广州交易集团有限公司（广州公共资源交易中心）</w:t>
      </w:r>
      <w:r>
        <w:rPr>
          <w:rFonts w:hint="eastAsia"/>
          <w:sz w:val="24"/>
          <w:szCs w:val="24"/>
        </w:rPr>
        <w:t>交易平台</w:t>
      </w:r>
      <w:r>
        <w:rPr>
          <w:rFonts w:hint="eastAsia" w:cs="仿宋_GB2312"/>
          <w:sz w:val="24"/>
          <w:szCs w:val="24"/>
        </w:rPr>
        <w:t>网站办理网上投标登记手续。按照交易平台关于全流程电子化项目的相关指南进行操作。详见：</w:t>
      </w:r>
      <w:r>
        <w:rPr>
          <w:rFonts w:hint="eastAsia" w:cs="仿宋_GB2312"/>
          <w:sz w:val="24"/>
          <w:szCs w:val="24"/>
          <w:u w:val="single"/>
        </w:rPr>
        <w:t>广州交易集团有限公司（广州公共资源交易中心）网站。</w:t>
      </w:r>
      <w:r>
        <w:rPr>
          <w:rFonts w:hint="eastAsia" w:ascii="宋体" w:hAnsi="宋体" w:cs="仿宋_GB2312"/>
          <w:color w:val="000000"/>
          <w:sz w:val="24"/>
          <w:szCs w:val="24"/>
        </w:rPr>
        <w:t xml:space="preserve"> </w:t>
      </w:r>
    </w:p>
    <w:p>
      <w:pPr>
        <w:spacing w:line="360" w:lineRule="auto"/>
        <w:ind w:firstLine="480" w:firstLineChars="200"/>
        <w:rPr>
          <w:rFonts w:ascii="宋体" w:cs="宋体"/>
          <w:color w:val="000000"/>
          <w:kern w:val="0"/>
          <w:sz w:val="24"/>
          <w:szCs w:val="24"/>
        </w:rPr>
      </w:pPr>
      <w:r>
        <w:rPr>
          <w:rFonts w:hint="eastAsia" w:ascii="宋体" w:hAnsi="宋体" w:cs="宋体"/>
          <w:color w:val="000000"/>
          <w:kern w:val="0"/>
          <w:sz w:val="24"/>
          <w:szCs w:val="24"/>
        </w:rPr>
        <w:t>八、招标文件获取方式：</w:t>
      </w:r>
    </w:p>
    <w:p>
      <w:pPr>
        <w:adjustRightIn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项目招标文件随招标公告一并在广州交易集团有限公司（广州公共资源交易中心）交易平台网站发布。招标文件一经在广州交易集团有限公司（广州公共资源交易中心）交易平台发布，视为发售给投标人，招标文件由投标人自行在广州交易集团有限公司（广州公共资源交易中心）交易平台网站下载。</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九、投标人合格条件：</w:t>
      </w:r>
    </w:p>
    <w:p>
      <w:pPr>
        <w:adjustRightIn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1、投标人参加投标的意思表达清楚，投标人代表被授权有效。</w:t>
      </w:r>
    </w:p>
    <w:p>
      <w:pPr>
        <w:adjustRightIn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2、投标人具有独立法人资格，按国家法律经营。</w:t>
      </w:r>
    </w:p>
    <w:p>
      <w:pPr>
        <w:adjustRightIn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3、投标人持有建设行政主管部门颁发的有效期内的企业资质证书及安全生产许可证；</w:t>
      </w:r>
    </w:p>
    <w:p>
      <w:pPr>
        <w:adjustRightInd w:val="0"/>
        <w:spacing w:line="360" w:lineRule="auto"/>
        <w:ind w:firstLine="480" w:firstLineChars="200"/>
        <w:rPr>
          <w:rFonts w:ascii="宋体" w:hAnsi="宋体"/>
          <w:color w:val="000000"/>
          <w:kern w:val="0"/>
          <w:sz w:val="24"/>
          <w:szCs w:val="24"/>
        </w:rPr>
      </w:pPr>
      <w:r>
        <w:rPr>
          <w:rFonts w:ascii="宋体" w:hAnsi="宋体"/>
          <w:color w:val="000000"/>
          <w:kern w:val="0"/>
          <w:sz w:val="24"/>
          <w:szCs w:val="24"/>
        </w:rPr>
        <w:t>4</w:t>
      </w:r>
      <w:r>
        <w:rPr>
          <w:rFonts w:hint="eastAsia" w:ascii="宋体" w:hAnsi="宋体"/>
          <w:color w:val="000000"/>
          <w:kern w:val="0"/>
          <w:sz w:val="24"/>
          <w:szCs w:val="24"/>
        </w:rPr>
        <w:t>、投标人应具备以下资质：</w:t>
      </w:r>
    </w:p>
    <w:p>
      <w:pPr>
        <w:pStyle w:val="6"/>
        <w:tabs>
          <w:tab w:val="left" w:pos="7867"/>
          <w:tab w:val="left" w:pos="9071"/>
          <w:tab w:val="left" w:pos="9313"/>
        </w:tabs>
        <w:kinsoku w:val="0"/>
        <w:overflowPunct w:val="0"/>
        <w:spacing w:after="0" w:line="480" w:lineRule="auto"/>
        <w:ind w:firstLine="480" w:firstLineChars="200"/>
        <w:rPr>
          <w:rFonts w:hint="eastAsia" w:ascii="宋体" w:hAnsi="宋体" w:cs="宋体"/>
          <w:i/>
          <w:color w:val="000000"/>
          <w:sz w:val="24"/>
          <w:szCs w:val="24"/>
          <w:highlight w:val="yellow"/>
        </w:rPr>
      </w:pPr>
      <w:r>
        <w:rPr>
          <w:rFonts w:hint="eastAsia" w:ascii="宋体" w:hAnsi="宋体"/>
          <w:color w:val="000000"/>
          <w:kern w:val="0"/>
          <w:sz w:val="24"/>
          <w:szCs w:val="24"/>
        </w:rPr>
        <w:t>【标段1、标段2、标段3】：</w:t>
      </w:r>
      <w:r>
        <w:rPr>
          <w:rFonts w:hint="eastAsia" w:ascii="宋体" w:hAnsi="宋体"/>
          <w:color w:val="000000"/>
          <w:sz w:val="24"/>
          <w:szCs w:val="24"/>
          <w:highlight w:val="none"/>
        </w:rPr>
        <w:t>投标人具有承接本工程所需的</w:t>
      </w:r>
      <w:r>
        <w:rPr>
          <w:rFonts w:hint="eastAsia" w:ascii="宋体" w:hAnsi="宋体"/>
          <w:color w:val="000000"/>
          <w:sz w:val="24"/>
          <w:szCs w:val="24"/>
          <w:highlight w:val="none"/>
          <w:u w:val="single"/>
        </w:rPr>
        <w:t>市政公用工程总承包三级或以上</w:t>
      </w:r>
      <w:r>
        <w:rPr>
          <w:rFonts w:hint="eastAsia" w:ascii="宋体" w:hAnsi="宋体"/>
          <w:color w:val="000000"/>
          <w:sz w:val="24"/>
          <w:szCs w:val="24"/>
          <w:highlight w:val="none"/>
        </w:rPr>
        <w:t>资质。</w:t>
      </w:r>
    </w:p>
    <w:p>
      <w:pPr>
        <w:adjustRightIn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投标人拟担任本工程项目负责人的人员为：</w:t>
      </w:r>
      <w:bookmarkStart w:id="2" w:name="_GoBack"/>
      <w:r>
        <w:rPr>
          <w:rFonts w:hint="eastAsia" w:ascii="宋体" w:hAnsi="宋体"/>
          <w:color w:val="000000"/>
          <w:sz w:val="24"/>
          <w:szCs w:val="24"/>
          <w:highlight w:val="none"/>
          <w:u w:val="single"/>
        </w:rPr>
        <w:t>市政公用工程</w:t>
      </w:r>
      <w:r>
        <w:rPr>
          <w:rFonts w:hint="eastAsia" w:ascii="宋体" w:hAnsi="宋体"/>
          <w:color w:val="000000"/>
          <w:sz w:val="24"/>
          <w:szCs w:val="24"/>
          <w:highlight w:val="none"/>
        </w:rPr>
        <w:t>专业</w:t>
      </w:r>
      <w:r>
        <w:rPr>
          <w:rFonts w:hint="eastAsia" w:ascii="宋体" w:hAnsi="宋体"/>
          <w:color w:val="000000"/>
          <w:sz w:val="24"/>
          <w:szCs w:val="24"/>
          <w:highlight w:val="none"/>
          <w:u w:val="single"/>
        </w:rPr>
        <w:t>贰</w:t>
      </w:r>
      <w:r>
        <w:rPr>
          <w:rFonts w:hint="eastAsia" w:ascii="宋体" w:hAnsi="宋体"/>
          <w:color w:val="000000"/>
          <w:sz w:val="24"/>
          <w:szCs w:val="24"/>
          <w:highlight w:val="none"/>
        </w:rPr>
        <w:t>级或以上注册建造师</w:t>
      </w:r>
      <w:r>
        <w:rPr>
          <w:rFonts w:hint="eastAsia" w:ascii="宋体" w:hAnsi="宋体"/>
          <w:color w:val="000000"/>
          <w:kern w:val="0"/>
          <w:sz w:val="24"/>
          <w:szCs w:val="24"/>
          <w:highlight w:val="none"/>
        </w:rPr>
        <w:t>。</w:t>
      </w:r>
      <w:bookmarkEnd w:id="2"/>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③项目负责人在任职期间不得担任专职安全员，项目专职安全员在任职期间也不得担任项目负责人，项目负责人和专职安全员不为同一人。</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5、项目负责人持有安全生产考核合格证（B类）或建筑施工企业项目负责人安全生产考核合格证书。</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6、投标人拟担任本工程技术负责人的资格要求为：</w:t>
      </w:r>
      <w:r>
        <w:rPr>
          <w:rFonts w:hint="eastAsia" w:ascii="宋体" w:hAnsi="宋体"/>
          <w:color w:val="000000"/>
          <w:kern w:val="0"/>
          <w:sz w:val="24"/>
          <w:szCs w:val="24"/>
          <w:u w:val="single"/>
        </w:rPr>
        <w:t>具备</w:t>
      </w:r>
      <w:r>
        <w:rPr>
          <w:rFonts w:hint="eastAsia" w:ascii="宋体" w:hAnsi="宋体"/>
          <w:color w:val="000000"/>
          <w:sz w:val="24"/>
          <w:szCs w:val="24"/>
          <w:u w:val="single"/>
        </w:rPr>
        <w:t>市政公用工程专业或交通工程类专业</w:t>
      </w:r>
      <w:r>
        <w:rPr>
          <w:rFonts w:hint="eastAsia" w:ascii="宋体" w:hAnsi="宋体"/>
          <w:color w:val="000000"/>
          <w:kern w:val="0"/>
          <w:sz w:val="24"/>
          <w:szCs w:val="24"/>
          <w:u w:val="single"/>
        </w:rPr>
        <w:t>中级工程师或以上职称</w:t>
      </w:r>
      <w:r>
        <w:rPr>
          <w:rFonts w:hint="eastAsia" w:ascii="宋体" w:hAnsi="宋体" w:eastAsia="宋体" w:cs="宋体"/>
          <w:color w:val="000000"/>
          <w:kern w:val="2"/>
          <w:sz w:val="24"/>
        </w:rPr>
        <w:t>。</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7、专职安全员须具有安全生产考核合格证（C类）或建筑施工企业专职安全生产管理人员安全生产考核合格证书（C3类）。</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8、投标人已按照附件一的内容签署盖章的投标人声明。</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9、关于联合体投标：</w:t>
      </w:r>
      <w:r>
        <w:rPr>
          <w:rFonts w:hint="eastAsia" w:ascii="宋体" w:hAnsi="宋体" w:eastAsia="宋体" w:cs="宋体"/>
          <w:color w:val="000000"/>
          <w:kern w:val="2"/>
          <w:sz w:val="24"/>
          <w:u w:val="single"/>
        </w:rPr>
        <w:t>本项目不接受联合体投标。</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10、</w:t>
      </w:r>
      <w:r>
        <w:rPr>
          <w:rFonts w:hint="eastAsia" w:ascii="宋体" w:hAnsi="宋体" w:cs="宋体"/>
          <w:sz w:val="24"/>
          <w:szCs w:val="24"/>
        </w:rPr>
        <w:t>资格审查前，投标人须在</w:t>
      </w:r>
      <w:r>
        <w:rPr>
          <w:rFonts w:hint="eastAsia" w:ascii="宋体" w:hAnsi="宋体"/>
          <w:bCs/>
          <w:sz w:val="24"/>
          <w:szCs w:val="24"/>
          <w:u w:val="single"/>
        </w:rPr>
        <w:t>广州交易集团有限公司（广州公共资源交易中心）企业库</w:t>
      </w:r>
      <w:r>
        <w:rPr>
          <w:rFonts w:ascii="宋体" w:hAnsi="宋体"/>
          <w:bCs/>
          <w:sz w:val="24"/>
          <w:szCs w:val="24"/>
          <w:u w:val="single"/>
        </w:rPr>
        <w:t>办理企业信息登记</w:t>
      </w:r>
      <w:r>
        <w:rPr>
          <w:rFonts w:hint="eastAsia" w:ascii="宋体" w:hAnsi="宋体" w:cs="宋体"/>
          <w:sz w:val="24"/>
          <w:szCs w:val="24"/>
        </w:rPr>
        <w:t>及拟担任本工程项目负责人、专职安全员须是本企业</w:t>
      </w:r>
      <w:r>
        <w:rPr>
          <w:rFonts w:hint="eastAsia" w:ascii="宋体" w:hAnsi="宋体"/>
          <w:bCs/>
          <w:sz w:val="24"/>
          <w:szCs w:val="24"/>
          <w:u w:val="single"/>
        </w:rPr>
        <w:t>信息登记</w:t>
      </w:r>
      <w:r>
        <w:rPr>
          <w:rFonts w:hint="eastAsia" w:ascii="宋体" w:hAnsi="宋体" w:cs="宋体"/>
          <w:sz w:val="24"/>
          <w:szCs w:val="24"/>
        </w:rPr>
        <w:t>中的在册人员。企业信息取自投标截止时间投标人在广州交易集团有限公司（广州公共资源交易中心）企业库内登记的信息，投标人无需提交相关资料，若招标人延长递交投标文件截止时间的，企业信息的评审时点也相应延长。投标人应及时维护其在广州交易集团有限公司（广州公共资源交易中心）企业库信息，确保各项信息在有效期内。</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则相关投标均无效。</w:t>
      </w:r>
    </w:p>
    <w:p>
      <w:pPr>
        <w:adjustRightInd w:val="0"/>
        <w:spacing w:line="360" w:lineRule="auto"/>
        <w:ind w:firstLine="480" w:firstLineChars="200"/>
        <w:rPr>
          <w:rFonts w:hint="eastAsia" w:ascii="宋体" w:hAnsi="宋体" w:eastAsia="宋体" w:cs="宋体"/>
          <w:color w:val="000000"/>
          <w:kern w:val="2"/>
          <w:sz w:val="24"/>
        </w:rPr>
      </w:pPr>
      <w:r>
        <w:rPr>
          <w:rFonts w:hint="eastAsia" w:ascii="宋体" w:hAnsi="宋体" w:eastAsia="宋体" w:cs="宋体"/>
          <w:color w:val="000000"/>
          <w:kern w:val="2"/>
          <w:sz w:val="24"/>
        </w:rPr>
        <w:t>12、投标人未被列入拖欠农</w:t>
      </w:r>
      <w:r>
        <w:drawing>
          <wp:inline distT="0" distB="0" distL="114300" distR="114300">
            <wp:extent cx="284480" cy="130810"/>
            <wp:effectExtent l="0" t="0" r="127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84480" cy="130810"/>
                    </a:xfrm>
                    <a:prstGeom prst="rect">
                      <a:avLst/>
                    </a:prstGeom>
                    <a:noFill/>
                    <a:ln>
                      <a:noFill/>
                    </a:ln>
                  </pic:spPr>
                </pic:pic>
              </a:graphicData>
            </a:graphic>
          </wp:inline>
        </w:drawing>
      </w:r>
      <w:r>
        <w:rPr>
          <w:rFonts w:hint="eastAsia" w:ascii="宋体" w:hAnsi="宋体" w:eastAsia="宋体" w:cs="宋体"/>
          <w:color w:val="000000"/>
          <w:kern w:val="2"/>
          <w:sz w:val="24"/>
        </w:rPr>
        <w:t>工资失信联合惩戒对象名单。</w:t>
      </w:r>
    </w:p>
    <w:p>
      <w:pPr>
        <w:adjustRightInd w:val="0"/>
        <w:spacing w:line="360" w:lineRule="auto"/>
        <w:ind w:firstLine="480" w:firstLineChars="200"/>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13、落实政府采购政策需满足的资格要求：</w:t>
      </w:r>
    </w:p>
    <w:p>
      <w:pPr>
        <w:adjustRightInd w:val="0"/>
        <w:spacing w:line="360" w:lineRule="auto"/>
        <w:ind w:firstLine="480" w:firstLineChars="200"/>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本项目</w:t>
      </w:r>
      <w:r>
        <w:rPr>
          <w:rFonts w:hint="eastAsia" w:ascii="宋体" w:hAnsi="宋体" w:eastAsia="宋体" w:cs="宋体"/>
          <w:color w:val="000000"/>
          <w:kern w:val="2"/>
          <w:sz w:val="24"/>
          <w:highlight w:val="none"/>
          <w:lang w:val="en-US" w:eastAsia="zh-CN"/>
        </w:rPr>
        <w:t>不</w:t>
      </w:r>
      <w:r>
        <w:rPr>
          <w:rFonts w:hint="eastAsia" w:ascii="宋体" w:hAnsi="宋体" w:eastAsia="宋体" w:cs="宋体"/>
          <w:color w:val="000000"/>
          <w:kern w:val="2"/>
          <w:sz w:val="24"/>
          <w:highlight w:val="none"/>
        </w:rPr>
        <w:t>属于专门面向中小微企业采购的项目，本项目不属于专门面向中小微企业采购的项目，原因是：按照《政府采购促进中小企业发展管理办法》规定预留采购份额无法确保充分供应、充分竞争，或者存在可能影响政府采购目标实现的情形。本项目对于小微企业价格扣除说明：工程由小型或微型企业承接，即工程施工单位为</w:t>
      </w:r>
      <w:r>
        <w:rPr>
          <w:rFonts w:hint="eastAsia" w:ascii="宋体" w:hAnsi="宋体" w:cs="宋体"/>
          <w:color w:val="000000"/>
          <w:kern w:val="2"/>
          <w:sz w:val="24"/>
          <w:highlight w:val="none"/>
          <w:lang w:val="en-US" w:eastAsia="zh-CN"/>
        </w:rPr>
        <w:t>小微</w:t>
      </w:r>
      <w:r>
        <w:rPr>
          <w:rFonts w:hint="eastAsia" w:ascii="宋体" w:hAnsi="宋体" w:eastAsia="宋体" w:cs="宋体"/>
          <w:color w:val="000000"/>
          <w:kern w:val="2"/>
          <w:sz w:val="24"/>
          <w:highlight w:val="none"/>
        </w:rPr>
        <w:t>企业时，给予5%的价格扣除C1，即：评标价=供应商报价×（1-C1）;监狱企业与残疾人福利性单位视同小型、微型企业，享受同等价格扣除，当企业属性重复时，不重复价格扣除。</w:t>
      </w:r>
    </w:p>
    <w:p>
      <w:pPr>
        <w:adjustRightInd w:val="0"/>
        <w:spacing w:line="360" w:lineRule="auto"/>
        <w:ind w:firstLine="480" w:firstLineChars="200"/>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本项目对应的中小微企业划分标准所属行业为：</w:t>
      </w:r>
      <w:r>
        <w:rPr>
          <w:rFonts w:hint="eastAsia" w:ascii="宋体" w:hAnsi="宋体" w:eastAsia="宋体" w:cs="宋体"/>
          <w:color w:val="000000"/>
          <w:kern w:val="2"/>
          <w:sz w:val="24"/>
          <w:highlight w:val="none"/>
          <w:lang w:val="en-US" w:eastAsia="zh-CN"/>
        </w:rPr>
        <w:t>建筑业</w:t>
      </w:r>
      <w:r>
        <w:rPr>
          <w:rFonts w:hint="eastAsia" w:ascii="宋体" w:hAnsi="宋体" w:eastAsia="宋体" w:cs="宋体"/>
          <w:color w:val="000000"/>
          <w:kern w:val="2"/>
          <w:sz w:val="24"/>
          <w:highlight w:val="none"/>
        </w:rPr>
        <w:t>。</w:t>
      </w:r>
    </w:p>
    <w:p>
      <w:pPr>
        <w:adjustRightIn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十、资格审查方式：</w:t>
      </w:r>
    </w:p>
    <w:p>
      <w:pPr>
        <w:adjustRightIn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本工程采用资格后审方式，由评标委员会负责资格审查及评标工作。</w:t>
      </w:r>
    </w:p>
    <w:p>
      <w:pPr>
        <w:adjustRightIn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十一、资格审查结果将在广州交易集团有限公司（广州公共资源交易中心）交易平台和广东省招标投标监管网公示，公示时间不得少于3日。</w:t>
      </w:r>
    </w:p>
    <w:p>
      <w:pPr>
        <w:adjustRightIn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十二、各标段满足资格审查合格条件的投标人不足</w:t>
      </w:r>
      <w:r>
        <w:rPr>
          <w:rFonts w:hint="eastAsia" w:ascii="宋体" w:hAnsi="宋体" w:cs="宋体"/>
          <w:color w:val="auto"/>
          <w:sz w:val="24"/>
          <w:szCs w:val="24"/>
          <w:lang w:val="en-US" w:eastAsia="zh-CN"/>
        </w:rPr>
        <w:t>5</w:t>
      </w:r>
      <w:r>
        <w:rPr>
          <w:rFonts w:hint="eastAsia" w:ascii="宋体" w:hAnsi="宋体" w:cs="宋体"/>
          <w:color w:val="auto"/>
          <w:sz w:val="24"/>
          <w:szCs w:val="24"/>
        </w:rPr>
        <w:t>名或通过有效性审查的投标人不足</w:t>
      </w:r>
      <w:r>
        <w:rPr>
          <w:rFonts w:hint="eastAsia" w:ascii="宋体" w:hAnsi="宋体" w:cs="宋体"/>
          <w:color w:val="auto"/>
          <w:sz w:val="24"/>
          <w:szCs w:val="24"/>
          <w:lang w:val="en-US" w:eastAsia="zh-CN"/>
        </w:rPr>
        <w:t>5</w:t>
      </w:r>
      <w:r>
        <w:rPr>
          <w:rFonts w:hint="eastAsia" w:ascii="宋体" w:hAnsi="宋体" w:cs="宋体"/>
          <w:color w:val="auto"/>
          <w:sz w:val="24"/>
          <w:szCs w:val="24"/>
        </w:rPr>
        <w:t>名时，该标段为招标失败。招标人分析招标失败原因，修正招标方案，报有关管理部门核准后，重新组织招标。</w:t>
      </w:r>
    </w:p>
    <w:p>
      <w:pPr>
        <w:adjustRightIn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四、投标文件全部采用电子文档，投标人按招标文件要求提交投标文件。投标登记前，投标人须在广州交易集团有限公司（广州公共资源交易中心）办理企业信息登记及拟担任本工程项目负责人、专职安全员须是本企业信息登记信息中的在册人员。企业信息取自投标截止时间投标人在广州交易集团有限公司（广州公共资源交易中心）企业库内登记的信息，投标人无需提交相关资料，若招标人延长递交投标文件截止时间的，企业信息的评审时点也相应延长。（企业信息登记办理详见《施工类企业信息登记办事指引》，网址：</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"http://www.gzggzy.cn/qyxxd1/945453.jhtml）" </w:instrText>
      </w:r>
      <w:r>
        <w:rPr>
          <w:rFonts w:hint="eastAsia" w:ascii="宋体" w:hAnsi="宋体" w:cs="宋体"/>
          <w:color w:val="auto"/>
          <w:sz w:val="24"/>
          <w:szCs w:val="24"/>
          <w:highlight w:val="none"/>
        </w:rPr>
        <w:fldChar w:fldCharType="separate"/>
      </w:r>
      <w:r>
        <w:rPr>
          <w:rStyle w:val="41"/>
          <w:rFonts w:hint="eastAsia" w:ascii="宋体" w:hAnsi="宋体" w:cs="宋体"/>
          <w:sz w:val="24"/>
          <w:szCs w:val="24"/>
          <w:highlight w:val="none"/>
        </w:rPr>
        <w:t>http://www.gzggzy.cn/qyxxd1/945453.jhtml）</w:t>
      </w:r>
      <w:r>
        <w:rPr>
          <w:rFonts w:hint="eastAsia" w:ascii="宋体" w:hAnsi="宋体" w:cs="宋体"/>
          <w:color w:val="auto"/>
          <w:sz w:val="24"/>
          <w:szCs w:val="24"/>
          <w:highlight w:val="none"/>
        </w:rPr>
        <w:fldChar w:fldCharType="end"/>
      </w:r>
    </w:p>
    <w:p>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pPr>
        <w:adjustRightInd w:val="0"/>
        <w:spacing w:line="360" w:lineRule="auto"/>
        <w:ind w:firstLine="480" w:firstLineChars="200"/>
        <w:rPr>
          <w:rFonts w:hint="eastAsia" w:ascii="宋体" w:hAnsi="宋体"/>
          <w:color w:val="000000"/>
          <w:sz w:val="24"/>
          <w:szCs w:val="24"/>
        </w:rPr>
      </w:pPr>
      <w:r>
        <w:rPr>
          <w:rFonts w:hint="eastAsia" w:ascii="宋体" w:hAnsi="宋体" w:cs="宋体"/>
          <w:color w:val="000000"/>
          <w:sz w:val="24"/>
          <w:szCs w:val="24"/>
        </w:rPr>
        <w:t>十五、潜在投标人或利害关系人对本招标公告及招标文件有异议的，应当在投标截止时间10日前向招标人书面提出。</w:t>
      </w:r>
    </w:p>
    <w:p>
      <w:pPr>
        <w:adjustRightIn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异议受理部门：</w:t>
      </w:r>
      <w:r>
        <w:rPr>
          <w:rFonts w:hint="eastAsia" w:ascii="宋体" w:hAnsi="宋体"/>
          <w:color w:val="000000"/>
          <w:sz w:val="24"/>
          <w:szCs w:val="24"/>
          <w:u w:val="single"/>
        </w:rPr>
        <w:t>广州市公安局</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异议受理电话：</w:t>
      </w:r>
      <w:r>
        <w:rPr>
          <w:rFonts w:ascii="宋体" w:hAnsi="宋体"/>
          <w:bCs/>
          <w:color w:val="000000"/>
          <w:sz w:val="24"/>
          <w:szCs w:val="24"/>
          <w:u w:val="single"/>
        </w:rPr>
        <w:t>020-</w:t>
      </w:r>
      <w:r>
        <w:rPr>
          <w:rFonts w:hint="eastAsia" w:ascii="宋体" w:hAnsi="宋体"/>
          <w:bCs/>
          <w:color w:val="000000"/>
          <w:sz w:val="24"/>
          <w:szCs w:val="24"/>
          <w:u w:val="single"/>
        </w:rPr>
        <w:t>83113312</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w:t>
      </w:r>
      <w:r>
        <w:rPr>
          <w:rFonts w:hint="eastAsia" w:ascii="宋体" w:hAnsi="宋体"/>
          <w:color w:val="000000"/>
          <w:sz w:val="24"/>
          <w:szCs w:val="24"/>
          <w:u w:val="single"/>
        </w:rPr>
        <w:t>广州市起义路200号</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十七、本招标公告及招标文件使用GZZB2018-3招标文件范本。本公告与范本内容不同之处均以下划线标明，所有标明下划线部分属于本公告的组成部分，同其他部分具有同样的效力。</w:t>
      </w:r>
    </w:p>
    <w:p>
      <w:pPr>
        <w:adjustRightInd w:val="0"/>
        <w:snapToGrid w:val="0"/>
        <w:spacing w:line="480" w:lineRule="exact"/>
        <w:ind w:firstLine="537" w:firstLineChars="224"/>
        <w:rPr>
          <w:rFonts w:ascii="宋体" w:hAnsi="宋体" w:eastAsia="宋体" w:cs="Times New Roman"/>
          <w:sz w:val="24"/>
          <w:szCs w:val="24"/>
        </w:rPr>
      </w:pPr>
      <w:r>
        <w:rPr>
          <w:rFonts w:hint="eastAsia" w:ascii="宋体" w:hAnsi="宋体" w:eastAsia="宋体" w:cs="Times New Roman"/>
          <w:sz w:val="24"/>
          <w:szCs w:val="24"/>
        </w:rPr>
        <w:t>十八、招标公告网上发布时，同时发布招标文件、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1.将中标工程转包或者违法分包的;</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2.在中标工程中不执行质量、安全生产相关规定的，造成质量或安全事故的；</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3.出让投标资格的；</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4.存在围标或串标情形的;</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5.在投标文件中提供虚假材料的；</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 存在少放、不放业绩、奖项等客观评审资料，减少自身竞争力情形的；</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7.存在行贿情形的;</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8.拖欠农民工工资的；</w:t>
      </w:r>
    </w:p>
    <w:p>
      <w:pPr>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9.未按照国家、省、市有关建筑施工实名制管理和工人工资支付分账管理的规定执行，被行政监管部门处罚的；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Times New Roman"/>
          <w:sz w:val="24"/>
          <w:szCs w:val="24"/>
        </w:rPr>
        <w:t>10.中标人在项目实施过程中选取的专业分包单位或劳务企业或劳务班组长与投标时不一致的（如有）</w:t>
      </w:r>
      <w:r>
        <w:rPr>
          <w:rFonts w:hint="eastAsia" w:ascii="宋体" w:hAnsi="宋体" w:eastAsia="宋体" w:cs="Times New Roman"/>
          <w:sz w:val="24"/>
          <w:szCs w:val="24"/>
          <w:lang w:val="en-US" w:eastAsia="zh-CN"/>
        </w:rPr>
        <w:t>。</w:t>
      </w:r>
    </w:p>
    <w:p>
      <w:pPr>
        <w:rPr>
          <w:rFonts w:hint="eastAsia" w:ascii="宋体" w:hAnsi="宋体" w:cs="宋体"/>
          <w:b/>
          <w:color w:val="000000"/>
          <w:sz w:val="44"/>
        </w:rPr>
      </w:pPr>
      <w:r>
        <w:rPr>
          <w:rFonts w:hint="eastAsia" w:ascii="宋体" w:hAnsi="宋体" w:cs="宋体"/>
          <w:color w:val="000000"/>
          <w:sz w:val="24"/>
        </w:rPr>
        <w:t>附件一：</w:t>
      </w:r>
    </w:p>
    <w:p>
      <w:pPr>
        <w:spacing w:line="360" w:lineRule="auto"/>
        <w:jc w:val="center"/>
        <w:rPr>
          <w:rFonts w:hint="eastAsia" w:ascii="宋体" w:hAnsi="宋体" w:cs="宋体"/>
          <w:b/>
          <w:color w:val="000000"/>
          <w:sz w:val="28"/>
          <w:szCs w:val="28"/>
        </w:rPr>
      </w:pPr>
      <w:r>
        <w:rPr>
          <w:rFonts w:hint="eastAsia" w:ascii="宋体" w:hAnsi="宋体" w:cs="宋体"/>
          <w:b/>
          <w:color w:val="000000"/>
          <w:kern w:val="0"/>
          <w:sz w:val="28"/>
          <w:szCs w:val="28"/>
        </w:rPr>
        <w:t>投标人</w:t>
      </w:r>
      <w:r>
        <w:rPr>
          <w:rFonts w:hint="eastAsia" w:ascii="宋体" w:hAnsi="宋体" w:cs="宋体"/>
          <w:b/>
          <w:color w:val="000000"/>
          <w:sz w:val="28"/>
          <w:szCs w:val="28"/>
        </w:rPr>
        <w:t>声明</w:t>
      </w:r>
    </w:p>
    <w:p>
      <w:pPr>
        <w:spacing w:line="360" w:lineRule="auto"/>
        <w:jc w:val="center"/>
        <w:rPr>
          <w:rFonts w:hint="eastAsia" w:ascii="宋体" w:hAnsi="宋体" w:cs="宋体"/>
          <w:b/>
          <w:color w:val="000000"/>
          <w:sz w:val="24"/>
          <w:szCs w:val="24"/>
        </w:rPr>
      </w:pPr>
    </w:p>
    <w:p>
      <w:pPr>
        <w:pStyle w:val="139"/>
        <w:spacing w:line="48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广州市交通运输局、本招标项目招标人及招标监管机构：</w:t>
      </w:r>
    </w:p>
    <w:p>
      <w:pPr>
        <w:spacing w:line="360" w:lineRule="auto"/>
        <w:ind w:firstLine="480" w:firstLineChars="200"/>
        <w:rPr>
          <w:rFonts w:cs="宋体"/>
          <w:kern w:val="0"/>
          <w:sz w:val="24"/>
          <w:szCs w:val="24"/>
        </w:rPr>
      </w:pPr>
      <w:r>
        <w:rPr>
          <w:rFonts w:hint="eastAsia" w:cs="宋体"/>
          <w:kern w:val="0"/>
          <w:sz w:val="24"/>
          <w:szCs w:val="24"/>
        </w:rPr>
        <w:t>本公司就参加</w:t>
      </w:r>
      <w:r>
        <w:rPr>
          <w:rFonts w:hint="eastAsia" w:cs="宋体"/>
          <w:kern w:val="0"/>
          <w:sz w:val="24"/>
          <w:szCs w:val="24"/>
          <w:u w:val="single"/>
        </w:rPr>
        <w:t xml:space="preserve">     （项目名称）     </w:t>
      </w:r>
      <w:r>
        <w:rPr>
          <w:rFonts w:hint="eastAsia" w:cs="宋体"/>
          <w:kern w:val="0"/>
          <w:sz w:val="24"/>
          <w:szCs w:val="24"/>
        </w:rPr>
        <w:t>投标工作，作出郑重声明：</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三、本公司不存在下列情形之一：</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（二）为本标段前期准备提供设计或咨询服务或者与本项目设计人或提供咨询服务的机构存在附属关系的；</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（四）为本标段的代建人；</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（五）为本标段提供招标代理服务的；</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（十）与招标人存在利害关系且可能影响招标公正性； </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（十一）被依法暂停或取消投标资格的；（</w:t>
      </w:r>
      <w:r>
        <w:rPr>
          <w:rFonts w:hint="eastAsia" w:ascii="宋体" w:hAnsi="宋体" w:eastAsia="宋体"/>
          <w:color w:val="auto"/>
          <w:sz w:val="24"/>
          <w:szCs w:val="24"/>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4"/>
          <w:szCs w:val="24"/>
        </w:rPr>
        <w:t xml:space="preserve">） </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w:t>
      </w:r>
      <w:r>
        <w:rPr>
          <w:rFonts w:hint="eastAsia" w:ascii="宋体" w:hAnsi="宋体" w:eastAsia="宋体"/>
          <w:color w:val="auto"/>
          <w:sz w:val="24"/>
          <w:szCs w:val="24"/>
          <w:lang w:val="zh-CN"/>
        </w:rPr>
        <w:t>本项事实应当以根据《中华人民共和国行政处罚法》依法作出并已经生效的行政处罚决定为认定依据。</w:t>
      </w:r>
      <w:r>
        <w:rPr>
          <w:rFonts w:hint="eastAsia" w:ascii="宋体" w:hAnsi="宋体" w:eastAsia="宋体"/>
          <w:color w:val="auto"/>
          <w:sz w:val="24"/>
          <w:szCs w:val="24"/>
        </w:rPr>
        <w:t>）；</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（十四）在最近三年内有严重违约或重大工程质量问题的；（</w:t>
      </w:r>
      <w:r>
        <w:rPr>
          <w:rFonts w:hint="eastAsia" w:ascii="宋体" w:hAnsi="宋体" w:eastAsia="宋体"/>
          <w:color w:val="auto"/>
          <w:sz w:val="24"/>
          <w:szCs w:val="24"/>
          <w:lang w:val="zh-CN"/>
        </w:rPr>
        <w:t>“严重违约”事实应当以</w:t>
      </w:r>
      <w:r>
        <w:rPr>
          <w:rFonts w:hint="eastAsia" w:ascii="宋体" w:hAnsi="宋体" w:eastAsia="宋体"/>
          <w:color w:val="auto"/>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（十五）法律法规规定的其他情形。</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四、本公司保证：本项目拟派的项目负责人没有在其他在建项目中任施工单位项目负责人，本项目拟派的专职安全员没有在其他在建项目中任职。</w:t>
      </w:r>
    </w:p>
    <w:p>
      <w:pPr>
        <w:pStyle w:val="139"/>
        <w:ind w:firstLine="480" w:firstLineChars="200"/>
        <w:rPr>
          <w:rFonts w:ascii="宋体" w:hAnsi="宋体" w:eastAsia="宋体"/>
          <w:color w:val="auto"/>
          <w:sz w:val="24"/>
          <w:szCs w:val="24"/>
        </w:rPr>
      </w:pPr>
      <w:r>
        <w:rPr>
          <w:rFonts w:hint="eastAsia" w:ascii="宋体" w:hAnsi="宋体" w:eastAsia="宋体"/>
          <w:color w:val="auto"/>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39"/>
        <w:ind w:firstLine="480" w:firstLineChars="200"/>
        <w:rPr>
          <w:rFonts w:ascii="宋体" w:hAnsi="宋体" w:eastAsia="宋体"/>
          <w:color w:val="auto"/>
          <w:sz w:val="21"/>
          <w:szCs w:val="21"/>
        </w:rPr>
      </w:pPr>
      <w:r>
        <w:rPr>
          <w:rFonts w:hint="eastAsia" w:ascii="宋体" w:hAnsi="宋体" w:eastAsia="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480" w:lineRule="exact"/>
        <w:ind w:firstLine="480" w:firstLineChars="200"/>
        <w:jc w:val="left"/>
        <w:rPr>
          <w:kern w:val="0"/>
          <w:sz w:val="24"/>
          <w:szCs w:val="24"/>
        </w:rPr>
      </w:pPr>
      <w:r>
        <w:rPr>
          <w:rFonts w:hint="eastAsia"/>
          <w:kern w:val="0"/>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w:t>
      </w:r>
      <w:r>
        <w:drawing>
          <wp:inline distT="0" distB="0" distL="114300" distR="114300">
            <wp:extent cx="467995" cy="165735"/>
            <wp:effectExtent l="0" t="0" r="825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67995" cy="165735"/>
                    </a:xfrm>
                    <a:prstGeom prst="rect">
                      <a:avLst/>
                    </a:prstGeom>
                    <a:noFill/>
                    <a:ln>
                      <a:noFill/>
                    </a:ln>
                  </pic:spPr>
                </pic:pic>
              </a:graphicData>
            </a:graphic>
          </wp:inline>
        </w:drawing>
      </w:r>
      <w:r>
        <w:rPr>
          <w:rFonts w:hint="eastAsia"/>
          <w:kern w:val="0"/>
          <w:sz w:val="24"/>
          <w:szCs w:val="24"/>
        </w:rPr>
        <w:t>，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w:t>
      </w:r>
      <w:r>
        <w:rPr>
          <w:rFonts w:hint="eastAsia"/>
          <w:kern w:val="0"/>
          <w:sz w:val="24"/>
          <w:szCs w:val="24"/>
          <w:highlight w:val="none"/>
        </w:rPr>
        <w:t>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pPr>
        <w:spacing w:line="480" w:lineRule="exact"/>
        <w:ind w:firstLine="482" w:firstLineChars="200"/>
        <w:jc w:val="left"/>
        <w:rPr>
          <w:b/>
          <w:kern w:val="0"/>
          <w:sz w:val="24"/>
          <w:szCs w:val="24"/>
        </w:rPr>
      </w:pPr>
      <w:r>
        <w:rPr>
          <w:rFonts w:hint="eastAsia"/>
          <w:b/>
          <w:kern w:val="0"/>
          <w:sz w:val="24"/>
          <w:szCs w:val="24"/>
        </w:rPr>
        <w:t>八、与本公司单位负责人为同一人或者与本公司存在控股、管理关系的其他单位包括：。（注：本条由投标人如实填写，如有，应列出全部满足招标公告资质要求的相关单位的名称；如无，则填写“无”。）</w:t>
      </w:r>
    </w:p>
    <w:p>
      <w:pPr>
        <w:spacing w:line="480" w:lineRule="exact"/>
        <w:ind w:firstLine="480" w:firstLineChars="200"/>
        <w:rPr>
          <w:rFonts w:cs="宋体"/>
          <w:kern w:val="0"/>
          <w:sz w:val="24"/>
          <w:szCs w:val="24"/>
        </w:rPr>
      </w:pPr>
      <w:r>
        <w:rPr>
          <w:rFonts w:hint="eastAsia" w:cs="宋体"/>
          <w:kern w:val="0"/>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39"/>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十、本公司承诺，中标后将按招标人要求，积极响应广州市关于投身“百千万工程”的号召，主动参与建筑业结对帮扶。</w:t>
      </w:r>
    </w:p>
    <w:p>
      <w:pPr>
        <w:pStyle w:val="139"/>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39"/>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spacing w:line="480" w:lineRule="exact"/>
        <w:ind w:firstLine="480" w:firstLineChars="200"/>
        <w:jc w:val="left"/>
        <w:rPr>
          <w:rFonts w:cs="宋体"/>
          <w:sz w:val="24"/>
          <w:szCs w:val="24"/>
        </w:rPr>
      </w:pPr>
      <w:r>
        <w:rPr>
          <w:rFonts w:hint="eastAsia" w:cs="宋体"/>
          <w:sz w:val="24"/>
          <w:szCs w:val="24"/>
        </w:rPr>
        <w:t>特此声明。</w:t>
      </w:r>
    </w:p>
    <w:p>
      <w:pPr>
        <w:pStyle w:val="20"/>
      </w:pPr>
    </w:p>
    <w:p>
      <w:pPr>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声明企业：</w:t>
      </w:r>
    </w:p>
    <w:p>
      <w:pPr>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项目负责人签字:</w:t>
      </w:r>
    </w:p>
    <w:p>
      <w:pPr>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技术负责人签字：</w:t>
      </w:r>
    </w:p>
    <w:p>
      <w:pPr>
        <w:spacing w:line="480" w:lineRule="exact"/>
        <w:jc w:val="righ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年   月   日                    </w:t>
      </w:r>
    </w:p>
    <w:p>
      <w:pPr>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注：招标人应当要求投标人的项目负责人和技术负责人签字。</w:t>
      </w:r>
    </w:p>
    <w:p>
      <w:pPr>
        <w:spacing w:line="360" w:lineRule="auto"/>
        <w:rPr>
          <w:rFonts w:hint="eastAsia"/>
          <w:sz w:val="24"/>
        </w:rPr>
      </w:pPr>
    </w:p>
    <w:p>
      <w:pPr>
        <w:spacing w:line="360" w:lineRule="auto"/>
        <w:rPr>
          <w:b/>
          <w:sz w:val="44"/>
        </w:rPr>
      </w:pPr>
      <w:r>
        <w:rPr>
          <w:rFonts w:hint="eastAsia"/>
          <w:sz w:val="24"/>
        </w:rPr>
        <w:t>附件二：</w:t>
      </w:r>
    </w:p>
    <w:p>
      <w:pPr>
        <w:spacing w:afterLines="50" w:line="360" w:lineRule="auto"/>
        <w:jc w:val="center"/>
        <w:rPr>
          <w:szCs w:val="21"/>
        </w:rPr>
      </w:pPr>
    </w:p>
    <w:p>
      <w:pPr>
        <w:spacing w:afterLines="50" w:line="360" w:lineRule="auto"/>
        <w:jc w:val="center"/>
        <w:rPr>
          <w:rStyle w:val="153"/>
          <w:rFonts w:cs="宋体"/>
          <w:b/>
          <w:bCs/>
          <w:sz w:val="30"/>
          <w:szCs w:val="30"/>
          <w:lang w:val="zh-CN"/>
        </w:rPr>
      </w:pPr>
      <w:r>
        <w:rPr>
          <w:rStyle w:val="153"/>
          <w:rFonts w:hint="eastAsia" w:cs="宋体"/>
          <w:b/>
          <w:sz w:val="30"/>
          <w:szCs w:val="30"/>
        </w:rPr>
        <w:t>项目管理机构人员配备表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945"/>
        <w:gridCol w:w="1315"/>
        <w:gridCol w:w="4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720"/>
              </w:tabs>
              <w:snapToGrid w:val="0"/>
              <w:spacing w:before="0" w:beforeAutospacing="0" w:after="0" w:afterAutospacing="0" w:line="360" w:lineRule="auto"/>
              <w:ind w:left="0" w:right="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序号</w:t>
            </w:r>
          </w:p>
        </w:tc>
        <w:tc>
          <w:tcPr>
            <w:tcW w:w="1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720"/>
              </w:tabs>
              <w:snapToGrid w:val="0"/>
              <w:spacing w:before="0" w:beforeAutospacing="0" w:after="0" w:afterAutospacing="0" w:line="360" w:lineRule="auto"/>
              <w:ind w:left="0" w:right="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拟在本项目任职</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720"/>
              </w:tabs>
              <w:snapToGrid w:val="0"/>
              <w:spacing w:before="0" w:beforeAutospacing="0" w:after="0" w:afterAutospacing="0" w:line="360" w:lineRule="auto"/>
              <w:ind w:left="0" w:right="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姓名</w:t>
            </w:r>
          </w:p>
        </w:tc>
        <w:tc>
          <w:tcPr>
            <w:tcW w:w="44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720"/>
              </w:tabs>
              <w:snapToGrid w:val="0"/>
              <w:spacing w:before="0" w:beforeAutospacing="0" w:after="0" w:afterAutospacing="0" w:line="360" w:lineRule="auto"/>
              <w:ind w:left="0" w:right="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注册证或岗位证或培训证或职称证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720"/>
              </w:tabs>
              <w:snapToGrid w:val="0"/>
              <w:spacing w:before="0" w:beforeAutospacing="0" w:after="0" w:afterAutospacing="0" w:line="360" w:lineRule="auto"/>
              <w:ind w:left="0" w:right="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1</w:t>
            </w:r>
          </w:p>
        </w:tc>
        <w:tc>
          <w:tcPr>
            <w:tcW w:w="194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c>
          <w:tcPr>
            <w:tcW w:w="4427"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720"/>
              </w:tabs>
              <w:snapToGrid w:val="0"/>
              <w:spacing w:before="0" w:beforeAutospacing="0" w:after="0" w:afterAutospacing="0" w:line="360" w:lineRule="auto"/>
              <w:ind w:left="0" w:right="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2</w:t>
            </w:r>
          </w:p>
        </w:tc>
        <w:tc>
          <w:tcPr>
            <w:tcW w:w="194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c>
          <w:tcPr>
            <w:tcW w:w="4427"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720"/>
              </w:tabs>
              <w:snapToGrid w:val="0"/>
              <w:spacing w:before="0" w:beforeAutospacing="0" w:after="0" w:afterAutospacing="0" w:line="360" w:lineRule="auto"/>
              <w:ind w:left="0" w:right="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3</w:t>
            </w:r>
          </w:p>
        </w:tc>
        <w:tc>
          <w:tcPr>
            <w:tcW w:w="194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c>
          <w:tcPr>
            <w:tcW w:w="4427"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720"/>
              </w:tabs>
              <w:snapToGrid w:val="0"/>
              <w:spacing w:before="0" w:beforeAutospacing="0" w:after="0" w:afterAutospacing="0" w:line="360" w:lineRule="auto"/>
              <w:ind w:left="0" w:right="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4</w:t>
            </w:r>
          </w:p>
        </w:tc>
        <w:tc>
          <w:tcPr>
            <w:tcW w:w="194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c>
          <w:tcPr>
            <w:tcW w:w="4427"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720"/>
              </w:tabs>
              <w:snapToGrid w:val="0"/>
              <w:spacing w:before="0" w:beforeAutospacing="0" w:after="0" w:afterAutospacing="0" w:line="360" w:lineRule="auto"/>
              <w:ind w:left="0" w:right="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5</w:t>
            </w:r>
          </w:p>
        </w:tc>
        <w:tc>
          <w:tcPr>
            <w:tcW w:w="194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c>
          <w:tcPr>
            <w:tcW w:w="4427"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720"/>
              </w:tabs>
              <w:snapToGrid w:val="0"/>
              <w:spacing w:before="0" w:beforeAutospacing="0" w:after="0" w:afterAutospacing="0" w:line="360" w:lineRule="auto"/>
              <w:ind w:left="0" w:right="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6</w:t>
            </w:r>
          </w:p>
        </w:tc>
        <w:tc>
          <w:tcPr>
            <w:tcW w:w="194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c>
          <w:tcPr>
            <w:tcW w:w="4427"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720"/>
              </w:tabs>
              <w:snapToGrid w:val="0"/>
              <w:spacing w:before="0" w:beforeAutospacing="0" w:after="0" w:afterAutospacing="0" w:line="360" w:lineRule="auto"/>
              <w:ind w:left="0" w:right="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7</w:t>
            </w:r>
          </w:p>
        </w:tc>
        <w:tc>
          <w:tcPr>
            <w:tcW w:w="194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r>
              <w:rPr>
                <w:rStyle w:val="153"/>
                <w:rFonts w:hint="eastAsia" w:ascii="Times New Roman" w:hAnsi="Times New Roman" w:eastAsia="Times New Roman" w:cs="宋体"/>
                <w:sz w:val="24"/>
                <w:szCs w:val="24"/>
              </w:rPr>
              <w:t>…</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c>
          <w:tcPr>
            <w:tcW w:w="4427" w:type="dxa"/>
            <w:tcBorders>
              <w:top w:val="single" w:color="000000" w:sz="4" w:space="0"/>
              <w:left w:val="single" w:color="000000" w:sz="4" w:space="0"/>
              <w:bottom w:val="single" w:color="000000" w:sz="4" w:space="0"/>
              <w:right w:val="single" w:color="000000" w:sz="4" w:space="0"/>
            </w:tcBorders>
            <w:noWrap/>
            <w:vAlign w:val="center"/>
          </w:tcPr>
          <w:p>
            <w:pPr>
              <w:keepNext/>
              <w:keepLines/>
              <w:widowControl/>
              <w:suppressLineNumbers w:val="0"/>
              <w:tabs>
                <w:tab w:val="left" w:pos="720"/>
              </w:tabs>
              <w:snapToGrid w:val="0"/>
              <w:spacing w:before="120" w:beforeAutospacing="0" w:after="120" w:afterAutospacing="0" w:line="360" w:lineRule="auto"/>
              <w:ind w:left="-63" w:leftChars="-30" w:right="-63" w:rightChars="-30"/>
              <w:jc w:val="center"/>
              <w:rPr>
                <w:rStyle w:val="153"/>
                <w:rFonts w:hint="default" w:ascii="Times New Roman" w:hAnsi="Times New Roman" w:eastAsia="Times New Roman" w:cs="宋体"/>
                <w:sz w:val="24"/>
                <w:szCs w:val="24"/>
              </w:rPr>
            </w:pPr>
          </w:p>
        </w:tc>
      </w:tr>
    </w:tbl>
    <w:p>
      <w:pPr>
        <w:pStyle w:val="154"/>
        <w:spacing w:line="360" w:lineRule="auto"/>
        <w:rPr>
          <w:rStyle w:val="153"/>
          <w:rFonts w:ascii="宋体" w:hAnsi="宋体" w:cs="宋体"/>
        </w:rPr>
      </w:pPr>
    </w:p>
    <w:p>
      <w:pPr>
        <w:spacing w:line="360" w:lineRule="auto"/>
        <w:rPr>
          <w:rStyle w:val="153"/>
          <w:rFonts w:cs="宋体"/>
        </w:rPr>
      </w:pPr>
      <w:r>
        <w:rPr>
          <w:rStyle w:val="153"/>
          <w:rFonts w:hint="eastAsia" w:cs="宋体"/>
        </w:rPr>
        <w:t>备注：1.本表投标单位根据实际情况可进行扩展；</w:t>
      </w:r>
    </w:p>
    <w:p>
      <w:pPr>
        <w:adjustRightInd w:val="0"/>
        <w:snapToGrid w:val="0"/>
        <w:spacing w:line="360" w:lineRule="auto"/>
        <w:rPr>
          <w:rStyle w:val="153"/>
          <w:rFonts w:hint="eastAsia" w:ascii="宋体" w:hAnsi="宋体" w:cs="宋体"/>
          <w:kern w:val="2"/>
          <w:sz w:val="21"/>
          <w:szCs w:val="22"/>
        </w:rPr>
      </w:pPr>
      <w:r>
        <w:rPr>
          <w:rStyle w:val="153"/>
          <w:rFonts w:hint="eastAsia" w:ascii="宋体" w:hAnsi="宋体" w:cs="宋体"/>
          <w:kern w:val="2"/>
          <w:sz w:val="21"/>
          <w:szCs w:val="22"/>
        </w:rPr>
        <w:t xml:space="preserve">      2.后附《技术标详细审查评分表》要求的人员相关证明资料。</w:t>
      </w:r>
    </w:p>
    <w:p>
      <w:pPr>
        <w:adjustRightInd w:val="0"/>
        <w:snapToGrid w:val="0"/>
        <w:spacing w:line="360" w:lineRule="auto"/>
        <w:rPr>
          <w:rFonts w:hint="eastAsia" w:ascii="Times New Roman" w:hAnsi="Times New Roman" w:eastAsia="宋体" w:cs="Times New Roman"/>
          <w:kern w:val="2"/>
          <w:sz w:val="24"/>
          <w:szCs w:val="22"/>
          <w:lang w:val="en-US" w:eastAsia="zh-CN"/>
        </w:rPr>
      </w:pPr>
      <w:r>
        <w:rPr>
          <w:rStyle w:val="153"/>
          <w:rFonts w:hint="eastAsia" w:ascii="宋体" w:hAnsi="宋体" w:cs="宋体"/>
          <w:kern w:val="2"/>
          <w:sz w:val="21"/>
          <w:szCs w:val="22"/>
        </w:rPr>
        <w:br w:type="page"/>
      </w:r>
      <w:r>
        <w:rPr>
          <w:rFonts w:hint="eastAsia" w:ascii="Times New Roman" w:hAnsi="Times New Roman" w:eastAsia="宋体" w:cs="Times New Roman"/>
          <w:kern w:val="2"/>
          <w:sz w:val="24"/>
          <w:szCs w:val="22"/>
          <w:lang w:val="en-US" w:eastAsia="zh-CN"/>
        </w:rPr>
        <w:t xml:space="preserve">附件三 </w:t>
      </w:r>
    </w:p>
    <w:p>
      <w:pPr>
        <w:pStyle w:val="155"/>
        <w:spacing w:line="360" w:lineRule="auto"/>
        <w:ind w:firstLine="480"/>
        <w:rPr>
          <w:rFonts w:hint="eastAsia" w:ascii="宋体" w:hAnsi="宋体" w:eastAsia="宋体" w:cs="宋体"/>
        </w:rPr>
      </w:pPr>
      <w:r>
        <w:rPr>
          <w:rFonts w:hint="eastAsia" w:ascii="宋体" w:hAnsi="宋体" w:eastAsia="宋体" w:cs="宋体"/>
        </w:rPr>
        <w:t>中小企业声明函（承建本项目工程为中小企业为中小企业时提交本函，所属行业应符合采购文件中明确的本项目所属行业）</w:t>
      </w:r>
    </w:p>
    <w:p>
      <w:pPr>
        <w:widowControl w:val="0"/>
        <w:jc w:val="center"/>
        <w:rPr>
          <w:rFonts w:hint="eastAsia" w:ascii="方正小标宋_GBK" w:hAnsi="方正小标宋_GBK" w:eastAsia="方正小标宋_GBK" w:cs="方正小标宋_GBK"/>
          <w:color w:val="auto"/>
          <w:kern w:val="2"/>
          <w:sz w:val="32"/>
          <w:szCs w:val="32"/>
          <w:lang w:val="en-US" w:eastAsia="zh-CN" w:bidi="ar-SA"/>
        </w:rPr>
      </w:pPr>
      <w:r>
        <w:rPr>
          <w:rFonts w:hint="eastAsia" w:ascii="方正小标宋_GBK" w:hAnsi="方正小标宋_GBK" w:eastAsia="方正小标宋_GBK" w:cs="方正小标宋_GBK"/>
          <w:color w:val="auto"/>
          <w:kern w:val="2"/>
          <w:sz w:val="32"/>
          <w:szCs w:val="32"/>
          <w:lang w:val="en-US" w:eastAsia="zh-CN" w:bidi="ar-SA"/>
        </w:rPr>
        <w:t>中小企业声明函</w:t>
      </w:r>
    </w:p>
    <w:p>
      <w:pPr>
        <w:widowControl w:val="0"/>
        <w:spacing w:line="560" w:lineRule="exact"/>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本企业郑重声明，根据《关于印发中小企业划型标准规定的通知》（工信部联企业〔2011〕300号）的规定，本企业具体情况如下：</w:t>
      </w:r>
    </w:p>
    <w:p>
      <w:pPr>
        <w:widowControl w:val="0"/>
        <w:spacing w:line="560" w:lineRule="exact"/>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本企业属于建筑业行业；营业收入为</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万元，资产总额为</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万元，属于</w:t>
      </w:r>
      <w:r>
        <w:rPr>
          <w:rFonts w:hint="eastAsia" w:ascii="宋体" w:hAnsi="宋体" w:eastAsia="宋体" w:cs="宋体"/>
          <w:kern w:val="2"/>
          <w:sz w:val="22"/>
          <w:szCs w:val="22"/>
          <w:u w:val="single"/>
          <w:lang w:val="en-US" w:eastAsia="zh-CN" w:bidi="ar-SA"/>
        </w:rPr>
        <w:t xml:space="preserve">      （中型企业、小型企业、微型企业）</w:t>
      </w:r>
      <w:r>
        <w:rPr>
          <w:rFonts w:hint="eastAsia" w:ascii="宋体" w:hAnsi="宋体" w:eastAsia="宋体" w:cs="宋体"/>
          <w:kern w:val="2"/>
          <w:sz w:val="22"/>
          <w:szCs w:val="22"/>
          <w:lang w:val="en-US" w:eastAsia="zh-CN" w:bidi="ar-SA"/>
        </w:rPr>
        <w:t>；</w:t>
      </w:r>
    </w:p>
    <w:p>
      <w:pPr>
        <w:widowControl w:val="0"/>
        <w:spacing w:line="560" w:lineRule="exact"/>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依据《政府采购促进中小企业发展管理办法》的规定，本企业不属于大企业的分支机构，不存在控股股东为大企业的情形，也不存在与大企业的负责人为同一人的情形。 </w:t>
      </w:r>
    </w:p>
    <w:p>
      <w:pPr>
        <w:widowControl w:val="0"/>
        <w:spacing w:line="560" w:lineRule="exact"/>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本企业对上述声明内容的真实性负责。如有虚假，将依法承担相应责任。 </w:t>
      </w:r>
    </w:p>
    <w:p>
      <w:pPr>
        <w:widowControl w:val="0"/>
        <w:spacing w:line="560" w:lineRule="exact"/>
        <w:ind w:firstLine="440" w:firstLineChars="200"/>
        <w:jc w:val="both"/>
        <w:rPr>
          <w:rFonts w:hint="eastAsia" w:ascii="宋体" w:hAnsi="宋体" w:eastAsia="宋体" w:cs="宋体"/>
          <w:kern w:val="2"/>
          <w:sz w:val="22"/>
          <w:szCs w:val="22"/>
          <w:lang w:val="en-US" w:eastAsia="zh-CN" w:bidi="ar-SA"/>
        </w:rPr>
      </w:pPr>
    </w:p>
    <w:p>
      <w:pPr>
        <w:widowControl w:val="0"/>
        <w:spacing w:line="560" w:lineRule="exact"/>
        <w:ind w:firstLine="3300" w:firstLineChars="15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企业名称（盖章）：</w:t>
      </w:r>
    </w:p>
    <w:p>
      <w:pPr>
        <w:widowControl w:val="0"/>
        <w:spacing w:line="560" w:lineRule="exact"/>
        <w:ind w:firstLine="4180" w:firstLineChars="19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日 </w:t>
      </w:r>
      <w:r>
        <w:rPr>
          <w:rFonts w:hint="eastAsia" w:ascii="宋体" w:hAnsi="宋体" w:eastAsia="宋体" w:cs="宋体"/>
          <w:kern w:val="2"/>
          <w:sz w:val="22"/>
          <w:szCs w:val="22"/>
          <w:lang w:val="en" w:eastAsia="zh-CN" w:bidi="ar-SA"/>
        </w:rPr>
        <w:t xml:space="preserve">  </w:t>
      </w:r>
      <w:r>
        <w:rPr>
          <w:rFonts w:hint="eastAsia" w:ascii="宋体" w:hAnsi="宋体" w:eastAsia="宋体" w:cs="宋体"/>
          <w:kern w:val="2"/>
          <w:sz w:val="22"/>
          <w:szCs w:val="22"/>
          <w:lang w:val="en-US" w:eastAsia="zh-CN" w:bidi="ar-SA"/>
        </w:rPr>
        <w:t>期：</w:t>
      </w:r>
    </w:p>
    <w:p>
      <w:pPr>
        <w:widowControl w:val="0"/>
        <w:spacing w:line="560" w:lineRule="exact"/>
        <w:ind w:firstLine="400" w:firstLineChars="20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w:t>
      </w:r>
    </w:p>
    <w:p>
      <w:pPr>
        <w:widowControl w:val="0"/>
        <w:spacing w:line="560" w:lineRule="exact"/>
        <w:ind w:firstLine="400" w:firstLineChars="20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r>
        <w:rPr>
          <w:rFonts w:hint="eastAsia" w:ascii="宋体" w:hAnsi="宋体" w:eastAsia="宋体" w:cs="宋体"/>
          <w:kern w:val="2"/>
          <w:sz w:val="20"/>
          <w:szCs w:val="20"/>
          <w:lang w:val="en" w:eastAsia="zh-CN" w:bidi="ar-SA"/>
        </w:rPr>
        <w:t>.</w:t>
      </w:r>
      <w:r>
        <w:rPr>
          <w:rFonts w:hint="eastAsia" w:ascii="宋体" w:hAnsi="宋体" w:eastAsia="宋体" w:cs="宋体"/>
          <w:kern w:val="2"/>
          <w:sz w:val="20"/>
          <w:szCs w:val="20"/>
          <w:lang w:val="en-US" w:eastAsia="zh-CN" w:bidi="ar-SA"/>
        </w:rPr>
        <w:t>营业收入、资产总额填报上一年度数据，无上一年度数据的新成立企业可不填报。</w:t>
      </w:r>
    </w:p>
    <w:p>
      <w:pPr>
        <w:widowControl w:val="0"/>
        <w:spacing w:line="560" w:lineRule="exact"/>
        <w:ind w:firstLine="400" w:firstLineChars="20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w:t>
      </w:r>
      <w:r>
        <w:rPr>
          <w:rFonts w:hint="eastAsia" w:ascii="宋体" w:hAnsi="宋体" w:eastAsia="宋体" w:cs="宋体"/>
          <w:kern w:val="2"/>
          <w:sz w:val="20"/>
          <w:szCs w:val="20"/>
          <w:lang w:val="en" w:eastAsia="zh-CN" w:bidi="ar-SA"/>
        </w:rPr>
        <w:t>.</w:t>
      </w:r>
      <w:r>
        <w:rPr>
          <w:rFonts w:hint="eastAsia" w:ascii="宋体" w:hAnsi="宋体" w:eastAsia="宋体" w:cs="宋体"/>
          <w:kern w:val="2"/>
          <w:sz w:val="20"/>
          <w:szCs w:val="20"/>
          <w:lang w:val="en-US" w:eastAsia="zh-CN" w:bidi="ar-SA"/>
        </w:rPr>
        <w:t>《中小企业声明函》须按照本函格式填写，否则评标委员会有权视其为非中小企业，不享受免于提交投标保证金的优惠政策。</w:t>
      </w:r>
    </w:p>
    <w:p>
      <w:pPr>
        <w:ind w:firstLine="400" w:firstLineChars="200"/>
        <w:rPr>
          <w:rFonts w:hint="eastAsia" w:ascii="宋体" w:hAnsi="宋体" w:eastAsia="宋体" w:cs="宋体"/>
          <w:sz w:val="20"/>
          <w:szCs w:val="21"/>
        </w:rPr>
      </w:pPr>
      <w:r>
        <w:rPr>
          <w:rFonts w:hint="eastAsia" w:ascii="宋体" w:hAnsi="宋体" w:eastAsia="宋体" w:cs="宋体"/>
          <w:kern w:val="2"/>
          <w:sz w:val="20"/>
          <w:szCs w:val="20"/>
          <w:lang w:val="en-US" w:eastAsia="zh-CN" w:bidi="ar-SA"/>
        </w:rPr>
        <w:t>3</w:t>
      </w:r>
      <w:r>
        <w:rPr>
          <w:rFonts w:hint="eastAsia" w:ascii="宋体" w:hAnsi="宋体" w:eastAsia="宋体" w:cs="宋体"/>
          <w:kern w:val="2"/>
          <w:sz w:val="20"/>
          <w:szCs w:val="20"/>
          <w:lang w:val="en" w:eastAsia="zh-CN" w:bidi="ar-SA"/>
        </w:rPr>
        <w:t>.</w:t>
      </w:r>
      <w:r>
        <w:rPr>
          <w:rFonts w:hint="eastAsia" w:ascii="宋体" w:hAnsi="宋体" w:eastAsia="宋体" w:cs="宋体"/>
          <w:kern w:val="2"/>
          <w:sz w:val="20"/>
          <w:szCs w:val="20"/>
          <w:lang w:val="en-US" w:eastAsia="zh-CN" w:bidi="ar-SA"/>
        </w:rPr>
        <w:t>招标人、招标代理机构将按有关规定公开《中小企业声明函》</w:t>
      </w:r>
      <w:r>
        <w:rPr>
          <w:rFonts w:hint="eastAsia" w:ascii="宋体" w:hAnsi="宋体" w:eastAsia="宋体" w:cs="宋体"/>
          <w:kern w:val="2"/>
          <w:sz w:val="22"/>
          <w:szCs w:val="22"/>
          <w:lang w:val="en-US" w:eastAsia="zh-CN" w:bidi="ar-SA"/>
        </w:rPr>
        <w:t>。</w:t>
      </w:r>
    </w:p>
    <w:p>
      <w:pPr>
        <w:pStyle w:val="155"/>
        <w:spacing w:line="360" w:lineRule="auto"/>
        <w:jc w:val="center"/>
        <w:outlineLvl w:val="3"/>
        <w:rPr>
          <w:rFonts w:hint="eastAsia" w:ascii="宋体" w:hAnsi="宋体" w:eastAsia="宋体" w:cs="宋体"/>
        </w:rPr>
      </w:pPr>
      <w:r>
        <w:rPr>
          <w:rFonts w:hint="eastAsia" w:ascii="宋体" w:hAnsi="宋体" w:eastAsia="宋体" w:cs="宋体"/>
          <w:b/>
          <w:sz w:val="24"/>
        </w:rPr>
        <w:t>监狱企业</w:t>
      </w:r>
    </w:p>
    <w:p>
      <w:pPr>
        <w:pStyle w:val="155"/>
        <w:spacing w:line="360" w:lineRule="auto"/>
        <w:ind w:firstLine="480"/>
        <w:rPr>
          <w:rFonts w:hint="eastAsia" w:ascii="宋体" w:hAnsi="宋体" w:eastAsia="宋体" w:cs="宋体"/>
        </w:rPr>
      </w:pPr>
      <w:r>
        <w:rPr>
          <w:rFonts w:hint="eastAsia" w:ascii="宋体" w:hAnsi="宋体" w:eastAsia="宋体" w:cs="宋体"/>
        </w:rPr>
        <w:t>提供由监狱管理局、戒毒管理局（含新疆生产建设兵团）出具的属于监狱企业的证明文件。</w:t>
      </w:r>
    </w:p>
    <w:p>
      <w:pPr>
        <w:pStyle w:val="155"/>
        <w:spacing w:line="360" w:lineRule="auto"/>
        <w:ind w:firstLine="480"/>
        <w:rPr>
          <w:rFonts w:hint="eastAsia" w:ascii="宋体" w:hAnsi="宋体" w:eastAsia="宋体" w:cs="宋体"/>
        </w:rPr>
      </w:pPr>
      <w:r>
        <w:rPr>
          <w:rFonts w:hint="eastAsia" w:ascii="宋体" w:hAnsi="宋体" w:eastAsia="宋体" w:cs="宋体"/>
        </w:rPr>
        <w:t xml:space="preserve">  </w:t>
      </w:r>
    </w:p>
    <w:p>
      <w:pPr>
        <w:pStyle w:val="155"/>
        <w:spacing w:line="360" w:lineRule="auto"/>
        <w:ind w:firstLine="480"/>
        <w:rPr>
          <w:rFonts w:hint="eastAsia" w:ascii="宋体" w:hAnsi="宋体" w:eastAsia="宋体" w:cs="宋体"/>
        </w:rPr>
      </w:pPr>
      <w:r>
        <w:rPr>
          <w:rFonts w:hint="eastAsia" w:ascii="宋体" w:hAnsi="宋体" w:eastAsia="宋体" w:cs="宋体"/>
        </w:rPr>
        <w:t>（以下格式文件由</w:t>
      </w:r>
      <w:r>
        <w:rPr>
          <w:rFonts w:hint="eastAsia" w:ascii="宋体" w:hAnsi="宋体" w:cs="宋体"/>
          <w:lang w:val="en-US" w:eastAsia="zh-CN"/>
        </w:rPr>
        <w:t>投标人</w:t>
      </w:r>
      <w:r>
        <w:rPr>
          <w:rFonts w:hint="eastAsia" w:ascii="宋体" w:hAnsi="宋体" w:eastAsia="宋体" w:cs="宋体"/>
        </w:rPr>
        <w:t>根据需要选用）</w:t>
      </w:r>
    </w:p>
    <w:p>
      <w:pPr>
        <w:pStyle w:val="155"/>
        <w:spacing w:line="360" w:lineRule="auto"/>
        <w:jc w:val="center"/>
        <w:outlineLvl w:val="3"/>
        <w:rPr>
          <w:rFonts w:hint="eastAsia" w:ascii="宋体" w:hAnsi="宋体" w:eastAsia="宋体" w:cs="宋体"/>
        </w:rPr>
      </w:pPr>
      <w:r>
        <w:rPr>
          <w:rFonts w:hint="eastAsia" w:ascii="宋体" w:hAnsi="宋体" w:eastAsia="宋体" w:cs="宋体"/>
          <w:b/>
          <w:sz w:val="24"/>
        </w:rPr>
        <w:t>残疾人福利性单位声明函</w:t>
      </w:r>
    </w:p>
    <w:p>
      <w:pPr>
        <w:pStyle w:val="155"/>
        <w:spacing w:line="360" w:lineRule="auto"/>
        <w:ind w:firstLine="48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55"/>
        <w:spacing w:line="360" w:lineRule="auto"/>
        <w:ind w:firstLine="480"/>
        <w:rPr>
          <w:rFonts w:hint="eastAsia" w:ascii="宋体" w:hAnsi="宋体" w:eastAsia="宋体" w:cs="宋体"/>
        </w:rPr>
      </w:pPr>
      <w:r>
        <w:rPr>
          <w:rFonts w:hint="eastAsia" w:ascii="宋体" w:hAnsi="宋体" w:eastAsia="宋体" w:cs="宋体"/>
        </w:rPr>
        <w:t>本单位对上述声明的真实性负责。如有虚假，将依法承担相应责任。</w:t>
      </w:r>
    </w:p>
    <w:p>
      <w:pPr>
        <w:pStyle w:val="155"/>
        <w:spacing w:line="360" w:lineRule="auto"/>
        <w:rPr>
          <w:rFonts w:hint="eastAsia" w:ascii="宋体" w:hAnsi="宋体" w:eastAsia="宋体" w:cs="宋体"/>
        </w:rPr>
      </w:pPr>
      <w:r>
        <w:rPr>
          <w:rFonts w:hint="eastAsia" w:ascii="宋体" w:hAnsi="宋体" w:eastAsia="宋体" w:cs="宋体"/>
        </w:rPr>
        <w:t xml:space="preserve"> 单位名称（盖章）：__________________</w:t>
      </w:r>
    </w:p>
    <w:p>
      <w:pPr>
        <w:pStyle w:val="155"/>
        <w:spacing w:line="360" w:lineRule="auto"/>
        <w:rPr>
          <w:rFonts w:hint="eastAsia" w:ascii="宋体" w:hAnsi="宋体" w:eastAsia="宋体" w:cs="宋体"/>
        </w:rPr>
      </w:pPr>
      <w:r>
        <w:rPr>
          <w:rFonts w:hint="eastAsia" w:ascii="宋体" w:hAnsi="宋体" w:eastAsia="宋体" w:cs="宋体"/>
        </w:rPr>
        <w:t xml:space="preserve"> 日期： 年 月 日</w:t>
      </w:r>
    </w:p>
    <w:p>
      <w:pPr>
        <w:pStyle w:val="2"/>
        <w:jc w:val="left"/>
        <w:rPr>
          <w:rFonts w:hint="default"/>
          <w:lang w:val="en-US" w:eastAsia="zh-CN"/>
        </w:rPr>
      </w:pPr>
      <w:r>
        <w:rPr>
          <w:rFonts w:hint="eastAsia" w:ascii="宋体" w:hAnsi="宋体" w:eastAsia="宋体" w:cs="宋体"/>
        </w:rPr>
        <w:t>注：本函未填写或未勾选视作未做声明。</w:t>
      </w:r>
    </w:p>
    <w:sectPr>
      <w:footerReference r:id="rId3" w:type="default"/>
      <w:endnotePr>
        <w:numFmt w:val="decimal"/>
      </w:endnotePr>
      <w:pgSz w:w="11906" w:h="16838"/>
      <w:pgMar w:top="1134" w:right="1418" w:bottom="1247" w:left="1418"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entury Schoolbook">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DMxZTA5NzgzYTcyZTJlNDEzMzBjYWJkNjk2YjEifQ=="/>
  </w:docVars>
  <w:rsids>
    <w:rsidRoot w:val="00172A27"/>
    <w:rsid w:val="00001099"/>
    <w:rsid w:val="00001160"/>
    <w:rsid w:val="00001857"/>
    <w:rsid w:val="00002AE5"/>
    <w:rsid w:val="00003292"/>
    <w:rsid w:val="00003CD3"/>
    <w:rsid w:val="00003FD1"/>
    <w:rsid w:val="00007176"/>
    <w:rsid w:val="00010500"/>
    <w:rsid w:val="00012CFC"/>
    <w:rsid w:val="0001584C"/>
    <w:rsid w:val="00020379"/>
    <w:rsid w:val="0002094F"/>
    <w:rsid w:val="00023418"/>
    <w:rsid w:val="00023B71"/>
    <w:rsid w:val="00024252"/>
    <w:rsid w:val="00024611"/>
    <w:rsid w:val="000312A3"/>
    <w:rsid w:val="00034A38"/>
    <w:rsid w:val="00036AA0"/>
    <w:rsid w:val="0004575D"/>
    <w:rsid w:val="000505FB"/>
    <w:rsid w:val="000518E0"/>
    <w:rsid w:val="000537CA"/>
    <w:rsid w:val="0005388A"/>
    <w:rsid w:val="00055E02"/>
    <w:rsid w:val="00057ABF"/>
    <w:rsid w:val="00064046"/>
    <w:rsid w:val="00064DB7"/>
    <w:rsid w:val="00067D9E"/>
    <w:rsid w:val="00071568"/>
    <w:rsid w:val="00071EF2"/>
    <w:rsid w:val="000753E9"/>
    <w:rsid w:val="00077FBA"/>
    <w:rsid w:val="0008255B"/>
    <w:rsid w:val="00082AF7"/>
    <w:rsid w:val="00083359"/>
    <w:rsid w:val="000842BE"/>
    <w:rsid w:val="0008695A"/>
    <w:rsid w:val="00087894"/>
    <w:rsid w:val="0009021F"/>
    <w:rsid w:val="00090352"/>
    <w:rsid w:val="00090C96"/>
    <w:rsid w:val="00096797"/>
    <w:rsid w:val="00097379"/>
    <w:rsid w:val="000A1CE0"/>
    <w:rsid w:val="000A6BE6"/>
    <w:rsid w:val="000A6E99"/>
    <w:rsid w:val="000A7D19"/>
    <w:rsid w:val="000B3009"/>
    <w:rsid w:val="000B3086"/>
    <w:rsid w:val="000B3839"/>
    <w:rsid w:val="000B562A"/>
    <w:rsid w:val="000C0F32"/>
    <w:rsid w:val="000C176A"/>
    <w:rsid w:val="000C52B4"/>
    <w:rsid w:val="000C65E0"/>
    <w:rsid w:val="000C7844"/>
    <w:rsid w:val="000D28EE"/>
    <w:rsid w:val="000D5262"/>
    <w:rsid w:val="000D59C1"/>
    <w:rsid w:val="000D6702"/>
    <w:rsid w:val="000D7C13"/>
    <w:rsid w:val="000E1ADA"/>
    <w:rsid w:val="000E37BA"/>
    <w:rsid w:val="000F0409"/>
    <w:rsid w:val="000F2A9E"/>
    <w:rsid w:val="000F402D"/>
    <w:rsid w:val="000F43D7"/>
    <w:rsid w:val="000F4E38"/>
    <w:rsid w:val="00100D8B"/>
    <w:rsid w:val="00102B04"/>
    <w:rsid w:val="00103ADA"/>
    <w:rsid w:val="0010433F"/>
    <w:rsid w:val="001056AB"/>
    <w:rsid w:val="00106474"/>
    <w:rsid w:val="00106BBB"/>
    <w:rsid w:val="00110665"/>
    <w:rsid w:val="0011372A"/>
    <w:rsid w:val="0011616B"/>
    <w:rsid w:val="00116B0E"/>
    <w:rsid w:val="00122B81"/>
    <w:rsid w:val="00123D01"/>
    <w:rsid w:val="00123EBD"/>
    <w:rsid w:val="00125653"/>
    <w:rsid w:val="00126424"/>
    <w:rsid w:val="0012705E"/>
    <w:rsid w:val="0013002A"/>
    <w:rsid w:val="00133062"/>
    <w:rsid w:val="00135AF3"/>
    <w:rsid w:val="001361F3"/>
    <w:rsid w:val="001417EA"/>
    <w:rsid w:val="00142D89"/>
    <w:rsid w:val="00144015"/>
    <w:rsid w:val="00144DAF"/>
    <w:rsid w:val="00147B7D"/>
    <w:rsid w:val="00152AE9"/>
    <w:rsid w:val="0015477E"/>
    <w:rsid w:val="001652FC"/>
    <w:rsid w:val="0016530C"/>
    <w:rsid w:val="001655AA"/>
    <w:rsid w:val="001719EC"/>
    <w:rsid w:val="00175FE8"/>
    <w:rsid w:val="00176D25"/>
    <w:rsid w:val="00177C3B"/>
    <w:rsid w:val="00181128"/>
    <w:rsid w:val="0018141F"/>
    <w:rsid w:val="0018189D"/>
    <w:rsid w:val="0018525B"/>
    <w:rsid w:val="00185BC6"/>
    <w:rsid w:val="00186EB2"/>
    <w:rsid w:val="001904E0"/>
    <w:rsid w:val="00190624"/>
    <w:rsid w:val="00192BCC"/>
    <w:rsid w:val="00194983"/>
    <w:rsid w:val="00195FC6"/>
    <w:rsid w:val="00197240"/>
    <w:rsid w:val="001A0BB9"/>
    <w:rsid w:val="001A21EF"/>
    <w:rsid w:val="001A265A"/>
    <w:rsid w:val="001A5B9B"/>
    <w:rsid w:val="001A6DCC"/>
    <w:rsid w:val="001A7763"/>
    <w:rsid w:val="001B1FC2"/>
    <w:rsid w:val="001B2B2F"/>
    <w:rsid w:val="001B59E3"/>
    <w:rsid w:val="001B620E"/>
    <w:rsid w:val="001C1AF0"/>
    <w:rsid w:val="001C1BD1"/>
    <w:rsid w:val="001C217D"/>
    <w:rsid w:val="001C2F7E"/>
    <w:rsid w:val="001C3C68"/>
    <w:rsid w:val="001D0134"/>
    <w:rsid w:val="001D1482"/>
    <w:rsid w:val="001D40AA"/>
    <w:rsid w:val="001D56E0"/>
    <w:rsid w:val="001D6AF2"/>
    <w:rsid w:val="001D6C28"/>
    <w:rsid w:val="001E35BB"/>
    <w:rsid w:val="001E5774"/>
    <w:rsid w:val="001E584B"/>
    <w:rsid w:val="001E7507"/>
    <w:rsid w:val="001F1446"/>
    <w:rsid w:val="001F76A3"/>
    <w:rsid w:val="001F7AAD"/>
    <w:rsid w:val="0020037D"/>
    <w:rsid w:val="0020126F"/>
    <w:rsid w:val="002019EA"/>
    <w:rsid w:val="00201F31"/>
    <w:rsid w:val="002026BE"/>
    <w:rsid w:val="00204A21"/>
    <w:rsid w:val="00204FDB"/>
    <w:rsid w:val="00207992"/>
    <w:rsid w:val="00210465"/>
    <w:rsid w:val="00212546"/>
    <w:rsid w:val="0021614A"/>
    <w:rsid w:val="00220016"/>
    <w:rsid w:val="002202BF"/>
    <w:rsid w:val="00221361"/>
    <w:rsid w:val="0022284E"/>
    <w:rsid w:val="00222C2F"/>
    <w:rsid w:val="00222F34"/>
    <w:rsid w:val="0022468C"/>
    <w:rsid w:val="00224F8D"/>
    <w:rsid w:val="00227693"/>
    <w:rsid w:val="00234C75"/>
    <w:rsid w:val="00235108"/>
    <w:rsid w:val="0024476B"/>
    <w:rsid w:val="0024508B"/>
    <w:rsid w:val="002451C2"/>
    <w:rsid w:val="002510FD"/>
    <w:rsid w:val="00252C0A"/>
    <w:rsid w:val="00253253"/>
    <w:rsid w:val="00253C54"/>
    <w:rsid w:val="002555DE"/>
    <w:rsid w:val="00255CF9"/>
    <w:rsid w:val="0025797C"/>
    <w:rsid w:val="002611A0"/>
    <w:rsid w:val="00261658"/>
    <w:rsid w:val="00262571"/>
    <w:rsid w:val="002626F9"/>
    <w:rsid w:val="00264A08"/>
    <w:rsid w:val="0027129A"/>
    <w:rsid w:val="002723D5"/>
    <w:rsid w:val="00272609"/>
    <w:rsid w:val="00274B92"/>
    <w:rsid w:val="00274E78"/>
    <w:rsid w:val="00275959"/>
    <w:rsid w:val="002761F4"/>
    <w:rsid w:val="002767C0"/>
    <w:rsid w:val="00277BF9"/>
    <w:rsid w:val="00282CF4"/>
    <w:rsid w:val="00283A37"/>
    <w:rsid w:val="002860D3"/>
    <w:rsid w:val="002869BD"/>
    <w:rsid w:val="00290C3C"/>
    <w:rsid w:val="00292A01"/>
    <w:rsid w:val="00293E5F"/>
    <w:rsid w:val="002972F1"/>
    <w:rsid w:val="002A2EF6"/>
    <w:rsid w:val="002A5341"/>
    <w:rsid w:val="002A6446"/>
    <w:rsid w:val="002A77D1"/>
    <w:rsid w:val="002B0218"/>
    <w:rsid w:val="002B22DD"/>
    <w:rsid w:val="002B49F0"/>
    <w:rsid w:val="002B4AA2"/>
    <w:rsid w:val="002B4C36"/>
    <w:rsid w:val="002B617D"/>
    <w:rsid w:val="002B6A73"/>
    <w:rsid w:val="002C19CA"/>
    <w:rsid w:val="002C6232"/>
    <w:rsid w:val="002C6A47"/>
    <w:rsid w:val="002D11E7"/>
    <w:rsid w:val="002D42E3"/>
    <w:rsid w:val="002D46AA"/>
    <w:rsid w:val="002D54E9"/>
    <w:rsid w:val="002D73A4"/>
    <w:rsid w:val="002E03A2"/>
    <w:rsid w:val="002E1DCD"/>
    <w:rsid w:val="002E3C38"/>
    <w:rsid w:val="002E56FB"/>
    <w:rsid w:val="002E7164"/>
    <w:rsid w:val="002F20AF"/>
    <w:rsid w:val="002F2B63"/>
    <w:rsid w:val="002F3239"/>
    <w:rsid w:val="002F4E17"/>
    <w:rsid w:val="002F4F1B"/>
    <w:rsid w:val="002F6A2A"/>
    <w:rsid w:val="00300FA5"/>
    <w:rsid w:val="00301797"/>
    <w:rsid w:val="00301EC5"/>
    <w:rsid w:val="00305D0F"/>
    <w:rsid w:val="00306AD9"/>
    <w:rsid w:val="003140C9"/>
    <w:rsid w:val="0031759B"/>
    <w:rsid w:val="00321037"/>
    <w:rsid w:val="00322E6C"/>
    <w:rsid w:val="003240EA"/>
    <w:rsid w:val="003317A5"/>
    <w:rsid w:val="00331AAA"/>
    <w:rsid w:val="003326AB"/>
    <w:rsid w:val="00332E48"/>
    <w:rsid w:val="0033311E"/>
    <w:rsid w:val="00333478"/>
    <w:rsid w:val="00336CE3"/>
    <w:rsid w:val="00337214"/>
    <w:rsid w:val="00340C56"/>
    <w:rsid w:val="00340EDC"/>
    <w:rsid w:val="00341375"/>
    <w:rsid w:val="003418F5"/>
    <w:rsid w:val="00343224"/>
    <w:rsid w:val="00345AD3"/>
    <w:rsid w:val="0034607F"/>
    <w:rsid w:val="003472AB"/>
    <w:rsid w:val="00352310"/>
    <w:rsid w:val="0035313E"/>
    <w:rsid w:val="00353AC0"/>
    <w:rsid w:val="00353EC5"/>
    <w:rsid w:val="00355A0C"/>
    <w:rsid w:val="00356BF9"/>
    <w:rsid w:val="00357517"/>
    <w:rsid w:val="00360315"/>
    <w:rsid w:val="00361352"/>
    <w:rsid w:val="00362D12"/>
    <w:rsid w:val="0036617B"/>
    <w:rsid w:val="0036793C"/>
    <w:rsid w:val="00367A21"/>
    <w:rsid w:val="00372BD3"/>
    <w:rsid w:val="00375379"/>
    <w:rsid w:val="0037613E"/>
    <w:rsid w:val="0038229C"/>
    <w:rsid w:val="00383ADA"/>
    <w:rsid w:val="00383FCB"/>
    <w:rsid w:val="00385580"/>
    <w:rsid w:val="003864D2"/>
    <w:rsid w:val="00386DF7"/>
    <w:rsid w:val="00387BB4"/>
    <w:rsid w:val="00394249"/>
    <w:rsid w:val="00394DA4"/>
    <w:rsid w:val="00395D3B"/>
    <w:rsid w:val="0039758A"/>
    <w:rsid w:val="003A4972"/>
    <w:rsid w:val="003A6C38"/>
    <w:rsid w:val="003A7B59"/>
    <w:rsid w:val="003B1478"/>
    <w:rsid w:val="003B45FA"/>
    <w:rsid w:val="003B5172"/>
    <w:rsid w:val="003B65BB"/>
    <w:rsid w:val="003B77B2"/>
    <w:rsid w:val="003C0A7C"/>
    <w:rsid w:val="003C1568"/>
    <w:rsid w:val="003C3A50"/>
    <w:rsid w:val="003C3CD1"/>
    <w:rsid w:val="003C4631"/>
    <w:rsid w:val="003C5C60"/>
    <w:rsid w:val="003C6493"/>
    <w:rsid w:val="003C771C"/>
    <w:rsid w:val="003D0EB9"/>
    <w:rsid w:val="003D1E4C"/>
    <w:rsid w:val="003D2148"/>
    <w:rsid w:val="003D2B45"/>
    <w:rsid w:val="003D3E35"/>
    <w:rsid w:val="003D5C8F"/>
    <w:rsid w:val="003E496E"/>
    <w:rsid w:val="003E6B9F"/>
    <w:rsid w:val="003E6CC5"/>
    <w:rsid w:val="003F25CE"/>
    <w:rsid w:val="003F299D"/>
    <w:rsid w:val="003F3EDC"/>
    <w:rsid w:val="003F41D8"/>
    <w:rsid w:val="003F4DAB"/>
    <w:rsid w:val="003F516B"/>
    <w:rsid w:val="003F6CB1"/>
    <w:rsid w:val="003F748B"/>
    <w:rsid w:val="003F7DDD"/>
    <w:rsid w:val="00401D9F"/>
    <w:rsid w:val="004037E6"/>
    <w:rsid w:val="004041E3"/>
    <w:rsid w:val="00404893"/>
    <w:rsid w:val="00404F15"/>
    <w:rsid w:val="00405634"/>
    <w:rsid w:val="004076DA"/>
    <w:rsid w:val="00412D62"/>
    <w:rsid w:val="00413EE4"/>
    <w:rsid w:val="00417A11"/>
    <w:rsid w:val="00417C08"/>
    <w:rsid w:val="0042119A"/>
    <w:rsid w:val="00421908"/>
    <w:rsid w:val="004228D8"/>
    <w:rsid w:val="00424251"/>
    <w:rsid w:val="0042434E"/>
    <w:rsid w:val="004263EF"/>
    <w:rsid w:val="00426C50"/>
    <w:rsid w:val="00426F96"/>
    <w:rsid w:val="004305AC"/>
    <w:rsid w:val="00433F0D"/>
    <w:rsid w:val="0043777D"/>
    <w:rsid w:val="00437BF2"/>
    <w:rsid w:val="004402A7"/>
    <w:rsid w:val="00441D05"/>
    <w:rsid w:val="00441EA7"/>
    <w:rsid w:val="00443A1A"/>
    <w:rsid w:val="00443D37"/>
    <w:rsid w:val="00444E91"/>
    <w:rsid w:val="00446B14"/>
    <w:rsid w:val="00447951"/>
    <w:rsid w:val="004519B2"/>
    <w:rsid w:val="00455C6F"/>
    <w:rsid w:val="004560F9"/>
    <w:rsid w:val="0045733A"/>
    <w:rsid w:val="00461A94"/>
    <w:rsid w:val="00463079"/>
    <w:rsid w:val="004636B2"/>
    <w:rsid w:val="0046486F"/>
    <w:rsid w:val="004725E4"/>
    <w:rsid w:val="004729BF"/>
    <w:rsid w:val="00474482"/>
    <w:rsid w:val="00476302"/>
    <w:rsid w:val="004777FD"/>
    <w:rsid w:val="00480A75"/>
    <w:rsid w:val="004819E1"/>
    <w:rsid w:val="00483E42"/>
    <w:rsid w:val="00491502"/>
    <w:rsid w:val="00491820"/>
    <w:rsid w:val="0049226C"/>
    <w:rsid w:val="00493A86"/>
    <w:rsid w:val="00494465"/>
    <w:rsid w:val="004A08AC"/>
    <w:rsid w:val="004A0D60"/>
    <w:rsid w:val="004A2AC6"/>
    <w:rsid w:val="004A6A63"/>
    <w:rsid w:val="004B1EA0"/>
    <w:rsid w:val="004B3144"/>
    <w:rsid w:val="004B6424"/>
    <w:rsid w:val="004B7CB7"/>
    <w:rsid w:val="004C044F"/>
    <w:rsid w:val="004C0718"/>
    <w:rsid w:val="004C3E7D"/>
    <w:rsid w:val="004C452C"/>
    <w:rsid w:val="004C49CA"/>
    <w:rsid w:val="004C5A44"/>
    <w:rsid w:val="004C6473"/>
    <w:rsid w:val="004C7D81"/>
    <w:rsid w:val="004C7D8C"/>
    <w:rsid w:val="004D03BF"/>
    <w:rsid w:val="004D1491"/>
    <w:rsid w:val="004D168A"/>
    <w:rsid w:val="004D2064"/>
    <w:rsid w:val="004D5E8D"/>
    <w:rsid w:val="004D6622"/>
    <w:rsid w:val="004E2A9B"/>
    <w:rsid w:val="004E3967"/>
    <w:rsid w:val="004E4DAE"/>
    <w:rsid w:val="004E6779"/>
    <w:rsid w:val="004E7ECF"/>
    <w:rsid w:val="004F0774"/>
    <w:rsid w:val="004F1269"/>
    <w:rsid w:val="004F24E6"/>
    <w:rsid w:val="004F25C6"/>
    <w:rsid w:val="004F2EE4"/>
    <w:rsid w:val="004F46F8"/>
    <w:rsid w:val="00501AE6"/>
    <w:rsid w:val="0050220A"/>
    <w:rsid w:val="00511552"/>
    <w:rsid w:val="00512EEE"/>
    <w:rsid w:val="00514C18"/>
    <w:rsid w:val="00515690"/>
    <w:rsid w:val="00527BA9"/>
    <w:rsid w:val="0053151E"/>
    <w:rsid w:val="005344E3"/>
    <w:rsid w:val="00537CDB"/>
    <w:rsid w:val="0054198D"/>
    <w:rsid w:val="005502D7"/>
    <w:rsid w:val="0055032E"/>
    <w:rsid w:val="00553BAE"/>
    <w:rsid w:val="00561FF6"/>
    <w:rsid w:val="0056302D"/>
    <w:rsid w:val="0056487C"/>
    <w:rsid w:val="005654F3"/>
    <w:rsid w:val="00567C46"/>
    <w:rsid w:val="00574036"/>
    <w:rsid w:val="00574BFD"/>
    <w:rsid w:val="00581E44"/>
    <w:rsid w:val="00582708"/>
    <w:rsid w:val="00587081"/>
    <w:rsid w:val="00587CCB"/>
    <w:rsid w:val="0059059E"/>
    <w:rsid w:val="00591378"/>
    <w:rsid w:val="005936C8"/>
    <w:rsid w:val="005975D5"/>
    <w:rsid w:val="00597D6B"/>
    <w:rsid w:val="005A1EC3"/>
    <w:rsid w:val="005A268D"/>
    <w:rsid w:val="005A2D54"/>
    <w:rsid w:val="005B02E5"/>
    <w:rsid w:val="005B0A0E"/>
    <w:rsid w:val="005B1A7B"/>
    <w:rsid w:val="005B4BDF"/>
    <w:rsid w:val="005B5883"/>
    <w:rsid w:val="005B6850"/>
    <w:rsid w:val="005B7136"/>
    <w:rsid w:val="005C323D"/>
    <w:rsid w:val="005C56F3"/>
    <w:rsid w:val="005C6462"/>
    <w:rsid w:val="005D3F93"/>
    <w:rsid w:val="005D4300"/>
    <w:rsid w:val="005D4775"/>
    <w:rsid w:val="005D7F18"/>
    <w:rsid w:val="005F0EA1"/>
    <w:rsid w:val="005F2FC4"/>
    <w:rsid w:val="005F5670"/>
    <w:rsid w:val="005F692E"/>
    <w:rsid w:val="005F7153"/>
    <w:rsid w:val="005F723A"/>
    <w:rsid w:val="00601E19"/>
    <w:rsid w:val="00602308"/>
    <w:rsid w:val="00603D22"/>
    <w:rsid w:val="00604B1E"/>
    <w:rsid w:val="00613370"/>
    <w:rsid w:val="0061454F"/>
    <w:rsid w:val="00615BAF"/>
    <w:rsid w:val="00621855"/>
    <w:rsid w:val="006264B0"/>
    <w:rsid w:val="00627800"/>
    <w:rsid w:val="00627EDE"/>
    <w:rsid w:val="00630620"/>
    <w:rsid w:val="00630A9D"/>
    <w:rsid w:val="00632DF8"/>
    <w:rsid w:val="00635375"/>
    <w:rsid w:val="0063706F"/>
    <w:rsid w:val="00637B40"/>
    <w:rsid w:val="006415A5"/>
    <w:rsid w:val="00642DB1"/>
    <w:rsid w:val="00644178"/>
    <w:rsid w:val="00647701"/>
    <w:rsid w:val="00650638"/>
    <w:rsid w:val="00650998"/>
    <w:rsid w:val="0065144B"/>
    <w:rsid w:val="0065150E"/>
    <w:rsid w:val="00655026"/>
    <w:rsid w:val="006550C6"/>
    <w:rsid w:val="00664A38"/>
    <w:rsid w:val="00666E5D"/>
    <w:rsid w:val="00667407"/>
    <w:rsid w:val="006679E4"/>
    <w:rsid w:val="006729F6"/>
    <w:rsid w:val="00672A87"/>
    <w:rsid w:val="00674060"/>
    <w:rsid w:val="006740E8"/>
    <w:rsid w:val="00677B07"/>
    <w:rsid w:val="00680BB3"/>
    <w:rsid w:val="00682E2B"/>
    <w:rsid w:val="00683223"/>
    <w:rsid w:val="006874AA"/>
    <w:rsid w:val="00691C3B"/>
    <w:rsid w:val="00692181"/>
    <w:rsid w:val="00692300"/>
    <w:rsid w:val="00693458"/>
    <w:rsid w:val="00693E8B"/>
    <w:rsid w:val="00693F05"/>
    <w:rsid w:val="006948AF"/>
    <w:rsid w:val="006958E1"/>
    <w:rsid w:val="00696256"/>
    <w:rsid w:val="00696CB9"/>
    <w:rsid w:val="00697470"/>
    <w:rsid w:val="006A2019"/>
    <w:rsid w:val="006A2B14"/>
    <w:rsid w:val="006B007A"/>
    <w:rsid w:val="006B0375"/>
    <w:rsid w:val="006B0C4F"/>
    <w:rsid w:val="006B10CF"/>
    <w:rsid w:val="006B170E"/>
    <w:rsid w:val="006B2385"/>
    <w:rsid w:val="006B2934"/>
    <w:rsid w:val="006B2AFC"/>
    <w:rsid w:val="006B321B"/>
    <w:rsid w:val="006B4152"/>
    <w:rsid w:val="006B535B"/>
    <w:rsid w:val="006B5EA5"/>
    <w:rsid w:val="006B6416"/>
    <w:rsid w:val="006B7405"/>
    <w:rsid w:val="006B74A8"/>
    <w:rsid w:val="006B7E10"/>
    <w:rsid w:val="006C02B8"/>
    <w:rsid w:val="006C4462"/>
    <w:rsid w:val="006C5162"/>
    <w:rsid w:val="006C67DE"/>
    <w:rsid w:val="006D4374"/>
    <w:rsid w:val="006D469D"/>
    <w:rsid w:val="006D48F1"/>
    <w:rsid w:val="006D6CAD"/>
    <w:rsid w:val="006D73B8"/>
    <w:rsid w:val="006E387F"/>
    <w:rsid w:val="006E526D"/>
    <w:rsid w:val="006E5593"/>
    <w:rsid w:val="006E55BD"/>
    <w:rsid w:val="006F24AB"/>
    <w:rsid w:val="006F2CDD"/>
    <w:rsid w:val="006F30BF"/>
    <w:rsid w:val="006F3852"/>
    <w:rsid w:val="006F4247"/>
    <w:rsid w:val="00700016"/>
    <w:rsid w:val="00700600"/>
    <w:rsid w:val="00702B57"/>
    <w:rsid w:val="00703DC1"/>
    <w:rsid w:val="007046C3"/>
    <w:rsid w:val="007053E0"/>
    <w:rsid w:val="00705AB2"/>
    <w:rsid w:val="00707BBB"/>
    <w:rsid w:val="007121E7"/>
    <w:rsid w:val="00712623"/>
    <w:rsid w:val="00712D2A"/>
    <w:rsid w:val="007137E9"/>
    <w:rsid w:val="0071427B"/>
    <w:rsid w:val="00717F42"/>
    <w:rsid w:val="00717F57"/>
    <w:rsid w:val="00722FB5"/>
    <w:rsid w:val="0072444A"/>
    <w:rsid w:val="007244F4"/>
    <w:rsid w:val="0072509B"/>
    <w:rsid w:val="00725913"/>
    <w:rsid w:val="007320A8"/>
    <w:rsid w:val="007333B9"/>
    <w:rsid w:val="007350C2"/>
    <w:rsid w:val="00736F83"/>
    <w:rsid w:val="00741833"/>
    <w:rsid w:val="00745909"/>
    <w:rsid w:val="0074755A"/>
    <w:rsid w:val="00747C9F"/>
    <w:rsid w:val="0075190A"/>
    <w:rsid w:val="0075321A"/>
    <w:rsid w:val="00755507"/>
    <w:rsid w:val="007608FA"/>
    <w:rsid w:val="00761779"/>
    <w:rsid w:val="0076266F"/>
    <w:rsid w:val="00762B39"/>
    <w:rsid w:val="00765AA9"/>
    <w:rsid w:val="00766986"/>
    <w:rsid w:val="00767EDE"/>
    <w:rsid w:val="0077047F"/>
    <w:rsid w:val="00770C08"/>
    <w:rsid w:val="00770E64"/>
    <w:rsid w:val="00773008"/>
    <w:rsid w:val="0077331A"/>
    <w:rsid w:val="00773500"/>
    <w:rsid w:val="007773E8"/>
    <w:rsid w:val="0077766E"/>
    <w:rsid w:val="00777B6C"/>
    <w:rsid w:val="00781266"/>
    <w:rsid w:val="00783205"/>
    <w:rsid w:val="00784BCD"/>
    <w:rsid w:val="00784FB5"/>
    <w:rsid w:val="007918B0"/>
    <w:rsid w:val="00791C79"/>
    <w:rsid w:val="00792427"/>
    <w:rsid w:val="007939FD"/>
    <w:rsid w:val="00794017"/>
    <w:rsid w:val="00794436"/>
    <w:rsid w:val="007960A0"/>
    <w:rsid w:val="007964EB"/>
    <w:rsid w:val="00796F14"/>
    <w:rsid w:val="007A288D"/>
    <w:rsid w:val="007A4224"/>
    <w:rsid w:val="007A5310"/>
    <w:rsid w:val="007A6435"/>
    <w:rsid w:val="007A6668"/>
    <w:rsid w:val="007A7693"/>
    <w:rsid w:val="007B02F6"/>
    <w:rsid w:val="007B0BE3"/>
    <w:rsid w:val="007B1D44"/>
    <w:rsid w:val="007B28F8"/>
    <w:rsid w:val="007B353A"/>
    <w:rsid w:val="007B51FF"/>
    <w:rsid w:val="007B52A8"/>
    <w:rsid w:val="007B6A3D"/>
    <w:rsid w:val="007B6D53"/>
    <w:rsid w:val="007B7EA6"/>
    <w:rsid w:val="007C1F2B"/>
    <w:rsid w:val="007C31B7"/>
    <w:rsid w:val="007C3973"/>
    <w:rsid w:val="007C4A3E"/>
    <w:rsid w:val="007C7768"/>
    <w:rsid w:val="007D08F3"/>
    <w:rsid w:val="007D0FDD"/>
    <w:rsid w:val="007D30D9"/>
    <w:rsid w:val="007D3737"/>
    <w:rsid w:val="007D3BC9"/>
    <w:rsid w:val="007D5EBA"/>
    <w:rsid w:val="007D7C0C"/>
    <w:rsid w:val="007E2080"/>
    <w:rsid w:val="007E28B0"/>
    <w:rsid w:val="007E50AC"/>
    <w:rsid w:val="007E5336"/>
    <w:rsid w:val="007E5E89"/>
    <w:rsid w:val="007E7DA3"/>
    <w:rsid w:val="007F07F3"/>
    <w:rsid w:val="007F22F5"/>
    <w:rsid w:val="007F2A20"/>
    <w:rsid w:val="007F392B"/>
    <w:rsid w:val="007F46F5"/>
    <w:rsid w:val="007F604F"/>
    <w:rsid w:val="007F7953"/>
    <w:rsid w:val="0080113C"/>
    <w:rsid w:val="00802C93"/>
    <w:rsid w:val="00803037"/>
    <w:rsid w:val="00803DAA"/>
    <w:rsid w:val="00806F31"/>
    <w:rsid w:val="0080785C"/>
    <w:rsid w:val="00807CD1"/>
    <w:rsid w:val="00810577"/>
    <w:rsid w:val="00810AB2"/>
    <w:rsid w:val="0081178E"/>
    <w:rsid w:val="00811CC6"/>
    <w:rsid w:val="008145AD"/>
    <w:rsid w:val="008212A2"/>
    <w:rsid w:val="00821677"/>
    <w:rsid w:val="00821EE3"/>
    <w:rsid w:val="00825073"/>
    <w:rsid w:val="008261C2"/>
    <w:rsid w:val="00827E1F"/>
    <w:rsid w:val="0083480C"/>
    <w:rsid w:val="00834D23"/>
    <w:rsid w:val="0083626F"/>
    <w:rsid w:val="00837103"/>
    <w:rsid w:val="0084048E"/>
    <w:rsid w:val="00840FBE"/>
    <w:rsid w:val="00843332"/>
    <w:rsid w:val="008501E0"/>
    <w:rsid w:val="0085095E"/>
    <w:rsid w:val="0085270F"/>
    <w:rsid w:val="00852C2B"/>
    <w:rsid w:val="00852DBB"/>
    <w:rsid w:val="00853F0A"/>
    <w:rsid w:val="00860FA3"/>
    <w:rsid w:val="00863C27"/>
    <w:rsid w:val="00864A60"/>
    <w:rsid w:val="008656B9"/>
    <w:rsid w:val="008735A6"/>
    <w:rsid w:val="008825D3"/>
    <w:rsid w:val="008834AB"/>
    <w:rsid w:val="00883DB3"/>
    <w:rsid w:val="008867DD"/>
    <w:rsid w:val="00893986"/>
    <w:rsid w:val="008942DA"/>
    <w:rsid w:val="008A0D20"/>
    <w:rsid w:val="008A1195"/>
    <w:rsid w:val="008A1239"/>
    <w:rsid w:val="008A138F"/>
    <w:rsid w:val="008A55DC"/>
    <w:rsid w:val="008A651F"/>
    <w:rsid w:val="008B1499"/>
    <w:rsid w:val="008B17BD"/>
    <w:rsid w:val="008B3931"/>
    <w:rsid w:val="008C20F2"/>
    <w:rsid w:val="008C2859"/>
    <w:rsid w:val="008C3EB9"/>
    <w:rsid w:val="008C42E4"/>
    <w:rsid w:val="008C704C"/>
    <w:rsid w:val="008D03C1"/>
    <w:rsid w:val="008D0BB4"/>
    <w:rsid w:val="008D27B9"/>
    <w:rsid w:val="008D3D8F"/>
    <w:rsid w:val="008D413C"/>
    <w:rsid w:val="008D772C"/>
    <w:rsid w:val="008E000D"/>
    <w:rsid w:val="008E1AB3"/>
    <w:rsid w:val="008E251A"/>
    <w:rsid w:val="008E2D95"/>
    <w:rsid w:val="008E2EA5"/>
    <w:rsid w:val="008E3F91"/>
    <w:rsid w:val="008E4751"/>
    <w:rsid w:val="008E50F1"/>
    <w:rsid w:val="008E76DB"/>
    <w:rsid w:val="008F0104"/>
    <w:rsid w:val="008F078C"/>
    <w:rsid w:val="008F1CB6"/>
    <w:rsid w:val="008F21BD"/>
    <w:rsid w:val="008F2E1D"/>
    <w:rsid w:val="008F5B50"/>
    <w:rsid w:val="00905526"/>
    <w:rsid w:val="0090577F"/>
    <w:rsid w:val="00907A58"/>
    <w:rsid w:val="00911361"/>
    <w:rsid w:val="00912946"/>
    <w:rsid w:val="009130D2"/>
    <w:rsid w:val="009136B7"/>
    <w:rsid w:val="009137E7"/>
    <w:rsid w:val="00914E91"/>
    <w:rsid w:val="0091531D"/>
    <w:rsid w:val="009157E6"/>
    <w:rsid w:val="009158AC"/>
    <w:rsid w:val="00916CC2"/>
    <w:rsid w:val="00916D92"/>
    <w:rsid w:val="00920DFA"/>
    <w:rsid w:val="0092224F"/>
    <w:rsid w:val="00923D69"/>
    <w:rsid w:val="009241AF"/>
    <w:rsid w:val="00925CE3"/>
    <w:rsid w:val="0092771E"/>
    <w:rsid w:val="00930CF9"/>
    <w:rsid w:val="00932CE1"/>
    <w:rsid w:val="00934C0E"/>
    <w:rsid w:val="00935194"/>
    <w:rsid w:val="00937F94"/>
    <w:rsid w:val="009400F3"/>
    <w:rsid w:val="00942546"/>
    <w:rsid w:val="00943C1C"/>
    <w:rsid w:val="00946517"/>
    <w:rsid w:val="00947531"/>
    <w:rsid w:val="00947640"/>
    <w:rsid w:val="00951A41"/>
    <w:rsid w:val="00952EB1"/>
    <w:rsid w:val="00953761"/>
    <w:rsid w:val="00955D75"/>
    <w:rsid w:val="009562D0"/>
    <w:rsid w:val="009572E3"/>
    <w:rsid w:val="00957C8A"/>
    <w:rsid w:val="00957EE8"/>
    <w:rsid w:val="009612D5"/>
    <w:rsid w:val="00961D12"/>
    <w:rsid w:val="0096226A"/>
    <w:rsid w:val="00967B75"/>
    <w:rsid w:val="00970635"/>
    <w:rsid w:val="009718A5"/>
    <w:rsid w:val="00971A26"/>
    <w:rsid w:val="00975B74"/>
    <w:rsid w:val="00976683"/>
    <w:rsid w:val="00976B20"/>
    <w:rsid w:val="00977723"/>
    <w:rsid w:val="00982117"/>
    <w:rsid w:val="0098340F"/>
    <w:rsid w:val="009838D7"/>
    <w:rsid w:val="00985BD9"/>
    <w:rsid w:val="00990071"/>
    <w:rsid w:val="0099080F"/>
    <w:rsid w:val="00992D1A"/>
    <w:rsid w:val="00995253"/>
    <w:rsid w:val="0099534E"/>
    <w:rsid w:val="00996078"/>
    <w:rsid w:val="00996C63"/>
    <w:rsid w:val="009971BF"/>
    <w:rsid w:val="009A238C"/>
    <w:rsid w:val="009B141A"/>
    <w:rsid w:val="009B1439"/>
    <w:rsid w:val="009B15F0"/>
    <w:rsid w:val="009B2C43"/>
    <w:rsid w:val="009B57CB"/>
    <w:rsid w:val="009C2E29"/>
    <w:rsid w:val="009C5768"/>
    <w:rsid w:val="009C766C"/>
    <w:rsid w:val="009D1952"/>
    <w:rsid w:val="009D49A5"/>
    <w:rsid w:val="009D565B"/>
    <w:rsid w:val="009D7BF9"/>
    <w:rsid w:val="009E1006"/>
    <w:rsid w:val="009E4C74"/>
    <w:rsid w:val="009E4F71"/>
    <w:rsid w:val="009E58D8"/>
    <w:rsid w:val="009E5D22"/>
    <w:rsid w:val="009E79E7"/>
    <w:rsid w:val="009F06E8"/>
    <w:rsid w:val="009F21FB"/>
    <w:rsid w:val="009F3A27"/>
    <w:rsid w:val="009F615C"/>
    <w:rsid w:val="00A0057F"/>
    <w:rsid w:val="00A055A7"/>
    <w:rsid w:val="00A05766"/>
    <w:rsid w:val="00A10DE5"/>
    <w:rsid w:val="00A138C1"/>
    <w:rsid w:val="00A14594"/>
    <w:rsid w:val="00A153E3"/>
    <w:rsid w:val="00A16122"/>
    <w:rsid w:val="00A20963"/>
    <w:rsid w:val="00A23CCF"/>
    <w:rsid w:val="00A23D57"/>
    <w:rsid w:val="00A24CC7"/>
    <w:rsid w:val="00A32ADD"/>
    <w:rsid w:val="00A33EB6"/>
    <w:rsid w:val="00A34BEE"/>
    <w:rsid w:val="00A3737E"/>
    <w:rsid w:val="00A41536"/>
    <w:rsid w:val="00A4421E"/>
    <w:rsid w:val="00A4488D"/>
    <w:rsid w:val="00A54355"/>
    <w:rsid w:val="00A558E1"/>
    <w:rsid w:val="00A577DE"/>
    <w:rsid w:val="00A66404"/>
    <w:rsid w:val="00A66A8D"/>
    <w:rsid w:val="00A7667A"/>
    <w:rsid w:val="00A77E84"/>
    <w:rsid w:val="00A83B57"/>
    <w:rsid w:val="00A83CB5"/>
    <w:rsid w:val="00A858E8"/>
    <w:rsid w:val="00A8606F"/>
    <w:rsid w:val="00A910B2"/>
    <w:rsid w:val="00A925A2"/>
    <w:rsid w:val="00A97F08"/>
    <w:rsid w:val="00AA28DC"/>
    <w:rsid w:val="00AA2AFB"/>
    <w:rsid w:val="00AA33E7"/>
    <w:rsid w:val="00AA3D37"/>
    <w:rsid w:val="00AA4388"/>
    <w:rsid w:val="00AB1D98"/>
    <w:rsid w:val="00AB289B"/>
    <w:rsid w:val="00AB3953"/>
    <w:rsid w:val="00AB3B72"/>
    <w:rsid w:val="00AB4874"/>
    <w:rsid w:val="00AC00E9"/>
    <w:rsid w:val="00AC016F"/>
    <w:rsid w:val="00AC0E57"/>
    <w:rsid w:val="00AC3520"/>
    <w:rsid w:val="00AC6405"/>
    <w:rsid w:val="00AC6B73"/>
    <w:rsid w:val="00AD7DB2"/>
    <w:rsid w:val="00AD7F9F"/>
    <w:rsid w:val="00AE09E9"/>
    <w:rsid w:val="00AE1DBE"/>
    <w:rsid w:val="00AE2521"/>
    <w:rsid w:val="00AE2794"/>
    <w:rsid w:val="00AE6512"/>
    <w:rsid w:val="00AE7137"/>
    <w:rsid w:val="00AF1657"/>
    <w:rsid w:val="00AF39AB"/>
    <w:rsid w:val="00AF3C96"/>
    <w:rsid w:val="00AF4ED7"/>
    <w:rsid w:val="00AF6DF1"/>
    <w:rsid w:val="00AF72AC"/>
    <w:rsid w:val="00AF7D4B"/>
    <w:rsid w:val="00B0019B"/>
    <w:rsid w:val="00B058C3"/>
    <w:rsid w:val="00B07745"/>
    <w:rsid w:val="00B15373"/>
    <w:rsid w:val="00B165C0"/>
    <w:rsid w:val="00B178BC"/>
    <w:rsid w:val="00B20F85"/>
    <w:rsid w:val="00B21F61"/>
    <w:rsid w:val="00B2444D"/>
    <w:rsid w:val="00B256A9"/>
    <w:rsid w:val="00B25EF3"/>
    <w:rsid w:val="00B26C19"/>
    <w:rsid w:val="00B32565"/>
    <w:rsid w:val="00B331E1"/>
    <w:rsid w:val="00B33269"/>
    <w:rsid w:val="00B3352C"/>
    <w:rsid w:val="00B345A4"/>
    <w:rsid w:val="00B3534E"/>
    <w:rsid w:val="00B36033"/>
    <w:rsid w:val="00B37C07"/>
    <w:rsid w:val="00B416CF"/>
    <w:rsid w:val="00B41DC6"/>
    <w:rsid w:val="00B42628"/>
    <w:rsid w:val="00B43B69"/>
    <w:rsid w:val="00B45569"/>
    <w:rsid w:val="00B45C52"/>
    <w:rsid w:val="00B52A51"/>
    <w:rsid w:val="00B54443"/>
    <w:rsid w:val="00B6133C"/>
    <w:rsid w:val="00B645D3"/>
    <w:rsid w:val="00B70AA2"/>
    <w:rsid w:val="00B71DBB"/>
    <w:rsid w:val="00B72A86"/>
    <w:rsid w:val="00B72BE5"/>
    <w:rsid w:val="00B755DA"/>
    <w:rsid w:val="00B81973"/>
    <w:rsid w:val="00B85E67"/>
    <w:rsid w:val="00B870DC"/>
    <w:rsid w:val="00B92164"/>
    <w:rsid w:val="00B93C12"/>
    <w:rsid w:val="00B93F74"/>
    <w:rsid w:val="00B96097"/>
    <w:rsid w:val="00BA0584"/>
    <w:rsid w:val="00BA0D82"/>
    <w:rsid w:val="00BA299E"/>
    <w:rsid w:val="00BA46B2"/>
    <w:rsid w:val="00BA592D"/>
    <w:rsid w:val="00BA5A31"/>
    <w:rsid w:val="00BA5B3E"/>
    <w:rsid w:val="00BA6065"/>
    <w:rsid w:val="00BA644D"/>
    <w:rsid w:val="00BA6ED0"/>
    <w:rsid w:val="00BA7A8F"/>
    <w:rsid w:val="00BA7CA3"/>
    <w:rsid w:val="00BB06FF"/>
    <w:rsid w:val="00BB3BA6"/>
    <w:rsid w:val="00BB40BF"/>
    <w:rsid w:val="00BB457B"/>
    <w:rsid w:val="00BB77BB"/>
    <w:rsid w:val="00BC0CA2"/>
    <w:rsid w:val="00BC12F7"/>
    <w:rsid w:val="00BC1F3B"/>
    <w:rsid w:val="00BC23DA"/>
    <w:rsid w:val="00BC3928"/>
    <w:rsid w:val="00BC3F69"/>
    <w:rsid w:val="00BC527E"/>
    <w:rsid w:val="00BC59F8"/>
    <w:rsid w:val="00BC703B"/>
    <w:rsid w:val="00BD0DBA"/>
    <w:rsid w:val="00BD1D81"/>
    <w:rsid w:val="00BD24E4"/>
    <w:rsid w:val="00BD4C38"/>
    <w:rsid w:val="00BD6459"/>
    <w:rsid w:val="00BD687A"/>
    <w:rsid w:val="00BD6A3A"/>
    <w:rsid w:val="00BE3644"/>
    <w:rsid w:val="00BE4086"/>
    <w:rsid w:val="00BE517B"/>
    <w:rsid w:val="00BE5DC8"/>
    <w:rsid w:val="00BE5F69"/>
    <w:rsid w:val="00BE67DA"/>
    <w:rsid w:val="00BE6A2E"/>
    <w:rsid w:val="00BF0729"/>
    <w:rsid w:val="00BF379C"/>
    <w:rsid w:val="00BF5657"/>
    <w:rsid w:val="00BF775C"/>
    <w:rsid w:val="00C0145B"/>
    <w:rsid w:val="00C0338B"/>
    <w:rsid w:val="00C04FC3"/>
    <w:rsid w:val="00C0523F"/>
    <w:rsid w:val="00C06DCE"/>
    <w:rsid w:val="00C1040A"/>
    <w:rsid w:val="00C12B4F"/>
    <w:rsid w:val="00C1464B"/>
    <w:rsid w:val="00C16025"/>
    <w:rsid w:val="00C161CF"/>
    <w:rsid w:val="00C16934"/>
    <w:rsid w:val="00C17761"/>
    <w:rsid w:val="00C177E6"/>
    <w:rsid w:val="00C17D84"/>
    <w:rsid w:val="00C212E2"/>
    <w:rsid w:val="00C22ADB"/>
    <w:rsid w:val="00C263E7"/>
    <w:rsid w:val="00C2655A"/>
    <w:rsid w:val="00C2777F"/>
    <w:rsid w:val="00C35A1D"/>
    <w:rsid w:val="00C3663E"/>
    <w:rsid w:val="00C378CE"/>
    <w:rsid w:val="00C43061"/>
    <w:rsid w:val="00C439D9"/>
    <w:rsid w:val="00C44620"/>
    <w:rsid w:val="00C446F6"/>
    <w:rsid w:val="00C44BF5"/>
    <w:rsid w:val="00C44C8F"/>
    <w:rsid w:val="00C44FF5"/>
    <w:rsid w:val="00C47B7D"/>
    <w:rsid w:val="00C50834"/>
    <w:rsid w:val="00C546F1"/>
    <w:rsid w:val="00C5515E"/>
    <w:rsid w:val="00C55522"/>
    <w:rsid w:val="00C562A8"/>
    <w:rsid w:val="00C578C0"/>
    <w:rsid w:val="00C578CB"/>
    <w:rsid w:val="00C60D61"/>
    <w:rsid w:val="00C619BF"/>
    <w:rsid w:val="00C651A6"/>
    <w:rsid w:val="00C657CC"/>
    <w:rsid w:val="00C67404"/>
    <w:rsid w:val="00C702A6"/>
    <w:rsid w:val="00C72EF4"/>
    <w:rsid w:val="00C744BA"/>
    <w:rsid w:val="00C77196"/>
    <w:rsid w:val="00C7720E"/>
    <w:rsid w:val="00C81B83"/>
    <w:rsid w:val="00C82087"/>
    <w:rsid w:val="00C83264"/>
    <w:rsid w:val="00C85867"/>
    <w:rsid w:val="00C85F0F"/>
    <w:rsid w:val="00C8634F"/>
    <w:rsid w:val="00C8683A"/>
    <w:rsid w:val="00C86BC2"/>
    <w:rsid w:val="00C91EA5"/>
    <w:rsid w:val="00C93A96"/>
    <w:rsid w:val="00CA0F49"/>
    <w:rsid w:val="00CA4BA2"/>
    <w:rsid w:val="00CA5AD5"/>
    <w:rsid w:val="00CB11A4"/>
    <w:rsid w:val="00CB12ED"/>
    <w:rsid w:val="00CB167D"/>
    <w:rsid w:val="00CB419F"/>
    <w:rsid w:val="00CB7148"/>
    <w:rsid w:val="00CB7992"/>
    <w:rsid w:val="00CC2568"/>
    <w:rsid w:val="00CC2F0E"/>
    <w:rsid w:val="00CC3828"/>
    <w:rsid w:val="00CC43E6"/>
    <w:rsid w:val="00CC5358"/>
    <w:rsid w:val="00CC758F"/>
    <w:rsid w:val="00CD114C"/>
    <w:rsid w:val="00CD1192"/>
    <w:rsid w:val="00CD256F"/>
    <w:rsid w:val="00CD41D1"/>
    <w:rsid w:val="00CE01E0"/>
    <w:rsid w:val="00CE04B4"/>
    <w:rsid w:val="00CE0681"/>
    <w:rsid w:val="00CE2330"/>
    <w:rsid w:val="00CE27BF"/>
    <w:rsid w:val="00CE5986"/>
    <w:rsid w:val="00CF0D0A"/>
    <w:rsid w:val="00CF0D3E"/>
    <w:rsid w:val="00CF1F16"/>
    <w:rsid w:val="00CF6D5B"/>
    <w:rsid w:val="00D02616"/>
    <w:rsid w:val="00D034F5"/>
    <w:rsid w:val="00D0413E"/>
    <w:rsid w:val="00D04927"/>
    <w:rsid w:val="00D04EC4"/>
    <w:rsid w:val="00D052A8"/>
    <w:rsid w:val="00D06188"/>
    <w:rsid w:val="00D06D17"/>
    <w:rsid w:val="00D10FBF"/>
    <w:rsid w:val="00D12C75"/>
    <w:rsid w:val="00D13217"/>
    <w:rsid w:val="00D1336A"/>
    <w:rsid w:val="00D14867"/>
    <w:rsid w:val="00D151AD"/>
    <w:rsid w:val="00D17580"/>
    <w:rsid w:val="00D179D9"/>
    <w:rsid w:val="00D23B77"/>
    <w:rsid w:val="00D30717"/>
    <w:rsid w:val="00D30E4F"/>
    <w:rsid w:val="00D31040"/>
    <w:rsid w:val="00D31D99"/>
    <w:rsid w:val="00D32A02"/>
    <w:rsid w:val="00D32B39"/>
    <w:rsid w:val="00D337BB"/>
    <w:rsid w:val="00D35503"/>
    <w:rsid w:val="00D36383"/>
    <w:rsid w:val="00D36654"/>
    <w:rsid w:val="00D40A89"/>
    <w:rsid w:val="00D41F65"/>
    <w:rsid w:val="00D42C22"/>
    <w:rsid w:val="00D434B8"/>
    <w:rsid w:val="00D43880"/>
    <w:rsid w:val="00D43D7E"/>
    <w:rsid w:val="00D514FE"/>
    <w:rsid w:val="00D531B4"/>
    <w:rsid w:val="00D54182"/>
    <w:rsid w:val="00D54311"/>
    <w:rsid w:val="00D545C8"/>
    <w:rsid w:val="00D54EC7"/>
    <w:rsid w:val="00D5527C"/>
    <w:rsid w:val="00D55E96"/>
    <w:rsid w:val="00D676C4"/>
    <w:rsid w:val="00D67A8B"/>
    <w:rsid w:val="00D70105"/>
    <w:rsid w:val="00D714E4"/>
    <w:rsid w:val="00D72772"/>
    <w:rsid w:val="00D74EEC"/>
    <w:rsid w:val="00D812D0"/>
    <w:rsid w:val="00D81DED"/>
    <w:rsid w:val="00D8502F"/>
    <w:rsid w:val="00D86B45"/>
    <w:rsid w:val="00D92E52"/>
    <w:rsid w:val="00D951CA"/>
    <w:rsid w:val="00D961A7"/>
    <w:rsid w:val="00D969D4"/>
    <w:rsid w:val="00D97974"/>
    <w:rsid w:val="00D979B5"/>
    <w:rsid w:val="00DA06F9"/>
    <w:rsid w:val="00DA3B72"/>
    <w:rsid w:val="00DA4991"/>
    <w:rsid w:val="00DA4A3F"/>
    <w:rsid w:val="00DA4F73"/>
    <w:rsid w:val="00DB5335"/>
    <w:rsid w:val="00DB57D6"/>
    <w:rsid w:val="00DB582F"/>
    <w:rsid w:val="00DB7AD7"/>
    <w:rsid w:val="00DC156F"/>
    <w:rsid w:val="00DC28D2"/>
    <w:rsid w:val="00DC3746"/>
    <w:rsid w:val="00DC5CB5"/>
    <w:rsid w:val="00DC741A"/>
    <w:rsid w:val="00DC7FD7"/>
    <w:rsid w:val="00DD0828"/>
    <w:rsid w:val="00DD11CA"/>
    <w:rsid w:val="00DD3ED7"/>
    <w:rsid w:val="00DD4E4B"/>
    <w:rsid w:val="00DD6AC8"/>
    <w:rsid w:val="00DD6F99"/>
    <w:rsid w:val="00DE1B2E"/>
    <w:rsid w:val="00DE3733"/>
    <w:rsid w:val="00DE39AD"/>
    <w:rsid w:val="00DE43C0"/>
    <w:rsid w:val="00DE7B4B"/>
    <w:rsid w:val="00DF05B3"/>
    <w:rsid w:val="00DF0E18"/>
    <w:rsid w:val="00DF1615"/>
    <w:rsid w:val="00DF1F1D"/>
    <w:rsid w:val="00DF2E35"/>
    <w:rsid w:val="00DF44FF"/>
    <w:rsid w:val="00DF71A0"/>
    <w:rsid w:val="00E01127"/>
    <w:rsid w:val="00E0123F"/>
    <w:rsid w:val="00E04351"/>
    <w:rsid w:val="00E04D2D"/>
    <w:rsid w:val="00E10622"/>
    <w:rsid w:val="00E10EE4"/>
    <w:rsid w:val="00E1138A"/>
    <w:rsid w:val="00E13C7E"/>
    <w:rsid w:val="00E13E1B"/>
    <w:rsid w:val="00E16391"/>
    <w:rsid w:val="00E171D9"/>
    <w:rsid w:val="00E218FE"/>
    <w:rsid w:val="00E222C3"/>
    <w:rsid w:val="00E24D22"/>
    <w:rsid w:val="00E255EA"/>
    <w:rsid w:val="00E2595C"/>
    <w:rsid w:val="00E25C2D"/>
    <w:rsid w:val="00E274EA"/>
    <w:rsid w:val="00E27962"/>
    <w:rsid w:val="00E31DB9"/>
    <w:rsid w:val="00E33556"/>
    <w:rsid w:val="00E33C83"/>
    <w:rsid w:val="00E36689"/>
    <w:rsid w:val="00E40963"/>
    <w:rsid w:val="00E43C5B"/>
    <w:rsid w:val="00E43CBF"/>
    <w:rsid w:val="00E44D00"/>
    <w:rsid w:val="00E46939"/>
    <w:rsid w:val="00E4779C"/>
    <w:rsid w:val="00E50AF5"/>
    <w:rsid w:val="00E513AD"/>
    <w:rsid w:val="00E5289A"/>
    <w:rsid w:val="00E57BC2"/>
    <w:rsid w:val="00E57E74"/>
    <w:rsid w:val="00E6048E"/>
    <w:rsid w:val="00E62767"/>
    <w:rsid w:val="00E64559"/>
    <w:rsid w:val="00E653BB"/>
    <w:rsid w:val="00E653DD"/>
    <w:rsid w:val="00E65676"/>
    <w:rsid w:val="00E66C24"/>
    <w:rsid w:val="00E73E70"/>
    <w:rsid w:val="00E75453"/>
    <w:rsid w:val="00E8176F"/>
    <w:rsid w:val="00E818A3"/>
    <w:rsid w:val="00E83FBD"/>
    <w:rsid w:val="00E85181"/>
    <w:rsid w:val="00E85196"/>
    <w:rsid w:val="00E87DB1"/>
    <w:rsid w:val="00E909B4"/>
    <w:rsid w:val="00E91BC3"/>
    <w:rsid w:val="00EA26AE"/>
    <w:rsid w:val="00EA3D14"/>
    <w:rsid w:val="00EA587B"/>
    <w:rsid w:val="00EA628F"/>
    <w:rsid w:val="00EB65F4"/>
    <w:rsid w:val="00EC0892"/>
    <w:rsid w:val="00EC312A"/>
    <w:rsid w:val="00EC36A4"/>
    <w:rsid w:val="00EC3B09"/>
    <w:rsid w:val="00EC449B"/>
    <w:rsid w:val="00EC6322"/>
    <w:rsid w:val="00EC63CA"/>
    <w:rsid w:val="00ED0FC7"/>
    <w:rsid w:val="00ED18FB"/>
    <w:rsid w:val="00ED3AAA"/>
    <w:rsid w:val="00ED3E68"/>
    <w:rsid w:val="00ED6734"/>
    <w:rsid w:val="00EE3CF7"/>
    <w:rsid w:val="00EE457E"/>
    <w:rsid w:val="00EF0E42"/>
    <w:rsid w:val="00EF245F"/>
    <w:rsid w:val="00EF260B"/>
    <w:rsid w:val="00EF5198"/>
    <w:rsid w:val="00EF5DEC"/>
    <w:rsid w:val="00EF61AB"/>
    <w:rsid w:val="00F01AAD"/>
    <w:rsid w:val="00F024C6"/>
    <w:rsid w:val="00F04892"/>
    <w:rsid w:val="00F05BDE"/>
    <w:rsid w:val="00F111C8"/>
    <w:rsid w:val="00F15A92"/>
    <w:rsid w:val="00F16C7F"/>
    <w:rsid w:val="00F22273"/>
    <w:rsid w:val="00F22465"/>
    <w:rsid w:val="00F276A0"/>
    <w:rsid w:val="00F2794E"/>
    <w:rsid w:val="00F27E1F"/>
    <w:rsid w:val="00F3496C"/>
    <w:rsid w:val="00F35777"/>
    <w:rsid w:val="00F40890"/>
    <w:rsid w:val="00F419D2"/>
    <w:rsid w:val="00F43211"/>
    <w:rsid w:val="00F43314"/>
    <w:rsid w:val="00F43FD1"/>
    <w:rsid w:val="00F4450B"/>
    <w:rsid w:val="00F45DC6"/>
    <w:rsid w:val="00F475F9"/>
    <w:rsid w:val="00F534DD"/>
    <w:rsid w:val="00F538F2"/>
    <w:rsid w:val="00F54F7F"/>
    <w:rsid w:val="00F56839"/>
    <w:rsid w:val="00F569F2"/>
    <w:rsid w:val="00F56D77"/>
    <w:rsid w:val="00F60507"/>
    <w:rsid w:val="00F6379B"/>
    <w:rsid w:val="00F66711"/>
    <w:rsid w:val="00F67F7B"/>
    <w:rsid w:val="00F70F1B"/>
    <w:rsid w:val="00F71E23"/>
    <w:rsid w:val="00F7446B"/>
    <w:rsid w:val="00F74704"/>
    <w:rsid w:val="00F77284"/>
    <w:rsid w:val="00F8127C"/>
    <w:rsid w:val="00F81851"/>
    <w:rsid w:val="00F81E7F"/>
    <w:rsid w:val="00F8201E"/>
    <w:rsid w:val="00F82ADF"/>
    <w:rsid w:val="00F84900"/>
    <w:rsid w:val="00F858F1"/>
    <w:rsid w:val="00F917CB"/>
    <w:rsid w:val="00F91E79"/>
    <w:rsid w:val="00F927CB"/>
    <w:rsid w:val="00F9341E"/>
    <w:rsid w:val="00F93E4D"/>
    <w:rsid w:val="00F9475E"/>
    <w:rsid w:val="00F9597C"/>
    <w:rsid w:val="00F95D25"/>
    <w:rsid w:val="00F964D5"/>
    <w:rsid w:val="00F97876"/>
    <w:rsid w:val="00FA37C5"/>
    <w:rsid w:val="00FA6EBD"/>
    <w:rsid w:val="00FA769F"/>
    <w:rsid w:val="00FA7CF3"/>
    <w:rsid w:val="00FB40E5"/>
    <w:rsid w:val="00FB4BDB"/>
    <w:rsid w:val="00FB5CC2"/>
    <w:rsid w:val="00FB64BD"/>
    <w:rsid w:val="00FB6F88"/>
    <w:rsid w:val="00FB77A4"/>
    <w:rsid w:val="00FC19D5"/>
    <w:rsid w:val="00FC421E"/>
    <w:rsid w:val="00FC57AC"/>
    <w:rsid w:val="00FC6B38"/>
    <w:rsid w:val="00FC7405"/>
    <w:rsid w:val="00FD0420"/>
    <w:rsid w:val="00FD18DD"/>
    <w:rsid w:val="00FD296A"/>
    <w:rsid w:val="00FD3406"/>
    <w:rsid w:val="00FD4A28"/>
    <w:rsid w:val="00FD55B0"/>
    <w:rsid w:val="00FD6229"/>
    <w:rsid w:val="00FD6AE3"/>
    <w:rsid w:val="00FE0FF6"/>
    <w:rsid w:val="00FE19D9"/>
    <w:rsid w:val="00FE22AA"/>
    <w:rsid w:val="00FE4117"/>
    <w:rsid w:val="00FE661D"/>
    <w:rsid w:val="00FF251F"/>
    <w:rsid w:val="00FF57F4"/>
    <w:rsid w:val="03AF0414"/>
    <w:rsid w:val="03B43190"/>
    <w:rsid w:val="03E64433"/>
    <w:rsid w:val="040B300A"/>
    <w:rsid w:val="04915675"/>
    <w:rsid w:val="04FE2794"/>
    <w:rsid w:val="055E1B6F"/>
    <w:rsid w:val="05B13E35"/>
    <w:rsid w:val="071C105C"/>
    <w:rsid w:val="071C4E64"/>
    <w:rsid w:val="07242522"/>
    <w:rsid w:val="074B2551"/>
    <w:rsid w:val="08B368C8"/>
    <w:rsid w:val="08DA48D3"/>
    <w:rsid w:val="09740463"/>
    <w:rsid w:val="09873282"/>
    <w:rsid w:val="099D5A07"/>
    <w:rsid w:val="0A79351A"/>
    <w:rsid w:val="0A947071"/>
    <w:rsid w:val="0C053C34"/>
    <w:rsid w:val="0CB13F73"/>
    <w:rsid w:val="0D066E6B"/>
    <w:rsid w:val="0D4F5940"/>
    <w:rsid w:val="0E7C72CB"/>
    <w:rsid w:val="0EC5379C"/>
    <w:rsid w:val="0FCE583F"/>
    <w:rsid w:val="106D4BD0"/>
    <w:rsid w:val="10CD3F0A"/>
    <w:rsid w:val="10CF362C"/>
    <w:rsid w:val="10ED1600"/>
    <w:rsid w:val="116F23E8"/>
    <w:rsid w:val="12406840"/>
    <w:rsid w:val="14425E44"/>
    <w:rsid w:val="14AF64EE"/>
    <w:rsid w:val="14CD26B9"/>
    <w:rsid w:val="161A2CD9"/>
    <w:rsid w:val="164F4441"/>
    <w:rsid w:val="16530255"/>
    <w:rsid w:val="17A32BA0"/>
    <w:rsid w:val="17C24058"/>
    <w:rsid w:val="17E83445"/>
    <w:rsid w:val="18A72D81"/>
    <w:rsid w:val="1926278E"/>
    <w:rsid w:val="19765415"/>
    <w:rsid w:val="1AEC76E9"/>
    <w:rsid w:val="1B5F291D"/>
    <w:rsid w:val="1C761236"/>
    <w:rsid w:val="1CE1534B"/>
    <w:rsid w:val="1CE4309C"/>
    <w:rsid w:val="1D683AF2"/>
    <w:rsid w:val="1DF04833"/>
    <w:rsid w:val="1DF14763"/>
    <w:rsid w:val="1E47324B"/>
    <w:rsid w:val="1F0079C6"/>
    <w:rsid w:val="1F714A37"/>
    <w:rsid w:val="1FBE714B"/>
    <w:rsid w:val="20F743EC"/>
    <w:rsid w:val="21DF26E9"/>
    <w:rsid w:val="225A444E"/>
    <w:rsid w:val="22CA655F"/>
    <w:rsid w:val="230C353B"/>
    <w:rsid w:val="2408121F"/>
    <w:rsid w:val="24BB37FD"/>
    <w:rsid w:val="24E46F1D"/>
    <w:rsid w:val="24FD5E26"/>
    <w:rsid w:val="25007CD2"/>
    <w:rsid w:val="268A15B0"/>
    <w:rsid w:val="27817D9B"/>
    <w:rsid w:val="284555D9"/>
    <w:rsid w:val="28B7543D"/>
    <w:rsid w:val="28EB021C"/>
    <w:rsid w:val="299D6E6E"/>
    <w:rsid w:val="29BD2714"/>
    <w:rsid w:val="29E72EF3"/>
    <w:rsid w:val="2A62092C"/>
    <w:rsid w:val="2B31320F"/>
    <w:rsid w:val="2B3E41A7"/>
    <w:rsid w:val="2BBE7B42"/>
    <w:rsid w:val="2BFE3188"/>
    <w:rsid w:val="2C0F7A85"/>
    <w:rsid w:val="2C9C4EA5"/>
    <w:rsid w:val="2CD85CCD"/>
    <w:rsid w:val="2CEF1AEA"/>
    <w:rsid w:val="2D146BC1"/>
    <w:rsid w:val="2D517806"/>
    <w:rsid w:val="2DC25AB3"/>
    <w:rsid w:val="2E2A18B0"/>
    <w:rsid w:val="2F3E4C27"/>
    <w:rsid w:val="2F3F5743"/>
    <w:rsid w:val="2F4365E1"/>
    <w:rsid w:val="30B64A3A"/>
    <w:rsid w:val="30FF3FEB"/>
    <w:rsid w:val="321D04E2"/>
    <w:rsid w:val="32CF5376"/>
    <w:rsid w:val="32D934F4"/>
    <w:rsid w:val="33683484"/>
    <w:rsid w:val="34584FDC"/>
    <w:rsid w:val="3536441C"/>
    <w:rsid w:val="3599165E"/>
    <w:rsid w:val="36A0E0B3"/>
    <w:rsid w:val="37417008"/>
    <w:rsid w:val="37695A80"/>
    <w:rsid w:val="379279CF"/>
    <w:rsid w:val="37A5269A"/>
    <w:rsid w:val="391438DA"/>
    <w:rsid w:val="39B0308A"/>
    <w:rsid w:val="39F1726D"/>
    <w:rsid w:val="3A284F08"/>
    <w:rsid w:val="3B5E7D61"/>
    <w:rsid w:val="3C1A715A"/>
    <w:rsid w:val="3C301583"/>
    <w:rsid w:val="3C334E9C"/>
    <w:rsid w:val="3C8E7A21"/>
    <w:rsid w:val="3CA0710C"/>
    <w:rsid w:val="3DB73DA8"/>
    <w:rsid w:val="3DFD0A81"/>
    <w:rsid w:val="3E15682E"/>
    <w:rsid w:val="3E54550C"/>
    <w:rsid w:val="3E562B59"/>
    <w:rsid w:val="3EB17FCB"/>
    <w:rsid w:val="3FD86654"/>
    <w:rsid w:val="40535D77"/>
    <w:rsid w:val="4181003F"/>
    <w:rsid w:val="42591424"/>
    <w:rsid w:val="42E36959"/>
    <w:rsid w:val="43145C54"/>
    <w:rsid w:val="437F32A1"/>
    <w:rsid w:val="440633D9"/>
    <w:rsid w:val="44184095"/>
    <w:rsid w:val="445559B0"/>
    <w:rsid w:val="44C90201"/>
    <w:rsid w:val="44D04285"/>
    <w:rsid w:val="45BE6D4D"/>
    <w:rsid w:val="45E940ED"/>
    <w:rsid w:val="465931D8"/>
    <w:rsid w:val="46AB7BE8"/>
    <w:rsid w:val="46CB1411"/>
    <w:rsid w:val="47EA057B"/>
    <w:rsid w:val="4984517A"/>
    <w:rsid w:val="4A51456E"/>
    <w:rsid w:val="4B335C59"/>
    <w:rsid w:val="4B9F6E4A"/>
    <w:rsid w:val="4BA10D64"/>
    <w:rsid w:val="4BD36647"/>
    <w:rsid w:val="4BF60814"/>
    <w:rsid w:val="4C2B4E07"/>
    <w:rsid w:val="4CC60E82"/>
    <w:rsid w:val="4CF95C02"/>
    <w:rsid w:val="4D082FF4"/>
    <w:rsid w:val="4E256763"/>
    <w:rsid w:val="4E705F9B"/>
    <w:rsid w:val="4F147AD6"/>
    <w:rsid w:val="4F6A02B3"/>
    <w:rsid w:val="4F8836FD"/>
    <w:rsid w:val="501970F7"/>
    <w:rsid w:val="50641EED"/>
    <w:rsid w:val="506806B6"/>
    <w:rsid w:val="508203BF"/>
    <w:rsid w:val="50E03234"/>
    <w:rsid w:val="515A0EB8"/>
    <w:rsid w:val="521B1E4A"/>
    <w:rsid w:val="52285CEE"/>
    <w:rsid w:val="52DB2974"/>
    <w:rsid w:val="54822A0C"/>
    <w:rsid w:val="5488B699"/>
    <w:rsid w:val="55365C83"/>
    <w:rsid w:val="554423D6"/>
    <w:rsid w:val="55641CE0"/>
    <w:rsid w:val="5586461F"/>
    <w:rsid w:val="55A202A4"/>
    <w:rsid w:val="55A43163"/>
    <w:rsid w:val="55C536C8"/>
    <w:rsid w:val="56A92048"/>
    <w:rsid w:val="56D7418F"/>
    <w:rsid w:val="57FF5507"/>
    <w:rsid w:val="585C464F"/>
    <w:rsid w:val="585C653A"/>
    <w:rsid w:val="59CE364E"/>
    <w:rsid w:val="59DB200B"/>
    <w:rsid w:val="5BB05E2B"/>
    <w:rsid w:val="5CE039B7"/>
    <w:rsid w:val="5D2E194B"/>
    <w:rsid w:val="5EA661C7"/>
    <w:rsid w:val="5F096D57"/>
    <w:rsid w:val="5F125E59"/>
    <w:rsid w:val="5FC70E34"/>
    <w:rsid w:val="61FE1BDB"/>
    <w:rsid w:val="6224480E"/>
    <w:rsid w:val="62D8182A"/>
    <w:rsid w:val="63E53E5A"/>
    <w:rsid w:val="64CB29F9"/>
    <w:rsid w:val="65637C38"/>
    <w:rsid w:val="65842D99"/>
    <w:rsid w:val="65B209A8"/>
    <w:rsid w:val="65CA41EF"/>
    <w:rsid w:val="663F4FAF"/>
    <w:rsid w:val="67437F24"/>
    <w:rsid w:val="6786D0E2"/>
    <w:rsid w:val="67A31660"/>
    <w:rsid w:val="691652F6"/>
    <w:rsid w:val="6A0178E0"/>
    <w:rsid w:val="6A990D83"/>
    <w:rsid w:val="6B3D2B65"/>
    <w:rsid w:val="6C0127BE"/>
    <w:rsid w:val="6C096167"/>
    <w:rsid w:val="6DF76632"/>
    <w:rsid w:val="6F977F23"/>
    <w:rsid w:val="70F24E7C"/>
    <w:rsid w:val="714D2074"/>
    <w:rsid w:val="71DD7830"/>
    <w:rsid w:val="725E0948"/>
    <w:rsid w:val="72626D17"/>
    <w:rsid w:val="726E1076"/>
    <w:rsid w:val="731F76D5"/>
    <w:rsid w:val="73622E25"/>
    <w:rsid w:val="73F406E6"/>
    <w:rsid w:val="747166A0"/>
    <w:rsid w:val="75027CE6"/>
    <w:rsid w:val="75441AB8"/>
    <w:rsid w:val="7614351C"/>
    <w:rsid w:val="76335E14"/>
    <w:rsid w:val="76661659"/>
    <w:rsid w:val="7706569E"/>
    <w:rsid w:val="77A31766"/>
    <w:rsid w:val="780F5DCA"/>
    <w:rsid w:val="7A344886"/>
    <w:rsid w:val="7BBC5176"/>
    <w:rsid w:val="7C0835DC"/>
    <w:rsid w:val="7C867974"/>
    <w:rsid w:val="7CBD575C"/>
    <w:rsid w:val="7D086B57"/>
    <w:rsid w:val="7F49647E"/>
    <w:rsid w:val="7F7B5C8C"/>
    <w:rsid w:val="7F927D44"/>
    <w:rsid w:val="85DA9765"/>
    <w:rsid w:val="93B96F09"/>
    <w:rsid w:val="EF590E8E"/>
    <w:rsid w:val="F902FB13"/>
    <w:rsid w:val="FB779C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5"/>
    <w:link w:val="49"/>
    <w:qFormat/>
    <w:uiPriority w:val="0"/>
    <w:pPr>
      <w:keepNext/>
      <w:keepLines/>
      <w:spacing w:after="120" w:line="360" w:lineRule="auto"/>
      <w:jc w:val="left"/>
      <w:outlineLvl w:val="0"/>
    </w:pPr>
    <w:rPr>
      <w:kern w:val="44"/>
      <w:sz w:val="28"/>
      <w:szCs w:val="28"/>
      <w:lang w:val="en-US" w:eastAsia="zh-CN"/>
    </w:rPr>
  </w:style>
  <w:style w:type="paragraph" w:styleId="2">
    <w:name w:val="heading 2"/>
    <w:basedOn w:val="1"/>
    <w:next w:val="1"/>
    <w:link w:val="51"/>
    <w:qFormat/>
    <w:uiPriority w:val="0"/>
    <w:pPr>
      <w:keepNext/>
      <w:keepLines/>
      <w:numPr>
        <w:ilvl w:val="1"/>
        <w:numId w:val="0"/>
      </w:numPr>
      <w:tabs>
        <w:tab w:val="right" w:leader="dot" w:pos="9060"/>
      </w:tabs>
      <w:spacing w:before="120" w:after="120" w:line="415" w:lineRule="auto"/>
      <w:ind w:left="454"/>
      <w:jc w:val="center"/>
      <w:outlineLvl w:val="1"/>
    </w:pPr>
    <w:rPr>
      <w:rFonts w:ascii="Arial" w:hAnsi="Arial"/>
      <w:b/>
      <w:color w:val="000000"/>
      <w:kern w:val="0"/>
    </w:rPr>
  </w:style>
  <w:style w:type="paragraph" w:styleId="8">
    <w:name w:val="heading 3"/>
    <w:basedOn w:val="1"/>
    <w:next w:val="1"/>
    <w:link w:val="52"/>
    <w:qFormat/>
    <w:uiPriority w:val="0"/>
    <w:pPr>
      <w:widowControl/>
      <w:spacing w:before="100" w:beforeAutospacing="1" w:after="100" w:afterAutospacing="1"/>
      <w:jc w:val="left"/>
      <w:outlineLvl w:val="2"/>
    </w:pPr>
    <w:rPr>
      <w:rFonts w:ascii="宋体" w:hAnsi="宋体"/>
      <w:kern w:val="0"/>
      <w:sz w:val="27"/>
      <w:szCs w:val="27"/>
    </w:rPr>
  </w:style>
  <w:style w:type="paragraph" w:styleId="9">
    <w:name w:val="heading 4"/>
    <w:basedOn w:val="1"/>
    <w:next w:val="1"/>
    <w:link w:val="53"/>
    <w:qFormat/>
    <w:uiPriority w:val="0"/>
    <w:pPr>
      <w:keepNext/>
      <w:keepLines/>
      <w:widowControl w:val="0"/>
      <w:spacing w:before="0" w:beforeLines="50" w:beforeAutospacing="0" w:after="0" w:afterLines="50" w:afterAutospacing="0" w:line="360" w:lineRule="auto"/>
      <w:ind w:left="284" w:hanging="284"/>
      <w:outlineLvl w:val="3"/>
    </w:pPr>
    <w:rPr>
      <w:rFonts w:ascii="Arial" w:hAnsi="Arial"/>
      <w:color w:val="000000"/>
      <w:sz w:val="20"/>
      <w:szCs w:val="21"/>
    </w:rPr>
  </w:style>
  <w:style w:type="paragraph" w:styleId="10">
    <w:name w:val="heading 5"/>
    <w:basedOn w:val="9"/>
    <w:next w:val="11"/>
    <w:link w:val="54"/>
    <w:qFormat/>
    <w:uiPriority w:val="0"/>
    <w:pPr>
      <w:spacing w:line="240" w:lineRule="exact"/>
      <w:outlineLvl w:val="4"/>
    </w:pPr>
  </w:style>
  <w:style w:type="paragraph" w:styleId="12">
    <w:name w:val="heading 6"/>
    <w:basedOn w:val="1"/>
    <w:next w:val="1"/>
    <w:link w:val="55"/>
    <w:qFormat/>
    <w:uiPriority w:val="0"/>
    <w:pPr>
      <w:keepNext/>
      <w:keepLines/>
      <w:spacing w:before="240" w:after="64" w:line="320" w:lineRule="auto"/>
      <w:outlineLvl w:val="5"/>
    </w:pPr>
    <w:rPr>
      <w:rFonts w:ascii="Arial" w:hAnsi="Arial" w:eastAsia="黑体"/>
      <w:b/>
      <w:bCs/>
      <w:kern w:val="0"/>
      <w:sz w:val="24"/>
      <w:szCs w:val="24"/>
    </w:rPr>
  </w:style>
  <w:style w:type="paragraph" w:styleId="13">
    <w:name w:val="heading 7"/>
    <w:basedOn w:val="1"/>
    <w:next w:val="11"/>
    <w:link w:val="56"/>
    <w:qFormat/>
    <w:uiPriority w:val="0"/>
    <w:pPr>
      <w:keepNext/>
      <w:keepLines/>
      <w:spacing w:before="240" w:after="64" w:line="320" w:lineRule="auto"/>
      <w:outlineLvl w:val="6"/>
    </w:pPr>
    <w:rPr>
      <w:b/>
      <w:kern w:val="0"/>
      <w:sz w:val="24"/>
      <w:szCs w:val="20"/>
    </w:rPr>
  </w:style>
  <w:style w:type="paragraph" w:styleId="14">
    <w:name w:val="heading 8"/>
    <w:basedOn w:val="1"/>
    <w:next w:val="11"/>
    <w:link w:val="57"/>
    <w:qFormat/>
    <w:uiPriority w:val="0"/>
    <w:pPr>
      <w:keepNext/>
      <w:keepLines/>
      <w:spacing w:before="240" w:after="64" w:line="320" w:lineRule="auto"/>
      <w:outlineLvl w:val="7"/>
    </w:pPr>
    <w:rPr>
      <w:rFonts w:ascii="Arial" w:hAnsi="Arial" w:eastAsia="黑体"/>
      <w:kern w:val="0"/>
      <w:sz w:val="24"/>
      <w:szCs w:val="20"/>
    </w:rPr>
  </w:style>
  <w:style w:type="paragraph" w:styleId="15">
    <w:name w:val="heading 9"/>
    <w:basedOn w:val="1"/>
    <w:next w:val="11"/>
    <w:link w:val="58"/>
    <w:qFormat/>
    <w:uiPriority w:val="0"/>
    <w:pPr>
      <w:keepNext/>
      <w:keepLines/>
      <w:spacing w:before="240" w:after="64" w:line="320" w:lineRule="auto"/>
      <w:outlineLvl w:val="8"/>
    </w:pPr>
    <w:rPr>
      <w:rFonts w:ascii="Arial" w:hAnsi="Arial" w:eastAsia="黑体"/>
      <w:kern w:val="0"/>
      <w:sz w:val="20"/>
      <w:szCs w:val="20"/>
    </w:rPr>
  </w:style>
  <w:style w:type="character" w:default="1" w:styleId="35">
    <w:name w:val="Default Paragraph Font"/>
    <w:qFormat/>
    <w:uiPriority w:val="0"/>
    <w:rPr>
      <w:rFonts w:ascii="Times New Roman" w:hAnsi="Times New Roman" w:eastAsia="宋体" w:cs="Times New Roman"/>
    </w:rPr>
  </w:style>
  <w:style w:type="table" w:default="1" w:styleId="3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Title"/>
    <w:basedOn w:val="1"/>
    <w:link w:val="48"/>
    <w:qFormat/>
    <w:uiPriority w:val="0"/>
    <w:pPr>
      <w:spacing w:before="120" w:after="60"/>
      <w:jc w:val="center"/>
    </w:pPr>
    <w:rPr>
      <w:rFonts w:ascii="Arial" w:hAnsi="Arial"/>
      <w:b/>
      <w:kern w:val="0"/>
      <w:sz w:val="44"/>
      <w:szCs w:val="20"/>
    </w:rPr>
  </w:style>
  <w:style w:type="paragraph" w:styleId="5">
    <w:name w:val="Body Text First Indent"/>
    <w:basedOn w:val="6"/>
    <w:link w:val="50"/>
    <w:qFormat/>
    <w:uiPriority w:val="0"/>
    <w:pPr>
      <w:ind w:firstLine="420"/>
    </w:pPr>
    <w:rPr>
      <w:kern w:val="0"/>
      <w:sz w:val="20"/>
      <w:szCs w:val="20"/>
    </w:rPr>
  </w:style>
  <w:style w:type="paragraph" w:styleId="6">
    <w:name w:val="Body Text"/>
    <w:basedOn w:val="1"/>
    <w:next w:val="7"/>
    <w:link w:val="47"/>
    <w:qFormat/>
    <w:uiPriority w:val="0"/>
    <w:pPr>
      <w:spacing w:after="120"/>
    </w:pPr>
    <w:rPr>
      <w:rFonts w:ascii="Calibri" w:hAnsi="Calibri"/>
    </w:rPr>
  </w:style>
  <w:style w:type="paragraph" w:styleId="7">
    <w:name w:val="toc 5"/>
    <w:basedOn w:val="1"/>
    <w:next w:val="1"/>
    <w:qFormat/>
    <w:uiPriority w:val="0"/>
    <w:pPr>
      <w:ind w:left="840"/>
      <w:jc w:val="left"/>
    </w:pPr>
    <w:rPr>
      <w:sz w:val="18"/>
      <w:szCs w:val="18"/>
    </w:rPr>
  </w:style>
  <w:style w:type="paragraph" w:styleId="11">
    <w:name w:val="Normal Indent"/>
    <w:basedOn w:val="1"/>
    <w:qFormat/>
    <w:uiPriority w:val="0"/>
    <w:pPr>
      <w:ind w:firstLine="420"/>
    </w:pPr>
    <w:rPr>
      <w:rFonts w:ascii="Times New Roman" w:hAnsi="Times New Roman" w:eastAsia="宋体" w:cs="Times New Roman"/>
      <w:szCs w:val="20"/>
    </w:rPr>
  </w:style>
  <w:style w:type="paragraph" w:styleId="16">
    <w:name w:val="Document Map"/>
    <w:basedOn w:val="1"/>
    <w:link w:val="59"/>
    <w:qFormat/>
    <w:uiPriority w:val="0"/>
    <w:pPr>
      <w:shd w:val="clear" w:color="auto" w:fill="000080"/>
    </w:pPr>
    <w:rPr>
      <w:kern w:val="0"/>
      <w:sz w:val="20"/>
      <w:szCs w:val="20"/>
      <w:shd w:val="clear" w:color="auto" w:fill="000080"/>
    </w:rPr>
  </w:style>
  <w:style w:type="paragraph" w:styleId="17">
    <w:name w:val="annotation text"/>
    <w:basedOn w:val="1"/>
    <w:link w:val="60"/>
    <w:qFormat/>
    <w:uiPriority w:val="0"/>
    <w:pPr>
      <w:spacing w:line="360" w:lineRule="auto"/>
      <w:ind w:firstLine="523" w:firstLineChars="218"/>
      <w:jc w:val="left"/>
    </w:pPr>
    <w:rPr>
      <w:rFonts w:ascii="宋体" w:hAnsi="宋体"/>
      <w:kern w:val="0"/>
      <w:sz w:val="24"/>
      <w:szCs w:val="24"/>
    </w:rPr>
  </w:style>
  <w:style w:type="paragraph" w:styleId="18">
    <w:name w:val="Body Text 3"/>
    <w:basedOn w:val="1"/>
    <w:link w:val="61"/>
    <w:qFormat/>
    <w:uiPriority w:val="0"/>
    <w:pPr>
      <w:spacing w:after="120"/>
    </w:pPr>
    <w:rPr>
      <w:sz w:val="16"/>
      <w:szCs w:val="16"/>
    </w:rPr>
  </w:style>
  <w:style w:type="paragraph" w:styleId="19">
    <w:name w:val="Body Text Indent"/>
    <w:basedOn w:val="1"/>
    <w:link w:val="62"/>
    <w:qFormat/>
    <w:uiPriority w:val="0"/>
    <w:pPr>
      <w:ind w:firstLine="570"/>
    </w:pPr>
    <w:rPr>
      <w:kern w:val="0"/>
      <w:sz w:val="28"/>
      <w:szCs w:val="20"/>
    </w:rPr>
  </w:style>
  <w:style w:type="paragraph" w:styleId="20">
    <w:name w:val="Plain Text"/>
    <w:basedOn w:val="1"/>
    <w:next w:val="1"/>
    <w:link w:val="63"/>
    <w:qFormat/>
    <w:uiPriority w:val="0"/>
    <w:rPr>
      <w:rFonts w:ascii="宋体" w:hAnsi="Courier New"/>
      <w:kern w:val="0"/>
      <w:sz w:val="20"/>
      <w:szCs w:val="20"/>
    </w:rPr>
  </w:style>
  <w:style w:type="paragraph" w:styleId="21">
    <w:name w:val="Date"/>
    <w:basedOn w:val="1"/>
    <w:next w:val="1"/>
    <w:link w:val="64"/>
    <w:qFormat/>
    <w:uiPriority w:val="0"/>
    <w:rPr>
      <w:kern w:val="0"/>
      <w:sz w:val="20"/>
      <w:szCs w:val="20"/>
    </w:rPr>
  </w:style>
  <w:style w:type="paragraph" w:styleId="22">
    <w:name w:val="Body Text Indent 2"/>
    <w:basedOn w:val="1"/>
    <w:link w:val="65"/>
    <w:qFormat/>
    <w:uiPriority w:val="0"/>
    <w:pPr>
      <w:spacing w:line="400" w:lineRule="exact"/>
      <w:ind w:left="425"/>
    </w:pPr>
    <w:rPr>
      <w:color w:val="000000"/>
      <w:kern w:val="0"/>
      <w:sz w:val="24"/>
      <w:szCs w:val="20"/>
    </w:rPr>
  </w:style>
  <w:style w:type="paragraph" w:styleId="23">
    <w:name w:val="endnote text"/>
    <w:basedOn w:val="1"/>
    <w:link w:val="66"/>
    <w:qFormat/>
    <w:uiPriority w:val="0"/>
    <w:pPr>
      <w:snapToGrid w:val="0"/>
      <w:jc w:val="left"/>
    </w:pPr>
    <w:rPr>
      <w:kern w:val="0"/>
      <w:sz w:val="20"/>
      <w:szCs w:val="20"/>
    </w:rPr>
  </w:style>
  <w:style w:type="paragraph" w:styleId="24">
    <w:name w:val="Balloon Text"/>
    <w:basedOn w:val="1"/>
    <w:link w:val="67"/>
    <w:qFormat/>
    <w:uiPriority w:val="0"/>
    <w:rPr>
      <w:kern w:val="0"/>
      <w:sz w:val="18"/>
      <w:szCs w:val="18"/>
    </w:rPr>
  </w:style>
  <w:style w:type="paragraph" w:styleId="25">
    <w:name w:val="footer"/>
    <w:basedOn w:val="1"/>
    <w:link w:val="68"/>
    <w:qFormat/>
    <w:uiPriority w:val="99"/>
    <w:pPr>
      <w:tabs>
        <w:tab w:val="center" w:pos="4153"/>
        <w:tab w:val="right" w:pos="8306"/>
      </w:tabs>
      <w:snapToGrid w:val="0"/>
      <w:jc w:val="left"/>
    </w:pPr>
    <w:rPr>
      <w:kern w:val="0"/>
      <w:sz w:val="18"/>
      <w:szCs w:val="18"/>
    </w:rPr>
  </w:style>
  <w:style w:type="paragraph" w:styleId="26">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eastAsia="宋体" w:cs="Times New Roman"/>
      <w:caps/>
      <w:kern w:val="0"/>
      <w:sz w:val="24"/>
      <w:szCs w:val="32"/>
    </w:rPr>
  </w:style>
  <w:style w:type="paragraph" w:styleId="28">
    <w:name w:val="footnote text"/>
    <w:basedOn w:val="1"/>
    <w:link w:val="70"/>
    <w:qFormat/>
    <w:uiPriority w:val="0"/>
    <w:pPr>
      <w:snapToGrid w:val="0"/>
      <w:spacing w:line="360" w:lineRule="auto"/>
      <w:ind w:firstLine="523" w:firstLineChars="218"/>
      <w:jc w:val="left"/>
    </w:pPr>
    <w:rPr>
      <w:rFonts w:ascii="宋体" w:hAnsi="宋体"/>
      <w:kern w:val="0"/>
      <w:sz w:val="18"/>
      <w:szCs w:val="18"/>
    </w:rPr>
  </w:style>
  <w:style w:type="paragraph" w:styleId="29">
    <w:name w:val="Body Text Indent 3"/>
    <w:basedOn w:val="1"/>
    <w:link w:val="71"/>
    <w:qFormat/>
    <w:uiPriority w:val="0"/>
    <w:pPr>
      <w:numPr>
        <w:ilvl w:val="1"/>
        <w:numId w:val="0"/>
      </w:numPr>
      <w:tabs>
        <w:tab w:val="left" w:pos="0"/>
      </w:tabs>
      <w:spacing w:line="400" w:lineRule="exact"/>
      <w:ind w:left="563" w:leftChars="228" w:hanging="84" w:hangingChars="35"/>
    </w:pPr>
    <w:rPr>
      <w:color w:val="000000"/>
      <w:kern w:val="0"/>
      <w:sz w:val="24"/>
      <w:szCs w:val="20"/>
    </w:rPr>
  </w:style>
  <w:style w:type="paragraph" w:styleId="30">
    <w:name w:val="toc 2"/>
    <w:basedOn w:val="1"/>
    <w:next w:val="1"/>
    <w:qFormat/>
    <w:uiPriority w:val="0"/>
    <w:pPr>
      <w:tabs>
        <w:tab w:val="right" w:leader="dot" w:pos="9060"/>
      </w:tabs>
      <w:snapToGrid w:val="0"/>
      <w:spacing w:line="360" w:lineRule="auto"/>
      <w:ind w:left="420" w:leftChars="200"/>
      <w:jc w:val="left"/>
    </w:pPr>
    <w:rPr>
      <w:rFonts w:ascii="Times New Roman" w:hAnsi="Times New Roman" w:eastAsia="宋体" w:cs="Times New Roman"/>
      <w:sz w:val="24"/>
      <w:szCs w:val="24"/>
    </w:rPr>
  </w:style>
  <w:style w:type="paragraph" w:styleId="31">
    <w:name w:val="Body Text 2"/>
    <w:basedOn w:val="1"/>
    <w:link w:val="72"/>
    <w:qFormat/>
    <w:uiPriority w:val="0"/>
    <w:rPr>
      <w:rFonts w:ascii="宋体" w:hAnsi="宋体"/>
      <w:kern w:val="0"/>
      <w:sz w:val="20"/>
      <w:szCs w:val="24"/>
      <w:u w:val="single"/>
    </w:rPr>
  </w:style>
  <w:style w:type="paragraph" w:styleId="32">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3">
    <w:name w:val="annotation subject"/>
    <w:basedOn w:val="17"/>
    <w:next w:val="17"/>
    <w:link w:val="73"/>
    <w:qFormat/>
    <w:uiPriority w:val="0"/>
    <w:rPr>
      <w:b/>
      <w:bCs/>
    </w:rPr>
  </w:style>
  <w:style w:type="character" w:styleId="36">
    <w:name w:val="Strong"/>
    <w:qFormat/>
    <w:uiPriority w:val="0"/>
    <w:rPr>
      <w:rFonts w:ascii="Times New Roman" w:hAnsi="Times New Roman" w:eastAsia="宋体" w:cs="Times New Roman"/>
      <w:b/>
    </w:rPr>
  </w:style>
  <w:style w:type="character" w:styleId="37">
    <w:name w:val="endnote reference"/>
    <w:qFormat/>
    <w:uiPriority w:val="0"/>
    <w:rPr>
      <w:rFonts w:ascii="Times New Roman" w:hAnsi="Times New Roman" w:eastAsia="宋体" w:cs="Times New Roman"/>
      <w:vertAlign w:val="superscript"/>
    </w:rPr>
  </w:style>
  <w:style w:type="character" w:styleId="38">
    <w:name w:val="page number"/>
    <w:qFormat/>
    <w:uiPriority w:val="0"/>
    <w:rPr>
      <w:rFonts w:ascii="Times New Roman" w:hAnsi="Times New Roman" w:eastAsia="宋体" w:cs="Times New Roman"/>
    </w:rPr>
  </w:style>
  <w:style w:type="character" w:styleId="39">
    <w:name w:val="FollowedHyperlink"/>
    <w:qFormat/>
    <w:uiPriority w:val="0"/>
    <w:rPr>
      <w:rFonts w:ascii="Times New Roman" w:hAnsi="Times New Roman" w:eastAsia="宋体" w:cs="Times New Roman"/>
      <w:color w:val="800080"/>
      <w:u w:val="single"/>
    </w:rPr>
  </w:style>
  <w:style w:type="character" w:styleId="40">
    <w:name w:val="HTML Definition"/>
    <w:unhideWhenUsed/>
    <w:qFormat/>
    <w:uiPriority w:val="99"/>
    <w:rPr>
      <w:i/>
    </w:rPr>
  </w:style>
  <w:style w:type="character" w:styleId="41">
    <w:name w:val="Hyperlink"/>
    <w:qFormat/>
    <w:uiPriority w:val="0"/>
    <w:rPr>
      <w:rFonts w:ascii="Times New Roman" w:hAnsi="Times New Roman" w:eastAsia="宋体" w:cs="Times New Roman"/>
      <w:color w:val="000000"/>
      <w:u w:val="none"/>
    </w:rPr>
  </w:style>
  <w:style w:type="character" w:styleId="42">
    <w:name w:val="HTML Code"/>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43">
    <w:name w:val="annotation reference"/>
    <w:qFormat/>
    <w:uiPriority w:val="0"/>
    <w:rPr>
      <w:rFonts w:ascii="Times New Roman" w:hAnsi="Times New Roman" w:eastAsia="宋体" w:cs="Times New Roman"/>
      <w:sz w:val="21"/>
      <w:szCs w:val="21"/>
    </w:rPr>
  </w:style>
  <w:style w:type="character" w:styleId="44">
    <w:name w:val="footnote reference"/>
    <w:qFormat/>
    <w:uiPriority w:val="0"/>
    <w:rPr>
      <w:rFonts w:ascii="Times New Roman" w:hAnsi="Times New Roman" w:eastAsia="宋体" w:cs="Times New Roman"/>
      <w:vertAlign w:val="superscript"/>
    </w:rPr>
  </w:style>
  <w:style w:type="character" w:styleId="45">
    <w:name w:val="HTML Keyboard"/>
    <w:unhideWhenUsed/>
    <w:qFormat/>
    <w:uiPriority w:val="99"/>
    <w:rPr>
      <w:rFonts w:hint="default" w:ascii="Consolas" w:hAnsi="Consolas" w:eastAsia="Consolas" w:cs="Consolas"/>
      <w:color w:val="FFFFFF"/>
      <w:sz w:val="21"/>
      <w:szCs w:val="21"/>
      <w:shd w:val="clear" w:color="auto" w:fill="333333"/>
    </w:rPr>
  </w:style>
  <w:style w:type="character" w:styleId="46">
    <w:name w:val="HTML Sample"/>
    <w:unhideWhenUsed/>
    <w:qFormat/>
    <w:uiPriority w:val="99"/>
    <w:rPr>
      <w:rFonts w:ascii="Consolas" w:hAnsi="Consolas" w:eastAsia="Consolas" w:cs="Consolas"/>
      <w:sz w:val="21"/>
      <w:szCs w:val="21"/>
    </w:rPr>
  </w:style>
  <w:style w:type="character" w:customStyle="1" w:styleId="47">
    <w:name w:val="正文文本 字符1"/>
    <w:link w:val="6"/>
    <w:qFormat/>
    <w:uiPriority w:val="0"/>
    <w:rPr>
      <w:rFonts w:ascii="Calibri" w:hAnsi="Calibri" w:eastAsia="宋体" w:cs="Times New Roman"/>
      <w:kern w:val="2"/>
      <w:sz w:val="21"/>
      <w:szCs w:val="22"/>
      <w:lang w:val="en-US" w:eastAsia="zh-CN" w:bidi="ar-SA"/>
    </w:rPr>
  </w:style>
  <w:style w:type="character" w:customStyle="1" w:styleId="48">
    <w:name w:val="标题 字符1"/>
    <w:link w:val="4"/>
    <w:qFormat/>
    <w:uiPriority w:val="0"/>
    <w:rPr>
      <w:rFonts w:ascii="Arial" w:hAnsi="Arial" w:eastAsia="宋体" w:cs="Times New Roman"/>
      <w:b/>
      <w:sz w:val="44"/>
      <w:lang w:bidi="ar-SA"/>
    </w:rPr>
  </w:style>
  <w:style w:type="character" w:customStyle="1" w:styleId="49">
    <w:name w:val="标题 1 字符1"/>
    <w:link w:val="3"/>
    <w:qFormat/>
    <w:uiPriority w:val="0"/>
    <w:rPr>
      <w:rFonts w:ascii="Arial" w:hAnsi="Arial" w:eastAsia="宋体" w:cs="Times New Roman"/>
      <w:b/>
      <w:kern w:val="44"/>
      <w:sz w:val="28"/>
      <w:szCs w:val="28"/>
      <w:lang w:val="en-US" w:eastAsia="zh-CN" w:bidi="ar-SA"/>
    </w:rPr>
  </w:style>
  <w:style w:type="character" w:customStyle="1" w:styleId="50">
    <w:name w:val="正文文本首行缩进 字符"/>
    <w:link w:val="5"/>
    <w:qFormat/>
    <w:uiPriority w:val="0"/>
    <w:rPr>
      <w:rFonts w:ascii="Calibri" w:hAnsi="Calibri" w:eastAsia="宋体" w:cs="Times New Roman"/>
      <w:lang w:val="en-US" w:eastAsia="zh-CN" w:bidi="ar-SA"/>
    </w:rPr>
  </w:style>
  <w:style w:type="character" w:customStyle="1" w:styleId="51">
    <w:name w:val="标题 2 字符1"/>
    <w:link w:val="2"/>
    <w:qFormat/>
    <w:uiPriority w:val="0"/>
    <w:rPr>
      <w:rFonts w:ascii="Arial" w:hAnsi="Arial" w:eastAsia="宋体" w:cs="Times New Roman"/>
      <w:b/>
      <w:color w:val="000000"/>
      <w:sz w:val="24"/>
      <w:szCs w:val="24"/>
      <w:lang w:bidi="ar-SA"/>
    </w:rPr>
  </w:style>
  <w:style w:type="character" w:customStyle="1" w:styleId="52">
    <w:name w:val="标题 3 字符1"/>
    <w:link w:val="8"/>
    <w:qFormat/>
    <w:uiPriority w:val="0"/>
    <w:rPr>
      <w:rFonts w:ascii="宋体" w:hAnsi="宋体" w:eastAsia="宋体" w:cs="Times New Roman"/>
      <w:sz w:val="27"/>
      <w:szCs w:val="27"/>
      <w:lang w:val="en-US" w:eastAsia="zh-CN" w:bidi="ar-SA"/>
    </w:rPr>
  </w:style>
  <w:style w:type="character" w:customStyle="1" w:styleId="53">
    <w:name w:val="标题 4 字符1"/>
    <w:link w:val="9"/>
    <w:qFormat/>
    <w:uiPriority w:val="0"/>
    <w:rPr>
      <w:rFonts w:ascii="Arial" w:hAnsi="Arial" w:eastAsia="宋体" w:cs="Times New Roman"/>
      <w:color w:val="000000"/>
      <w:szCs w:val="21"/>
    </w:rPr>
  </w:style>
  <w:style w:type="character" w:customStyle="1" w:styleId="54">
    <w:name w:val="标题 5 字符1"/>
    <w:link w:val="10"/>
    <w:qFormat/>
    <w:uiPriority w:val="0"/>
    <w:rPr>
      <w:rFonts w:ascii="Arial" w:hAnsi="Arial" w:eastAsia="宋体" w:cs="Times New Roman"/>
      <w:color w:val="000000"/>
      <w:szCs w:val="21"/>
    </w:rPr>
  </w:style>
  <w:style w:type="character" w:customStyle="1" w:styleId="55">
    <w:name w:val="标题 6 字符1"/>
    <w:link w:val="12"/>
    <w:qFormat/>
    <w:uiPriority w:val="0"/>
    <w:rPr>
      <w:rFonts w:ascii="Arial" w:hAnsi="Arial" w:eastAsia="黑体" w:cs="Times New Roman"/>
      <w:b/>
      <w:bCs/>
      <w:sz w:val="24"/>
      <w:szCs w:val="24"/>
    </w:rPr>
  </w:style>
  <w:style w:type="character" w:customStyle="1" w:styleId="56">
    <w:name w:val="标题 7 字符1"/>
    <w:link w:val="13"/>
    <w:qFormat/>
    <w:uiPriority w:val="0"/>
    <w:rPr>
      <w:rFonts w:ascii="Times New Roman" w:hAnsi="Times New Roman" w:eastAsia="宋体" w:cs="Times New Roman"/>
      <w:b/>
      <w:sz w:val="24"/>
    </w:rPr>
  </w:style>
  <w:style w:type="character" w:customStyle="1" w:styleId="57">
    <w:name w:val="标题 8 字符1"/>
    <w:link w:val="14"/>
    <w:qFormat/>
    <w:uiPriority w:val="0"/>
    <w:rPr>
      <w:rFonts w:ascii="Arial" w:hAnsi="Arial" w:eastAsia="黑体" w:cs="Times New Roman"/>
      <w:sz w:val="24"/>
    </w:rPr>
  </w:style>
  <w:style w:type="character" w:customStyle="1" w:styleId="58">
    <w:name w:val="标题 9 字符1"/>
    <w:link w:val="15"/>
    <w:qFormat/>
    <w:uiPriority w:val="0"/>
    <w:rPr>
      <w:rFonts w:ascii="Arial" w:hAnsi="Arial" w:eastAsia="黑体" w:cs="Times New Roman"/>
    </w:rPr>
  </w:style>
  <w:style w:type="character" w:customStyle="1" w:styleId="59">
    <w:name w:val="文档结构图 字符1"/>
    <w:link w:val="16"/>
    <w:qFormat/>
    <w:uiPriority w:val="0"/>
    <w:rPr>
      <w:rFonts w:ascii="Times New Roman" w:hAnsi="Times New Roman" w:eastAsia="宋体" w:cs="Times New Roman"/>
      <w:shd w:val="clear" w:color="auto" w:fill="000080"/>
      <w:lang w:bidi="ar-SA"/>
    </w:rPr>
  </w:style>
  <w:style w:type="character" w:customStyle="1" w:styleId="60">
    <w:name w:val="批注文字 字符1"/>
    <w:link w:val="17"/>
    <w:qFormat/>
    <w:uiPriority w:val="0"/>
    <w:rPr>
      <w:rFonts w:ascii="宋体" w:hAnsi="宋体" w:eastAsia="宋体" w:cs="Times New Roman"/>
      <w:sz w:val="24"/>
      <w:szCs w:val="24"/>
      <w:lang w:bidi="ar-SA"/>
    </w:rPr>
  </w:style>
  <w:style w:type="character" w:customStyle="1" w:styleId="61">
    <w:name w:val="正文文本 3 字符"/>
    <w:link w:val="18"/>
    <w:qFormat/>
    <w:uiPriority w:val="0"/>
    <w:rPr>
      <w:rFonts w:ascii="Times New Roman" w:hAnsi="Times New Roman" w:eastAsia="宋体" w:cs="Times New Roman"/>
      <w:kern w:val="2"/>
      <w:sz w:val="16"/>
      <w:szCs w:val="16"/>
    </w:rPr>
  </w:style>
  <w:style w:type="character" w:customStyle="1" w:styleId="62">
    <w:name w:val="正文文本缩进 字符1"/>
    <w:link w:val="19"/>
    <w:qFormat/>
    <w:uiPriority w:val="0"/>
    <w:rPr>
      <w:rFonts w:ascii="Times New Roman" w:hAnsi="Times New Roman" w:eastAsia="宋体" w:cs="Times New Roman"/>
      <w:sz w:val="28"/>
      <w:lang w:bidi="ar-SA"/>
    </w:rPr>
  </w:style>
  <w:style w:type="character" w:customStyle="1" w:styleId="63">
    <w:name w:val="纯文本 字符1"/>
    <w:link w:val="20"/>
    <w:qFormat/>
    <w:uiPriority w:val="0"/>
    <w:rPr>
      <w:rFonts w:ascii="宋体" w:hAnsi="Courier New" w:eastAsia="宋体" w:cs="Times New Roman"/>
      <w:lang w:bidi="ar-SA"/>
    </w:rPr>
  </w:style>
  <w:style w:type="character" w:customStyle="1" w:styleId="64">
    <w:name w:val="日期 字符1"/>
    <w:link w:val="21"/>
    <w:qFormat/>
    <w:uiPriority w:val="0"/>
    <w:rPr>
      <w:rFonts w:ascii="Times New Roman" w:hAnsi="Times New Roman" w:eastAsia="宋体" w:cs="Times New Roman"/>
      <w:lang w:bidi="ar-SA"/>
    </w:rPr>
  </w:style>
  <w:style w:type="character" w:customStyle="1" w:styleId="65">
    <w:name w:val="正文文本缩进 2 字符1"/>
    <w:link w:val="22"/>
    <w:qFormat/>
    <w:uiPriority w:val="0"/>
    <w:rPr>
      <w:rFonts w:ascii="Times New Roman" w:hAnsi="Times New Roman" w:eastAsia="宋体" w:cs="Times New Roman"/>
      <w:color w:val="000000"/>
      <w:sz w:val="24"/>
      <w:lang w:bidi="ar-SA"/>
    </w:rPr>
  </w:style>
  <w:style w:type="character" w:customStyle="1" w:styleId="66">
    <w:name w:val="尾注文本 字符1"/>
    <w:link w:val="23"/>
    <w:qFormat/>
    <w:uiPriority w:val="0"/>
    <w:rPr>
      <w:rFonts w:ascii="Times New Roman" w:hAnsi="Times New Roman" w:eastAsia="宋体" w:cs="Times New Roman"/>
      <w:lang w:bidi="ar-SA"/>
    </w:rPr>
  </w:style>
  <w:style w:type="character" w:customStyle="1" w:styleId="67">
    <w:name w:val="批注框文本 字符1"/>
    <w:link w:val="24"/>
    <w:qFormat/>
    <w:uiPriority w:val="0"/>
    <w:rPr>
      <w:rFonts w:ascii="Times New Roman" w:hAnsi="Times New Roman" w:eastAsia="宋体" w:cs="Times New Roman"/>
      <w:sz w:val="18"/>
      <w:szCs w:val="18"/>
      <w:lang w:bidi="ar-SA"/>
    </w:rPr>
  </w:style>
  <w:style w:type="character" w:customStyle="1" w:styleId="68">
    <w:name w:val="页脚 字符1"/>
    <w:link w:val="25"/>
    <w:qFormat/>
    <w:uiPriority w:val="99"/>
    <w:rPr>
      <w:rFonts w:ascii="Times New Roman" w:hAnsi="Times New Roman" w:eastAsia="宋体" w:cs="Times New Roman"/>
      <w:sz w:val="18"/>
      <w:szCs w:val="18"/>
    </w:rPr>
  </w:style>
  <w:style w:type="character" w:customStyle="1" w:styleId="69">
    <w:name w:val="页眉 字符1"/>
    <w:link w:val="26"/>
    <w:qFormat/>
    <w:uiPriority w:val="0"/>
    <w:rPr>
      <w:rFonts w:ascii="Times New Roman" w:hAnsi="Times New Roman" w:eastAsia="宋体" w:cs="Times New Roman"/>
      <w:sz w:val="18"/>
      <w:szCs w:val="18"/>
    </w:rPr>
  </w:style>
  <w:style w:type="character" w:customStyle="1" w:styleId="70">
    <w:name w:val="脚注文本 字符1"/>
    <w:link w:val="28"/>
    <w:qFormat/>
    <w:uiPriority w:val="0"/>
    <w:rPr>
      <w:rFonts w:ascii="宋体" w:hAnsi="宋体" w:eastAsia="宋体" w:cs="Times New Roman"/>
      <w:sz w:val="18"/>
      <w:szCs w:val="18"/>
      <w:lang w:bidi="ar-SA"/>
    </w:rPr>
  </w:style>
  <w:style w:type="character" w:customStyle="1" w:styleId="71">
    <w:name w:val="正文文本缩进 3 字符1"/>
    <w:link w:val="29"/>
    <w:qFormat/>
    <w:uiPriority w:val="0"/>
    <w:rPr>
      <w:rFonts w:ascii="Times New Roman" w:hAnsi="Times New Roman" w:eastAsia="宋体" w:cs="Times New Roman"/>
      <w:color w:val="000000"/>
      <w:sz w:val="24"/>
    </w:rPr>
  </w:style>
  <w:style w:type="character" w:customStyle="1" w:styleId="72">
    <w:name w:val="正文文本 2 字符1"/>
    <w:link w:val="31"/>
    <w:qFormat/>
    <w:uiPriority w:val="0"/>
    <w:rPr>
      <w:rFonts w:ascii="宋体" w:hAnsi="宋体" w:eastAsia="宋体" w:cs="Times New Roman"/>
      <w:szCs w:val="24"/>
      <w:u w:val="single"/>
      <w:lang w:bidi="ar-SA"/>
    </w:rPr>
  </w:style>
  <w:style w:type="character" w:customStyle="1" w:styleId="73">
    <w:name w:val="批注主题 字符1"/>
    <w:link w:val="33"/>
    <w:qFormat/>
    <w:uiPriority w:val="0"/>
    <w:rPr>
      <w:rFonts w:ascii="宋体" w:hAnsi="宋体" w:eastAsia="宋体" w:cs="Times New Roman"/>
      <w:b/>
      <w:bCs/>
      <w:sz w:val="24"/>
      <w:szCs w:val="24"/>
    </w:rPr>
  </w:style>
  <w:style w:type="character" w:customStyle="1" w:styleId="74">
    <w:name w:val="批注主题 Char1"/>
    <w:qFormat/>
    <w:uiPriority w:val="0"/>
    <w:rPr>
      <w:rFonts w:ascii="Times New Roman" w:hAnsi="Times New Roman" w:eastAsia="宋体" w:cs="Times New Roman"/>
      <w:b/>
      <w:bCs/>
      <w:kern w:val="2"/>
      <w:sz w:val="21"/>
      <w:szCs w:val="22"/>
    </w:rPr>
  </w:style>
  <w:style w:type="character" w:customStyle="1" w:styleId="75">
    <w:name w:val="times"/>
    <w:qFormat/>
    <w:uiPriority w:val="0"/>
    <w:rPr>
      <w:rFonts w:ascii="Times New Roman" w:hAnsi="Times New Roman" w:eastAsia="宋体" w:cs="Times New Roman"/>
      <w:color w:val="3399FF"/>
      <w:bdr w:val="single" w:color="D1EDF8" w:sz="4" w:space="0"/>
      <w:shd w:val="clear" w:color="auto" w:fill="EAF9FF"/>
    </w:rPr>
  </w:style>
  <w:style w:type="character" w:customStyle="1" w:styleId="76">
    <w:name w:val="正文文本缩进 2 字符"/>
    <w:qFormat/>
    <w:uiPriority w:val="0"/>
    <w:rPr>
      <w:rFonts w:ascii="Calibri" w:hAnsi="Calibri" w:eastAsia="宋体" w:cs="Times New Roman"/>
    </w:rPr>
  </w:style>
  <w:style w:type="character" w:customStyle="1" w:styleId="77">
    <w:name w:val="正文文本 Char1"/>
    <w:qFormat/>
    <w:uiPriority w:val="0"/>
    <w:rPr>
      <w:rFonts w:ascii="Times New Roman" w:hAnsi="Times New Roman" w:eastAsia="宋体" w:cs="Times New Roman"/>
      <w:kern w:val="2"/>
      <w:sz w:val="21"/>
      <w:szCs w:val="22"/>
    </w:rPr>
  </w:style>
  <w:style w:type="character" w:customStyle="1" w:styleId="78">
    <w:name w:val="hover41"/>
    <w:qFormat/>
    <w:uiPriority w:val="0"/>
    <w:rPr>
      <w:rFonts w:ascii="Times New Roman" w:hAnsi="Times New Roman" w:eastAsia="宋体" w:cs="Times New Roman"/>
    </w:rPr>
  </w:style>
  <w:style w:type="character" w:customStyle="1" w:styleId="79">
    <w:name w:val="日期 字符"/>
    <w:qFormat/>
    <w:uiPriority w:val="0"/>
    <w:rPr>
      <w:rFonts w:ascii="Calibri" w:hAnsi="Calibri" w:eastAsia="宋体" w:cs="Times New Roman"/>
    </w:rPr>
  </w:style>
  <w:style w:type="character" w:customStyle="1" w:styleId="80">
    <w:name w:val="标题 3 字符"/>
    <w:qFormat/>
    <w:uiPriority w:val="0"/>
    <w:rPr>
      <w:rFonts w:ascii="Calibri" w:hAnsi="Calibri" w:eastAsia="宋体" w:cs="Times New Roman"/>
      <w:b/>
      <w:bCs/>
      <w:sz w:val="32"/>
      <w:szCs w:val="32"/>
    </w:rPr>
  </w:style>
  <w:style w:type="character" w:customStyle="1" w:styleId="81">
    <w:name w:val="文一 Char Char"/>
    <w:qFormat/>
    <w:uiPriority w:val="0"/>
    <w:rPr>
      <w:rFonts w:ascii="Times New Roman" w:hAnsi="Times New Roman" w:eastAsia="宋体" w:cs="Times New Roman"/>
      <w:snapToGrid w:val="0"/>
      <w:spacing w:val="4"/>
      <w:sz w:val="24"/>
      <w:szCs w:val="24"/>
    </w:rPr>
  </w:style>
  <w:style w:type="character" w:customStyle="1" w:styleId="82">
    <w:name w:val="hover42"/>
    <w:qFormat/>
    <w:uiPriority w:val="0"/>
    <w:rPr>
      <w:rFonts w:ascii="Times New Roman" w:hAnsi="Times New Roman" w:eastAsia="宋体" w:cs="Times New Roman"/>
    </w:rPr>
  </w:style>
  <w:style w:type="character" w:customStyle="1" w:styleId="83">
    <w:name w:val="文档结构图 Char1"/>
    <w:qFormat/>
    <w:uiPriority w:val="0"/>
    <w:rPr>
      <w:rFonts w:ascii="宋体" w:hAnsi="Times New Roman" w:eastAsia="宋体" w:cs="Times New Roman"/>
      <w:kern w:val="2"/>
      <w:sz w:val="18"/>
      <w:szCs w:val="18"/>
    </w:rPr>
  </w:style>
  <w:style w:type="character" w:customStyle="1" w:styleId="84">
    <w:name w:val="正文文本缩进 Char1"/>
    <w:qFormat/>
    <w:uiPriority w:val="0"/>
    <w:rPr>
      <w:rFonts w:ascii="Times New Roman" w:hAnsi="Times New Roman" w:eastAsia="宋体" w:cs="Times New Roman"/>
      <w:kern w:val="2"/>
      <w:sz w:val="21"/>
      <w:szCs w:val="22"/>
    </w:rPr>
  </w:style>
  <w:style w:type="character" w:customStyle="1" w:styleId="85">
    <w:name w:val="标题 4 字符"/>
    <w:qFormat/>
    <w:uiPriority w:val="0"/>
    <w:rPr>
      <w:rFonts w:ascii="等线 Light" w:hAnsi="等线 Light" w:eastAsia="等线 Light" w:cs="Times New Roman"/>
      <w:b/>
      <w:bCs/>
      <w:sz w:val="28"/>
      <w:szCs w:val="28"/>
    </w:rPr>
  </w:style>
  <w:style w:type="character" w:customStyle="1" w:styleId="86">
    <w:name w:val="标题 6 字符"/>
    <w:qFormat/>
    <w:uiPriority w:val="0"/>
    <w:rPr>
      <w:rFonts w:ascii="等线 Light" w:hAnsi="等线 Light" w:eastAsia="等线 Light" w:cs="Times New Roman"/>
      <w:b/>
      <w:bCs/>
      <w:sz w:val="24"/>
      <w:szCs w:val="24"/>
    </w:rPr>
  </w:style>
  <w:style w:type="character" w:customStyle="1" w:styleId="87">
    <w:name w:val="标题 7 字符"/>
    <w:qFormat/>
    <w:uiPriority w:val="0"/>
    <w:rPr>
      <w:rFonts w:ascii="Calibri" w:hAnsi="Calibri" w:eastAsia="宋体" w:cs="Times New Roman"/>
      <w:b/>
      <w:bCs/>
      <w:sz w:val="24"/>
      <w:szCs w:val="24"/>
    </w:rPr>
  </w:style>
  <w:style w:type="character" w:customStyle="1" w:styleId="88">
    <w:name w:val="标题 1 字符"/>
    <w:qFormat/>
    <w:uiPriority w:val="0"/>
    <w:rPr>
      <w:rFonts w:ascii="Calibri" w:hAnsi="Calibri" w:eastAsia="宋体" w:cs="Times New Roman"/>
      <w:b/>
      <w:bCs/>
      <w:kern w:val="44"/>
      <w:sz w:val="44"/>
      <w:szCs w:val="44"/>
    </w:rPr>
  </w:style>
  <w:style w:type="character" w:customStyle="1" w:styleId="89">
    <w:name w:val="尾注文本 Char1"/>
    <w:qFormat/>
    <w:uiPriority w:val="0"/>
    <w:rPr>
      <w:rFonts w:ascii="Times New Roman" w:hAnsi="Times New Roman" w:eastAsia="宋体" w:cs="Times New Roman"/>
      <w:kern w:val="2"/>
      <w:sz w:val="21"/>
      <w:szCs w:val="22"/>
    </w:rPr>
  </w:style>
  <w:style w:type="character" w:customStyle="1" w:styleId="90">
    <w:name w:val="日期 Char1"/>
    <w:qFormat/>
    <w:uiPriority w:val="0"/>
    <w:rPr>
      <w:rFonts w:ascii="Times New Roman" w:hAnsi="Times New Roman" w:eastAsia="宋体" w:cs="Times New Roman"/>
      <w:kern w:val="2"/>
      <w:sz w:val="21"/>
      <w:szCs w:val="22"/>
    </w:rPr>
  </w:style>
  <w:style w:type="character" w:customStyle="1" w:styleId="91">
    <w:name w:val="title24"/>
    <w:qFormat/>
    <w:uiPriority w:val="0"/>
  </w:style>
  <w:style w:type="character" w:customStyle="1" w:styleId="92">
    <w:name w:val="正文文本缩进 3 Char2"/>
    <w:qFormat/>
    <w:uiPriority w:val="0"/>
    <w:rPr>
      <w:rFonts w:ascii="Times New Roman" w:hAnsi="Times New Roman" w:eastAsia="宋体" w:cs="Times New Roman"/>
      <w:kern w:val="2"/>
      <w:sz w:val="16"/>
      <w:szCs w:val="16"/>
    </w:rPr>
  </w:style>
  <w:style w:type="character" w:customStyle="1" w:styleId="93">
    <w:name w:val="批注主题 Char2"/>
    <w:qFormat/>
    <w:uiPriority w:val="0"/>
    <w:rPr>
      <w:rFonts w:ascii="宋体" w:hAnsi="宋体" w:eastAsia="宋体" w:cs="Times New Roman"/>
      <w:b/>
      <w:bCs/>
      <w:kern w:val="2"/>
      <w:sz w:val="21"/>
      <w:szCs w:val="22"/>
      <w:lang w:bidi="ar-SA"/>
    </w:rPr>
  </w:style>
  <w:style w:type="character" w:customStyle="1" w:styleId="94">
    <w:name w:val="title21"/>
    <w:qFormat/>
    <w:uiPriority w:val="0"/>
  </w:style>
  <w:style w:type="character" w:customStyle="1" w:styleId="95">
    <w:name w:val="批注文字 字符"/>
    <w:qFormat/>
    <w:uiPriority w:val="0"/>
    <w:rPr>
      <w:rFonts w:ascii="Calibri" w:hAnsi="Calibri" w:eastAsia="宋体" w:cs="Times New Roman"/>
    </w:rPr>
  </w:style>
  <w:style w:type="character" w:customStyle="1" w:styleId="96">
    <w:name w:val="文档结构图 字符"/>
    <w:qFormat/>
    <w:uiPriority w:val="0"/>
    <w:rPr>
      <w:rFonts w:ascii="Microsoft YaHei UI" w:hAnsi="Calibri" w:eastAsia="Microsoft YaHei UI" w:cs="Times New Roman"/>
      <w:sz w:val="18"/>
      <w:szCs w:val="18"/>
    </w:rPr>
  </w:style>
  <w:style w:type="character" w:customStyle="1" w:styleId="97">
    <w:name w:val="正文文本1"/>
    <w:qFormat/>
    <w:uiPriority w:val="0"/>
    <w:rPr>
      <w:rFonts w:ascii="宋体" w:hAnsi="宋体" w:eastAsia="宋体" w:cs="宋体"/>
      <w:color w:val="000000"/>
      <w:spacing w:val="0"/>
      <w:w w:val="100"/>
      <w:position w:val="0"/>
      <w:sz w:val="19"/>
      <w:szCs w:val="19"/>
      <w:shd w:val="clear" w:color="auto" w:fill="FFFFFF"/>
      <w:lang w:val="zh-TW"/>
    </w:rPr>
  </w:style>
  <w:style w:type="character" w:customStyle="1" w:styleId="98">
    <w:name w:val="尾注文本 字符"/>
    <w:qFormat/>
    <w:uiPriority w:val="0"/>
    <w:rPr>
      <w:rFonts w:ascii="Calibri" w:hAnsi="Calibri" w:eastAsia="宋体" w:cs="Times New Roman"/>
    </w:rPr>
  </w:style>
  <w:style w:type="character" w:customStyle="1" w:styleId="99">
    <w:name w:val="脚注文本 Char1"/>
    <w:qFormat/>
    <w:uiPriority w:val="0"/>
    <w:rPr>
      <w:rFonts w:ascii="Times New Roman" w:hAnsi="Times New Roman" w:eastAsia="宋体" w:cs="Times New Roman"/>
      <w:kern w:val="2"/>
      <w:sz w:val="18"/>
      <w:szCs w:val="18"/>
    </w:rPr>
  </w:style>
  <w:style w:type="character" w:customStyle="1" w:styleId="100">
    <w:name w:val="脚注文本 字符"/>
    <w:qFormat/>
    <w:uiPriority w:val="0"/>
    <w:rPr>
      <w:rFonts w:ascii="Calibri" w:hAnsi="Calibri" w:eastAsia="宋体" w:cs="Times New Roman"/>
      <w:sz w:val="18"/>
      <w:szCs w:val="18"/>
    </w:rPr>
  </w:style>
  <w:style w:type="character" w:customStyle="1" w:styleId="101">
    <w:name w:val="页脚 字符"/>
    <w:qFormat/>
    <w:uiPriority w:val="0"/>
    <w:rPr>
      <w:rFonts w:ascii="Calibri" w:hAnsi="Calibri" w:eastAsia="宋体" w:cs="Times New Roman"/>
      <w:sz w:val="18"/>
      <w:szCs w:val="18"/>
    </w:rPr>
  </w:style>
  <w:style w:type="character" w:customStyle="1" w:styleId="102">
    <w:name w:val="正文文本缩进 2 Char1"/>
    <w:qFormat/>
    <w:uiPriority w:val="0"/>
    <w:rPr>
      <w:rFonts w:ascii="Times New Roman" w:hAnsi="Times New Roman" w:eastAsia="宋体" w:cs="Times New Roman"/>
      <w:kern w:val="2"/>
      <w:sz w:val="21"/>
      <w:szCs w:val="22"/>
    </w:rPr>
  </w:style>
  <w:style w:type="character" w:customStyle="1" w:styleId="103">
    <w:name w:val="批注主题 字符"/>
    <w:qFormat/>
    <w:uiPriority w:val="0"/>
    <w:rPr>
      <w:rFonts w:ascii="Calibri" w:hAnsi="Calibri" w:eastAsia="宋体" w:cs="Times New Roman"/>
      <w:b/>
      <w:bCs/>
    </w:rPr>
  </w:style>
  <w:style w:type="character" w:customStyle="1" w:styleId="104">
    <w:name w:val="标题 2 字符"/>
    <w:qFormat/>
    <w:uiPriority w:val="0"/>
    <w:rPr>
      <w:rFonts w:ascii="等线 Light" w:hAnsi="等线 Light" w:eastAsia="等线 Light" w:cs="Times New Roman"/>
      <w:b/>
      <w:bCs/>
      <w:sz w:val="32"/>
      <w:szCs w:val="32"/>
    </w:rPr>
  </w:style>
  <w:style w:type="character" w:customStyle="1" w:styleId="105">
    <w:name w:val="正文首行缩进 字符"/>
    <w:qFormat/>
    <w:uiPriority w:val="0"/>
    <w:rPr>
      <w:rFonts w:ascii="Times New Roman" w:hAnsi="Times New Roman" w:eastAsia="宋体" w:cs="Times New Roman"/>
    </w:rPr>
  </w:style>
  <w:style w:type="character" w:customStyle="1" w:styleId="106">
    <w:name w:val="正文文本缩进 3 Char1"/>
    <w:qFormat/>
    <w:uiPriority w:val="0"/>
    <w:rPr>
      <w:rFonts w:ascii="Times New Roman" w:hAnsi="Times New Roman" w:eastAsia="宋体" w:cs="Times New Roman"/>
      <w:kern w:val="2"/>
      <w:sz w:val="16"/>
      <w:szCs w:val="16"/>
    </w:rPr>
  </w:style>
  <w:style w:type="character" w:customStyle="1" w:styleId="107">
    <w:name w:val="纯文本 Char1"/>
    <w:qFormat/>
    <w:uiPriority w:val="0"/>
    <w:rPr>
      <w:rFonts w:ascii="宋体" w:hAnsi="Courier New" w:eastAsia="宋体" w:cs="Courier New"/>
      <w:kern w:val="2"/>
      <w:sz w:val="21"/>
      <w:szCs w:val="21"/>
    </w:rPr>
  </w:style>
  <w:style w:type="character" w:customStyle="1" w:styleId="108">
    <w:name w:val="批注文字 Char1"/>
    <w:qFormat/>
    <w:uiPriority w:val="0"/>
    <w:rPr>
      <w:rFonts w:ascii="Times New Roman" w:hAnsi="Times New Roman" w:eastAsia="宋体" w:cs="Times New Roman"/>
      <w:kern w:val="2"/>
      <w:sz w:val="21"/>
      <w:szCs w:val="22"/>
    </w:rPr>
  </w:style>
  <w:style w:type="character" w:customStyle="1" w:styleId="109">
    <w:name w:val="标题 8 字符"/>
    <w:qFormat/>
    <w:uiPriority w:val="0"/>
    <w:rPr>
      <w:rFonts w:ascii="等线 Light" w:hAnsi="等线 Light" w:eastAsia="等线 Light" w:cs="Times New Roman"/>
      <w:sz w:val="24"/>
      <w:szCs w:val="24"/>
    </w:rPr>
  </w:style>
  <w:style w:type="character" w:customStyle="1" w:styleId="110">
    <w:name w:val="批注框文本 字符"/>
    <w:qFormat/>
    <w:uiPriority w:val="0"/>
    <w:rPr>
      <w:rFonts w:ascii="Calibri" w:hAnsi="Calibri" w:eastAsia="宋体" w:cs="Times New Roman"/>
      <w:sz w:val="18"/>
      <w:szCs w:val="18"/>
    </w:rPr>
  </w:style>
  <w:style w:type="character" w:customStyle="1" w:styleId="111">
    <w:name w:val="_Style 110"/>
    <w:unhideWhenUsed/>
    <w:qFormat/>
    <w:uiPriority w:val="99"/>
    <w:rPr>
      <w:rFonts w:ascii="Times New Roman" w:hAnsi="Times New Roman" w:eastAsia="宋体" w:cs="Times New Roman"/>
      <w:color w:val="605E5C"/>
      <w:shd w:val="clear" w:color="auto" w:fill="E1DFDD"/>
    </w:rPr>
  </w:style>
  <w:style w:type="character" w:customStyle="1" w:styleId="112">
    <w:name w:val="正文文本_"/>
    <w:link w:val="113"/>
    <w:uiPriority w:val="0"/>
    <w:rPr>
      <w:rFonts w:ascii="宋体" w:hAnsi="宋体" w:eastAsia="宋体" w:cs="宋体"/>
      <w:sz w:val="19"/>
      <w:szCs w:val="19"/>
      <w:shd w:val="clear" w:color="auto" w:fill="FFFFFF"/>
    </w:rPr>
  </w:style>
  <w:style w:type="paragraph" w:customStyle="1" w:styleId="113">
    <w:name w:val="正文文本3"/>
    <w:basedOn w:val="1"/>
    <w:link w:val="112"/>
    <w:qFormat/>
    <w:uiPriority w:val="0"/>
    <w:pPr>
      <w:shd w:val="clear" w:color="auto" w:fill="FFFFFF"/>
      <w:spacing w:line="0" w:lineRule="atLeast"/>
      <w:jc w:val="left"/>
    </w:pPr>
    <w:rPr>
      <w:rFonts w:ascii="宋体" w:hAnsi="宋体"/>
      <w:kern w:val="0"/>
      <w:sz w:val="19"/>
      <w:szCs w:val="19"/>
    </w:rPr>
  </w:style>
  <w:style w:type="character" w:customStyle="1" w:styleId="114">
    <w:name w:val="标题 5 字符"/>
    <w:qFormat/>
    <w:uiPriority w:val="0"/>
    <w:rPr>
      <w:rFonts w:ascii="Calibri" w:hAnsi="Calibri" w:eastAsia="宋体" w:cs="Times New Roman"/>
      <w:b/>
      <w:bCs/>
      <w:sz w:val="28"/>
      <w:szCs w:val="28"/>
    </w:rPr>
  </w:style>
  <w:style w:type="character" w:customStyle="1" w:styleId="115">
    <w:name w:val="正文文本 2 字符"/>
    <w:qFormat/>
    <w:uiPriority w:val="0"/>
    <w:rPr>
      <w:rFonts w:ascii="Calibri" w:hAnsi="Calibri" w:eastAsia="宋体" w:cs="Times New Roman"/>
    </w:rPr>
  </w:style>
  <w:style w:type="character" w:customStyle="1" w:styleId="116">
    <w:name w:val="正文文本缩进 字符"/>
    <w:qFormat/>
    <w:uiPriority w:val="0"/>
    <w:rPr>
      <w:rFonts w:ascii="Calibri" w:hAnsi="Calibri" w:eastAsia="宋体" w:cs="Times New Roman"/>
    </w:rPr>
  </w:style>
  <w:style w:type="character" w:customStyle="1" w:styleId="117">
    <w:name w:val="标题 字符"/>
    <w:qFormat/>
    <w:uiPriority w:val="0"/>
    <w:rPr>
      <w:rFonts w:ascii="等线 Light" w:hAnsi="等线 Light" w:eastAsia="等线 Light" w:cs="Times New Roman"/>
      <w:b/>
      <w:bCs/>
      <w:sz w:val="32"/>
      <w:szCs w:val="32"/>
    </w:rPr>
  </w:style>
  <w:style w:type="character" w:customStyle="1" w:styleId="118">
    <w:name w:val="正文文本 + Century Schoolbook"/>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character" w:customStyle="1" w:styleId="119">
    <w:name w:val="文一 Char"/>
    <w:link w:val="120"/>
    <w:qFormat/>
    <w:uiPriority w:val="0"/>
    <w:rPr>
      <w:rFonts w:ascii="Times New Roman" w:hAnsi="Times New Roman" w:eastAsia="宋体" w:cs="Times New Roman"/>
      <w:spacing w:val="4"/>
      <w:sz w:val="24"/>
      <w:szCs w:val="24"/>
      <w:lang w:bidi="ar-SA"/>
    </w:rPr>
  </w:style>
  <w:style w:type="paragraph" w:customStyle="1" w:styleId="120">
    <w:name w:val="文一"/>
    <w:basedOn w:val="1"/>
    <w:link w:val="119"/>
    <w:qFormat/>
    <w:uiPriority w:val="0"/>
    <w:pPr>
      <w:topLinePunct/>
      <w:adjustRightInd w:val="0"/>
      <w:snapToGrid w:val="0"/>
      <w:spacing w:line="360" w:lineRule="auto"/>
      <w:ind w:firstLine="200" w:firstLineChars="200"/>
    </w:pPr>
    <w:rPr>
      <w:spacing w:val="4"/>
      <w:kern w:val="0"/>
      <w:sz w:val="24"/>
      <w:szCs w:val="24"/>
    </w:rPr>
  </w:style>
  <w:style w:type="character" w:customStyle="1" w:styleId="121">
    <w:name w:val="纯文本 字符"/>
    <w:qFormat/>
    <w:uiPriority w:val="0"/>
    <w:rPr>
      <w:rFonts w:ascii="等线" w:hAnsi="Courier New" w:eastAsia="宋体" w:cs="Courier New"/>
    </w:rPr>
  </w:style>
  <w:style w:type="character" w:customStyle="1" w:styleId="122">
    <w:name w:val="font51"/>
    <w:qFormat/>
    <w:uiPriority w:val="0"/>
    <w:rPr>
      <w:rFonts w:hint="eastAsia" w:ascii="宋体" w:hAnsi="宋体" w:eastAsia="宋体" w:cs="宋体"/>
      <w:color w:val="000000"/>
      <w:sz w:val="20"/>
      <w:szCs w:val="20"/>
      <w:u w:val="none"/>
    </w:rPr>
  </w:style>
  <w:style w:type="character" w:customStyle="1" w:styleId="123">
    <w:name w:val="标题 9 字符"/>
    <w:qFormat/>
    <w:uiPriority w:val="0"/>
    <w:rPr>
      <w:rFonts w:ascii="等线 Light" w:hAnsi="等线 Light" w:eastAsia="等线 Light" w:cs="Times New Roman"/>
      <w:szCs w:val="21"/>
    </w:rPr>
  </w:style>
  <w:style w:type="character" w:customStyle="1" w:styleId="124">
    <w:name w:val="正文文本 字符"/>
    <w:qFormat/>
    <w:uiPriority w:val="0"/>
    <w:rPr>
      <w:rFonts w:ascii="Calibri" w:hAnsi="Calibri" w:eastAsia="宋体" w:cs="Times New Roman"/>
    </w:rPr>
  </w:style>
  <w:style w:type="character" w:customStyle="1" w:styleId="125">
    <w:name w:val="正文文本 2 Char1"/>
    <w:qFormat/>
    <w:uiPriority w:val="0"/>
    <w:rPr>
      <w:rFonts w:ascii="Times New Roman" w:hAnsi="Times New Roman" w:eastAsia="宋体" w:cs="Times New Roman"/>
      <w:kern w:val="2"/>
      <w:sz w:val="21"/>
      <w:szCs w:val="22"/>
    </w:rPr>
  </w:style>
  <w:style w:type="character" w:customStyle="1" w:styleId="126">
    <w:name w:val="times1"/>
    <w:qFormat/>
    <w:uiPriority w:val="0"/>
    <w:rPr>
      <w:rFonts w:ascii="Times New Roman" w:hAnsi="Times New Roman" w:eastAsia="宋体" w:cs="Times New Roman"/>
      <w:color w:val="CDCDCD"/>
      <w:bdr w:val="single" w:color="CDCDCD" w:sz="4" w:space="0"/>
      <w:shd w:val="clear" w:color="auto" w:fill="EFEFEF"/>
    </w:rPr>
  </w:style>
  <w:style w:type="character" w:customStyle="1" w:styleId="127">
    <w:name w:val="username"/>
    <w:qFormat/>
    <w:uiPriority w:val="0"/>
  </w:style>
  <w:style w:type="character" w:customStyle="1" w:styleId="128">
    <w:name w:val="批注框文本 Char1"/>
    <w:qFormat/>
    <w:uiPriority w:val="0"/>
    <w:rPr>
      <w:rFonts w:ascii="Times New Roman" w:hAnsi="Times New Roman" w:eastAsia="宋体" w:cs="Times New Roman"/>
      <w:kern w:val="2"/>
      <w:sz w:val="18"/>
      <w:szCs w:val="18"/>
    </w:rPr>
  </w:style>
  <w:style w:type="character" w:customStyle="1" w:styleId="129">
    <w:name w:val="正文文本缩进 3 字符"/>
    <w:qFormat/>
    <w:uiPriority w:val="0"/>
    <w:rPr>
      <w:rFonts w:ascii="Calibri" w:hAnsi="Calibri" w:eastAsia="宋体" w:cs="Times New Roman"/>
      <w:sz w:val="16"/>
      <w:szCs w:val="16"/>
    </w:rPr>
  </w:style>
  <w:style w:type="character" w:customStyle="1" w:styleId="130">
    <w:name w:val="页眉 字符"/>
    <w:qFormat/>
    <w:uiPriority w:val="0"/>
    <w:rPr>
      <w:rFonts w:ascii="Calibri" w:hAnsi="Calibri" w:eastAsia="宋体" w:cs="Times New Roman"/>
      <w:sz w:val="18"/>
      <w:szCs w:val="18"/>
    </w:rPr>
  </w:style>
  <w:style w:type="character" w:customStyle="1" w:styleId="131">
    <w:name w:val="标题 Char1"/>
    <w:qFormat/>
    <w:uiPriority w:val="0"/>
    <w:rPr>
      <w:rFonts w:ascii="Cambria" w:hAnsi="Cambria" w:eastAsia="宋体" w:cs="Times New Roman"/>
      <w:b/>
      <w:bCs/>
      <w:kern w:val="2"/>
      <w:sz w:val="32"/>
      <w:szCs w:val="32"/>
    </w:rPr>
  </w:style>
  <w:style w:type="paragraph" w:customStyle="1" w:styleId="132">
    <w:name w:val="正文 A"/>
    <w:qFormat/>
    <w:uiPriority w:val="0"/>
    <w:pPr>
      <w:framePr w:wrap="around" w:vAnchor="margin" w:hAnchor="text" w:y="1"/>
    </w:pPr>
    <w:rPr>
      <w:rFonts w:ascii="Tahoma" w:hAnsi="Tahoma" w:eastAsia="Tahoma" w:cs="Tahoma"/>
      <w:color w:val="000000"/>
      <w:sz w:val="21"/>
      <w:szCs w:val="21"/>
      <w:u w:val="none" w:color="000000"/>
      <w:lang w:val="en-US" w:eastAsia="zh-CN" w:bidi="ar-SA"/>
    </w:rPr>
  </w:style>
  <w:style w:type="paragraph" w:customStyle="1" w:styleId="133">
    <w:name w:val="正文_1"/>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宋体" w:cs="Times New Roman"/>
      <w:kern w:val="0"/>
      <w:sz w:val="21"/>
      <w:szCs w:val="20"/>
      <w:lang w:val="en-US" w:eastAsia="zh-CN" w:bidi="ar"/>
    </w:rPr>
  </w:style>
  <w:style w:type="paragraph" w:customStyle="1" w:styleId="134">
    <w:name w:val="文二"/>
    <w:basedOn w:val="1"/>
    <w:qFormat/>
    <w:uiPriority w:val="0"/>
    <w:pPr>
      <w:jc w:val="left"/>
    </w:pPr>
    <w:rPr>
      <w:rFonts w:ascii="宋体" w:hAnsi="宋体" w:eastAsia="宋体" w:cs="Times New Roman"/>
      <w:szCs w:val="21"/>
    </w:rPr>
  </w:style>
  <w:style w:type="paragraph" w:customStyle="1" w:styleId="135">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136">
    <w:name w:val="4、"/>
    <w:basedOn w:val="120"/>
    <w:next w:val="1"/>
    <w:qFormat/>
    <w:uiPriority w:val="0"/>
    <w:pPr>
      <w:widowControl/>
      <w:spacing w:before="50" w:beforeLines="50" w:after="50" w:afterLines="50"/>
      <w:jc w:val="left"/>
      <w:outlineLvl w:val="3"/>
    </w:pPr>
    <w:rPr>
      <w:rFonts w:ascii="Times New Roman" w:hAnsi="Times New Roman" w:eastAsia="宋体" w:cs="Times New Roman"/>
    </w:rPr>
  </w:style>
  <w:style w:type="paragraph" w:customStyle="1" w:styleId="137">
    <w:name w:val="章节三"/>
    <w:basedOn w:val="120"/>
    <w:next w:val="120"/>
    <w:qFormat/>
    <w:uiPriority w:val="0"/>
    <w:pPr>
      <w:spacing w:beforeLines="50" w:afterLines="50" w:line="240" w:lineRule="auto"/>
      <w:ind w:firstLine="0" w:firstLineChars="0"/>
      <w:jc w:val="left"/>
      <w:outlineLvl w:val="2"/>
    </w:pPr>
    <w:rPr>
      <w:rFonts w:ascii="黑体" w:hAnsi="宋体" w:eastAsia="黑体" w:cs="Times New Roman"/>
      <w:b/>
    </w:rPr>
  </w:style>
  <w:style w:type="paragraph" w:styleId="138">
    <w:name w:val="List Paragraph"/>
    <w:basedOn w:val="1"/>
    <w:qFormat/>
    <w:uiPriority w:val="0"/>
    <w:pPr>
      <w:ind w:firstLine="420" w:firstLineChars="200"/>
    </w:pPr>
    <w:rPr>
      <w:rFonts w:ascii="Times New Roman" w:hAnsi="Times New Roman" w:eastAsia="宋体" w:cs="Times New Roman"/>
      <w:szCs w:val="20"/>
    </w:rPr>
  </w:style>
  <w:style w:type="paragraph" w:customStyle="1" w:styleId="13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0">
    <w:name w:val="封二"/>
    <w:basedOn w:val="120"/>
    <w:next w:val="120"/>
    <w:qFormat/>
    <w:uiPriority w:val="0"/>
    <w:pPr>
      <w:ind w:firstLine="0" w:firstLineChars="0"/>
      <w:jc w:val="center"/>
    </w:pPr>
    <w:rPr>
      <w:rFonts w:ascii="Times New Roman" w:hAnsi="Times New Roman" w:eastAsia="黑体" w:cs="Times New Roman"/>
      <w:b/>
      <w:sz w:val="36"/>
      <w:szCs w:val="36"/>
    </w:rPr>
  </w:style>
  <w:style w:type="paragraph" w:customStyle="1" w:styleId="141">
    <w:name w:val="发文落款"/>
    <w:basedOn w:val="139"/>
    <w:qFormat/>
    <w:uiPriority w:val="0"/>
    <w:pPr>
      <w:ind w:left="4094" w:right="607" w:firstLine="0"/>
      <w:jc w:val="center"/>
    </w:pPr>
  </w:style>
  <w:style w:type="paragraph" w:customStyle="1" w:styleId="142">
    <w:name w:val="正文 New New"/>
    <w:basedOn w:val="1"/>
    <w:qFormat/>
    <w:uiPriority w:val="0"/>
    <w:rPr>
      <w:rFonts w:ascii="Times New Roman" w:hAnsi="Times New Roman" w:eastAsia="楷体_GB2312" w:cs="宋体"/>
      <w:szCs w:val="21"/>
    </w:rPr>
  </w:style>
  <w:style w:type="paragraph" w:customStyle="1" w:styleId="143">
    <w:name w:val="封一"/>
    <w:basedOn w:val="120"/>
    <w:next w:val="120"/>
    <w:qFormat/>
    <w:uiPriority w:val="0"/>
    <w:pPr>
      <w:ind w:firstLine="0" w:firstLineChars="0"/>
      <w:jc w:val="center"/>
    </w:pPr>
    <w:rPr>
      <w:rFonts w:ascii="Times New Roman" w:hAnsi="Times New Roman" w:eastAsia="黑体" w:cs="Times New Roman"/>
      <w:b/>
      <w:sz w:val="84"/>
      <w:szCs w:val="84"/>
    </w:rPr>
  </w:style>
  <w:style w:type="paragraph" w:customStyle="1" w:styleId="144">
    <w:name w:val="正题"/>
    <w:basedOn w:val="120"/>
    <w:next w:val="120"/>
    <w:qFormat/>
    <w:uiPriority w:val="0"/>
    <w:pPr>
      <w:ind w:firstLine="0" w:firstLineChars="0"/>
      <w:jc w:val="center"/>
    </w:pPr>
    <w:rPr>
      <w:rFonts w:ascii="Times New Roman" w:hAnsi="Times New Roman" w:eastAsia="黑体" w:cs="Times New Roman"/>
      <w:b/>
      <w:sz w:val="36"/>
      <w:szCs w:val="36"/>
    </w:rPr>
  </w:style>
  <w:style w:type="paragraph" w:customStyle="1" w:styleId="14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文提"/>
    <w:basedOn w:val="120"/>
    <w:qFormat/>
    <w:uiPriority w:val="0"/>
    <w:pPr>
      <w:ind w:firstLine="0" w:firstLineChars="0"/>
    </w:pPr>
    <w:rPr>
      <w:rFonts w:ascii="Times New Roman" w:hAnsi="Times New Roman" w:eastAsia="黑体" w:cs="宋体"/>
      <w:b/>
      <w:snapToGrid w:val="0"/>
      <w:lang w:val="en-US" w:eastAsia="zh-CN"/>
    </w:rPr>
  </w:style>
  <w:style w:type="paragraph" w:customStyle="1" w:styleId="147">
    <w:name w:val="_Style 12"/>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8">
    <w:name w:val="正文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149">
    <w:name w:val="封四"/>
    <w:basedOn w:val="120"/>
    <w:next w:val="120"/>
    <w:qFormat/>
    <w:uiPriority w:val="0"/>
    <w:pPr>
      <w:jc w:val="left"/>
    </w:pPr>
    <w:rPr>
      <w:rFonts w:ascii="Times New Roman" w:hAnsi="Times New Roman" w:eastAsia="宋体" w:cs="Times New Roman"/>
      <w:sz w:val="30"/>
      <w:szCs w:val="30"/>
    </w:rPr>
  </w:style>
  <w:style w:type="paragraph" w:customStyle="1" w:styleId="150">
    <w:name w:val="真正文"/>
    <w:basedOn w:val="1"/>
    <w:qFormat/>
    <w:uiPriority w:val="0"/>
    <w:pPr>
      <w:widowControl/>
      <w:spacing w:beforeLines="50" w:afterLines="50" w:line="360" w:lineRule="auto"/>
      <w:ind w:firstLine="899" w:firstLineChars="200"/>
      <w:jc w:val="left"/>
    </w:pPr>
    <w:rPr>
      <w:rFonts w:ascii="Calibri" w:hAnsi="Calibri" w:eastAsia="宋体" w:cs="Times New Roman"/>
      <w:kern w:val="0"/>
      <w:sz w:val="24"/>
      <w:szCs w:val="20"/>
    </w:rPr>
  </w:style>
  <w:style w:type="paragraph" w:customStyle="1" w:styleId="151">
    <w:name w:val="_Style 150"/>
    <w:basedOn w:val="3"/>
    <w:next w:val="1"/>
    <w:qFormat/>
    <w:uiPriority w:val="0"/>
    <w:pPr>
      <w:widowControl/>
      <w:spacing w:before="480" w:after="0" w:line="276" w:lineRule="auto"/>
      <w:outlineLvl w:val="9"/>
    </w:pPr>
    <w:rPr>
      <w:rFonts w:ascii="Cambria" w:hAnsi="Cambria" w:eastAsia="宋体" w:cs="Times New Roman"/>
      <w:color w:val="365F91"/>
      <w:kern w:val="0"/>
    </w:rPr>
  </w:style>
  <w:style w:type="paragraph" w:customStyle="1" w:styleId="152">
    <w:name w:val="_Style 151"/>
    <w:qFormat/>
    <w:uiPriority w:val="0"/>
    <w:rPr>
      <w:rFonts w:ascii="Times New Roman" w:hAnsi="Times New Roman" w:eastAsia="宋体" w:cs="Times New Roman"/>
      <w:kern w:val="2"/>
      <w:sz w:val="21"/>
      <w:lang w:val="en-US" w:eastAsia="zh-CN" w:bidi="ar-SA"/>
    </w:rPr>
  </w:style>
  <w:style w:type="character" w:customStyle="1" w:styleId="153">
    <w:name w:val="NormalCharacter"/>
    <w:qFormat/>
    <w:uiPriority w:val="0"/>
  </w:style>
  <w:style w:type="paragraph" w:customStyle="1" w:styleId="154">
    <w:name w:val="BodyText"/>
    <w:basedOn w:val="1"/>
    <w:qFormat/>
    <w:uiPriority w:val="0"/>
    <w:pPr>
      <w:spacing w:after="120"/>
    </w:pPr>
    <w:rPr>
      <w:rFonts w:ascii="Times New Roman" w:hAnsi="Times New Roman"/>
      <w:kern w:val="0"/>
      <w:sz w:val="20"/>
      <w:szCs w:val="20"/>
    </w:rPr>
  </w:style>
  <w:style w:type="paragraph" w:customStyle="1" w:styleId="155">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ZB</Company>
  <Pages>14</Pages>
  <Words>9152</Words>
  <Characters>9697</Characters>
  <Lines>67</Lines>
  <Paragraphs>18</Paragraphs>
  <TotalTime>79</TotalTime>
  <ScaleCrop>false</ScaleCrop>
  <LinksUpToDate>false</LinksUpToDate>
  <CharactersWithSpaces>9861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2022-12-27T09:57:00Z</dcterms:created>
  <dc:creator>未定义</dc:creator>
  <cp:lastModifiedBy>邹小红</cp:lastModifiedBy>
  <cp:lastPrinted>2020-07-27T12:04:00Z</cp:lastPrinted>
  <dcterms:modified xsi:type="dcterms:W3CDTF">2025-04-29T12:24:37Z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BA76CB3079D446FE8D9E3686C8966292</vt:lpwstr>
  </property>
  <property fmtid="{D5CDD505-2E9C-101B-9397-08002B2CF9AE}" pid="4" name="KSOTemplateDocerSaveRecord">
    <vt:lpwstr>eyJoZGlkIjoiN2JmZjM1MWUzNTBjOGVlYzkyZGQ1YTY0ZDgwZGQwMTciLCJ1c2VySWQiOiI0MjA0NTIwODcifQ==</vt:lpwstr>
  </property>
</Properties>
</file>